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</w:pPr>
      <w:r>
        <w:rPr>
          <w:b/>
          <w:bCs/>
          <w:color w:val="B7791F"/>
          <w:sz w:val="20"/>
          <w:szCs w:val="20"/>
        </w:rPr>
        <w:t xml:space="preserve">DATANALYSX · LAPORAN ANALISIS</w:t>
      </w:r>
    </w:p>
    <w:p>
      <w:pPr>
        <w:spacing w:after="240"/>
      </w:pPr>
      <w:r>
        <w:rPr>
          <w:b/>
          <w:bCs/>
          <w:color w:val="0B4F3A"/>
          <w:sz w:val="52"/>
          <w:szCs w:val="52"/>
        </w:rPr>
        <w:t xml:space="preserve">Studi Kasus 04: Regresi Logistik: Arah Harga Saham NASDAQ (AAPL)</w:t>
      </w:r>
    </w:p>
    <w:p>
      <w:pPr>
        <w:spacing w:after="480"/>
      </w:pPr>
      <w:r>
        <w:rPr>
          <w:color w:val="4B5650"/>
          <w:sz w:val="24"/>
          <w:szCs w:val="24"/>
        </w:rPr>
        <w:t xml:space="preserve">Prediksi naik/turun hari berikutnya dari 10 fitur OHLC tanpa look-ahead; MLE, walk-forward, bootstrap, uji 20 saham.</w:t>
      </w:r>
    </w:p>
    <w:p>
      <w:pPr>
        <w:spacing w:after="80"/>
      </w:pPr>
      <w:r>
        <w:rPr>
          <w:b/>
          <w:bCs/>
        </w:rPr>
        <w:t xml:space="preserve">Disusun oleh: </w:t>
      </w:r>
      <w:r>
        <w:t xml:space="preserve">Dea Saka Kurnia Putra</w:t>
      </w:r>
    </w:p>
    <w:p>
      <w:pPr>
        <w:spacing w:after="80"/>
      </w:pPr>
      <w:r>
        <w:rPr>
          <w:b/>
          <w:bCs/>
        </w:rPr>
        <w:t xml:space="preserve">Tanggal: </w:t>
      </w:r>
      <w:r>
        <w:t xml:space="preserve">21 Oktober 2026</w:t>
      </w:r>
    </w:p>
    <w:p>
      <w:pPr>
        <w:spacing w:after="80"/>
      </w:pPr>
      <w:r>
        <w:rPr>
          <w:b/>
          <w:bCs/>
        </w:rPr>
        <w:t xml:space="preserve">Sumber: </w:t>
      </w:r>
      <w:r>
        <w:t xml:space="preserve">http://localhost:5173/studi-kasus-04?tab=laporan</w:t>
      </w:r>
    </w:p>
    <w:p>
      <w:pPr>
        <w:spacing w:before="480"/>
      </w:pPr>
      <w:r>
        <w:rPr>
          <w:i/>
          <w:iCs/>
          <w:color w:val="4B5650"/>
          <w:sz w:val="18"/>
          <w:szCs w:val="18"/>
        </w:rPr>
        <w:t xml:space="preserve">Dibuat otomatis oleh DATANALYSX dari hasil yang tampil di aplikasi; seluruh perhitungan berjalan di browser.</w:t>
      </w:r>
    </w:p>
    <w:p>
      <w:r>
        <w:br w:type="page"/>
      </w:r>
    </w:p>
    <w:p>
      <w:pPr>
        <w:spacing w:after="120"/>
      </w:pPr>
      <w:r>
        <w:t xml:space="preserve">Prediksi naik/turun hari berikutnya dari 10 fitur OHLC tanpa look-ahead; MLE, walk-forward, bootstrap, uji 20 saham.</w:t>
      </w:r>
    </w:p>
    <w:p>
      <w:pPr>
        <w:pStyle w:val="Heading1"/>
      </w:pPr>
      <w:r>
        <w:t xml:space="preserve">Kinerja data uji AAPL (837 hari)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Akurasi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51,37%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Balanced acc.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49,18%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Presisi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53,93%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73,68%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62,28%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0,484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bootstrap [0,443; 0,525]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-0,0188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Log-loss / Brier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0,6955 / 0,2511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Aktual \ Prediksi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Turun/Tetap (0)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Naik (1)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Turun/Tetap (0)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94TN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287FP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Naik (1)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120FN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336TP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Inferensi MLE tanpa regularisasi (IRLS)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β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Odds ratio [CI 95%]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intercept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0,1115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0,0347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3,215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0,0013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1,118 [1,044–1,197]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return_1d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-0,0716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0,0634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-1,129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0,2591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0,931 [0,822–1,054]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return_2d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0,0193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0,0580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0,333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0,7392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1,019 [0,910–1,142]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return_5d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0,0491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0,0532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0,3566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1,050 [0,946–1,166]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ma_gap_5_20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0,0133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0,0879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0,151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0,8797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1,013 [0,853–1,204]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vol_10d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-0,0661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0,0704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-0,939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0,3475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0,936 [0,815–1,074]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vol_20d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0,0252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0,0669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0,376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0,7068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1,025 [0,899–1,169]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hl_spread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0,0048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0,0415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0,9080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1,005 [0,926–1,090]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oc_spread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-0,0164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0,0530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-0,310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0,7563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0,984 [0,887–1,091]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rsi_14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0,0405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0,0783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0,6051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1,041 [0,893–1,214]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momentum_10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-0,0708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0,0487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-1,454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0,1460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0,932 [0,847–1,025]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LR = 9,744 (df 10), p = 0,4632; McFadden R² = 0,0021. Tidak ada fitur yang signifikan (semua p &gt; 0,14).</w:t>
      </w:r>
    </w:p>
    <w:p>
      <w:pPr>
        <w:pStyle w:val="Heading1"/>
      </w:pPr>
      <w:r>
        <w:t xml:space="preserve">Walk-forward 5 lipatan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Lipatan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 latih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 uji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Akurasi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shd w:fill="0B4F3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0,4878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0,4829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0,6073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1.394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0,5079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0,5203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0,6332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2.091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0,5265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0,4993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0,5854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2.788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0,5079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0,4784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0,6347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3.485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0,5079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0,4815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0,6243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Rata-rata AUC 0,4925 ± 0,0175; C optimal 0.001 (AUC CV 0,4984).</w:t>
      </w:r>
    </w:p>
    <w:p>
      <w:pPr>
        <w:pStyle w:val="Heading1"/>
      </w:pPr>
      <w:r>
        <w:t xml:space="preserve">VIF</w:t>
      </w:r>
    </w:p>
    <w:p>
      <w:pPr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Uji generalisasi lintas 20 emiten</w:t>
      </w:r>
    </w:p>
    <w:p>
      <w:pPr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Rata-rata AUC 0,5156 (SD 0,0234), 14/20 di atas 0,5; uji-t p = 0,0075, Wilcoxon p = 0,0121. Signifikan secara statistik, namun ≈1,6 poin AUC hampir pasti habis oleh biaya transaksi.</w:t>
      </w:r>
    </w:p>
    <w:p>
      <w:pPr>
        <w:pBdr>
          <w:left w:val="single" w:color="B7791F" w:sz="18" w:space="8"/>
        </w:pBdr>
        <w:shd w:fill="F3F6F2" w:color="auto" w:val="clear"/>
        <w:spacing w:before="80" w:after="160"/>
        <w:ind w:left="160"/>
      </w:pPr>
      <w:r>
        <w:rPr>
          <w:b/>
          <w:bCs/>
        </w:rPr>
        <w:t xml:space="preserve">Jebakan threshold. </w:t>
      </w:r>
      <w:r>
        <w:t xml:space="preserve">“F1 optimal” 0,7053 pada threshold 0,05 (recall 1, presisi 0,545) hanyalah strategi “selalu prediksi naik” — Subbab 4.8.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Dea Saka Kurnia Putra · 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DATANALYSX — Studi Kasus 04: Regresi Logistik: Arah Harga Saham NASDAQ (AAPL)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bCs/>
      <w:color w:val="0B4F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bCs/>
      <w:color w:val="0B7A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1a36e2d0411a698b195b8985281b0c1e7d56168.png"/><Relationship Id="rId9" Type="http://schemas.openxmlformats.org/officeDocument/2006/relationships/image" Target="media/8807993812a46005c959d5ef2e23f97f501ef453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 Kasus 04: Regresi Logistik: Arah Harga Saham NASDAQ (AAPL)</dc:title>
  <dc:creator>Dea Saka Kurnia Putra</dc:creator>
  <dc:description>Prediksi naik/turun hari berikutnya dari 10 fitur OHLC tanpa look-ahead; MLE, walk-forward, bootstrap, uji 20 saham.</dc:description>
  <cp:lastModifiedBy>Un-named</cp:lastModifiedBy>
  <cp:revision>1</cp:revision>
  <dcterms:created xsi:type="dcterms:W3CDTF">2026-10-21T10:29:13.533Z</dcterms:created>
  <dcterms:modified xsi:type="dcterms:W3CDTF">2026-10-21T10:29:13.534Z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