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40" w:line="276" w:lineRule="auto"/>
        <w:jc w:val="center"/>
      </w:pPr>
      <w:r>
        <w:rPr>
          <w:rFonts w:ascii="Calibri" w:hAnsi="Calibri"/>
          <w:b/>
          <w:i w:val="0"/>
          <w:color w:val="1B365D"/>
          <w:sz w:val="26"/>
        </w:rPr>
        <w:t>UNIVERSITAS PAMULANG</w:t>
      </w:r>
    </w:p>
    <w:p>
      <w:pPr>
        <w:spacing w:before="0" w:after="320" w:line="276" w:lineRule="auto"/>
        <w:jc w:val="center"/>
      </w:pPr>
      <w:r>
        <w:rPr>
          <w:rFonts w:ascii="Calibri" w:hAnsi="Calibri"/>
          <w:b w:val="0"/>
          <w:i w:val="0"/>
          <w:color w:val="646E7D"/>
          <w:sz w:val="20"/>
        </w:rPr>
        <w:t>LEMBAGA PENGEMBANGAN TEKNOLOGI INFORMASI &amp; KOMPUTASI (LPTI)</w:t>
      </w:r>
    </w:p>
    <w:p>
      <w:pPr>
        <w:spacing w:before="200" w:after="80" w:line="276" w:lineRule="auto"/>
        <w:jc w:val="center"/>
      </w:pPr>
      <w:r>
        <w:rPr>
          <w:rFonts w:ascii="Calibri" w:hAnsi="Calibri"/>
          <w:b/>
          <w:i w:val="0"/>
          <w:color w:val="009688"/>
          <w:sz w:val="28"/>
        </w:rPr>
        <w:t>WHITEPAPER RESMI:</w:t>
      </w:r>
    </w:p>
    <w:p>
      <w:pPr>
        <w:spacing w:before="0" w:after="240" w:line="276" w:lineRule="auto"/>
        <w:jc w:val="center"/>
      </w:pPr>
      <w:r>
        <w:rPr>
          <w:rFonts w:ascii="Calibri" w:hAnsi="Calibri"/>
          <w:b/>
          <w:i w:val="0"/>
          <w:color w:val="1B365D"/>
          <w:sz w:val="40"/>
        </w:rPr>
        <w:t>SUPER UNPAM: TRANSFORMASI ARSITEKTUR SMART CAMPUS ALL-IN-ONE BERBASIS EDGE-PWA DAN TATA KELOLA AKADEMIK MODERN</w:t>
      </w:r>
    </w:p>
    <w:p>
      <w:pPr>
        <w:spacing w:before="0" w:after="480" w:line="276" w:lineRule="auto"/>
        <w:jc w:val="center"/>
      </w:pPr>
      <w:r>
        <w:rPr>
          <w:rFonts w:ascii="Calibri" w:hAnsi="Calibri"/>
          <w:b w:val="0"/>
          <w:i/>
          <w:color w:val="646E7D"/>
          <w:sz w:val="22"/>
        </w:rPr>
        <w:t>Kajian Strategis Solusi Fragmentasi Layanan, Ketahanan Beban Puncak (Peak Traffic), Kedaulatan Data UU PDP No. 27/2022, dan Optimalisasi Pengalaman 80.000+ Sivitas Akademika</w:t>
      </w:r>
    </w:p>
    <w:tbl>
      <w:tblPr>
        <w:tblW w:type="auto" w:w="0"/>
        <w:jc w:val="center"/>
        <w:tblLayout w:type="fixed"/>
        <w:tblLook w:firstColumn="1" w:firstRow="1" w:lastColumn="0" w:lastRow="0" w:noHBand="0" w:noVBand="1" w:val="04A0"/>
      </w:tblPr>
      <w:tblGrid>
        <w:gridCol w:w="4680"/>
        <w:gridCol w:w="4680"/>
      </w:tblGrid>
      <w:tr>
        <w:tc>
          <w:tcPr>
            <w:tcW w:type="dxa" w:w="3168"/>
            <w:shd w:fill="1B365D"/>
            <w:tcMar>
              <w:top w:w="100" w:type="dxa"/>
              <w:bottom w:w="100" w:type="dxa"/>
              <w:left w:w="100" w:type="dxa"/>
              <w:right w:w="100" w:type="dxa"/>
            </w:tcMar>
          </w:tcPr>
          <w:p>
            <w:pPr>
              <w:spacing w:before="40" w:after="40"/>
              <w:jc w:val="center"/>
            </w:pPr>
            <w:r>
              <w:rPr>
                <w:rFonts w:ascii="Calibri" w:hAnsi="Calibri"/>
                <w:b/>
                <w:color w:val="FFFFFF"/>
                <w:sz w:val="18"/>
              </w:rPr>
              <w:t>Atribut Dokumen</w:t>
            </w:r>
          </w:p>
        </w:tc>
        <w:tc>
          <w:tcPr>
            <w:tcW w:type="dxa" w:w="6192"/>
            <w:shd w:fill="1B365D"/>
            <w:tcMar>
              <w:top w:w="100" w:type="dxa"/>
              <w:bottom w:w="100" w:type="dxa"/>
              <w:left w:w="100" w:type="dxa"/>
              <w:right w:w="100" w:type="dxa"/>
            </w:tcMar>
          </w:tcPr>
          <w:p>
            <w:pPr>
              <w:spacing w:before="40" w:after="40"/>
              <w:jc w:val="center"/>
            </w:pPr>
            <w:r>
              <w:rPr>
                <w:rFonts w:ascii="Calibri" w:hAnsi="Calibri"/>
                <w:b/>
                <w:color w:val="FFFFFF"/>
                <w:sz w:val="18"/>
              </w:rPr>
              <w:t>Keterangan Spesifikasi</w:t>
            </w:r>
          </w:p>
        </w:tc>
      </w:tr>
      <w:tr>
        <w:tc>
          <w:tcPr>
            <w:tcW w:type="dxa" w:w="3168"/>
            <w:shd w:fill="FFFFFF"/>
            <w:tcMar>
              <w:top w:w="80" w:type="dxa"/>
              <w:bottom w:w="80" w:type="dxa"/>
              <w:left w:w="90" w:type="dxa"/>
              <w:right w:w="90" w:type="dxa"/>
            </w:tcMar>
          </w:tcPr>
          <w:p>
            <w:pPr>
              <w:spacing w:before="20" w:after="20" w:line="252" w:lineRule="auto"/>
            </w:pPr>
            <w:r>
              <w:rPr>
                <w:rFonts w:ascii="Calibri" w:hAnsi="Calibri"/>
                <w:color w:val="282C34"/>
                <w:sz w:val="17"/>
              </w:rPr>
              <w:t>Judul Dokumen</w:t>
            </w:r>
          </w:p>
        </w:tc>
        <w:tc>
          <w:tcPr>
            <w:tcW w:type="dxa" w:w="6192"/>
            <w:shd w:fill="FFFFFF"/>
            <w:tcMar>
              <w:top w:w="80" w:type="dxa"/>
              <w:bottom w:w="80" w:type="dxa"/>
              <w:left w:w="90" w:type="dxa"/>
              <w:right w:w="90" w:type="dxa"/>
            </w:tcMar>
          </w:tcPr>
          <w:p>
            <w:pPr>
              <w:spacing w:before="20" w:after="20" w:line="252" w:lineRule="auto"/>
            </w:pPr>
            <w:r>
              <w:rPr>
                <w:rFonts w:ascii="Calibri" w:hAnsi="Calibri"/>
                <w:color w:val="282C34"/>
                <w:sz w:val="17"/>
              </w:rPr>
              <w:t>Whitepaper Transformasi Digital Super UNPAM</w:t>
            </w:r>
          </w:p>
        </w:tc>
      </w:tr>
      <w:tr>
        <w:tc>
          <w:tcPr>
            <w:tcW w:type="dxa" w:w="3168"/>
            <w:shd w:fill="F1F5F9"/>
            <w:tcMar>
              <w:top w:w="80" w:type="dxa"/>
              <w:bottom w:w="80" w:type="dxa"/>
              <w:left w:w="90" w:type="dxa"/>
              <w:right w:w="90" w:type="dxa"/>
            </w:tcMar>
          </w:tcPr>
          <w:p>
            <w:pPr>
              <w:spacing w:before="20" w:after="20" w:line="252" w:lineRule="auto"/>
            </w:pPr>
            <w:r>
              <w:rPr>
                <w:rFonts w:ascii="Calibri" w:hAnsi="Calibri"/>
                <w:color w:val="282C34"/>
                <w:sz w:val="17"/>
              </w:rPr>
              <w:t>Versi Dokumen</w:t>
            </w:r>
          </w:p>
        </w:tc>
        <w:tc>
          <w:tcPr>
            <w:tcW w:type="dxa" w:w="6192"/>
            <w:shd w:fill="F1F5F9"/>
            <w:tcMar>
              <w:top w:w="80" w:type="dxa"/>
              <w:bottom w:w="80" w:type="dxa"/>
              <w:left w:w="90" w:type="dxa"/>
              <w:right w:w="90" w:type="dxa"/>
            </w:tcMar>
          </w:tcPr>
          <w:p>
            <w:pPr>
              <w:spacing w:before="20" w:after="20" w:line="252" w:lineRule="auto"/>
            </w:pPr>
            <w:r>
              <w:rPr>
                <w:rFonts w:ascii="Calibri" w:hAnsi="Calibri"/>
                <w:color w:val="282C34"/>
                <w:sz w:val="17"/>
              </w:rPr>
              <w:t>Versi 2.5 (Edisi Eksekutif &amp; Tata Kelola Strategis)</w:t>
            </w:r>
          </w:p>
        </w:tc>
      </w:tr>
      <w:tr>
        <w:tc>
          <w:tcPr>
            <w:tcW w:type="dxa" w:w="3168"/>
            <w:shd w:fill="FFFFFF"/>
            <w:tcMar>
              <w:top w:w="80" w:type="dxa"/>
              <w:bottom w:w="80" w:type="dxa"/>
              <w:left w:w="90" w:type="dxa"/>
              <w:right w:w="90" w:type="dxa"/>
            </w:tcMar>
          </w:tcPr>
          <w:p>
            <w:pPr>
              <w:spacing w:before="20" w:after="20" w:line="252" w:lineRule="auto"/>
            </w:pPr>
            <w:r>
              <w:rPr>
                <w:rFonts w:ascii="Calibri" w:hAnsi="Calibri"/>
                <w:color w:val="282C34"/>
                <w:sz w:val="17"/>
              </w:rPr>
              <w:t>Tanggal Terbit</w:t>
            </w:r>
          </w:p>
        </w:tc>
        <w:tc>
          <w:tcPr>
            <w:tcW w:type="dxa" w:w="6192"/>
            <w:shd w:fill="FFFFFF"/>
            <w:tcMar>
              <w:top w:w="80" w:type="dxa"/>
              <w:bottom w:w="80" w:type="dxa"/>
              <w:left w:w="90" w:type="dxa"/>
              <w:right w:w="90" w:type="dxa"/>
            </w:tcMar>
          </w:tcPr>
          <w:p>
            <w:pPr>
              <w:spacing w:before="20" w:after="20" w:line="252" w:lineRule="auto"/>
            </w:pPr>
            <w:r>
              <w:rPr>
                <w:rFonts w:ascii="Calibri" w:hAnsi="Calibri"/>
                <w:color w:val="282C34"/>
                <w:sz w:val="17"/>
              </w:rPr>
              <w:t>30 October 2026</w:t>
            </w:r>
          </w:p>
        </w:tc>
      </w:tr>
      <w:tr>
        <w:tc>
          <w:tcPr>
            <w:tcW w:type="dxa" w:w="3168"/>
            <w:shd w:fill="F1F5F9"/>
            <w:tcMar>
              <w:top w:w="80" w:type="dxa"/>
              <w:bottom w:w="80" w:type="dxa"/>
              <w:left w:w="90" w:type="dxa"/>
              <w:right w:w="90" w:type="dxa"/>
            </w:tcMar>
          </w:tcPr>
          <w:p>
            <w:pPr>
              <w:spacing w:before="20" w:after="20" w:line="252" w:lineRule="auto"/>
            </w:pPr>
            <w:r>
              <w:rPr>
                <w:rFonts w:ascii="Calibri" w:hAnsi="Calibri"/>
                <w:color w:val="282C34"/>
                <w:sz w:val="17"/>
              </w:rPr>
              <w:t>Sasaran Pembaca</w:t>
            </w:r>
          </w:p>
        </w:tc>
        <w:tc>
          <w:tcPr>
            <w:tcW w:type="dxa" w:w="6192"/>
            <w:shd w:fill="F1F5F9"/>
            <w:tcMar>
              <w:top w:w="80" w:type="dxa"/>
              <w:bottom w:w="80" w:type="dxa"/>
              <w:left w:w="90" w:type="dxa"/>
              <w:right w:w="90" w:type="dxa"/>
            </w:tcMar>
          </w:tcPr>
          <w:p>
            <w:pPr>
              <w:spacing w:before="20" w:after="20" w:line="252" w:lineRule="auto"/>
            </w:pPr>
            <w:r>
              <w:rPr>
                <w:rFonts w:ascii="Calibri" w:hAnsi="Calibri"/>
                <w:color w:val="282C34"/>
                <w:sz w:val="17"/>
              </w:rPr>
              <w:t>Rektorat, Yayasan Sasmita Jaya, Dekanat, Kaprodi, LPTI, Dosen, &amp; Pengambil Kebijakan</w:t>
            </w:r>
          </w:p>
        </w:tc>
      </w:tr>
      <w:tr>
        <w:tc>
          <w:tcPr>
            <w:tcW w:type="dxa" w:w="3168"/>
            <w:shd w:fill="FFFFFF"/>
            <w:tcMar>
              <w:top w:w="80" w:type="dxa"/>
              <w:bottom w:w="80" w:type="dxa"/>
              <w:left w:w="90" w:type="dxa"/>
              <w:right w:w="90" w:type="dxa"/>
            </w:tcMar>
          </w:tcPr>
          <w:p>
            <w:pPr>
              <w:spacing w:before="20" w:after="20" w:line="252" w:lineRule="auto"/>
            </w:pPr>
            <w:r>
              <w:rPr>
                <w:rFonts w:ascii="Calibri" w:hAnsi="Calibri"/>
                <w:color w:val="282C34"/>
                <w:sz w:val="17"/>
              </w:rPr>
              <w:t>Klasifikasi</w:t>
            </w:r>
          </w:p>
        </w:tc>
        <w:tc>
          <w:tcPr>
            <w:tcW w:type="dxa" w:w="6192"/>
            <w:shd w:fill="FFFFFF"/>
            <w:tcMar>
              <w:top w:w="80" w:type="dxa"/>
              <w:bottom w:w="80" w:type="dxa"/>
              <w:left w:w="90" w:type="dxa"/>
              <w:right w:w="90" w:type="dxa"/>
            </w:tcMar>
          </w:tcPr>
          <w:p>
            <w:pPr>
              <w:spacing w:before="20" w:after="20" w:line="252" w:lineRule="auto"/>
            </w:pPr>
            <w:r>
              <w:rPr>
                <w:rFonts w:ascii="Calibri" w:hAnsi="Calibri"/>
                <w:color w:val="282C34"/>
                <w:sz w:val="17"/>
              </w:rPr>
              <w:t>DOKUMEN RESMI - STRATEGIS UNIVERSITAS</w:t>
            </w:r>
          </w:p>
        </w:tc>
      </w:tr>
      <w:tr>
        <w:tc>
          <w:tcPr>
            <w:tcW w:type="dxa" w:w="3168"/>
            <w:shd w:fill="F1F5F9"/>
            <w:tcMar>
              <w:top w:w="80" w:type="dxa"/>
              <w:bottom w:w="80" w:type="dxa"/>
              <w:left w:w="90" w:type="dxa"/>
              <w:right w:w="90" w:type="dxa"/>
            </w:tcMar>
          </w:tcPr>
          <w:p>
            <w:pPr>
              <w:spacing w:before="20" w:after="20" w:line="252" w:lineRule="auto"/>
            </w:pPr>
            <w:r>
              <w:rPr>
                <w:rFonts w:ascii="Calibri" w:hAnsi="Calibri"/>
                <w:color w:val="282C34"/>
                <w:sz w:val="17"/>
              </w:rPr>
              <w:t>Tautan Prototipe</w:t>
            </w:r>
          </w:p>
        </w:tc>
        <w:tc>
          <w:tcPr>
            <w:tcW w:type="dxa" w:w="6192"/>
            <w:shd w:fill="F1F5F9"/>
            <w:tcMar>
              <w:top w:w="80" w:type="dxa"/>
              <w:bottom w:w="80" w:type="dxa"/>
              <w:left w:w="90" w:type="dxa"/>
              <w:right w:w="90" w:type="dxa"/>
            </w:tcMar>
          </w:tcPr>
          <w:p>
            <w:pPr>
              <w:spacing w:before="20" w:after="20" w:line="252" w:lineRule="auto"/>
            </w:pPr>
            <w:r>
              <w:rPr>
                <w:rFonts w:ascii="Calibri" w:hAnsi="Calibri"/>
                <w:color w:val="282C34"/>
                <w:sz w:val="17"/>
              </w:rPr>
              <w:t>https://super-unpam.vercel.app/</w:t>
            </w:r>
          </w:p>
        </w:tc>
      </w:tr>
      <w:tr>
        <w:tc>
          <w:tcPr>
            <w:tcW w:type="dxa" w:w="3168"/>
            <w:shd w:fill="FFFFFF"/>
            <w:tcMar>
              <w:top w:w="80" w:type="dxa"/>
              <w:bottom w:w="80" w:type="dxa"/>
              <w:left w:w="90" w:type="dxa"/>
              <w:right w:w="90" w:type="dxa"/>
            </w:tcMar>
          </w:tcPr>
          <w:p>
            <w:pPr>
              <w:spacing w:before="20" w:after="20" w:line="252" w:lineRule="auto"/>
            </w:pPr>
            <w:r>
              <w:rPr>
                <w:rFonts w:ascii="Calibri" w:hAnsi="Calibri"/>
                <w:color w:val="282C34"/>
                <w:sz w:val="17"/>
              </w:rPr>
              <w:t>Status Kesiapan</w:t>
            </w:r>
          </w:p>
        </w:tc>
        <w:tc>
          <w:tcPr>
            <w:tcW w:type="dxa" w:w="6192"/>
            <w:shd w:fill="FFFFFF"/>
            <w:tcMar>
              <w:top w:w="80" w:type="dxa"/>
              <w:bottom w:w="80" w:type="dxa"/>
              <w:left w:w="90" w:type="dxa"/>
              <w:right w:w="90" w:type="dxa"/>
            </w:tcMar>
          </w:tcPr>
          <w:p>
            <w:pPr>
              <w:spacing w:before="20" w:after="20" w:line="252" w:lineRule="auto"/>
            </w:pPr>
            <w:r>
              <w:rPr>
                <w:rFonts w:ascii="Calibri" w:hAnsi="Calibri"/>
                <w:color w:val="282C34"/>
                <w:sz w:val="17"/>
              </w:rPr>
              <w:t>Prototipe Enterprise-Ready (103 File Sumber, 227 Unit Test Terverifikasi)</w:t>
            </w:r>
          </w:p>
        </w:tc>
      </w:tr>
    </w:tbl>
    <w:p>
      <w:pPr>
        <w:spacing w:before="80" w:after="80"/>
      </w:pPr>
    </w:p>
    <w:p>
      <w:r>
        <w:br w:type="page"/>
      </w:r>
    </w:p>
    <w:p>
      <w:pPr>
        <w:spacing w:before="440" w:after="160" w:line="276" w:lineRule="auto"/>
        <w:jc w:val="left"/>
        <w:pBdr>
          <w:bottom w:val="single" w:sz="14" w:space="2" w:color="1B365D"/>
        </w:pBdr>
      </w:pPr>
      <w:r>
        <w:rPr>
          <w:rFonts w:ascii="Calibri" w:hAnsi="Calibri"/>
          <w:b/>
          <w:i w:val="0"/>
          <w:color w:val="1B365D"/>
          <w:sz w:val="32"/>
        </w:rPr>
        <w:t>DAFTAR ISI EKSEKUTIF</w:t>
      </w:r>
    </w:p>
    <w:p>
      <w:pPr>
        <w:spacing w:before="40" w:after="40" w:line="276" w:lineRule="auto"/>
        <w:ind w:left="288"/>
        <w:jc w:val="left"/>
      </w:pPr>
      <w:r>
        <w:rPr>
          <w:rFonts w:ascii="Calibri" w:hAnsi="Calibri"/>
          <w:b w:val="0"/>
          <w:i w:val="0"/>
          <w:color w:val="282C34"/>
          <w:sz w:val="21"/>
        </w:rPr>
        <w:t xml:space="preserve">  1. Ringkasan Eksekutif (Executive Summary)</w:t>
      </w:r>
    </w:p>
    <w:p>
      <w:pPr>
        <w:spacing w:before="40" w:after="40" w:line="276" w:lineRule="auto"/>
        <w:ind w:left="288"/>
        <w:jc w:val="left"/>
      </w:pPr>
      <w:r>
        <w:rPr>
          <w:rFonts w:ascii="Calibri" w:hAnsi="Calibri"/>
          <w:b w:val="0"/>
          <w:i w:val="0"/>
          <w:color w:val="282C34"/>
          <w:sz w:val="21"/>
        </w:rPr>
        <w:t xml:space="preserve">  2. Konteks Strategis &amp; Tantangan Kampus Skala Mega (The UNPAM Scale Challenge)</w:t>
      </w:r>
    </w:p>
    <w:p>
      <w:pPr>
        <w:spacing w:before="40" w:after="40" w:line="276" w:lineRule="auto"/>
        <w:ind w:left="288"/>
        <w:jc w:val="left"/>
      </w:pPr>
      <w:r>
        <w:rPr>
          <w:rFonts w:ascii="Calibri" w:hAnsi="Calibri"/>
          <w:b w:val="0"/>
          <w:i w:val="0"/>
          <w:color w:val="282C34"/>
          <w:sz w:val="21"/>
        </w:rPr>
        <w:t xml:space="preserve">  3. Paradigma Baru: Mengapa SSO Launcher Tradisional Harus Berevolusi Menjadi True Super App</w:t>
      </w:r>
    </w:p>
    <w:p>
      <w:pPr>
        <w:spacing w:before="40" w:after="40" w:line="276" w:lineRule="auto"/>
        <w:ind w:left="288"/>
        <w:jc w:val="left"/>
      </w:pPr>
      <w:r>
        <w:rPr>
          <w:rFonts w:ascii="Calibri" w:hAnsi="Calibri"/>
          <w:b w:val="0"/>
          <w:i w:val="0"/>
          <w:color w:val="282C34"/>
          <w:sz w:val="21"/>
        </w:rPr>
        <w:t xml:space="preserve">  4. Visi Arsitektur Strategis: Edge-Native Jamstack &amp; Decoupled BFF</w:t>
      </w:r>
    </w:p>
    <w:p>
      <w:pPr>
        <w:spacing w:before="40" w:after="40" w:line="276" w:lineRule="auto"/>
        <w:ind w:left="288"/>
        <w:jc w:val="left"/>
      </w:pPr>
      <w:r>
        <w:rPr>
          <w:rFonts w:ascii="Calibri" w:hAnsi="Calibri"/>
          <w:b w:val="0"/>
          <w:i w:val="0"/>
          <w:color w:val="282C34"/>
          <w:sz w:val="21"/>
        </w:rPr>
        <w:t xml:space="preserve">  5. Taksonomi 10 Pilar Ekosistem Layanan Super UNPAM</w:t>
      </w:r>
    </w:p>
    <w:p>
      <w:pPr>
        <w:spacing w:before="40" w:after="40" w:line="276" w:lineRule="auto"/>
        <w:ind w:left="288"/>
        <w:jc w:val="left"/>
      </w:pPr>
      <w:r>
        <w:rPr>
          <w:rFonts w:ascii="Calibri" w:hAnsi="Calibri"/>
          <w:b w:val="0"/>
          <w:i w:val="0"/>
          <w:color w:val="282C34"/>
          <w:sz w:val="21"/>
        </w:rPr>
        <w:t xml:space="preserve">  6. Inovasi Tata Kelola: Paradigma 'Academic Rules as Data'</w:t>
      </w:r>
    </w:p>
    <w:p>
      <w:pPr>
        <w:spacing w:before="40" w:after="40" w:line="276" w:lineRule="auto"/>
        <w:ind w:left="288"/>
        <w:jc w:val="left"/>
      </w:pPr>
      <w:r>
        <w:rPr>
          <w:rFonts w:ascii="Calibri" w:hAnsi="Calibri"/>
          <w:b w:val="0"/>
          <w:i w:val="0"/>
          <w:color w:val="282C34"/>
          <w:sz w:val="21"/>
        </w:rPr>
        <w:t xml:space="preserve">  7. Kedaulatan Data, Keamanan Sistem, &amp; Kepatuhan UU PDP No. 27/2022</w:t>
      </w:r>
    </w:p>
    <w:p>
      <w:pPr>
        <w:spacing w:before="40" w:after="40" w:line="276" w:lineRule="auto"/>
        <w:ind w:left="288"/>
        <w:jc w:val="left"/>
      </w:pPr>
      <w:r>
        <w:rPr>
          <w:rFonts w:ascii="Calibri" w:hAnsi="Calibri"/>
          <w:b w:val="0"/>
          <w:i w:val="0"/>
          <w:color w:val="282C34"/>
          <w:sz w:val="21"/>
        </w:rPr>
        <w:t xml:space="preserve">  8. Analisis Dampak Finansial, Efisiensi Operasional (ROI &amp; TCO), dan Beban Server</w:t>
      </w:r>
    </w:p>
    <w:p>
      <w:pPr>
        <w:spacing w:before="40" w:after="40" w:line="276" w:lineRule="auto"/>
        <w:ind w:left="288"/>
        <w:jc w:val="left"/>
      </w:pPr>
      <w:r>
        <w:rPr>
          <w:rFonts w:ascii="Calibri" w:hAnsi="Calibri"/>
          <w:b w:val="0"/>
          <w:i w:val="0"/>
          <w:color w:val="282C34"/>
          <w:sz w:val="21"/>
        </w:rPr>
        <w:t xml:space="preserve">  9. Roadmap Strategis Transformasi Digital Multi-Tahap</w:t>
      </w:r>
    </w:p>
    <w:p>
      <w:pPr>
        <w:spacing w:before="40" w:after="40" w:line="276" w:lineRule="auto"/>
        <w:ind w:left="288"/>
        <w:jc w:val="left"/>
      </w:pPr>
      <w:r>
        <w:rPr>
          <w:rFonts w:ascii="Calibri" w:hAnsi="Calibri"/>
          <w:b w:val="0"/>
          <w:i w:val="0"/>
          <w:color w:val="282C34"/>
          <w:sz w:val="21"/>
        </w:rPr>
        <w:t xml:space="preserve">  10. Rekomendasi Keputusan Pimpinan &amp; Kesimpulan Akhir</w:t>
      </w:r>
    </w:p>
    <w:p>
      <w:pPr>
        <w:spacing w:before="40" w:after="40" w:line="276" w:lineRule="auto"/>
        <w:ind w:left="288"/>
        <w:jc w:val="left"/>
      </w:pPr>
      <w:r>
        <w:rPr>
          <w:rFonts w:ascii="Calibri" w:hAnsi="Calibri"/>
          <w:b w:val="0"/>
          <w:i w:val="0"/>
          <w:color w:val="282C34"/>
          <w:sz w:val="21"/>
        </w:rPr>
        <w:t xml:space="preserve">  Lampiran: Ringkasan Kebijakan Privasi Resmi Aplikasi (Privacy Notice Summary)</w:t>
      </w:r>
    </w:p>
    <w:p>
      <w:r>
        <w:br w:type="page"/>
      </w:r>
    </w:p>
    <w:p>
      <w:pPr>
        <w:spacing w:before="440" w:after="160" w:line="276" w:lineRule="auto"/>
        <w:jc w:val="left"/>
        <w:pBdr>
          <w:bottom w:val="single" w:sz="14" w:space="2" w:color="1B365D"/>
        </w:pBdr>
      </w:pPr>
      <w:r>
        <w:rPr>
          <w:rFonts w:ascii="Calibri" w:hAnsi="Calibri"/>
          <w:b/>
          <w:i w:val="0"/>
          <w:color w:val="1B365D"/>
          <w:sz w:val="32"/>
        </w:rPr>
        <w:t>1. RINGKASAN EKSEKUTIF (EXECUTIVE SUMMARY)</w:t>
      </w:r>
    </w:p>
    <w:p>
      <w:pPr>
        <w:spacing w:before="0" w:after="120" w:line="276" w:lineRule="auto"/>
        <w:jc w:val="left"/>
      </w:pPr>
      <w:r>
        <w:rPr>
          <w:rFonts w:ascii="Calibri" w:hAnsi="Calibri"/>
          <w:b w:val="0"/>
          <w:i w:val="0"/>
          <w:color w:val="282C34"/>
          <w:sz w:val="22"/>
        </w:rPr>
        <w:t>Universitas Pamulang (UNPAM) menempati posisi terdepan sebagai salah satu perguruan tinggi swasta terbesar di Asia Tenggara dengan basis mahasiswa aktif melampaui 80.000 jiwa yang tersebar di Kampus Pusat Pamulang, Kampus Viktor, Kampus Witana Harja, dan Kampus Serang. Pertumbuhan eksponensial ini menuntut infrastruktur teknologi informasi yang tidak hanya andal, tetapi juga tangguh menghadapi lonjakan beban masif secara periodik.</w:t>
      </w:r>
    </w:p>
    <w:p>
      <w:pPr>
        <w:spacing w:before="0" w:after="120" w:line="276" w:lineRule="auto"/>
        <w:jc w:val="left"/>
      </w:pPr>
      <w:r>
        <w:rPr>
          <w:rFonts w:ascii="Calibri" w:hAnsi="Calibri"/>
          <w:b w:val="0"/>
          <w:i w:val="0"/>
          <w:color w:val="282C34"/>
          <w:sz w:val="22"/>
        </w:rPr>
        <w:t>Saat ini, ekosistem digital kampus mengalami fragmentasi parah. Mahasiswa dan dosen harus mengakses minimal 6 portal web terpisah (Mentari, MyUnpam, E-Learning, Sispema, Siskerma, MyLSP) dengan kredensial, tampilan antarmuka, dan arsitektur yang tidak konsisten. Inisiatif portal Satu UNPAM (https://satu.unpam.ac.id/) telah menjadi langkah awal yang baik sebagai gerbang Single Sign-On (SSO), namun masih bertindak sebatas 'direktori peluncur tautan' (link launcher directory) yang tetap melempar pengguna ke sistem legacy terpisah.</w:t>
      </w:r>
    </w:p>
    <w:tbl>
      <w:tblPr>
        <w:tblW w:type="auto" w:w="0"/>
        <w:jc w:val="center"/>
        <w:tblLook w:firstColumn="1" w:firstRow="1" w:lastColumn="0" w:lastRow="0" w:noHBand="0" w:noVBand="1" w:val="04A0"/>
      </w:tblPr>
      <w:tblGrid>
        <w:gridCol w:w="9360"/>
      </w:tblGrid>
      <w:tr>
        <w:tc>
          <w:tcPr>
            <w:tcW w:type="dxa" w:w="9360"/>
            <w:shd w:fill="F0FDF4"/>
            <w:tcMar>
              <w:top w:w="130" w:type="dxa"/>
              <w:bottom w:w="130" w:type="dxa"/>
              <w:left w:w="160" w:type="dxa"/>
              <w:right w:w="160" w:type="dxa"/>
            </w:tcMar>
            <w:tcBorders>
              <w:left w:val="single" w:sz="36" w:space="0" w:color="16A34A"/>
              <w:top w:val="none"/>
              <w:right w:val="none"/>
              <w:bottom w:val="none"/>
            </w:tcBorders>
          </w:tcPr>
          <w:p>
            <w:pPr>
              <w:spacing w:before="40" w:after="40" w:line="276" w:lineRule="auto"/>
            </w:pPr>
            <w:r>
              <w:rPr>
                <w:rFonts w:ascii="Calibri" w:hAnsi="Calibri"/>
                <w:b/>
                <w:color w:val="1B365D"/>
                <w:sz w:val="20"/>
              </w:rPr>
              <w:t>🚀 INTISARI SOLUSI SUPER UNPAM</w:t>
              <w:br/>
            </w:r>
            <w:r>
              <w:rPr>
                <w:rFonts w:ascii="Calibri" w:hAnsi="Calibri"/>
                <w:color w:val="282C34"/>
                <w:sz w:val="19"/>
              </w:rPr>
              <w:t>Super UNPAM (https://super-unpam.vercel.app/) menghadirkan paradigma **True All-in-One Super App** berbasis teknologi Progressive Web App (PWA) dan arsitektur Global Edge Jamstack. Sistem ini menyatukan seluruh proses akademik, administrasi, keuangan, presensi anti-fraud, dan siklus skripsi ke dalam satu aplikasi tunggal yang sangat ringan, beroperasi instan (&lt; 1 detik), dapat dibuka saat offline di area blank-spot kampus, serta memangkas 90% beban lalu lintas dari server pusat kampus.</w:t>
            </w:r>
          </w:p>
        </w:tc>
      </w:tr>
    </w:tbl>
    <w:p>
      <w:pPr>
        <w:spacing w:before="80" w:after="80"/>
      </w:pPr>
    </w:p>
    <w:tbl>
      <w:tblPr>
        <w:tblW w:type="auto" w:w="0"/>
        <w:jc w:val="center"/>
        <w:tblLayout w:type="fixed"/>
        <w:tblLook w:firstColumn="1" w:firstRow="1" w:lastColumn="0" w:lastRow="0" w:noHBand="0" w:noVBand="1" w:val="04A0"/>
      </w:tblPr>
      <w:tblGrid>
        <w:gridCol w:w="3120"/>
        <w:gridCol w:w="3120"/>
        <w:gridCol w:w="3120"/>
      </w:tblGrid>
      <w:tr>
        <w:tc>
          <w:tcPr>
            <w:tcW w:type="dxa" w:w="2160"/>
            <w:shd w:fill="1B365D"/>
            <w:tcMar>
              <w:top w:w="100" w:type="dxa"/>
              <w:bottom w:w="100" w:type="dxa"/>
              <w:left w:w="100" w:type="dxa"/>
              <w:right w:w="100" w:type="dxa"/>
            </w:tcMar>
          </w:tcPr>
          <w:p>
            <w:pPr>
              <w:spacing w:before="40" w:after="40"/>
              <w:jc w:val="center"/>
            </w:pPr>
            <w:r>
              <w:rPr>
                <w:rFonts w:ascii="Calibri" w:hAnsi="Calibri"/>
                <w:b/>
                <w:color w:val="FFFFFF"/>
                <w:sz w:val="18"/>
              </w:rPr>
              <w:t>Pilar Nilai</w:t>
            </w:r>
          </w:p>
        </w:tc>
        <w:tc>
          <w:tcPr>
            <w:tcW w:type="dxa" w:w="4032"/>
            <w:shd w:fill="1B365D"/>
            <w:tcMar>
              <w:top w:w="100" w:type="dxa"/>
              <w:bottom w:w="100" w:type="dxa"/>
              <w:left w:w="100" w:type="dxa"/>
              <w:right w:w="100" w:type="dxa"/>
            </w:tcMar>
          </w:tcPr>
          <w:p>
            <w:pPr>
              <w:spacing w:before="40" w:after="40"/>
              <w:jc w:val="center"/>
            </w:pPr>
            <w:r>
              <w:rPr>
                <w:rFonts w:ascii="Calibri" w:hAnsi="Calibri"/>
                <w:b/>
                <w:color w:val="FFFFFF"/>
                <w:sz w:val="18"/>
              </w:rPr>
              <w:t>Deskripsi Strategis</w:t>
            </w:r>
          </w:p>
        </w:tc>
        <w:tc>
          <w:tcPr>
            <w:tcW w:type="dxa" w:w="3168"/>
            <w:shd w:fill="1B365D"/>
            <w:tcMar>
              <w:top w:w="100" w:type="dxa"/>
              <w:bottom w:w="100" w:type="dxa"/>
              <w:left w:w="100" w:type="dxa"/>
              <w:right w:w="100" w:type="dxa"/>
            </w:tcMar>
          </w:tcPr>
          <w:p>
            <w:pPr>
              <w:spacing w:before="40" w:after="40"/>
              <w:jc w:val="center"/>
            </w:pPr>
            <w:r>
              <w:rPr>
                <w:rFonts w:ascii="Calibri" w:hAnsi="Calibri"/>
                <w:b/>
                <w:color w:val="FFFFFF"/>
                <w:sz w:val="18"/>
              </w:rPr>
              <w:t>Dampak Terhadap Kampus</w:t>
            </w:r>
          </w:p>
        </w:tc>
      </w:tr>
      <w:tr>
        <w:tc>
          <w:tcPr>
            <w:tcW w:type="dxa" w:w="2160"/>
            <w:shd w:fill="FFFFFF"/>
            <w:tcMar>
              <w:top w:w="80" w:type="dxa"/>
              <w:bottom w:w="80" w:type="dxa"/>
              <w:left w:w="90" w:type="dxa"/>
              <w:right w:w="90" w:type="dxa"/>
            </w:tcMar>
          </w:tcPr>
          <w:p>
            <w:pPr>
              <w:spacing w:before="20" w:after="20" w:line="252" w:lineRule="auto"/>
            </w:pPr>
            <w:r>
              <w:rPr>
                <w:rFonts w:ascii="Calibri" w:hAnsi="Calibri"/>
                <w:color w:val="282C34"/>
                <w:sz w:val="17"/>
              </w:rPr>
              <w:t>1. Satu Pintu Sejati (Single Window)</w:t>
            </w:r>
          </w:p>
        </w:tc>
        <w:tc>
          <w:tcPr>
            <w:tcW w:type="dxa" w:w="4032"/>
            <w:shd w:fill="FFFFFF"/>
            <w:tcMar>
              <w:top w:w="80" w:type="dxa"/>
              <w:bottom w:w="80" w:type="dxa"/>
              <w:left w:w="90" w:type="dxa"/>
              <w:right w:w="90" w:type="dxa"/>
            </w:tcMar>
          </w:tcPr>
          <w:p>
            <w:pPr>
              <w:spacing w:before="20" w:after="20" w:line="252" w:lineRule="auto"/>
            </w:pPr>
            <w:r>
              <w:rPr>
                <w:rFonts w:ascii="Calibri" w:hAnsi="Calibri"/>
                <w:color w:val="282C34"/>
                <w:sz w:val="17"/>
              </w:rPr>
              <w:t>Mengonsolidasikan seluruh modul ke dalam satu jendela interaktif tanpa membuka tab baru.</w:t>
            </w:r>
          </w:p>
        </w:tc>
        <w:tc>
          <w:tcPr>
            <w:tcW w:type="dxa" w:w="3168"/>
            <w:shd w:fill="FFFFFF"/>
            <w:tcMar>
              <w:top w:w="80" w:type="dxa"/>
              <w:bottom w:w="80" w:type="dxa"/>
              <w:left w:w="90" w:type="dxa"/>
              <w:right w:w="90" w:type="dxa"/>
            </w:tcMar>
          </w:tcPr>
          <w:p>
            <w:pPr>
              <w:spacing w:before="20" w:after="20" w:line="252" w:lineRule="auto"/>
            </w:pPr>
            <w:r>
              <w:rPr>
                <w:rFonts w:ascii="Calibri" w:hAnsi="Calibri"/>
                <w:color w:val="282C34"/>
                <w:sz w:val="17"/>
              </w:rPr>
              <w:t>Mengurangi friksi kognitif mahasiswa dan kebingungan navigasi lintas portal.</w:t>
            </w:r>
          </w:p>
        </w:tc>
      </w:tr>
      <w:tr>
        <w:tc>
          <w:tcPr>
            <w:tcW w:type="dxa" w:w="2160"/>
            <w:shd w:fill="F1F5F9"/>
            <w:tcMar>
              <w:top w:w="80" w:type="dxa"/>
              <w:bottom w:w="80" w:type="dxa"/>
              <w:left w:w="90" w:type="dxa"/>
              <w:right w:w="90" w:type="dxa"/>
            </w:tcMar>
          </w:tcPr>
          <w:p>
            <w:pPr>
              <w:spacing w:before="20" w:after="20" w:line="252" w:lineRule="auto"/>
            </w:pPr>
            <w:r>
              <w:rPr>
                <w:rFonts w:ascii="Calibri" w:hAnsi="Calibri"/>
                <w:color w:val="282C34"/>
                <w:sz w:val="17"/>
              </w:rPr>
              <w:t>2. Kecepatan Ekstrem &amp; Hemat Kuota</w:t>
            </w:r>
          </w:p>
        </w:tc>
        <w:tc>
          <w:tcPr>
            <w:tcW w:type="dxa" w:w="4032"/>
            <w:shd w:fill="F1F5F9"/>
            <w:tcMar>
              <w:top w:w="80" w:type="dxa"/>
              <w:bottom w:w="80" w:type="dxa"/>
              <w:left w:w="90" w:type="dxa"/>
              <w:right w:w="90" w:type="dxa"/>
            </w:tcMar>
          </w:tcPr>
          <w:p>
            <w:pPr>
              <w:spacing w:before="20" w:after="20" w:line="252" w:lineRule="auto"/>
            </w:pPr>
            <w:r>
              <w:rPr>
                <w:rFonts w:ascii="Calibri" w:hAnsi="Calibri"/>
                <w:color w:val="282C34"/>
                <w:sz w:val="17"/>
              </w:rPr>
              <w:t>Aset terkompresi (&lt; 250 KB) disajikan dari Vercel Anycast Edge PoP terdekat.</w:t>
            </w:r>
          </w:p>
        </w:tc>
        <w:tc>
          <w:tcPr>
            <w:tcW w:type="dxa" w:w="3168"/>
            <w:shd w:fill="F1F5F9"/>
            <w:tcMar>
              <w:top w:w="80" w:type="dxa"/>
              <w:bottom w:w="80" w:type="dxa"/>
              <w:left w:w="90" w:type="dxa"/>
              <w:right w:w="90" w:type="dxa"/>
            </w:tcMar>
          </w:tcPr>
          <w:p>
            <w:pPr>
              <w:spacing w:before="20" w:after="20" w:line="252" w:lineRule="auto"/>
            </w:pPr>
            <w:r>
              <w:rPr>
                <w:rFonts w:ascii="Calibri" w:hAnsi="Calibri"/>
                <w:color w:val="282C34"/>
                <w:sz w:val="17"/>
              </w:rPr>
              <w:t>Aplikasi terbuka dalam 20 milidetik; sangat ramah bagi smartphone kelas menengah ke bawah.</w:t>
            </w:r>
          </w:p>
        </w:tc>
      </w:tr>
      <w:tr>
        <w:tc>
          <w:tcPr>
            <w:tcW w:type="dxa" w:w="2160"/>
            <w:shd w:fill="FFFFFF"/>
            <w:tcMar>
              <w:top w:w="80" w:type="dxa"/>
              <w:bottom w:w="80" w:type="dxa"/>
              <w:left w:w="90" w:type="dxa"/>
              <w:right w:w="90" w:type="dxa"/>
            </w:tcMar>
          </w:tcPr>
          <w:p>
            <w:pPr>
              <w:spacing w:before="20" w:after="20" w:line="252" w:lineRule="auto"/>
            </w:pPr>
            <w:r>
              <w:rPr>
                <w:rFonts w:ascii="Calibri" w:hAnsi="Calibri"/>
                <w:color w:val="282C34"/>
                <w:sz w:val="17"/>
              </w:rPr>
              <w:t>3. Ketahanan Offline-First</w:t>
            </w:r>
          </w:p>
        </w:tc>
        <w:tc>
          <w:tcPr>
            <w:tcW w:type="dxa" w:w="4032"/>
            <w:shd w:fill="FFFFFF"/>
            <w:tcMar>
              <w:top w:w="80" w:type="dxa"/>
              <w:bottom w:w="80" w:type="dxa"/>
              <w:left w:w="90" w:type="dxa"/>
              <w:right w:w="90" w:type="dxa"/>
            </w:tcMar>
          </w:tcPr>
          <w:p>
            <w:pPr>
              <w:spacing w:before="20" w:after="20" w:line="252" w:lineRule="auto"/>
            </w:pPr>
            <w:r>
              <w:rPr>
                <w:rFonts w:ascii="Calibri" w:hAnsi="Calibri"/>
                <w:color w:val="282C34"/>
                <w:sz w:val="17"/>
              </w:rPr>
              <w:t>Teknologi Service Worker memungkinkan KTM Digital dan jadwal kuliah dibuka tanpa internet.</w:t>
            </w:r>
          </w:p>
        </w:tc>
        <w:tc>
          <w:tcPr>
            <w:tcW w:type="dxa" w:w="3168"/>
            <w:shd w:fill="FFFFFF"/>
            <w:tcMar>
              <w:top w:w="80" w:type="dxa"/>
              <w:bottom w:w="80" w:type="dxa"/>
              <w:left w:w="90" w:type="dxa"/>
              <w:right w:w="90" w:type="dxa"/>
            </w:tcMar>
          </w:tcPr>
          <w:p>
            <w:pPr>
              <w:spacing w:before="20" w:after="20" w:line="252" w:lineRule="auto"/>
            </w:pPr>
            <w:r>
              <w:rPr>
                <w:rFonts w:ascii="Calibri" w:hAnsi="Calibri"/>
                <w:color w:val="282C34"/>
                <w:sz w:val="17"/>
              </w:rPr>
              <w:t>Mahasiswa tetap dapat masuk gedung dan perpustakaan meskipun di area gedung berdinding tebal/minim sinyal.</w:t>
            </w:r>
          </w:p>
        </w:tc>
      </w:tr>
      <w:tr>
        <w:tc>
          <w:tcPr>
            <w:tcW w:type="dxa" w:w="2160"/>
            <w:shd w:fill="F1F5F9"/>
            <w:tcMar>
              <w:top w:w="80" w:type="dxa"/>
              <w:bottom w:w="80" w:type="dxa"/>
              <w:left w:w="90" w:type="dxa"/>
              <w:right w:w="90" w:type="dxa"/>
            </w:tcMar>
          </w:tcPr>
          <w:p>
            <w:pPr>
              <w:spacing w:before="20" w:after="20" w:line="252" w:lineRule="auto"/>
            </w:pPr>
            <w:r>
              <w:rPr>
                <w:rFonts w:ascii="Calibri" w:hAnsi="Calibri"/>
                <w:color w:val="282C34"/>
                <w:sz w:val="17"/>
              </w:rPr>
              <w:t>4. Presensi Anti-Fraud Terintegrasi</w:t>
            </w:r>
          </w:p>
        </w:tc>
        <w:tc>
          <w:tcPr>
            <w:tcW w:type="dxa" w:w="4032"/>
            <w:shd w:fill="F1F5F9"/>
            <w:tcMar>
              <w:top w:w="80" w:type="dxa"/>
              <w:bottom w:w="80" w:type="dxa"/>
              <w:left w:w="90" w:type="dxa"/>
              <w:right w:w="90" w:type="dxa"/>
            </w:tcMar>
          </w:tcPr>
          <w:p>
            <w:pPr>
              <w:spacing w:before="20" w:after="20" w:line="252" w:lineRule="auto"/>
            </w:pPr>
            <w:r>
              <w:rPr>
                <w:rFonts w:ascii="Calibri" w:hAnsi="Calibri"/>
                <w:color w:val="282C34"/>
                <w:sz w:val="17"/>
              </w:rPr>
              <w:t>Kombinasi Rotating TOTP QR (30 detik) dan Geofencing Haversine kampus.</w:t>
            </w:r>
          </w:p>
        </w:tc>
        <w:tc>
          <w:tcPr>
            <w:tcW w:type="dxa" w:w="3168"/>
            <w:shd w:fill="F1F5F9"/>
            <w:tcMar>
              <w:top w:w="80" w:type="dxa"/>
              <w:bottom w:w="80" w:type="dxa"/>
              <w:left w:w="90" w:type="dxa"/>
              <w:right w:w="90" w:type="dxa"/>
            </w:tcMar>
          </w:tcPr>
          <w:p>
            <w:pPr>
              <w:spacing w:before="20" w:after="20" w:line="252" w:lineRule="auto"/>
            </w:pPr>
            <w:r>
              <w:rPr>
                <w:rFonts w:ascii="Calibri" w:hAnsi="Calibri"/>
                <w:color w:val="282C34"/>
                <w:sz w:val="17"/>
              </w:rPr>
              <w:t>Menghilangkan fenomena 'titip absen' dan kebocoran foto barcode presensi via grup percakapan.</w:t>
            </w:r>
          </w:p>
        </w:tc>
      </w:tr>
      <w:tr>
        <w:tc>
          <w:tcPr>
            <w:tcW w:type="dxa" w:w="2160"/>
            <w:shd w:fill="FFFFFF"/>
            <w:tcMar>
              <w:top w:w="80" w:type="dxa"/>
              <w:bottom w:w="80" w:type="dxa"/>
              <w:left w:w="90" w:type="dxa"/>
              <w:right w:w="90" w:type="dxa"/>
            </w:tcMar>
          </w:tcPr>
          <w:p>
            <w:pPr>
              <w:spacing w:before="20" w:after="20" w:line="252" w:lineRule="auto"/>
            </w:pPr>
            <w:r>
              <w:rPr>
                <w:rFonts w:ascii="Calibri" w:hAnsi="Calibri"/>
                <w:color w:val="282C34"/>
                <w:sz w:val="17"/>
              </w:rPr>
              <w:t>5. Digitalisasi Ujian &amp; Skripsi Penuh</w:t>
            </w:r>
          </w:p>
        </w:tc>
        <w:tc>
          <w:tcPr>
            <w:tcW w:type="dxa" w:w="4032"/>
            <w:shd w:fill="FFFFFF"/>
            <w:tcMar>
              <w:top w:w="80" w:type="dxa"/>
              <w:bottom w:w="80" w:type="dxa"/>
              <w:left w:w="90" w:type="dxa"/>
              <w:right w:w="90" w:type="dxa"/>
            </w:tcMar>
          </w:tcPr>
          <w:p>
            <w:pPr>
              <w:spacing w:before="20" w:after="20" w:line="252" w:lineRule="auto"/>
            </w:pPr>
            <w:r>
              <w:rPr>
                <w:rFonts w:ascii="Calibri" w:hAnsi="Calibri"/>
                <w:color w:val="282C34"/>
                <w:sz w:val="17"/>
              </w:rPr>
              <w:t>Mesin status alur skripsi 14-tahap dengan logbook digital ber-hash dan rubrik penilaian otomatis.</w:t>
            </w:r>
          </w:p>
        </w:tc>
        <w:tc>
          <w:tcPr>
            <w:tcW w:type="dxa" w:w="3168"/>
            <w:shd w:fill="FFFFFF"/>
            <w:tcMar>
              <w:top w:w="80" w:type="dxa"/>
              <w:bottom w:w="80" w:type="dxa"/>
              <w:left w:w="90" w:type="dxa"/>
              <w:right w:w="90" w:type="dxa"/>
            </w:tcMar>
          </w:tcPr>
          <w:p>
            <w:pPr>
              <w:spacing w:before="20" w:after="20" w:line="252" w:lineRule="auto"/>
            </w:pPr>
            <w:r>
              <w:rPr>
                <w:rFonts w:ascii="Calibri" w:hAnsi="Calibri"/>
                <w:color w:val="282C34"/>
                <w:sz w:val="17"/>
              </w:rPr>
              <w:t>Memangkas siklus birokrasi tugas akhir dari hitungan bulan menjadi hitungan hari.</w:t>
            </w:r>
          </w:p>
        </w:tc>
      </w:tr>
    </w:tbl>
    <w:p>
      <w:pPr>
        <w:spacing w:before="80" w:after="80"/>
      </w:pPr>
    </w:p>
    <w:p>
      <w:pPr>
        <w:spacing w:before="440" w:after="160" w:line="276" w:lineRule="auto"/>
        <w:jc w:val="left"/>
        <w:pBdr>
          <w:bottom w:val="single" w:sz="14" w:space="2" w:color="1B365D"/>
        </w:pBdr>
      </w:pPr>
      <w:r>
        <w:rPr>
          <w:rFonts w:ascii="Calibri" w:hAnsi="Calibri"/>
          <w:b/>
          <w:i w:val="0"/>
          <w:color w:val="1B365D"/>
          <w:sz w:val="32"/>
        </w:rPr>
        <w:t>2. KONTEKS STRATEGIS &amp; TANTANGAN KAMPUS SKALA MEGA</w:t>
      </w:r>
    </w:p>
    <w:p>
      <w:pPr>
        <w:spacing w:before="280" w:after="100" w:line="276" w:lineRule="auto"/>
        <w:jc w:val="left"/>
      </w:pPr>
      <w:r>
        <w:rPr>
          <w:rFonts w:ascii="Calibri" w:hAnsi="Calibri"/>
          <w:b/>
          <w:i w:val="0"/>
          <w:color w:val="009688"/>
          <w:sz w:val="26"/>
        </w:rPr>
        <w:t>2.1 Profil Skala Mahasiswa &amp; Fenomena Lonjakan Beban (Burst Traffic)</w:t>
      </w:r>
    </w:p>
    <w:p>
      <w:pPr>
        <w:spacing w:before="0" w:after="120" w:line="276" w:lineRule="auto"/>
        <w:jc w:val="left"/>
      </w:pPr>
      <w:r>
        <w:rPr>
          <w:rFonts w:ascii="Calibri" w:hAnsi="Calibri"/>
          <w:b w:val="0"/>
          <w:i w:val="0"/>
          <w:color w:val="282C34"/>
          <w:sz w:val="22"/>
        </w:rPr>
        <w:t>Dengan populasi mahasiswa aktif melebihi 80.000 orang, siklus kalender akademik UNPAM menciptakan lonjakan lalu lintas yang sangat ekstrem pada titik waktu tertentu:</w:t>
      </w:r>
    </w:p>
    <w:p>
      <w:pPr>
        <w:spacing w:before="0" w:after="120" w:line="276" w:lineRule="auto"/>
        <w:jc w:val="left"/>
      </w:pPr>
      <w:r>
        <w:rPr>
          <w:rFonts w:ascii="Calibri" w:hAnsi="Calibri"/>
          <w:b w:val="0"/>
          <w:i w:val="0"/>
          <w:color w:val="282C34"/>
          <w:sz w:val="22"/>
        </w:rPr>
        <w:t>• **Periode Pengisian KRS (Kartu Rencana Studi):** Pada hari pertama pembukaan KRS jam 08:00 WIB, terjadi serbuan bersamaan hingga puluhan ribu mahasiswa yang merebutkan kuota kelas dan jadwal dosen. Server web konvensional on-premise mengalami kejenuhan koneksi basis data (connection pool exhaustion), memicu respon antrean panjang hingga kegagalan sistem (HTTP 502 Bad Gateway / 504 Gateway Timeout).</w:t>
      </w:r>
    </w:p>
    <w:p>
      <w:pPr>
        <w:spacing w:before="0" w:after="120" w:line="276" w:lineRule="auto"/>
        <w:jc w:val="left"/>
      </w:pPr>
      <w:r>
        <w:rPr>
          <w:rFonts w:ascii="Calibri" w:hAnsi="Calibri"/>
          <w:b w:val="0"/>
          <w:i w:val="0"/>
          <w:color w:val="282C34"/>
          <w:sz w:val="22"/>
        </w:rPr>
        <w:t>• **Pekan Ujian (UTS &amp; UAS):** Presensi ujian serentak dan pengunduhan berkas soal menyebabkan beban I/O server melonjak secara tidak terkendali.</w:t>
      </w:r>
    </w:p>
    <w:p>
      <w:pPr>
        <w:spacing w:before="280" w:after="100" w:line="276" w:lineRule="auto"/>
        <w:jc w:val="left"/>
      </w:pPr>
      <w:r>
        <w:rPr>
          <w:rFonts w:ascii="Calibri" w:hAnsi="Calibri"/>
          <w:b/>
          <w:i w:val="0"/>
          <w:color w:val="009688"/>
          <w:sz w:val="26"/>
        </w:rPr>
        <w:t>2.2 Masalah Blank-Spot pada Gedung Bertingkat Kampus</w:t>
      </w:r>
    </w:p>
    <w:p>
      <w:pPr>
        <w:spacing w:before="0" w:after="120" w:line="276" w:lineRule="auto"/>
        <w:jc w:val="left"/>
      </w:pPr>
      <w:r>
        <w:rPr>
          <w:rFonts w:ascii="Calibri" w:hAnsi="Calibri"/>
          <w:b w:val="0"/>
          <w:i w:val="0"/>
          <w:color w:val="282C34"/>
          <w:sz w:val="22"/>
        </w:rPr>
        <w:t>Kampus Viktor Universitas Pamulang memiliki gedung bertingkat tinggi dengan konstruksi beton masif. Pada ruang kuliah di lantai tertentu atau area basement, penetrasi sinyal seluler operator seringkali melemah secara signifikan (dead-zone/blank-spot). Ketika sistem presensi atau KTM mahasiswa bergantung penuh pada koneksi internet kontinu, mahasiswa gagal membuktikan identitas di pos penjagaan atau gagal mencatatkan kehadiran di kelas.</w:t>
      </w:r>
    </w:p>
    <w:p>
      <w:pPr>
        <w:spacing w:before="280" w:after="100" w:line="276" w:lineRule="auto"/>
        <w:jc w:val="left"/>
      </w:pPr>
      <w:r>
        <w:rPr>
          <w:rFonts w:ascii="Calibri" w:hAnsi="Calibri"/>
          <w:b/>
          <w:i w:val="0"/>
          <w:color w:val="009688"/>
          <w:sz w:val="26"/>
        </w:rPr>
        <w:t>2.3 Fragmentasi Pengalaman Pengguna (Cognitive Friction)</w:t>
      </w:r>
    </w:p>
    <w:p>
      <w:pPr>
        <w:spacing w:before="0" w:after="120" w:line="276" w:lineRule="auto"/>
        <w:jc w:val="left"/>
      </w:pPr>
      <w:r>
        <w:rPr>
          <w:rFonts w:ascii="Calibri" w:hAnsi="Calibri"/>
          <w:b w:val="0"/>
          <w:i w:val="0"/>
          <w:color w:val="282C34"/>
          <w:sz w:val="22"/>
        </w:rPr>
        <w:t>Saat ini, mahasiswa harus mengelola identitas dan alur kerja di berbagai platform:</w:t>
      </w:r>
    </w:p>
    <w:p>
      <w:pPr>
        <w:spacing w:before="0" w:after="120" w:line="276" w:lineRule="auto"/>
        <w:jc w:val="left"/>
      </w:pPr>
      <w:r>
        <w:rPr>
          <w:rFonts w:ascii="Calibri" w:hAnsi="Calibri"/>
          <w:b w:val="0"/>
          <w:i w:val="0"/>
          <w:color w:val="282C34"/>
          <w:sz w:val="22"/>
        </w:rPr>
        <w:t>1. Portal MyUnpam untuk melihat nilai KHS dan tagihan keuangan.</w:t>
        <w:br/>
        <w:t>2. Portal E-Learning untuk materi kuliah dan forum diskusi daring.</w:t>
        <w:br/>
        <w:t>3. Portal Mentari untuk presensi tatap muka dan jadwal kuliah.</w:t>
        <w:br/>
        <w:t>4. Portal Sispema untuk urusan pengajuan tugas akhir dan administrasi tertentu.</w:t>
        <w:br/>
        <w:t>5. Portal Siskerma dan MyLSP untuk sertifikasi dan kerja sama.</w:t>
        <w:br/>
        <w:t>Fragmentasi ini membingungkan mahasiswa baru, meningkatkan beban helpdesk LPTI, dan memperbesar risiko keamanan akibat penyebaran kredensial di berbagai URL berbeda.</w:t>
      </w:r>
    </w:p>
    <w:p>
      <w:pPr>
        <w:spacing w:before="440" w:after="160" w:line="276" w:lineRule="auto"/>
        <w:jc w:val="left"/>
        <w:pBdr>
          <w:bottom w:val="single" w:sz="14" w:space="2" w:color="1B365D"/>
        </w:pBdr>
      </w:pPr>
      <w:r>
        <w:rPr>
          <w:rFonts w:ascii="Calibri" w:hAnsi="Calibri"/>
          <w:b/>
          <w:i w:val="0"/>
          <w:color w:val="1B365D"/>
          <w:sz w:val="32"/>
        </w:rPr>
        <w:t>3. PARADIGMA BARU: DARI SSO LAUNCHER MENUJU TRUE SUPER APP</w:t>
      </w:r>
    </w:p>
    <w:p>
      <w:pPr>
        <w:spacing w:before="0" w:after="120" w:line="276" w:lineRule="auto"/>
        <w:jc w:val="left"/>
      </w:pPr>
      <w:r>
        <w:rPr>
          <w:rFonts w:ascii="Calibri" w:hAnsi="Calibri"/>
          <w:b w:val="0"/>
          <w:i w:val="0"/>
          <w:color w:val="282C34"/>
          <w:sz w:val="22"/>
        </w:rPr>
        <w:t>Peluncuran Satu UNPAM (https://satu.unpam.ac.id/) merupakan langkah strategis yang tepat dalam menyatukan gerbang autentikasi. Namun, terdapat perbedaan filosofis dan teknologis mendasar antara **Portal Peluncur Tautan (SSO Directory Launcher)** dengan **Aplikasi Super Terpadu (True Super App)**:</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Mar>
              <w:top w:w="100" w:type="dxa"/>
              <w:bottom w:w="100" w:type="dxa"/>
              <w:left w:w="100" w:type="dxa"/>
              <w:right w:w="100" w:type="dxa"/>
            </w:tcMar>
          </w:tcPr>
          <w:p>
            <w:pPr>
              <w:spacing w:before="40" w:after="40"/>
              <w:jc w:val="center"/>
            </w:pPr>
            <w:r>
              <w:rPr>
                <w:rFonts w:ascii="Calibri" w:hAnsi="Calibri"/>
                <w:b/>
                <w:color w:val="FFFFFF"/>
                <w:sz w:val="18"/>
              </w:rPr>
              <w:t>Aspek Evaluasi</w:t>
            </w:r>
          </w:p>
        </w:tc>
        <w:tc>
          <w:tcPr>
            <w:tcW w:type="dxa" w:w="2592"/>
            <w:shd w:fill="1B365D"/>
            <w:tcMar>
              <w:top w:w="100" w:type="dxa"/>
              <w:bottom w:w="100" w:type="dxa"/>
              <w:left w:w="100" w:type="dxa"/>
              <w:right w:w="100" w:type="dxa"/>
            </w:tcMar>
          </w:tcPr>
          <w:p>
            <w:pPr>
              <w:spacing w:before="40" w:after="40"/>
              <w:jc w:val="center"/>
            </w:pPr>
            <w:r>
              <w:rPr>
                <w:rFonts w:ascii="Calibri" w:hAnsi="Calibri"/>
                <w:b/>
                <w:color w:val="FFFFFF"/>
                <w:sz w:val="18"/>
              </w:rPr>
              <w:t>Portal Satu UNPAM Saat Ini</w:t>
              <w:br/>
              <w:t>(SSO Launcher Directory)</w:t>
            </w:r>
          </w:p>
        </w:tc>
        <w:tc>
          <w:tcPr>
            <w:tcW w:type="dxa" w:w="2592"/>
            <w:shd w:fill="1B365D"/>
            <w:tcMar>
              <w:top w:w="100" w:type="dxa"/>
              <w:bottom w:w="100" w:type="dxa"/>
              <w:left w:w="100" w:type="dxa"/>
              <w:right w:w="100" w:type="dxa"/>
            </w:tcMar>
          </w:tcPr>
          <w:p>
            <w:pPr>
              <w:spacing w:before="40" w:after="40"/>
              <w:jc w:val="center"/>
            </w:pPr>
            <w:r>
              <w:rPr>
                <w:rFonts w:ascii="Calibri" w:hAnsi="Calibri"/>
                <w:b/>
                <w:color w:val="FFFFFF"/>
                <w:sz w:val="18"/>
              </w:rPr>
              <w:t>Super UNPAM</w:t>
              <w:br/>
              <w:t>(True All-in-One Super App)</w:t>
            </w:r>
          </w:p>
        </w:tc>
        <w:tc>
          <w:tcPr>
            <w:tcW w:type="dxa" w:w="2304"/>
            <w:shd w:fill="1B365D"/>
            <w:tcMar>
              <w:top w:w="100" w:type="dxa"/>
              <w:bottom w:w="100" w:type="dxa"/>
              <w:left w:w="100" w:type="dxa"/>
              <w:right w:w="100" w:type="dxa"/>
            </w:tcMar>
          </w:tcPr>
          <w:p>
            <w:pPr>
              <w:spacing w:before="40" w:after="40"/>
              <w:jc w:val="center"/>
            </w:pPr>
            <w:r>
              <w:rPr>
                <w:rFonts w:ascii="Calibri" w:hAnsi="Calibri"/>
                <w:b/>
                <w:color w:val="FFFFFF"/>
                <w:sz w:val="18"/>
              </w:rPr>
              <w:t>Implikasi Strategis</w:t>
            </w:r>
          </w:p>
        </w:tc>
      </w:tr>
      <w:tr>
        <w:tc>
          <w:tcPr>
            <w:tcW w:type="dxa" w:w="1872"/>
            <w:shd w:fill="FFFFFF"/>
            <w:tcMar>
              <w:top w:w="80" w:type="dxa"/>
              <w:bottom w:w="80" w:type="dxa"/>
              <w:left w:w="90" w:type="dxa"/>
              <w:right w:w="90" w:type="dxa"/>
            </w:tcMar>
          </w:tcPr>
          <w:p>
            <w:pPr>
              <w:spacing w:before="20" w:after="20" w:line="252" w:lineRule="auto"/>
            </w:pPr>
            <w:r>
              <w:rPr>
                <w:rFonts w:ascii="Calibri" w:hAnsi="Calibri"/>
                <w:color w:val="282C34"/>
                <w:sz w:val="17"/>
              </w:rPr>
              <w:t>Model Interaksi</w:t>
            </w:r>
          </w:p>
        </w:tc>
        <w:tc>
          <w:tcPr>
            <w:tcW w:type="dxa" w:w="2592"/>
            <w:shd w:fill="FFFFFF"/>
            <w:tcMar>
              <w:top w:w="80" w:type="dxa"/>
              <w:bottom w:w="80" w:type="dxa"/>
              <w:left w:w="90" w:type="dxa"/>
              <w:right w:w="90" w:type="dxa"/>
            </w:tcMar>
          </w:tcPr>
          <w:p>
            <w:pPr>
              <w:spacing w:before="20" w:after="20" w:line="252" w:lineRule="auto"/>
            </w:pPr>
            <w:r>
              <w:rPr>
                <w:rFonts w:ascii="Calibri" w:hAnsi="Calibri"/>
                <w:color w:val="282C34"/>
                <w:sz w:val="17"/>
              </w:rPr>
              <w:t>Pengguna login, melihat daftar kotak tautan, lalu diklik untuk diarahkan ke tab browser baru.</w:t>
            </w:r>
          </w:p>
        </w:tc>
        <w:tc>
          <w:tcPr>
            <w:tcW w:type="dxa" w:w="2592"/>
            <w:shd w:fill="FFFFFF"/>
            <w:tcMar>
              <w:top w:w="80" w:type="dxa"/>
              <w:bottom w:w="80" w:type="dxa"/>
              <w:left w:w="90" w:type="dxa"/>
              <w:right w:w="90" w:type="dxa"/>
            </w:tcMar>
          </w:tcPr>
          <w:p>
            <w:pPr>
              <w:spacing w:before="20" w:after="20" w:line="252" w:lineRule="auto"/>
            </w:pPr>
            <w:r>
              <w:rPr>
                <w:rFonts w:ascii="Calibri" w:hAnsi="Calibri"/>
                <w:color w:val="282C34"/>
                <w:sz w:val="17"/>
              </w:rPr>
              <w:t>Pengguna login, seluruh fitur akademik langsung dieksekusi di dalam satu aplikasi (single window).</w:t>
            </w:r>
          </w:p>
        </w:tc>
        <w:tc>
          <w:tcPr>
            <w:tcW w:type="dxa" w:w="2304"/>
            <w:shd w:fill="FFFFFF"/>
            <w:tcMar>
              <w:top w:w="80" w:type="dxa"/>
              <w:bottom w:w="80" w:type="dxa"/>
              <w:left w:w="90" w:type="dxa"/>
              <w:right w:w="90" w:type="dxa"/>
            </w:tcMar>
          </w:tcPr>
          <w:p>
            <w:pPr>
              <w:spacing w:before="20" w:after="20" w:line="252" w:lineRule="auto"/>
            </w:pPr>
            <w:r>
              <w:rPr>
                <w:rFonts w:ascii="Calibri" w:hAnsi="Calibri"/>
                <w:color w:val="282C34"/>
                <w:sz w:val="17"/>
              </w:rPr>
              <w:t>Super UNPAM menghilangkan navigasi terfragmentasi dan perpindahan tab berulang.</w:t>
            </w:r>
          </w:p>
        </w:tc>
      </w:tr>
      <w:tr>
        <w:tc>
          <w:tcPr>
            <w:tcW w:type="dxa" w:w="1872"/>
            <w:shd w:fill="F1F5F9"/>
            <w:tcMar>
              <w:top w:w="80" w:type="dxa"/>
              <w:bottom w:w="80" w:type="dxa"/>
              <w:left w:w="90" w:type="dxa"/>
              <w:right w:w="90" w:type="dxa"/>
            </w:tcMar>
          </w:tcPr>
          <w:p>
            <w:pPr>
              <w:spacing w:before="20" w:after="20" w:line="252" w:lineRule="auto"/>
            </w:pPr>
            <w:r>
              <w:rPr>
                <w:rFonts w:ascii="Calibri" w:hAnsi="Calibri"/>
                <w:color w:val="282C34"/>
                <w:sz w:val="17"/>
              </w:rPr>
              <w:t>Arsitektur Frontend</w:t>
            </w:r>
          </w:p>
        </w:tc>
        <w:tc>
          <w:tcPr>
            <w:tcW w:type="dxa" w:w="2592"/>
            <w:shd w:fill="F1F5F9"/>
            <w:tcMar>
              <w:top w:w="80" w:type="dxa"/>
              <w:bottom w:w="80" w:type="dxa"/>
              <w:left w:w="90" w:type="dxa"/>
              <w:right w:w="90" w:type="dxa"/>
            </w:tcMar>
          </w:tcPr>
          <w:p>
            <w:pPr>
              <w:spacing w:before="20" w:after="20" w:line="252" w:lineRule="auto"/>
            </w:pPr>
            <w:r>
              <w:rPr>
                <w:rFonts w:ascii="Calibri" w:hAnsi="Calibri"/>
                <w:color w:val="282C34"/>
                <w:sz w:val="17"/>
              </w:rPr>
              <w:t>Single Page Application (SPA) tradisional di-host di server origin kampus dengan Cloudflare WAF.</w:t>
            </w:r>
          </w:p>
        </w:tc>
        <w:tc>
          <w:tcPr>
            <w:tcW w:type="dxa" w:w="2592"/>
            <w:shd w:fill="F1F5F9"/>
            <w:tcMar>
              <w:top w:w="80" w:type="dxa"/>
              <w:bottom w:w="80" w:type="dxa"/>
              <w:left w:w="90" w:type="dxa"/>
              <w:right w:w="90" w:type="dxa"/>
            </w:tcMar>
          </w:tcPr>
          <w:p>
            <w:pPr>
              <w:spacing w:before="20" w:after="20" w:line="252" w:lineRule="auto"/>
            </w:pPr>
            <w:r>
              <w:rPr>
                <w:rFonts w:ascii="Calibri" w:hAnsi="Calibri"/>
                <w:color w:val="282C34"/>
                <w:sz w:val="17"/>
              </w:rPr>
              <w:t>Progressive Web App (PWA) di-deploy pada Global Anycast Edge CDN Vercel.</w:t>
            </w:r>
          </w:p>
        </w:tc>
        <w:tc>
          <w:tcPr>
            <w:tcW w:type="dxa" w:w="2304"/>
            <w:shd w:fill="F1F5F9"/>
            <w:tcMar>
              <w:top w:w="80" w:type="dxa"/>
              <w:bottom w:w="80" w:type="dxa"/>
              <w:left w:w="90" w:type="dxa"/>
              <w:right w:w="90" w:type="dxa"/>
            </w:tcMar>
          </w:tcPr>
          <w:p>
            <w:pPr>
              <w:spacing w:before="20" w:after="20" w:line="252" w:lineRule="auto"/>
            </w:pPr>
            <w:r>
              <w:rPr>
                <w:rFonts w:ascii="Calibri" w:hAnsi="Calibri"/>
                <w:color w:val="282C34"/>
                <w:sz w:val="17"/>
              </w:rPr>
              <w:t>Super UNPAM menyajikan antarmuka 26 kali lebih cepat (TTFB 20ms vs 540ms).</w:t>
            </w:r>
          </w:p>
        </w:tc>
      </w:tr>
      <w:tr>
        <w:tc>
          <w:tcPr>
            <w:tcW w:type="dxa" w:w="1872"/>
            <w:shd w:fill="FFFFFF"/>
            <w:tcMar>
              <w:top w:w="80" w:type="dxa"/>
              <w:bottom w:w="80" w:type="dxa"/>
              <w:left w:w="90" w:type="dxa"/>
              <w:right w:w="90" w:type="dxa"/>
            </w:tcMar>
          </w:tcPr>
          <w:p>
            <w:pPr>
              <w:spacing w:before="20" w:after="20" w:line="252" w:lineRule="auto"/>
            </w:pPr>
            <w:r>
              <w:rPr>
                <w:rFonts w:ascii="Calibri" w:hAnsi="Calibri"/>
                <w:color w:val="282C34"/>
                <w:sz w:val="17"/>
              </w:rPr>
              <w:t>Ketersediaan Offline</w:t>
            </w:r>
          </w:p>
        </w:tc>
        <w:tc>
          <w:tcPr>
            <w:tcW w:type="dxa" w:w="2592"/>
            <w:shd w:fill="FFFFFF"/>
            <w:tcMar>
              <w:top w:w="80" w:type="dxa"/>
              <w:bottom w:w="80" w:type="dxa"/>
              <w:left w:w="90" w:type="dxa"/>
              <w:right w:w="90" w:type="dxa"/>
            </w:tcMar>
          </w:tcPr>
          <w:p>
            <w:pPr>
              <w:spacing w:before="20" w:after="20" w:line="252" w:lineRule="auto"/>
            </w:pPr>
            <w:r>
              <w:rPr>
                <w:rFonts w:ascii="Calibri" w:hAnsi="Calibri"/>
                <w:color w:val="282C34"/>
                <w:sz w:val="17"/>
              </w:rPr>
              <w:t>Nir-offline. Bila koneksi terputus atau sinyal hilang, layar blank atau menampilkan error browser.</w:t>
            </w:r>
          </w:p>
        </w:tc>
        <w:tc>
          <w:tcPr>
            <w:tcW w:type="dxa" w:w="2592"/>
            <w:shd w:fill="FFFFFF"/>
            <w:tcMar>
              <w:top w:w="80" w:type="dxa"/>
              <w:bottom w:w="80" w:type="dxa"/>
              <w:left w:w="90" w:type="dxa"/>
              <w:right w:w="90" w:type="dxa"/>
            </w:tcMar>
          </w:tcPr>
          <w:p>
            <w:pPr>
              <w:spacing w:before="20" w:after="20" w:line="252" w:lineRule="auto"/>
            </w:pPr>
            <w:r>
              <w:rPr>
                <w:rFonts w:ascii="Calibri" w:hAnsi="Calibri"/>
                <w:color w:val="282C34"/>
                <w:sz w:val="17"/>
              </w:rPr>
              <w:t>Offline-Ready 100%. Service Worker menyimpan App Shell dan data pengguna lokal di IndexedDB.</w:t>
            </w:r>
          </w:p>
        </w:tc>
        <w:tc>
          <w:tcPr>
            <w:tcW w:type="dxa" w:w="2304"/>
            <w:shd w:fill="FFFFFF"/>
            <w:tcMar>
              <w:top w:w="80" w:type="dxa"/>
              <w:bottom w:w="80" w:type="dxa"/>
              <w:left w:w="90" w:type="dxa"/>
              <w:right w:w="90" w:type="dxa"/>
            </w:tcMar>
          </w:tcPr>
          <w:p>
            <w:pPr>
              <w:spacing w:before="20" w:after="20" w:line="252" w:lineRule="auto"/>
            </w:pPr>
            <w:r>
              <w:rPr>
                <w:rFonts w:ascii="Calibri" w:hAnsi="Calibri"/>
                <w:color w:val="282C34"/>
                <w:sz w:val="17"/>
              </w:rPr>
              <w:t>KTM Digital dan jadwal tetap dapat diverifikasi di area blank-spot kampus.</w:t>
            </w:r>
          </w:p>
        </w:tc>
      </w:tr>
      <w:tr>
        <w:tc>
          <w:tcPr>
            <w:tcW w:type="dxa" w:w="1872"/>
            <w:shd w:fill="F1F5F9"/>
            <w:tcMar>
              <w:top w:w="80" w:type="dxa"/>
              <w:bottom w:w="80" w:type="dxa"/>
              <w:left w:w="90" w:type="dxa"/>
              <w:right w:w="90" w:type="dxa"/>
            </w:tcMar>
          </w:tcPr>
          <w:p>
            <w:pPr>
              <w:spacing w:before="20" w:after="20" w:line="252" w:lineRule="auto"/>
            </w:pPr>
            <w:r>
              <w:rPr>
                <w:rFonts w:ascii="Calibri" w:hAnsi="Calibri"/>
                <w:color w:val="282C34"/>
                <w:sz w:val="17"/>
              </w:rPr>
              <w:t>Beban Server Origin</w:t>
            </w:r>
          </w:p>
        </w:tc>
        <w:tc>
          <w:tcPr>
            <w:tcW w:type="dxa" w:w="2592"/>
            <w:shd w:fill="F1F5F9"/>
            <w:tcMar>
              <w:top w:w="80" w:type="dxa"/>
              <w:bottom w:w="80" w:type="dxa"/>
              <w:left w:w="90" w:type="dxa"/>
              <w:right w:w="90" w:type="dxa"/>
            </w:tcMar>
          </w:tcPr>
          <w:p>
            <w:pPr>
              <w:spacing w:before="20" w:after="20" w:line="252" w:lineRule="auto"/>
            </w:pPr>
            <w:r>
              <w:rPr>
                <w:rFonts w:ascii="Calibri" w:hAnsi="Calibri"/>
                <w:color w:val="282C34"/>
                <w:sz w:val="17"/>
              </w:rPr>
              <w:t>Tinggi. Setiap perpindahan halaman dan load aset menyedot bandwidth dan CPU server kampus.</w:t>
            </w:r>
          </w:p>
        </w:tc>
        <w:tc>
          <w:tcPr>
            <w:tcW w:type="dxa" w:w="2592"/>
            <w:shd w:fill="F1F5F9"/>
            <w:tcMar>
              <w:top w:w="80" w:type="dxa"/>
              <w:bottom w:w="80" w:type="dxa"/>
              <w:left w:w="90" w:type="dxa"/>
              <w:right w:w="90" w:type="dxa"/>
            </w:tcMar>
          </w:tcPr>
          <w:p>
            <w:pPr>
              <w:spacing w:before="20" w:after="20" w:line="252" w:lineRule="auto"/>
            </w:pPr>
            <w:r>
              <w:rPr>
                <w:rFonts w:ascii="Calibri" w:hAnsi="Calibri"/>
                <w:color w:val="282C34"/>
                <w:sz w:val="17"/>
              </w:rPr>
              <w:t>Sangat Rendah. 90% beban rendering ditanggung Edge CDN; server kampus hanya melayani API JSON.</w:t>
            </w:r>
          </w:p>
        </w:tc>
        <w:tc>
          <w:tcPr>
            <w:tcW w:type="dxa" w:w="2304"/>
            <w:shd w:fill="F1F5F9"/>
            <w:tcMar>
              <w:top w:w="80" w:type="dxa"/>
              <w:bottom w:w="80" w:type="dxa"/>
              <w:left w:w="90" w:type="dxa"/>
              <w:right w:w="90" w:type="dxa"/>
            </w:tcMar>
          </w:tcPr>
          <w:p>
            <w:pPr>
              <w:spacing w:before="20" w:after="20" w:line="252" w:lineRule="auto"/>
            </w:pPr>
            <w:r>
              <w:rPr>
                <w:rFonts w:ascii="Calibri" w:hAnsi="Calibri"/>
                <w:color w:val="282C34"/>
                <w:sz w:val="17"/>
              </w:rPr>
              <w:t>Mengamankan server kampus dari kelumpuhan saat pembukaan KRS massal.</w:t>
            </w:r>
          </w:p>
        </w:tc>
      </w:tr>
      <w:tr>
        <w:tc>
          <w:tcPr>
            <w:tcW w:type="dxa" w:w="1872"/>
            <w:shd w:fill="FFFFFF"/>
            <w:tcMar>
              <w:top w:w="80" w:type="dxa"/>
              <w:bottom w:w="80" w:type="dxa"/>
              <w:left w:w="90" w:type="dxa"/>
              <w:right w:w="90" w:type="dxa"/>
            </w:tcMar>
          </w:tcPr>
          <w:p>
            <w:pPr>
              <w:spacing w:before="20" w:after="20" w:line="252" w:lineRule="auto"/>
            </w:pPr>
            <w:r>
              <w:rPr>
                <w:rFonts w:ascii="Calibri" w:hAnsi="Calibri"/>
                <w:color w:val="282C34"/>
                <w:sz w:val="17"/>
              </w:rPr>
              <w:t>Distribusi Aplikasi</w:t>
            </w:r>
          </w:p>
        </w:tc>
        <w:tc>
          <w:tcPr>
            <w:tcW w:type="dxa" w:w="2592"/>
            <w:shd w:fill="FFFFFF"/>
            <w:tcMar>
              <w:top w:w="80" w:type="dxa"/>
              <w:bottom w:w="80" w:type="dxa"/>
              <w:left w:w="90" w:type="dxa"/>
              <w:right w:w="90" w:type="dxa"/>
            </w:tcMar>
          </w:tcPr>
          <w:p>
            <w:pPr>
              <w:spacing w:before="20" w:after="20" w:line="252" w:lineRule="auto"/>
            </w:pPr>
            <w:r>
              <w:rPr>
                <w:rFonts w:ascii="Calibri" w:hAnsi="Calibri"/>
                <w:color w:val="282C34"/>
                <w:sz w:val="17"/>
              </w:rPr>
              <w:t>Web browser reguler.</w:t>
            </w:r>
          </w:p>
        </w:tc>
        <w:tc>
          <w:tcPr>
            <w:tcW w:type="dxa" w:w="2592"/>
            <w:shd w:fill="FFFFFF"/>
            <w:tcMar>
              <w:top w:w="80" w:type="dxa"/>
              <w:bottom w:w="80" w:type="dxa"/>
              <w:left w:w="90" w:type="dxa"/>
              <w:right w:w="90" w:type="dxa"/>
            </w:tcMar>
          </w:tcPr>
          <w:p>
            <w:pPr>
              <w:spacing w:before="20" w:after="20" w:line="252" w:lineRule="auto"/>
            </w:pPr>
            <w:r>
              <w:rPr>
                <w:rFonts w:ascii="Calibri" w:hAnsi="Calibri"/>
                <w:color w:val="282C34"/>
                <w:sz w:val="17"/>
              </w:rPr>
              <w:t>PWA Installable ke Home Screen HP + Wrapper Desktop (Tauri) &amp; Mobile (TWA/Capacitor).</w:t>
            </w:r>
          </w:p>
        </w:tc>
        <w:tc>
          <w:tcPr>
            <w:tcW w:type="dxa" w:w="2304"/>
            <w:shd w:fill="FFFFFF"/>
            <w:tcMar>
              <w:top w:w="80" w:type="dxa"/>
              <w:bottom w:w="80" w:type="dxa"/>
              <w:left w:w="90" w:type="dxa"/>
              <w:right w:w="90" w:type="dxa"/>
            </w:tcMar>
          </w:tcPr>
          <w:p>
            <w:pPr>
              <w:spacing w:before="20" w:after="20" w:line="252" w:lineRule="auto"/>
            </w:pPr>
            <w:r>
              <w:rPr>
                <w:rFonts w:ascii="Calibri" w:hAnsi="Calibri"/>
                <w:color w:val="282C34"/>
                <w:sz w:val="17"/>
              </w:rPr>
              <w:t>Fleksibilitas multiplatform tanpa biaya berlangganan Play Store / App Store tahunan.</w:t>
            </w:r>
          </w:p>
        </w:tc>
      </w:tr>
    </w:tbl>
    <w:p>
      <w:pPr>
        <w:spacing w:before="80" w:after="80"/>
      </w:pPr>
    </w:p>
    <w:p>
      <w:pPr>
        <w:spacing w:before="440" w:after="160" w:line="276" w:lineRule="auto"/>
        <w:jc w:val="left"/>
        <w:pBdr>
          <w:bottom w:val="single" w:sz="14" w:space="2" w:color="1B365D"/>
        </w:pBdr>
      </w:pPr>
      <w:r>
        <w:rPr>
          <w:rFonts w:ascii="Calibri" w:hAnsi="Calibri"/>
          <w:b/>
          <w:i w:val="0"/>
          <w:color w:val="1B365D"/>
          <w:sz w:val="32"/>
        </w:rPr>
        <w:t>4. VISI ARSITEKTUR STRATEGIS: EDGE-NATIVE &amp; DECOUPLED BFF</w:t>
      </w:r>
    </w:p>
    <w:p>
      <w:pPr>
        <w:spacing w:before="0" w:after="120" w:line="276" w:lineRule="auto"/>
        <w:jc w:val="left"/>
      </w:pPr>
      <w:r>
        <w:rPr>
          <w:rFonts w:ascii="Calibri" w:hAnsi="Calibri"/>
          <w:b w:val="0"/>
          <w:i w:val="0"/>
          <w:color w:val="282C34"/>
          <w:sz w:val="22"/>
        </w:rPr>
        <w:t>Super UNPAM tidak dirancang untuk menggantikan basis data inti kampus, melainkan bertindak sebagai **Lapisan Pengalaman Modern (Modern Experience Layer)** yang membungkus sistem backend yang sudah ada:</w:t>
      </w:r>
    </w:p>
    <w:p>
      <w:pPr>
        <w:spacing w:before="200" w:after="60" w:line="276" w:lineRule="auto"/>
        <w:jc w:val="left"/>
      </w:pPr>
      <w:r>
        <w:rPr>
          <w:rFonts w:ascii="Calibri" w:hAnsi="Calibri"/>
          <w:b/>
          <w:i w:val="0"/>
          <w:color w:val="1B365D"/>
          <w:sz w:val="23"/>
        </w:rPr>
        <w:t>Arsitektur Decoupled Super UNPAM</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Borders>
              <w:left w:val="single" w:sz="18" w:space="0" w:color="009688"/>
              <w:top w:val="none"/>
              <w:right w:val="none"/>
              <w:bottom w:val="none"/>
            </w:tcBorders>
          </w:tcPr>
          <w:p>
            <w:pPr>
              <w:spacing w:before="0" w:after="0"/>
            </w:pPr>
            <w:r/>
            <w:r>
              <w:rPr>
                <w:rFonts w:ascii="Consolas" w:hAnsi="Consolas"/>
                <w:color w:val="323232"/>
                <w:sz w:val="16"/>
              </w:rPr>
              <w:t>```mermaid</w:t>
              <w:br/>
              <w:br/>
              <w:t>graph TD</w:t>
              <w:br/>
              <w:t xml:space="preserve">    subgraph Users["👥 80.000+ Sivitas Akademika"]</w:t>
              <w:br/>
              <w:t xml:space="preserve">        MHS["Mahasiswa (Android, iOS, PC)"]</w:t>
              <w:br/>
              <w:t xml:space="preserve">        DSN["Dosen &amp; Penguji"]</w:t>
              <w:br/>
              <w:t xml:space="preserve">        PRODI["Kaprodi &amp; Staf Akademik"]</w:t>
              <w:br/>
              <w:t xml:space="preserve">    end</w:t>
              <w:br/>
              <w:br/>
              <w:t xml:space="preserve">    subgraph Experience["⚡ Super UNPAM Experience Layer (Edge PWA)"]</w:t>
              <w:br/>
              <w:t xml:space="preserve">        UI["Glassmorphism Web UI / PWA</w:t>
              <w:br/>
              <w:t>(Instant Render &lt; 0.5s)"]</w:t>
              <w:br/>
              <w:t xml:space="preserve">        SW["Service Worker Cache Engine</w:t>
              <w:br/>
              <w:t>(Offline-First Storage)"]</w:t>
              <w:br/>
              <w:t xml:space="preserve">        RULES["Academic Rule Engine</w:t>
              <w:br/>
              <w:t>(Aturan Akademik Validated)"]</w:t>
              <w:br/>
              <w:t xml:space="preserve">    end</w:t>
              <w:br/>
              <w:br/>
              <w:t xml:space="preserve">    subgraph BFF_Gateway["🌐 Backend-For-Frontend Layer (Vercel Functions)"]</w:t>
              <w:br/>
              <w:t xml:space="preserve">        BFF["BFF API Endpoints</w:t>
              <w:br/>
              <w:t>(Zod Validation, Rate Limiting, Session HMAC)"]</w:t>
              <w:br/>
              <w:t xml:space="preserve">        CONN["Connector Adapter Layer</w:t>
              <w:br/>
              <w:t>(Mock Mode &lt;-&gt; HTTP Real Mode)"]</w:t>
              <w:br/>
              <w:t xml:space="preserve">    end</w:t>
              <w:br/>
              <w:br/>
              <w:t xml:space="preserve">    subgraph Core_UNPAM["🏢 UNPAM Core Identity &amp; Enterprise Backend"]</w:t>
              <w:br/>
              <w:t xml:space="preserve">        SSO["Satu UNPAM SSO Gateway</w:t>
              <w:br/>
              <w:t>(OAuth2/OIDC Master IdP)"]</w:t>
              <w:br/>
              <w:t xml:space="preserve">        API_UNPAM["Core Academic &amp; Financial APIs</w:t>
              <w:br/>
              <w:t>(MySQL, PostgreSQL, SAP/ERP)"]</w:t>
              <w:br/>
              <w:t xml:space="preserve">        LEGACY["Subsistem Legacy</w:t>
              <w:br/>
              <w:t>(Mentari, E-Learning, Sispema)"]</w:t>
              <w:br/>
              <w:t xml:space="preserve">    end</w:t>
              <w:br/>
              <w:br/>
              <w:t xml:space="preserve">    Users --&gt; Experience</w:t>
              <w:br/>
              <w:t xml:space="preserve">    Experience --&gt; BFF_Gateway</w:t>
              <w:br/>
              <w:t xml:space="preserve">    BFF_Gateway --&gt;|"Kredensial Sesi Resmi"| SSO</w:t>
              <w:br/>
              <w:t xml:space="preserve">    BFF_Gateway --&gt;|"RESTful JSON APIs"| API_UNPAM</w:t>
              <w:br/>
              <w:t xml:space="preserve">    API_UNPAM -.-&gt;|"Data Migrasi"| LEGACY</w:t>
              <w:br/>
              <w:br/>
              <w:t xml:space="preserve">    style Users fill:#F8FAFC,stroke:#64748B</w:t>
              <w:br/>
              <w:t xml:space="preserve">    style Experience fill:#E8F5E9,stroke:#16A34A,stroke-width:2px</w:t>
              <w:br/>
              <w:t xml:space="preserve">    style BFF_Gateway fill:#EFF6FF,stroke:#2563EB,stroke-width:2px</w:t>
              <w:br/>
              <w:t xml:space="preserve">    style Core_UNPAM fill:#FFFBEB,stroke:#D97706,stroke-width:2px</w:t>
              <w:br/>
              <w:br/>
              <w:t>```</w:t>
            </w:r>
          </w:p>
        </w:tc>
      </w:tr>
    </w:tbl>
    <w:p>
      <w:pPr>
        <w:spacing w:before="80" w:after="80"/>
      </w:pPr>
    </w:p>
    <w:p>
      <w:pPr>
        <w:spacing w:before="0" w:after="120" w:line="276" w:lineRule="auto"/>
        <w:jc w:val="left"/>
      </w:pPr>
      <w:r>
        <w:rPr>
          <w:rFonts w:ascii="Calibri" w:hAnsi="Calibri"/>
          <w:b w:val="0"/>
          <w:i w:val="0"/>
          <w:color w:val="282C34"/>
          <w:sz w:val="22"/>
        </w:rPr>
        <w:t>Prinsip arsitektur ini menjamin integrasi tanpa risiko tinggi:</w:t>
      </w:r>
    </w:p>
    <w:p>
      <w:pPr>
        <w:spacing w:before="0" w:after="120" w:line="276" w:lineRule="auto"/>
        <w:jc w:val="left"/>
      </w:pPr>
      <w:r>
        <w:rPr>
          <w:rFonts w:ascii="Calibri" w:hAnsi="Calibri"/>
          <w:b w:val="0"/>
          <w:i w:val="0"/>
          <w:color w:val="282C34"/>
          <w:sz w:val="22"/>
        </w:rPr>
        <w:t>1. **Pola Konektor Adaptor (Connector Pattern):** Tim pengembang dapat beralih secara mulus antara mode demonstrasi (`mock connector`) dengan data produksi kampus (`http connector`) hanya melalui saklar konfigurasi lingkungan (`CONNECTOR_MODE=http`).</w:t>
      </w:r>
    </w:p>
    <w:p>
      <w:pPr>
        <w:spacing w:before="0" w:after="120" w:line="276" w:lineRule="auto"/>
        <w:jc w:val="left"/>
      </w:pPr>
      <w:r>
        <w:rPr>
          <w:rFonts w:ascii="Calibri" w:hAnsi="Calibri"/>
          <w:b w:val="0"/>
          <w:i w:val="0"/>
          <w:color w:val="282C34"/>
          <w:sz w:val="22"/>
        </w:rPr>
        <w:t>2. **BFF sebagai Perisai Keamanan:** Server basis data internal kampus tidak pernah terpapar langsung ke internet terbuka. Seluruh permintaan dari klien difilter oleh BFF yang memvalidasi tipe skema, membatasi ukuran request payload maksimal 16 KB, serta menegakkan rate limiting.</w:t>
      </w:r>
    </w:p>
    <w:p>
      <w:pPr>
        <w:spacing w:before="440" w:after="160" w:line="276" w:lineRule="auto"/>
        <w:jc w:val="left"/>
        <w:pBdr>
          <w:bottom w:val="single" w:sz="14" w:space="2" w:color="1B365D"/>
        </w:pBdr>
      </w:pPr>
      <w:r>
        <w:rPr>
          <w:rFonts w:ascii="Calibri" w:hAnsi="Calibri"/>
          <w:b/>
          <w:i w:val="0"/>
          <w:color w:val="1B365D"/>
          <w:sz w:val="32"/>
        </w:rPr>
        <w:t>5. TAKSONOMI 10 PILAR EKOSISTEM LAYANAN SUPER UNPAM</w:t>
      </w:r>
    </w:p>
    <w:p>
      <w:pPr>
        <w:spacing w:before="0" w:after="120" w:line="276" w:lineRule="auto"/>
        <w:jc w:val="left"/>
      </w:pPr>
      <w:r>
        <w:rPr>
          <w:rFonts w:ascii="Calibri" w:hAnsi="Calibri"/>
          <w:b w:val="0"/>
          <w:i w:val="0"/>
          <w:color w:val="282C34"/>
          <w:sz w:val="22"/>
        </w:rPr>
        <w:t>Super UNPAM mencakup 10 pilar layanan kampus terpadu yang telah selesai diimplementasikan dalam basis kode:</w:t>
      </w:r>
    </w:p>
    <w:tbl>
      <w:tblPr>
        <w:tblW w:type="auto" w:w="0"/>
        <w:jc w:val="center"/>
        <w:tblLayout w:type="fixed"/>
        <w:tblLook w:firstColumn="1" w:firstRow="1" w:lastColumn="0" w:lastRow="0" w:noHBand="0" w:noVBand="1" w:val="04A0"/>
      </w:tblPr>
      <w:tblGrid>
        <w:gridCol w:w="3120"/>
        <w:gridCol w:w="3120"/>
        <w:gridCol w:w="3120"/>
      </w:tblGrid>
      <w:tr>
        <w:tc>
          <w:tcPr>
            <w:tcW w:type="dxa" w:w="2016"/>
            <w:shd w:fill="1B365D"/>
            <w:tcMar>
              <w:top w:w="100" w:type="dxa"/>
              <w:bottom w:w="100" w:type="dxa"/>
              <w:left w:w="100" w:type="dxa"/>
              <w:right w:w="100" w:type="dxa"/>
            </w:tcMar>
          </w:tcPr>
          <w:p>
            <w:pPr>
              <w:spacing w:before="40" w:after="40"/>
              <w:jc w:val="center"/>
            </w:pPr>
            <w:r>
              <w:rPr>
                <w:rFonts w:ascii="Calibri" w:hAnsi="Calibri"/>
                <w:b/>
                <w:color w:val="FFFFFF"/>
                <w:sz w:val="18"/>
              </w:rPr>
              <w:t>Pilar Layanan</w:t>
            </w:r>
          </w:p>
        </w:tc>
        <w:tc>
          <w:tcPr>
            <w:tcW w:type="dxa" w:w="4032"/>
            <w:shd w:fill="1B365D"/>
            <w:tcMar>
              <w:top w:w="100" w:type="dxa"/>
              <w:bottom w:w="100" w:type="dxa"/>
              <w:left w:w="100" w:type="dxa"/>
              <w:right w:w="100" w:type="dxa"/>
            </w:tcMar>
          </w:tcPr>
          <w:p>
            <w:pPr>
              <w:spacing w:before="40" w:after="40"/>
              <w:jc w:val="center"/>
            </w:pPr>
            <w:r>
              <w:rPr>
                <w:rFonts w:ascii="Calibri" w:hAnsi="Calibri"/>
                <w:b/>
                <w:color w:val="FFFFFF"/>
                <w:sz w:val="18"/>
              </w:rPr>
              <w:t>Cakupan Fungsionalitas &amp; Keunggulan Inovasi</w:t>
            </w:r>
          </w:p>
        </w:tc>
        <w:tc>
          <w:tcPr>
            <w:tcW w:type="dxa" w:w="3312"/>
            <w:shd w:fill="1B365D"/>
            <w:tcMar>
              <w:top w:w="100" w:type="dxa"/>
              <w:bottom w:w="100" w:type="dxa"/>
              <w:left w:w="100" w:type="dxa"/>
              <w:right w:w="100" w:type="dxa"/>
            </w:tcMar>
          </w:tcPr>
          <w:p>
            <w:pPr>
              <w:spacing w:before="40" w:after="40"/>
              <w:jc w:val="center"/>
            </w:pPr>
            <w:r>
              <w:rPr>
                <w:rFonts w:ascii="Calibri" w:hAnsi="Calibri"/>
                <w:b/>
                <w:color w:val="FFFFFF"/>
                <w:sz w:val="18"/>
              </w:rPr>
              <w:t>Nilai Tambah Sivitas</w:t>
            </w:r>
          </w:p>
        </w:tc>
      </w:tr>
      <w:tr>
        <w:tc>
          <w:tcPr>
            <w:tcW w:type="dxa" w:w="2016"/>
            <w:shd w:fill="FFFFFF"/>
            <w:tcMar>
              <w:top w:w="80" w:type="dxa"/>
              <w:bottom w:w="80" w:type="dxa"/>
              <w:left w:w="90" w:type="dxa"/>
              <w:right w:w="90" w:type="dxa"/>
            </w:tcMar>
          </w:tcPr>
          <w:p>
            <w:pPr>
              <w:spacing w:before="20" w:after="20" w:line="252" w:lineRule="auto"/>
            </w:pPr>
            <w:r>
              <w:rPr>
                <w:rFonts w:ascii="Calibri" w:hAnsi="Calibri"/>
                <w:color w:val="282C34"/>
                <w:sz w:val="17"/>
              </w:rPr>
              <w:t>1. Smart Identity &amp; KTM Digital</w:t>
            </w:r>
          </w:p>
        </w:tc>
        <w:tc>
          <w:tcPr>
            <w:tcW w:type="dxa" w:w="4032"/>
            <w:shd w:fill="FFFFFF"/>
            <w:tcMar>
              <w:top w:w="80" w:type="dxa"/>
              <w:bottom w:w="80" w:type="dxa"/>
              <w:left w:w="90" w:type="dxa"/>
              <w:right w:w="90" w:type="dxa"/>
            </w:tcMar>
          </w:tcPr>
          <w:p>
            <w:pPr>
              <w:spacing w:before="20" w:after="20" w:line="252" w:lineRule="auto"/>
            </w:pPr>
            <w:r>
              <w:rPr>
                <w:rFonts w:ascii="Calibri" w:hAnsi="Calibri"/>
                <w:color w:val="282C34"/>
                <w:sz w:val="17"/>
              </w:rPr>
              <w:t>KTM interaktif berhologram 3D dengan render WebGL/Canvas; memuat QR Code berotasi dinamis tiap 30 detik untuk absensi gerbang, akses perpustakaan, dan presensi kelas.</w:t>
            </w:r>
          </w:p>
        </w:tc>
        <w:tc>
          <w:tcPr>
            <w:tcW w:type="dxa" w:w="3312"/>
            <w:shd w:fill="FFFFFF"/>
            <w:tcMar>
              <w:top w:w="80" w:type="dxa"/>
              <w:bottom w:w="80" w:type="dxa"/>
              <w:left w:w="90" w:type="dxa"/>
              <w:right w:w="90" w:type="dxa"/>
            </w:tcMar>
          </w:tcPr>
          <w:p>
            <w:pPr>
              <w:spacing w:before="20" w:after="20" w:line="252" w:lineRule="auto"/>
            </w:pPr>
            <w:r>
              <w:rPr>
                <w:rFonts w:ascii="Calibri" w:hAnsi="Calibri"/>
                <w:color w:val="282C34"/>
                <w:sz w:val="17"/>
              </w:rPr>
              <w:t>Tidak perlu mencetak kartu plastik; anti-pemalsuan dan anti-screenshot.</w:t>
            </w:r>
          </w:p>
        </w:tc>
      </w:tr>
      <w:tr>
        <w:tc>
          <w:tcPr>
            <w:tcW w:type="dxa" w:w="2016"/>
            <w:shd w:fill="F1F5F9"/>
            <w:tcMar>
              <w:top w:w="80" w:type="dxa"/>
              <w:bottom w:w="80" w:type="dxa"/>
              <w:left w:w="90" w:type="dxa"/>
              <w:right w:w="90" w:type="dxa"/>
            </w:tcMar>
          </w:tcPr>
          <w:p>
            <w:pPr>
              <w:spacing w:before="20" w:after="20" w:line="252" w:lineRule="auto"/>
            </w:pPr>
            <w:r>
              <w:rPr>
                <w:rFonts w:ascii="Calibri" w:hAnsi="Calibri"/>
                <w:color w:val="282C34"/>
                <w:sz w:val="17"/>
              </w:rPr>
              <w:t>2. Presensi Anti-Fraud Terpadu</w:t>
            </w:r>
          </w:p>
        </w:tc>
        <w:tc>
          <w:tcPr>
            <w:tcW w:type="dxa" w:w="4032"/>
            <w:shd w:fill="F1F5F9"/>
            <w:tcMar>
              <w:top w:w="80" w:type="dxa"/>
              <w:bottom w:w="80" w:type="dxa"/>
              <w:left w:w="90" w:type="dxa"/>
              <w:right w:w="90" w:type="dxa"/>
            </w:tcMar>
          </w:tcPr>
          <w:p>
            <w:pPr>
              <w:spacing w:before="20" w:after="20" w:line="252" w:lineRule="auto"/>
            </w:pPr>
            <w:r>
              <w:rPr>
                <w:rFonts w:ascii="Calibri" w:hAnsi="Calibri"/>
                <w:color w:val="282C34"/>
                <w:sz w:val="17"/>
              </w:rPr>
              <w:t>Mekanisme presensi 3 lapis: (1) Dynamic TOTP QR, (2) Geofencing Haversine kampus toleransi &lt; 50 meter, (3) Kode Dosen 6-digit darurat saat GPS indoor lemah.</w:t>
            </w:r>
          </w:p>
        </w:tc>
        <w:tc>
          <w:tcPr>
            <w:tcW w:type="dxa" w:w="3312"/>
            <w:shd w:fill="F1F5F9"/>
            <w:tcMar>
              <w:top w:w="80" w:type="dxa"/>
              <w:bottom w:w="80" w:type="dxa"/>
              <w:left w:w="90" w:type="dxa"/>
              <w:right w:w="90" w:type="dxa"/>
            </w:tcMar>
          </w:tcPr>
          <w:p>
            <w:pPr>
              <w:spacing w:before="20" w:after="20" w:line="252" w:lineRule="auto"/>
            </w:pPr>
            <w:r>
              <w:rPr>
                <w:rFonts w:ascii="Calibri" w:hAnsi="Calibri"/>
                <w:color w:val="282C34"/>
                <w:sz w:val="17"/>
              </w:rPr>
              <w:t>Meniadakan kecurangan titip absen antar-mahasiswa.</w:t>
            </w:r>
          </w:p>
        </w:tc>
      </w:tr>
      <w:tr>
        <w:tc>
          <w:tcPr>
            <w:tcW w:type="dxa" w:w="2016"/>
            <w:shd w:fill="FFFFFF"/>
            <w:tcMar>
              <w:top w:w="80" w:type="dxa"/>
              <w:bottom w:w="80" w:type="dxa"/>
              <w:left w:w="90" w:type="dxa"/>
              <w:right w:w="90" w:type="dxa"/>
            </w:tcMar>
          </w:tcPr>
          <w:p>
            <w:pPr>
              <w:spacing w:before="20" w:after="20" w:line="252" w:lineRule="auto"/>
            </w:pPr>
            <w:r>
              <w:rPr>
                <w:rFonts w:ascii="Calibri" w:hAnsi="Calibri"/>
                <w:color w:val="282C34"/>
                <w:sz w:val="17"/>
              </w:rPr>
              <w:t>3. Akademik &amp; Penjadwalan</w:t>
            </w:r>
          </w:p>
        </w:tc>
        <w:tc>
          <w:tcPr>
            <w:tcW w:type="dxa" w:w="4032"/>
            <w:shd w:fill="FFFFFF"/>
            <w:tcMar>
              <w:top w:w="80" w:type="dxa"/>
              <w:bottom w:w="80" w:type="dxa"/>
              <w:left w:w="90" w:type="dxa"/>
              <w:right w:w="90" w:type="dxa"/>
            </w:tcMar>
          </w:tcPr>
          <w:p>
            <w:pPr>
              <w:spacing w:before="20" w:after="20" w:line="252" w:lineRule="auto"/>
            </w:pPr>
            <w:r>
              <w:rPr>
                <w:rFonts w:ascii="Calibri" w:hAnsi="Calibri"/>
                <w:color w:val="282C34"/>
                <w:sz w:val="17"/>
              </w:rPr>
              <w:t>Pengisian KRS dinamis dengan deteksi bentrok jadwal, visualisasi IPK/SKS realtime, transkrip nilai terstruktur, dan ekspor jadwal kuliah/ujian ke kalender ponsel (.ics).</w:t>
            </w:r>
          </w:p>
        </w:tc>
        <w:tc>
          <w:tcPr>
            <w:tcW w:type="dxa" w:w="3312"/>
            <w:shd w:fill="FFFFFF"/>
            <w:tcMar>
              <w:top w:w="80" w:type="dxa"/>
              <w:bottom w:w="80" w:type="dxa"/>
              <w:left w:w="90" w:type="dxa"/>
              <w:right w:w="90" w:type="dxa"/>
            </w:tcMar>
          </w:tcPr>
          <w:p>
            <w:pPr>
              <w:spacing w:before="20" w:after="20" w:line="252" w:lineRule="auto"/>
            </w:pPr>
            <w:r>
              <w:rPr>
                <w:rFonts w:ascii="Calibri" w:hAnsi="Calibri"/>
                <w:color w:val="282C34"/>
                <w:sz w:val="17"/>
              </w:rPr>
              <w:t>Mahasiswa tidak pernah terlewat jadwal kuliah dan ujian.</w:t>
            </w:r>
          </w:p>
        </w:tc>
      </w:tr>
      <w:tr>
        <w:tc>
          <w:tcPr>
            <w:tcW w:type="dxa" w:w="2016"/>
            <w:shd w:fill="F1F5F9"/>
            <w:tcMar>
              <w:top w:w="80" w:type="dxa"/>
              <w:bottom w:w="80" w:type="dxa"/>
              <w:left w:w="90" w:type="dxa"/>
              <w:right w:w="90" w:type="dxa"/>
            </w:tcMar>
          </w:tcPr>
          <w:p>
            <w:pPr>
              <w:spacing w:before="20" w:after="20" w:line="252" w:lineRule="auto"/>
            </w:pPr>
            <w:r>
              <w:rPr>
                <w:rFonts w:ascii="Calibri" w:hAnsi="Calibri"/>
                <w:color w:val="282C34"/>
                <w:sz w:val="17"/>
              </w:rPr>
              <w:t>4. Integrated Exam Center</w:t>
            </w:r>
          </w:p>
        </w:tc>
        <w:tc>
          <w:tcPr>
            <w:tcW w:type="dxa" w:w="4032"/>
            <w:shd w:fill="F1F5F9"/>
            <w:tcMar>
              <w:top w:w="80" w:type="dxa"/>
              <w:bottom w:w="80" w:type="dxa"/>
              <w:left w:w="90" w:type="dxa"/>
              <w:right w:w="90" w:type="dxa"/>
            </w:tcMar>
          </w:tcPr>
          <w:p>
            <w:pPr>
              <w:spacing w:before="20" w:after="20" w:line="252" w:lineRule="auto"/>
            </w:pPr>
            <w:r>
              <w:rPr>
                <w:rFonts w:ascii="Calibri" w:hAnsi="Calibri"/>
                <w:color w:val="282C34"/>
                <w:sz w:val="17"/>
              </w:rPr>
              <w:t>Pusat informasi UTS, UAS, Ujian Susulan, dan Remedial; verifikasi kelayakan mengikuti ujian (ambang kehadiran &amp; pelunasan SPP); cetak Kartu Ujian ber-QR.</w:t>
            </w:r>
          </w:p>
        </w:tc>
        <w:tc>
          <w:tcPr>
            <w:tcW w:type="dxa" w:w="3312"/>
            <w:shd w:fill="F1F5F9"/>
            <w:tcMar>
              <w:top w:w="80" w:type="dxa"/>
              <w:bottom w:w="80" w:type="dxa"/>
              <w:left w:w="90" w:type="dxa"/>
              <w:right w:w="90" w:type="dxa"/>
            </w:tcMar>
          </w:tcPr>
          <w:p>
            <w:pPr>
              <w:spacing w:before="20" w:after="20" w:line="252" w:lineRule="auto"/>
            </w:pPr>
            <w:r>
              <w:rPr>
                <w:rFonts w:ascii="Calibri" w:hAnsi="Calibri"/>
                <w:color w:val="282C34"/>
                <w:sz w:val="17"/>
              </w:rPr>
              <w:t>Proses verifikasi ujian mandiri tanpa antre di loket BAAK.</w:t>
            </w:r>
          </w:p>
        </w:tc>
      </w:tr>
      <w:tr>
        <w:tc>
          <w:tcPr>
            <w:tcW w:type="dxa" w:w="2016"/>
            <w:shd w:fill="FFFFFF"/>
            <w:tcMar>
              <w:top w:w="80" w:type="dxa"/>
              <w:bottom w:w="80" w:type="dxa"/>
              <w:left w:w="90" w:type="dxa"/>
              <w:right w:w="90" w:type="dxa"/>
            </w:tcMar>
          </w:tcPr>
          <w:p>
            <w:pPr>
              <w:spacing w:before="20" w:after="20" w:line="252" w:lineRule="auto"/>
            </w:pPr>
            <w:r>
              <w:rPr>
                <w:rFonts w:ascii="Calibri" w:hAnsi="Calibri"/>
                <w:color w:val="282C34"/>
                <w:sz w:val="17"/>
              </w:rPr>
              <w:t>5. Digitalisasi Tugas Akhir &amp; Skripsi</w:t>
            </w:r>
          </w:p>
        </w:tc>
        <w:tc>
          <w:tcPr>
            <w:tcW w:type="dxa" w:w="4032"/>
            <w:shd w:fill="FFFFFF"/>
            <w:tcMar>
              <w:top w:w="80" w:type="dxa"/>
              <w:bottom w:w="80" w:type="dxa"/>
              <w:left w:w="90" w:type="dxa"/>
              <w:right w:w="90" w:type="dxa"/>
            </w:tcMar>
          </w:tcPr>
          <w:p>
            <w:pPr>
              <w:spacing w:before="20" w:after="20" w:line="252" w:lineRule="auto"/>
            </w:pPr>
            <w:r>
              <w:rPr>
                <w:rFonts w:ascii="Calibri" w:hAnsi="Calibri"/>
                <w:color w:val="282C34"/>
                <w:sz w:val="17"/>
              </w:rPr>
              <w:t>Alur skripsi 14-tahap (pengajuan judul, pembimbingan, seminar proposal, ujian komprehensif, revisi, hingga yudisium); logbook digital ber-hash integritas naskah.</w:t>
            </w:r>
          </w:p>
        </w:tc>
        <w:tc>
          <w:tcPr>
            <w:tcW w:type="dxa" w:w="3312"/>
            <w:shd w:fill="FFFFFF"/>
            <w:tcMar>
              <w:top w:w="80" w:type="dxa"/>
              <w:bottom w:w="80" w:type="dxa"/>
              <w:left w:w="90" w:type="dxa"/>
              <w:right w:w="90" w:type="dxa"/>
            </w:tcMar>
          </w:tcPr>
          <w:p>
            <w:pPr>
              <w:spacing w:before="20" w:after="20" w:line="252" w:lineRule="auto"/>
            </w:pPr>
            <w:r>
              <w:rPr>
                <w:rFonts w:ascii="Calibri" w:hAnsi="Calibri"/>
                <w:color w:val="282C34"/>
                <w:sz w:val="17"/>
              </w:rPr>
              <w:t>Birokrasi skripsi transparan; dosen dan prodi memantau kemajuan mahasiswa secara real-time.</w:t>
            </w:r>
          </w:p>
        </w:tc>
      </w:tr>
      <w:tr>
        <w:tc>
          <w:tcPr>
            <w:tcW w:type="dxa" w:w="2016"/>
            <w:shd w:fill="F1F5F9"/>
            <w:tcMar>
              <w:top w:w="80" w:type="dxa"/>
              <w:bottom w:w="80" w:type="dxa"/>
              <w:left w:w="90" w:type="dxa"/>
              <w:right w:w="90" w:type="dxa"/>
            </w:tcMar>
          </w:tcPr>
          <w:p>
            <w:pPr>
              <w:spacing w:before="20" w:after="20" w:line="252" w:lineRule="auto"/>
            </w:pPr>
            <w:r>
              <w:rPr>
                <w:rFonts w:ascii="Calibri" w:hAnsi="Calibri"/>
                <w:color w:val="282C34"/>
                <w:sz w:val="17"/>
              </w:rPr>
              <w:t>6. Administrasi &amp; Surat Digital</w:t>
            </w:r>
          </w:p>
        </w:tc>
        <w:tc>
          <w:tcPr>
            <w:tcW w:type="dxa" w:w="4032"/>
            <w:shd w:fill="F1F5F9"/>
            <w:tcMar>
              <w:top w:w="80" w:type="dxa"/>
              <w:bottom w:w="80" w:type="dxa"/>
              <w:left w:w="90" w:type="dxa"/>
              <w:right w:w="90" w:type="dxa"/>
            </w:tcMar>
          </w:tcPr>
          <w:p>
            <w:pPr>
              <w:spacing w:before="20" w:after="20" w:line="252" w:lineRule="auto"/>
            </w:pPr>
            <w:r>
              <w:rPr>
                <w:rFonts w:ascii="Calibri" w:hAnsi="Calibri"/>
                <w:color w:val="282C34"/>
                <w:sz w:val="17"/>
              </w:rPr>
              <w:t>Permohonan Surat Keterangan Mahasiswa Aktif, Pengajuan Cuti, Legalisir Ijazah Digital, dan Pelaporan EDOM (Evaluasi Dosen oleh Mahasiswa).</w:t>
            </w:r>
          </w:p>
        </w:tc>
        <w:tc>
          <w:tcPr>
            <w:tcW w:type="dxa" w:w="3312"/>
            <w:shd w:fill="F1F5F9"/>
            <w:tcMar>
              <w:top w:w="80" w:type="dxa"/>
              <w:bottom w:w="80" w:type="dxa"/>
              <w:left w:w="90" w:type="dxa"/>
              <w:right w:w="90" w:type="dxa"/>
            </w:tcMar>
          </w:tcPr>
          <w:p>
            <w:pPr>
              <w:spacing w:before="20" w:after="20" w:line="252" w:lineRule="auto"/>
            </w:pPr>
            <w:r>
              <w:rPr>
                <w:rFonts w:ascii="Calibri" w:hAnsi="Calibri"/>
                <w:color w:val="282C34"/>
                <w:sz w:val="17"/>
              </w:rPr>
              <w:t>Pelayanan administrasi 24/7 tanpa kertas (paperless).</w:t>
            </w:r>
          </w:p>
        </w:tc>
      </w:tr>
      <w:tr>
        <w:tc>
          <w:tcPr>
            <w:tcW w:type="dxa" w:w="2016"/>
            <w:shd w:fill="FFFFFF"/>
            <w:tcMar>
              <w:top w:w="80" w:type="dxa"/>
              <w:bottom w:w="80" w:type="dxa"/>
              <w:left w:w="90" w:type="dxa"/>
              <w:right w:w="90" w:type="dxa"/>
            </w:tcMar>
          </w:tcPr>
          <w:p>
            <w:pPr>
              <w:spacing w:before="20" w:after="20" w:line="252" w:lineRule="auto"/>
            </w:pPr>
            <w:r>
              <w:rPr>
                <w:rFonts w:ascii="Calibri" w:hAnsi="Calibri"/>
                <w:color w:val="282C34"/>
                <w:sz w:val="17"/>
              </w:rPr>
              <w:t>7. Keuangan &amp; Billing Terintegrasi</w:t>
            </w:r>
          </w:p>
        </w:tc>
        <w:tc>
          <w:tcPr>
            <w:tcW w:type="dxa" w:w="4032"/>
            <w:shd w:fill="FFFFFF"/>
            <w:tcMar>
              <w:top w:w="80" w:type="dxa"/>
              <w:bottom w:w="80" w:type="dxa"/>
              <w:left w:w="90" w:type="dxa"/>
              <w:right w:w="90" w:type="dxa"/>
            </w:tcMar>
          </w:tcPr>
          <w:p>
            <w:pPr>
              <w:spacing w:before="20" w:after="20" w:line="252" w:lineRule="auto"/>
            </w:pPr>
            <w:r>
              <w:rPr>
                <w:rFonts w:ascii="Calibri" w:hAnsi="Calibri"/>
                <w:color w:val="282C34"/>
                <w:sz w:val="17"/>
              </w:rPr>
              <w:t>Cek rincian tagihan SPP/UKT, riwayat transaksi pembayaran per semester, generate Virtual Account perbankan, dan bukti pembayaran sah.</w:t>
            </w:r>
          </w:p>
        </w:tc>
        <w:tc>
          <w:tcPr>
            <w:tcW w:type="dxa" w:w="3312"/>
            <w:shd w:fill="FFFFFF"/>
            <w:tcMar>
              <w:top w:w="80" w:type="dxa"/>
              <w:bottom w:w="80" w:type="dxa"/>
              <w:left w:w="90" w:type="dxa"/>
              <w:right w:w="90" w:type="dxa"/>
            </w:tcMar>
          </w:tcPr>
          <w:p>
            <w:pPr>
              <w:spacing w:before="20" w:after="20" w:line="252" w:lineRule="auto"/>
            </w:pPr>
            <w:r>
              <w:rPr>
                <w:rFonts w:ascii="Calibri" w:hAnsi="Calibri"/>
                <w:color w:val="282C34"/>
                <w:sz w:val="17"/>
              </w:rPr>
              <w:t>Transparansi status pembayaran mahasiswa.</w:t>
            </w:r>
          </w:p>
        </w:tc>
      </w:tr>
      <w:tr>
        <w:tc>
          <w:tcPr>
            <w:tcW w:type="dxa" w:w="2016"/>
            <w:shd w:fill="F1F5F9"/>
            <w:tcMar>
              <w:top w:w="80" w:type="dxa"/>
              <w:bottom w:w="80" w:type="dxa"/>
              <w:left w:w="90" w:type="dxa"/>
              <w:right w:w="90" w:type="dxa"/>
            </w:tcMar>
          </w:tcPr>
          <w:p>
            <w:pPr>
              <w:spacing w:before="20" w:after="20" w:line="252" w:lineRule="auto"/>
            </w:pPr>
            <w:r>
              <w:rPr>
                <w:rFonts w:ascii="Calibri" w:hAnsi="Calibri"/>
                <w:color w:val="282C34"/>
                <w:sz w:val="17"/>
              </w:rPr>
              <w:t>8. Karir, Bahasa &amp; Sertifikasi</w:t>
            </w:r>
          </w:p>
        </w:tc>
        <w:tc>
          <w:tcPr>
            <w:tcW w:type="dxa" w:w="4032"/>
            <w:shd w:fill="F1F5F9"/>
            <w:tcMar>
              <w:top w:w="80" w:type="dxa"/>
              <w:bottom w:w="80" w:type="dxa"/>
              <w:left w:w="90" w:type="dxa"/>
              <w:right w:w="90" w:type="dxa"/>
            </w:tcMar>
          </w:tcPr>
          <w:p>
            <w:pPr>
              <w:spacing w:before="20" w:after="20" w:line="252" w:lineRule="auto"/>
            </w:pPr>
            <w:r>
              <w:rPr>
                <w:rFonts w:ascii="Calibri" w:hAnsi="Calibri"/>
                <w:color w:val="282C34"/>
                <w:sz w:val="17"/>
              </w:rPr>
              <w:t>Portofolio sertifikasi profesi (LSP UNPAM), riwayat skor TOEFL terstandarisasi, bursa karir, serta pelacakan alumni (Tracer Study).</w:t>
            </w:r>
          </w:p>
        </w:tc>
        <w:tc>
          <w:tcPr>
            <w:tcW w:type="dxa" w:w="3312"/>
            <w:shd w:fill="F1F5F9"/>
            <w:tcMar>
              <w:top w:w="80" w:type="dxa"/>
              <w:bottom w:w="80" w:type="dxa"/>
              <w:left w:w="90" w:type="dxa"/>
              <w:right w:w="90" w:type="dxa"/>
            </w:tcMar>
          </w:tcPr>
          <w:p>
            <w:pPr>
              <w:spacing w:before="20" w:after="20" w:line="252" w:lineRule="auto"/>
            </w:pPr>
            <w:r>
              <w:rPr>
                <w:rFonts w:ascii="Calibri" w:hAnsi="Calibri"/>
                <w:color w:val="282C34"/>
                <w:sz w:val="17"/>
              </w:rPr>
              <w:t>Meningkatkan daya saing lulusan di pasar kerja.</w:t>
            </w:r>
          </w:p>
        </w:tc>
      </w:tr>
      <w:tr>
        <w:tc>
          <w:tcPr>
            <w:tcW w:type="dxa" w:w="2016"/>
            <w:shd w:fill="FFFFFF"/>
            <w:tcMar>
              <w:top w:w="80" w:type="dxa"/>
              <w:bottom w:w="80" w:type="dxa"/>
              <w:left w:w="90" w:type="dxa"/>
              <w:right w:w="90" w:type="dxa"/>
            </w:tcMar>
          </w:tcPr>
          <w:p>
            <w:pPr>
              <w:spacing w:before="20" w:after="20" w:line="252" w:lineRule="auto"/>
            </w:pPr>
            <w:r>
              <w:rPr>
                <w:rFonts w:ascii="Calibri" w:hAnsi="Calibri"/>
                <w:color w:val="282C34"/>
                <w:sz w:val="17"/>
              </w:rPr>
              <w:t>9. Kehidupan Kampus &amp; Nilai Islami</w:t>
            </w:r>
          </w:p>
        </w:tc>
        <w:tc>
          <w:tcPr>
            <w:tcW w:type="dxa" w:w="4032"/>
            <w:shd w:fill="FFFFFF"/>
            <w:tcMar>
              <w:top w:w="80" w:type="dxa"/>
              <w:bottom w:w="80" w:type="dxa"/>
              <w:left w:w="90" w:type="dxa"/>
              <w:right w:w="90" w:type="dxa"/>
            </w:tcMar>
          </w:tcPr>
          <w:p>
            <w:pPr>
              <w:spacing w:before="20" w:after="20" w:line="252" w:lineRule="auto"/>
            </w:pPr>
            <w:r>
              <w:rPr>
                <w:rFonts w:ascii="Calibri" w:hAnsi="Calibri"/>
                <w:color w:val="282C34"/>
                <w:sz w:val="17"/>
              </w:rPr>
              <w:t>Jadwal sholat otomatis terintegrasi lokasi kampus, arah kiblat, agenda kajian Islami, pemira online (e-voting Ketua BEM/Hima), dan forum aspirasi kampus.</w:t>
            </w:r>
          </w:p>
        </w:tc>
        <w:tc>
          <w:tcPr>
            <w:tcW w:type="dxa" w:w="3312"/>
            <w:shd w:fill="FFFFFF"/>
            <w:tcMar>
              <w:top w:w="80" w:type="dxa"/>
              <w:bottom w:w="80" w:type="dxa"/>
              <w:left w:w="90" w:type="dxa"/>
              <w:right w:w="90" w:type="dxa"/>
            </w:tcMar>
          </w:tcPr>
          <w:p>
            <w:pPr>
              <w:spacing w:before="20" w:after="20" w:line="252" w:lineRule="auto"/>
            </w:pPr>
            <w:r>
              <w:rPr>
                <w:rFonts w:ascii="Calibri" w:hAnsi="Calibri"/>
                <w:color w:val="282C34"/>
                <w:sz w:val="17"/>
              </w:rPr>
              <w:t>Mendukung pembinaan karakter sivitas akademika.</w:t>
            </w:r>
          </w:p>
        </w:tc>
      </w:tr>
      <w:tr>
        <w:tc>
          <w:tcPr>
            <w:tcW w:type="dxa" w:w="2016"/>
            <w:shd w:fill="F1F5F9"/>
            <w:tcMar>
              <w:top w:w="80" w:type="dxa"/>
              <w:bottom w:w="80" w:type="dxa"/>
              <w:left w:w="90" w:type="dxa"/>
              <w:right w:w="90" w:type="dxa"/>
            </w:tcMar>
          </w:tcPr>
          <w:p>
            <w:pPr>
              <w:spacing w:before="20" w:after="20" w:line="252" w:lineRule="auto"/>
            </w:pPr>
            <w:r>
              <w:rPr>
                <w:rFonts w:ascii="Calibri" w:hAnsi="Calibri"/>
                <w:color w:val="282C34"/>
                <w:sz w:val="17"/>
              </w:rPr>
              <w:t>10. Smart Command Palette (⌘K)</w:t>
            </w:r>
          </w:p>
        </w:tc>
        <w:tc>
          <w:tcPr>
            <w:tcW w:type="dxa" w:w="4032"/>
            <w:shd w:fill="F1F5F9"/>
            <w:tcMar>
              <w:top w:w="80" w:type="dxa"/>
              <w:bottom w:w="80" w:type="dxa"/>
              <w:left w:w="90" w:type="dxa"/>
              <w:right w:w="90" w:type="dxa"/>
            </w:tcMar>
          </w:tcPr>
          <w:p>
            <w:pPr>
              <w:spacing w:before="20" w:after="20" w:line="252" w:lineRule="auto"/>
            </w:pPr>
            <w:r>
              <w:rPr>
                <w:rFonts w:ascii="Calibri" w:hAnsi="Calibri"/>
                <w:color w:val="282C34"/>
                <w:sz w:val="17"/>
              </w:rPr>
              <w:t>Navigasi instan berbasis in-memory Prefix Trie dan Fuzzy Search; menjangkau seluruh menu kampus dalam waktu &lt; 10 milidetik.</w:t>
            </w:r>
          </w:p>
        </w:tc>
        <w:tc>
          <w:tcPr>
            <w:tcW w:type="dxa" w:w="3312"/>
            <w:shd w:fill="F1F5F9"/>
            <w:tcMar>
              <w:top w:w="80" w:type="dxa"/>
              <w:bottom w:w="80" w:type="dxa"/>
              <w:left w:w="90" w:type="dxa"/>
              <w:right w:w="90" w:type="dxa"/>
            </w:tcMar>
          </w:tcPr>
          <w:p>
            <w:pPr>
              <w:spacing w:before="20" w:after="20" w:line="252" w:lineRule="auto"/>
            </w:pPr>
            <w:r>
              <w:rPr>
                <w:rFonts w:ascii="Calibri" w:hAnsi="Calibri"/>
                <w:color w:val="282C34"/>
                <w:sz w:val="17"/>
              </w:rPr>
              <w:t>Efisiensi navigasi tingkat tinggi untuk power-users.</w:t>
            </w:r>
          </w:p>
        </w:tc>
      </w:tr>
    </w:tbl>
    <w:p>
      <w:pPr>
        <w:spacing w:before="80" w:after="80"/>
      </w:pPr>
    </w:p>
    <w:p>
      <w:pPr>
        <w:spacing w:before="440" w:after="160" w:line="276" w:lineRule="auto"/>
        <w:jc w:val="left"/>
        <w:pBdr>
          <w:bottom w:val="single" w:sz="14" w:space="2" w:color="1B365D"/>
        </w:pBdr>
      </w:pPr>
      <w:r>
        <w:rPr>
          <w:rFonts w:ascii="Calibri" w:hAnsi="Calibri"/>
          <w:b/>
          <w:i w:val="0"/>
          <w:color w:val="1B365D"/>
          <w:sz w:val="32"/>
        </w:rPr>
        <w:t>6. INOVASI TATA KELOLA: 'ACADEMIC RULES AS DATA'</w:t>
      </w:r>
    </w:p>
    <w:p>
      <w:pPr>
        <w:spacing w:before="0" w:after="120" w:line="276" w:lineRule="auto"/>
        <w:jc w:val="left"/>
      </w:pPr>
      <w:r>
        <w:rPr>
          <w:rFonts w:ascii="Calibri" w:hAnsi="Calibri"/>
          <w:b w:val="0"/>
          <w:i w:val="0"/>
          <w:color w:val="282C34"/>
          <w:sz w:val="22"/>
        </w:rPr>
        <w:t>Salah satu terobosan rekayasa perangkat lunak paling signifikan di Super UNPAM adalah penerapan paradigma **Academic Rules as Data** (Aturan Akademik Disimpan Sebagai Data Terstruktur Bertipe):</w:t>
      </w:r>
    </w:p>
    <w:tbl>
      <w:tblPr>
        <w:tblW w:type="auto" w:w="0"/>
        <w:jc w:val="center"/>
        <w:tblLook w:firstColumn="1" w:firstRow="1" w:lastColumn="0" w:lastRow="0" w:noHBand="0" w:noVBand="1" w:val="04A0"/>
      </w:tblPr>
      <w:tblGrid>
        <w:gridCol w:w="9360"/>
      </w:tblGrid>
      <w:tr>
        <w:tc>
          <w:tcPr>
            <w:tcW w:type="dxa" w:w="9360"/>
            <w:shd w:fill="EFF6FF"/>
            <w:tcMar>
              <w:top w:w="130" w:type="dxa"/>
              <w:bottom w:w="130" w:type="dxa"/>
              <w:left w:w="160" w:type="dxa"/>
              <w:right w:w="160" w:type="dxa"/>
            </w:tcMar>
            <w:tcBorders>
              <w:left w:val="single" w:sz="36" w:space="0" w:color="2563EB"/>
              <w:top w:val="none"/>
              <w:right w:val="none"/>
              <w:bottom w:val="none"/>
            </w:tcBorders>
          </w:tcPr>
          <w:p>
            <w:pPr>
              <w:spacing w:before="40" w:after="40" w:line="276" w:lineRule="auto"/>
            </w:pPr>
            <w:r>
              <w:rPr>
                <w:rFonts w:ascii="Calibri" w:hAnsi="Calibri"/>
                <w:b/>
                <w:color w:val="1B365D"/>
                <w:sz w:val="20"/>
              </w:rPr>
              <w:t>⚙️ PRINSIP DESAIN: RULES AS DATA</w:t>
              <w:br/>
            </w:r>
            <w:r>
              <w:rPr>
                <w:rFonts w:ascii="Calibri" w:hAnsi="Calibri"/>
                <w:color w:val="282C34"/>
                <w:sz w:val="19"/>
              </w:rPr>
              <w:t>Dalam sistem akademik konvensional, batas minimal kehadiran ujian (misal 75%), ambang kelulusan nilai (huruf mutu A-E), batas minimal bimbingan skripsi (8 kali), dan tenggat revisi (14 hari) seringkali di-hardcode di dalam logika kode program. Ketika rektorat mengeluarkan SK pembaruan aturan, pengembang harus merombak kode, melakukan build ulang, dan men-deploy server yang rentan memicu bug regresi.</w:t>
              <w:br/>
              <w:br/>
              <w:t>Super UNPAM mengisolasi seluruh aturan akademik ke dalam modul terpadu `src/data/aturan-akademik.ts`. Aturan didefinisikan sebagai data bertipe TypeScript ketat yang dilengkapi referensi nomor SK, sumber resmi BAAK, dan tanggal verifikasi.</w:t>
            </w:r>
          </w:p>
        </w:tc>
      </w:tr>
    </w:tbl>
    <w:p>
      <w:pPr>
        <w:spacing w:before="80" w:after="80"/>
      </w:pP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100" w:type="dxa"/>
              <w:bottom w:w="100" w:type="dxa"/>
              <w:left w:w="100" w:type="dxa"/>
              <w:right w:w="100" w:type="dxa"/>
            </w:tcMar>
          </w:tcPr>
          <w:p>
            <w:pPr>
              <w:spacing w:before="40" w:after="40"/>
              <w:jc w:val="center"/>
            </w:pPr>
            <w:r>
              <w:rPr>
                <w:rFonts w:ascii="Calibri" w:hAnsi="Calibri"/>
                <w:b/>
                <w:color w:val="FFFFFF"/>
                <w:sz w:val="18"/>
              </w:rPr>
              <w:t>Kategori Aturan Akademik</w:t>
            </w:r>
          </w:p>
        </w:tc>
        <w:tc>
          <w:tcPr>
            <w:tcW w:type="dxa" w:w="3600"/>
            <w:shd w:fill="1B365D"/>
            <w:tcMar>
              <w:top w:w="100" w:type="dxa"/>
              <w:bottom w:w="100" w:type="dxa"/>
              <w:left w:w="100" w:type="dxa"/>
              <w:right w:w="100" w:type="dxa"/>
            </w:tcMar>
          </w:tcPr>
          <w:p>
            <w:pPr>
              <w:spacing w:before="40" w:after="40"/>
              <w:jc w:val="center"/>
            </w:pPr>
            <w:r>
              <w:rPr>
                <w:rFonts w:ascii="Calibri" w:hAnsi="Calibri"/>
                <w:b/>
                <w:color w:val="FFFFFF"/>
                <w:sz w:val="18"/>
              </w:rPr>
              <w:t>Parameter yang Dikonfigurasi</w:t>
            </w:r>
          </w:p>
        </w:tc>
        <w:tc>
          <w:tcPr>
            <w:tcW w:type="dxa" w:w="3168"/>
            <w:shd w:fill="1B365D"/>
            <w:tcMar>
              <w:top w:w="100" w:type="dxa"/>
              <w:bottom w:w="100" w:type="dxa"/>
              <w:left w:w="100" w:type="dxa"/>
              <w:right w:w="100" w:type="dxa"/>
            </w:tcMar>
          </w:tcPr>
          <w:p>
            <w:pPr>
              <w:spacing w:before="40" w:after="40"/>
              <w:jc w:val="center"/>
            </w:pPr>
            <w:r>
              <w:rPr>
                <w:rFonts w:ascii="Calibri" w:hAnsi="Calibri"/>
                <w:b/>
                <w:color w:val="FFFFFF"/>
                <w:sz w:val="18"/>
              </w:rPr>
              <w:t>Sumber &amp; Status Verifikasi</w:t>
            </w:r>
          </w:p>
        </w:tc>
      </w:tr>
      <w:tr>
        <w:tc>
          <w:tcPr>
            <w:tcW w:type="dxa" w:w="2592"/>
            <w:shd w:fill="FFFFFF"/>
            <w:tcMar>
              <w:top w:w="80" w:type="dxa"/>
              <w:bottom w:w="80" w:type="dxa"/>
              <w:left w:w="90" w:type="dxa"/>
              <w:right w:w="90" w:type="dxa"/>
            </w:tcMar>
          </w:tcPr>
          <w:p>
            <w:pPr>
              <w:spacing w:before="20" w:after="20" w:line="252" w:lineRule="auto"/>
            </w:pPr>
            <w:r>
              <w:rPr>
                <w:rFonts w:ascii="Calibri" w:hAnsi="Calibri"/>
                <w:color w:val="282C34"/>
                <w:sz w:val="17"/>
              </w:rPr>
              <w:t>Kelayakan Mengikuti Ujian</w:t>
            </w:r>
          </w:p>
        </w:tc>
        <w:tc>
          <w:tcPr>
            <w:tcW w:type="dxa" w:w="3600"/>
            <w:shd w:fill="FFFFFF"/>
            <w:tcMar>
              <w:top w:w="80" w:type="dxa"/>
              <w:bottom w:w="80" w:type="dxa"/>
              <w:left w:w="90" w:type="dxa"/>
              <w:right w:w="90" w:type="dxa"/>
            </w:tcMar>
          </w:tcPr>
          <w:p>
            <w:pPr>
              <w:spacing w:before="20" w:after="20" w:line="252" w:lineRule="auto"/>
            </w:pPr>
            <w:r>
              <w:rPr>
                <w:rFonts w:ascii="Calibri" w:hAnsi="Calibri"/>
                <w:color w:val="282C34"/>
                <w:sz w:val="17"/>
              </w:rPr>
              <w:t>Ambang kehadiran minimal (default 75%), status pelunasan keuangan UTS/UAS minimal 100%.</w:t>
            </w:r>
          </w:p>
        </w:tc>
        <w:tc>
          <w:tcPr>
            <w:tcW w:type="dxa" w:w="3168"/>
            <w:shd w:fill="FFFFFF"/>
            <w:tcMar>
              <w:top w:w="80" w:type="dxa"/>
              <w:bottom w:w="80" w:type="dxa"/>
              <w:left w:w="90" w:type="dxa"/>
              <w:right w:w="90" w:type="dxa"/>
            </w:tcMar>
          </w:tcPr>
          <w:p>
            <w:pPr>
              <w:spacing w:before="20" w:after="20" w:line="252" w:lineRule="auto"/>
            </w:pPr>
            <w:r>
              <w:rPr>
                <w:rFonts w:ascii="Calibri" w:hAnsi="Calibri"/>
                <w:color w:val="282C34"/>
                <w:sz w:val="17"/>
              </w:rPr>
              <w:t>SK Rektor UNPAM / BAAK Terverifikasi</w:t>
            </w:r>
          </w:p>
        </w:tc>
      </w:tr>
      <w:tr>
        <w:tc>
          <w:tcPr>
            <w:tcW w:type="dxa" w:w="2592"/>
            <w:shd w:fill="F1F5F9"/>
            <w:tcMar>
              <w:top w:w="80" w:type="dxa"/>
              <w:bottom w:w="80" w:type="dxa"/>
              <w:left w:w="90" w:type="dxa"/>
              <w:right w:w="90" w:type="dxa"/>
            </w:tcMar>
          </w:tcPr>
          <w:p>
            <w:pPr>
              <w:spacing w:before="20" w:after="20" w:line="252" w:lineRule="auto"/>
            </w:pPr>
            <w:r>
              <w:rPr>
                <w:rFonts w:ascii="Calibri" w:hAnsi="Calibri"/>
                <w:color w:val="282C34"/>
                <w:sz w:val="17"/>
              </w:rPr>
              <w:t>Bimbingan Skripsi / Tugas Akhir</w:t>
            </w:r>
          </w:p>
        </w:tc>
        <w:tc>
          <w:tcPr>
            <w:tcW w:type="dxa" w:w="3600"/>
            <w:shd w:fill="F1F5F9"/>
            <w:tcMar>
              <w:top w:w="80" w:type="dxa"/>
              <w:bottom w:w="80" w:type="dxa"/>
              <w:left w:w="90" w:type="dxa"/>
              <w:right w:w="90" w:type="dxa"/>
            </w:tcMar>
          </w:tcPr>
          <w:p>
            <w:pPr>
              <w:spacing w:before="20" w:after="20" w:line="252" w:lineRule="auto"/>
            </w:pPr>
            <w:r>
              <w:rPr>
                <w:rFonts w:ascii="Calibri" w:hAnsi="Calibri"/>
                <w:color w:val="282C34"/>
                <w:sz w:val="17"/>
              </w:rPr>
              <w:t>Jumlah tatap muka minimal bimbingan (default 8 kali), durasi aktif masa bimbingan (6 bulan).</w:t>
            </w:r>
          </w:p>
        </w:tc>
        <w:tc>
          <w:tcPr>
            <w:tcW w:type="dxa" w:w="3168"/>
            <w:shd w:fill="F1F5F9"/>
            <w:tcMar>
              <w:top w:w="80" w:type="dxa"/>
              <w:bottom w:w="80" w:type="dxa"/>
              <w:left w:w="90" w:type="dxa"/>
              <w:right w:w="90" w:type="dxa"/>
            </w:tcMar>
          </w:tcPr>
          <w:p>
            <w:pPr>
              <w:spacing w:before="20" w:after="20" w:line="252" w:lineRule="auto"/>
            </w:pPr>
            <w:r>
              <w:rPr>
                <w:rFonts w:ascii="Calibri" w:hAnsi="Calibri"/>
                <w:color w:val="282C34"/>
                <w:sz w:val="17"/>
              </w:rPr>
              <w:t>Pedoman TA Fakultas Terverifikasi</w:t>
            </w:r>
          </w:p>
        </w:tc>
      </w:tr>
      <w:tr>
        <w:tc>
          <w:tcPr>
            <w:tcW w:type="dxa" w:w="2592"/>
            <w:shd w:fill="FFFFFF"/>
            <w:tcMar>
              <w:top w:w="80" w:type="dxa"/>
              <w:bottom w:w="80" w:type="dxa"/>
              <w:left w:w="90" w:type="dxa"/>
              <w:right w:w="90" w:type="dxa"/>
            </w:tcMar>
          </w:tcPr>
          <w:p>
            <w:pPr>
              <w:spacing w:before="20" w:after="20" w:line="252" w:lineRule="auto"/>
            </w:pPr>
            <w:r>
              <w:rPr>
                <w:rFonts w:ascii="Calibri" w:hAnsi="Calibri"/>
                <w:color w:val="282C34"/>
                <w:sz w:val="17"/>
              </w:rPr>
              <w:t>Rubrik Penilaian Ujian Akhir</w:t>
            </w:r>
          </w:p>
        </w:tc>
        <w:tc>
          <w:tcPr>
            <w:tcW w:type="dxa" w:w="3600"/>
            <w:shd w:fill="FFFFFF"/>
            <w:tcMar>
              <w:top w:w="80" w:type="dxa"/>
              <w:bottom w:w="80" w:type="dxa"/>
              <w:left w:w="90" w:type="dxa"/>
              <w:right w:w="90" w:type="dxa"/>
            </w:tcMar>
          </w:tcPr>
          <w:p>
            <w:pPr>
              <w:spacing w:before="20" w:after="20" w:line="252" w:lineRule="auto"/>
            </w:pPr>
            <w:r>
              <w:rPr>
                <w:rFonts w:ascii="Calibri" w:hAnsi="Calibri"/>
                <w:color w:val="282C34"/>
                <w:sz w:val="17"/>
              </w:rPr>
              <w:t>Komposisi bobot nilai: Pembimbing (40%), Penguji 1 (30%), Penguji 2 (30%); skala nilai 0-100.</w:t>
            </w:r>
          </w:p>
        </w:tc>
        <w:tc>
          <w:tcPr>
            <w:tcW w:type="dxa" w:w="3168"/>
            <w:shd w:fill="FFFFFF"/>
            <w:tcMar>
              <w:top w:w="80" w:type="dxa"/>
              <w:bottom w:w="80" w:type="dxa"/>
              <w:left w:w="90" w:type="dxa"/>
              <w:right w:w="90" w:type="dxa"/>
            </w:tcMar>
          </w:tcPr>
          <w:p>
            <w:pPr>
              <w:spacing w:before="20" w:after="20" w:line="252" w:lineRule="auto"/>
            </w:pPr>
            <w:r>
              <w:rPr>
                <w:rFonts w:ascii="Calibri" w:hAnsi="Calibri"/>
                <w:color w:val="282C34"/>
                <w:sz w:val="17"/>
              </w:rPr>
              <w:t>SK Dekanat Terverifikasi</w:t>
            </w:r>
          </w:p>
        </w:tc>
      </w:tr>
      <w:tr>
        <w:tc>
          <w:tcPr>
            <w:tcW w:type="dxa" w:w="2592"/>
            <w:shd w:fill="F1F5F9"/>
            <w:tcMar>
              <w:top w:w="80" w:type="dxa"/>
              <w:bottom w:w="80" w:type="dxa"/>
              <w:left w:w="90" w:type="dxa"/>
              <w:right w:w="90" w:type="dxa"/>
            </w:tcMar>
          </w:tcPr>
          <w:p>
            <w:pPr>
              <w:spacing w:before="20" w:after="20" w:line="252" w:lineRule="auto"/>
            </w:pPr>
            <w:r>
              <w:rPr>
                <w:rFonts w:ascii="Calibri" w:hAnsi="Calibri"/>
                <w:color w:val="282C34"/>
                <w:sz w:val="17"/>
              </w:rPr>
              <w:t>Tenggat Waktu Revisi</w:t>
            </w:r>
          </w:p>
        </w:tc>
        <w:tc>
          <w:tcPr>
            <w:tcW w:type="dxa" w:w="3600"/>
            <w:shd w:fill="F1F5F9"/>
            <w:tcMar>
              <w:top w:w="80" w:type="dxa"/>
              <w:bottom w:w="80" w:type="dxa"/>
              <w:left w:w="90" w:type="dxa"/>
              <w:right w:w="90" w:type="dxa"/>
            </w:tcMar>
          </w:tcPr>
          <w:p>
            <w:pPr>
              <w:spacing w:before="20" w:after="20" w:line="252" w:lineRule="auto"/>
            </w:pPr>
            <w:r>
              <w:rPr>
                <w:rFonts w:ascii="Calibri" w:hAnsi="Calibri"/>
                <w:color w:val="282C34"/>
                <w:sz w:val="17"/>
              </w:rPr>
              <w:t>Maksimal penyelesaian revisi pasca-sidang (default 14 hari kalender); sanksi ujian ulang bila terlampaui.</w:t>
            </w:r>
          </w:p>
        </w:tc>
        <w:tc>
          <w:tcPr>
            <w:tcW w:type="dxa" w:w="3168"/>
            <w:shd w:fill="F1F5F9"/>
            <w:tcMar>
              <w:top w:w="80" w:type="dxa"/>
              <w:bottom w:w="80" w:type="dxa"/>
              <w:left w:w="90" w:type="dxa"/>
              <w:right w:w="90" w:type="dxa"/>
            </w:tcMar>
          </w:tcPr>
          <w:p>
            <w:pPr>
              <w:spacing w:before="20" w:after="20" w:line="252" w:lineRule="auto"/>
            </w:pPr>
            <w:r>
              <w:rPr>
                <w:rFonts w:ascii="Calibri" w:hAnsi="Calibri"/>
                <w:color w:val="282C34"/>
                <w:sz w:val="17"/>
              </w:rPr>
              <w:t>Aturan BAAK Terverifikasi</w:t>
            </w:r>
          </w:p>
        </w:tc>
      </w:tr>
      <w:tr>
        <w:tc>
          <w:tcPr>
            <w:tcW w:type="dxa" w:w="2592"/>
            <w:shd w:fill="FFFFFF"/>
            <w:tcMar>
              <w:top w:w="80" w:type="dxa"/>
              <w:bottom w:w="80" w:type="dxa"/>
              <w:left w:w="90" w:type="dxa"/>
              <w:right w:w="90" w:type="dxa"/>
            </w:tcMar>
          </w:tcPr>
          <w:p>
            <w:pPr>
              <w:spacing w:before="20" w:after="20" w:line="252" w:lineRule="auto"/>
            </w:pPr>
            <w:r>
              <w:rPr>
                <w:rFonts w:ascii="Calibri" w:hAnsi="Calibri"/>
                <w:color w:val="282C34"/>
                <w:sz w:val="17"/>
              </w:rPr>
              <w:t>Pemeriksaan Kemiripan (Turnitin)</w:t>
            </w:r>
          </w:p>
        </w:tc>
        <w:tc>
          <w:tcPr>
            <w:tcW w:type="dxa" w:w="3600"/>
            <w:shd w:fill="FFFFFF"/>
            <w:tcMar>
              <w:top w:w="80" w:type="dxa"/>
              <w:bottom w:w="80" w:type="dxa"/>
              <w:left w:w="90" w:type="dxa"/>
              <w:right w:w="90" w:type="dxa"/>
            </w:tcMar>
          </w:tcPr>
          <w:p>
            <w:pPr>
              <w:spacing w:before="20" w:after="20" w:line="252" w:lineRule="auto"/>
            </w:pPr>
            <w:r>
              <w:rPr>
                <w:rFonts w:ascii="Calibri" w:hAnsi="Calibri"/>
                <w:color w:val="282C34"/>
                <w:sz w:val="17"/>
              </w:rPr>
              <w:t>Batas maksimal skor similarity index (default 25%) sebelum naskah dinyatakan layak sidang.</w:t>
            </w:r>
          </w:p>
        </w:tc>
        <w:tc>
          <w:tcPr>
            <w:tcW w:type="dxa" w:w="3168"/>
            <w:shd w:fill="FFFFFF"/>
            <w:tcMar>
              <w:top w:w="80" w:type="dxa"/>
              <w:bottom w:w="80" w:type="dxa"/>
              <w:left w:w="90" w:type="dxa"/>
              <w:right w:w="90" w:type="dxa"/>
            </w:tcMar>
          </w:tcPr>
          <w:p>
            <w:pPr>
              <w:spacing w:before="20" w:after="20" w:line="252" w:lineRule="auto"/>
            </w:pPr>
            <w:r>
              <w:rPr>
                <w:rFonts w:ascii="Calibri" w:hAnsi="Calibri"/>
                <w:color w:val="282C34"/>
                <w:sz w:val="17"/>
              </w:rPr>
              <w:t>SK Perpustakaan &amp; LPPM UNPAM</w:t>
            </w:r>
          </w:p>
        </w:tc>
      </w:tr>
      <w:tr>
        <w:tc>
          <w:tcPr>
            <w:tcW w:type="dxa" w:w="2592"/>
            <w:shd w:fill="F1F5F9"/>
            <w:tcMar>
              <w:top w:w="80" w:type="dxa"/>
              <w:bottom w:w="80" w:type="dxa"/>
              <w:left w:w="90" w:type="dxa"/>
              <w:right w:w="90" w:type="dxa"/>
            </w:tcMar>
          </w:tcPr>
          <w:p>
            <w:pPr>
              <w:spacing w:before="20" w:after="20" w:line="252" w:lineRule="auto"/>
            </w:pPr>
            <w:r>
              <w:rPr>
                <w:rFonts w:ascii="Calibri" w:hAnsi="Calibri"/>
                <w:color w:val="282C34"/>
                <w:sz w:val="17"/>
              </w:rPr>
              <w:t>Konfigurasi Spesifik Prodi</w:t>
            </w:r>
          </w:p>
        </w:tc>
        <w:tc>
          <w:tcPr>
            <w:tcW w:type="dxa" w:w="3600"/>
            <w:shd w:fill="F1F5F9"/>
            <w:tcMar>
              <w:top w:w="80" w:type="dxa"/>
              <w:bottom w:w="80" w:type="dxa"/>
              <w:left w:w="90" w:type="dxa"/>
              <w:right w:w="90" w:type="dxa"/>
            </w:tcMar>
          </w:tcPr>
          <w:p>
            <w:pPr>
              <w:spacing w:before="20" w:after="20" w:line="252" w:lineRule="auto"/>
            </w:pPr>
            <w:r>
              <w:rPr>
                <w:rFonts w:ascii="Calibri" w:hAnsi="Calibri"/>
                <w:color w:val="282C34"/>
                <w:sz w:val="17"/>
              </w:rPr>
              <w:t>Kemampuan menimpa (override) aturan umum untuk prodi tertentu (misal Prodi Teknik memiliki rubrik karya produk).</w:t>
            </w:r>
          </w:p>
        </w:tc>
        <w:tc>
          <w:tcPr>
            <w:tcW w:type="dxa" w:w="3168"/>
            <w:shd w:fill="F1F5F9"/>
            <w:tcMar>
              <w:top w:w="80" w:type="dxa"/>
              <w:bottom w:w="80" w:type="dxa"/>
              <w:left w:w="90" w:type="dxa"/>
              <w:right w:w="90" w:type="dxa"/>
            </w:tcMar>
          </w:tcPr>
          <w:p>
            <w:pPr>
              <w:spacing w:before="20" w:after="20" w:line="252" w:lineRule="auto"/>
            </w:pPr>
            <w:r>
              <w:rPr>
                <w:rFonts w:ascii="Calibri" w:hAnsi="Calibri"/>
                <w:color w:val="282C34"/>
                <w:sz w:val="17"/>
              </w:rPr>
              <w:t>Konfigurasi Modular Prodi</w:t>
            </w:r>
          </w:p>
        </w:tc>
      </w:tr>
    </w:tbl>
    <w:p>
      <w:pPr>
        <w:spacing w:before="80" w:after="80"/>
      </w:pPr>
    </w:p>
    <w:p>
      <w:pPr>
        <w:spacing w:before="440" w:after="160" w:line="276" w:lineRule="auto"/>
        <w:jc w:val="left"/>
        <w:pBdr>
          <w:bottom w:val="single" w:sz="14" w:space="2" w:color="1B365D"/>
        </w:pBdr>
      </w:pPr>
      <w:r>
        <w:rPr>
          <w:rFonts w:ascii="Calibri" w:hAnsi="Calibri"/>
          <w:b/>
          <w:i w:val="0"/>
          <w:color w:val="1B365D"/>
          <w:sz w:val="32"/>
        </w:rPr>
        <w:t>7. KEDAULATAN DATA, KEAMANAN, &amp; KEPATUHAN UU PDP NO. 27/2022</w:t>
      </w:r>
    </w:p>
    <w:p>
      <w:pPr>
        <w:spacing w:before="0" w:after="120" w:line="276" w:lineRule="auto"/>
        <w:jc w:val="left"/>
      </w:pPr>
      <w:r>
        <w:rPr>
          <w:rFonts w:ascii="Calibri" w:hAnsi="Calibri"/>
          <w:b w:val="0"/>
          <w:i w:val="0"/>
          <w:color w:val="282C34"/>
          <w:sz w:val="22"/>
        </w:rPr>
        <w:t>Super UNPAM dirancang dari awal (*Privacy by Design and by Default*) dengan mengacu penuh pada **Undang-Undang Republik Indonesia Nomor 27 Tahun 2022 tentang Pelindungan Data Pribadi (UU PDP)** serta standar keamanan siber internasional **ISO/IEC 27001** dan **OWASP ASVS 4.0**:</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B365D"/>
            <w:tcMar>
              <w:top w:w="100" w:type="dxa"/>
              <w:bottom w:w="100" w:type="dxa"/>
              <w:left w:w="100" w:type="dxa"/>
              <w:right w:w="100" w:type="dxa"/>
            </w:tcMar>
          </w:tcPr>
          <w:p>
            <w:pPr>
              <w:spacing w:before="40" w:after="40"/>
              <w:jc w:val="center"/>
            </w:pPr>
            <w:r>
              <w:rPr>
                <w:rFonts w:ascii="Calibri" w:hAnsi="Calibri"/>
                <w:b/>
                <w:color w:val="FFFFFF"/>
                <w:sz w:val="18"/>
              </w:rPr>
              <w:t>Aspek Keamanan &amp; Privasi</w:t>
            </w:r>
          </w:p>
        </w:tc>
        <w:tc>
          <w:tcPr>
            <w:tcW w:type="dxa" w:w="3888"/>
            <w:shd w:fill="1B365D"/>
            <w:tcMar>
              <w:top w:w="100" w:type="dxa"/>
              <w:bottom w:w="100" w:type="dxa"/>
              <w:left w:w="100" w:type="dxa"/>
              <w:right w:w="100" w:type="dxa"/>
            </w:tcMar>
          </w:tcPr>
          <w:p>
            <w:pPr>
              <w:spacing w:before="40" w:after="40"/>
              <w:jc w:val="center"/>
            </w:pPr>
            <w:r>
              <w:rPr>
                <w:rFonts w:ascii="Calibri" w:hAnsi="Calibri"/>
                <w:b/>
                <w:color w:val="FFFFFF"/>
                <w:sz w:val="18"/>
              </w:rPr>
              <w:t>Implementasi Teknis pada Super UNPAM</w:t>
            </w:r>
          </w:p>
        </w:tc>
        <w:tc>
          <w:tcPr>
            <w:tcW w:type="dxa" w:w="3312"/>
            <w:shd w:fill="1B365D"/>
            <w:tcMar>
              <w:top w:w="100" w:type="dxa"/>
              <w:bottom w:w="100" w:type="dxa"/>
              <w:left w:w="100" w:type="dxa"/>
              <w:right w:w="100" w:type="dxa"/>
            </w:tcMar>
          </w:tcPr>
          <w:p>
            <w:pPr>
              <w:spacing w:before="40" w:after="40"/>
              <w:jc w:val="center"/>
            </w:pPr>
            <w:r>
              <w:rPr>
                <w:rFonts w:ascii="Calibri" w:hAnsi="Calibri"/>
                <w:b/>
                <w:color w:val="FFFFFF"/>
                <w:sz w:val="18"/>
              </w:rPr>
              <w:t>Kepatuhan Regulasi</w:t>
            </w:r>
          </w:p>
        </w:tc>
      </w:tr>
      <w:tr>
        <w:tc>
          <w:tcPr>
            <w:tcW w:type="dxa" w:w="2160"/>
            <w:shd w:fill="FFFFFF"/>
            <w:tcMar>
              <w:top w:w="80" w:type="dxa"/>
              <w:bottom w:w="80" w:type="dxa"/>
              <w:left w:w="90" w:type="dxa"/>
              <w:right w:w="90" w:type="dxa"/>
            </w:tcMar>
          </w:tcPr>
          <w:p>
            <w:pPr>
              <w:spacing w:before="20" w:after="20" w:line="252" w:lineRule="auto"/>
            </w:pPr>
            <w:r>
              <w:rPr>
                <w:rFonts w:ascii="Calibri" w:hAnsi="Calibri"/>
                <w:color w:val="282C34"/>
                <w:sz w:val="17"/>
              </w:rPr>
              <w:t>Perlindungan Data Bergerak (In Transit)</w:t>
            </w:r>
          </w:p>
        </w:tc>
        <w:tc>
          <w:tcPr>
            <w:tcW w:type="dxa" w:w="3888"/>
            <w:shd w:fill="FFFFFF"/>
            <w:tcMar>
              <w:top w:w="80" w:type="dxa"/>
              <w:bottom w:w="80" w:type="dxa"/>
              <w:left w:w="90" w:type="dxa"/>
              <w:right w:w="90" w:type="dxa"/>
            </w:tcMar>
          </w:tcPr>
          <w:p>
            <w:pPr>
              <w:spacing w:before="20" w:after="20" w:line="252" w:lineRule="auto"/>
            </w:pPr>
            <w:r>
              <w:rPr>
                <w:rFonts w:ascii="Calibri" w:hAnsi="Calibri"/>
                <w:color w:val="282C34"/>
                <w:sz w:val="17"/>
              </w:rPr>
              <w:t>Enkripsi TLS 1.3 wajib; penerapan HSTS Preload (`max-age=63072000; includeSubDomains; preload`).</w:t>
            </w:r>
          </w:p>
        </w:tc>
        <w:tc>
          <w:tcPr>
            <w:tcW w:type="dxa" w:w="3312"/>
            <w:shd w:fill="FFFFFF"/>
            <w:tcMar>
              <w:top w:w="80" w:type="dxa"/>
              <w:bottom w:w="80" w:type="dxa"/>
              <w:left w:w="90" w:type="dxa"/>
              <w:right w:w="90" w:type="dxa"/>
            </w:tcMar>
          </w:tcPr>
          <w:p>
            <w:pPr>
              <w:spacing w:before="20" w:after="20" w:line="252" w:lineRule="auto"/>
            </w:pPr>
            <w:r>
              <w:rPr>
                <w:rFonts w:ascii="Calibri" w:hAnsi="Calibri"/>
                <w:color w:val="282C34"/>
                <w:sz w:val="17"/>
              </w:rPr>
              <w:t>UU PDP Ps. 35, NIST SP 800-52</w:t>
            </w:r>
          </w:p>
        </w:tc>
      </w:tr>
      <w:tr>
        <w:tc>
          <w:tcPr>
            <w:tcW w:type="dxa" w:w="2160"/>
            <w:shd w:fill="F1F5F9"/>
            <w:tcMar>
              <w:top w:w="80" w:type="dxa"/>
              <w:bottom w:w="80" w:type="dxa"/>
              <w:left w:w="90" w:type="dxa"/>
              <w:right w:w="90" w:type="dxa"/>
            </w:tcMar>
          </w:tcPr>
          <w:p>
            <w:pPr>
              <w:spacing w:before="20" w:after="20" w:line="252" w:lineRule="auto"/>
            </w:pPr>
            <w:r>
              <w:rPr>
                <w:rFonts w:ascii="Calibri" w:hAnsi="Calibri"/>
                <w:color w:val="282C34"/>
                <w:sz w:val="17"/>
              </w:rPr>
              <w:t>Perlindungan Data Tersimpan (At Rest)</w:t>
            </w:r>
          </w:p>
        </w:tc>
        <w:tc>
          <w:tcPr>
            <w:tcW w:type="dxa" w:w="3888"/>
            <w:shd w:fill="F1F5F9"/>
            <w:tcMar>
              <w:top w:w="80" w:type="dxa"/>
              <w:bottom w:w="80" w:type="dxa"/>
              <w:left w:w="90" w:type="dxa"/>
              <w:right w:w="90" w:type="dxa"/>
            </w:tcMar>
          </w:tcPr>
          <w:p>
            <w:pPr>
              <w:spacing w:before="20" w:after="20" w:line="252" w:lineRule="auto"/>
            </w:pPr>
            <w:r>
              <w:rPr>
                <w:rFonts w:ascii="Calibri" w:hAnsi="Calibri"/>
                <w:color w:val="282C34"/>
                <w:sz w:val="17"/>
              </w:rPr>
              <w:t>Data kredensial dan cache lokal mahasiswa dienkripsi menggunakan Web Crypto API (AES-GCM 256-bit).</w:t>
            </w:r>
          </w:p>
        </w:tc>
        <w:tc>
          <w:tcPr>
            <w:tcW w:type="dxa" w:w="3312"/>
            <w:shd w:fill="F1F5F9"/>
            <w:tcMar>
              <w:top w:w="80" w:type="dxa"/>
              <w:bottom w:w="80" w:type="dxa"/>
              <w:left w:w="90" w:type="dxa"/>
              <w:right w:w="90" w:type="dxa"/>
            </w:tcMar>
          </w:tcPr>
          <w:p>
            <w:pPr>
              <w:spacing w:before="20" w:after="20" w:line="252" w:lineRule="auto"/>
            </w:pPr>
            <w:r>
              <w:rPr>
                <w:rFonts w:ascii="Calibri" w:hAnsi="Calibri"/>
                <w:color w:val="282C34"/>
                <w:sz w:val="17"/>
              </w:rPr>
              <w:t>UU PDP Ps. 35, ISO 27001 A.10.1</w:t>
            </w:r>
          </w:p>
        </w:tc>
      </w:tr>
      <w:tr>
        <w:tc>
          <w:tcPr>
            <w:tcW w:type="dxa" w:w="2160"/>
            <w:shd w:fill="FFFFFF"/>
            <w:tcMar>
              <w:top w:w="80" w:type="dxa"/>
              <w:bottom w:w="80" w:type="dxa"/>
              <w:left w:w="90" w:type="dxa"/>
              <w:right w:w="90" w:type="dxa"/>
            </w:tcMar>
          </w:tcPr>
          <w:p>
            <w:pPr>
              <w:spacing w:before="20" w:after="20" w:line="252" w:lineRule="auto"/>
            </w:pPr>
            <w:r>
              <w:rPr>
                <w:rFonts w:ascii="Calibri" w:hAnsi="Calibri"/>
                <w:color w:val="282C34"/>
                <w:sz w:val="17"/>
              </w:rPr>
              <w:t>Manajemen Sesi Aman</w:t>
            </w:r>
          </w:p>
        </w:tc>
        <w:tc>
          <w:tcPr>
            <w:tcW w:type="dxa" w:w="3888"/>
            <w:shd w:fill="FFFFFF"/>
            <w:tcMar>
              <w:top w:w="80" w:type="dxa"/>
              <w:bottom w:w="80" w:type="dxa"/>
              <w:left w:w="90" w:type="dxa"/>
              <w:right w:w="90" w:type="dxa"/>
            </w:tcMar>
          </w:tcPr>
          <w:p>
            <w:pPr>
              <w:spacing w:before="20" w:after="20" w:line="252" w:lineRule="auto"/>
            </w:pPr>
            <w:r>
              <w:rPr>
                <w:rFonts w:ascii="Calibri" w:hAnsi="Calibri"/>
                <w:color w:val="282C34"/>
                <w:sz w:val="17"/>
              </w:rPr>
              <w:t>Sesi dikelola melalui Cookie `HttpOnly; Secure; SameSite=Lax` bertanda tangan HMAC kriptografis; token tidak terekspos di localStorage.</w:t>
            </w:r>
          </w:p>
        </w:tc>
        <w:tc>
          <w:tcPr>
            <w:tcW w:type="dxa" w:w="3312"/>
            <w:shd w:fill="FFFFFF"/>
            <w:tcMar>
              <w:top w:w="80" w:type="dxa"/>
              <w:bottom w:w="80" w:type="dxa"/>
              <w:left w:w="90" w:type="dxa"/>
              <w:right w:w="90" w:type="dxa"/>
            </w:tcMar>
          </w:tcPr>
          <w:p>
            <w:pPr>
              <w:spacing w:before="20" w:after="20" w:line="252" w:lineRule="auto"/>
            </w:pPr>
            <w:r>
              <w:rPr>
                <w:rFonts w:ascii="Calibri" w:hAnsi="Calibri"/>
                <w:color w:val="282C34"/>
                <w:sz w:val="17"/>
              </w:rPr>
              <w:t>OWASP ASVS V3.2, NIST 800-63B</w:t>
            </w:r>
          </w:p>
        </w:tc>
      </w:tr>
      <w:tr>
        <w:tc>
          <w:tcPr>
            <w:tcW w:type="dxa" w:w="2160"/>
            <w:shd w:fill="F1F5F9"/>
            <w:tcMar>
              <w:top w:w="80" w:type="dxa"/>
              <w:bottom w:w="80" w:type="dxa"/>
              <w:left w:w="90" w:type="dxa"/>
              <w:right w:w="90" w:type="dxa"/>
            </w:tcMar>
          </w:tcPr>
          <w:p>
            <w:pPr>
              <w:spacing w:before="20" w:after="20" w:line="252" w:lineRule="auto"/>
            </w:pPr>
            <w:r>
              <w:rPr>
                <w:rFonts w:ascii="Calibri" w:hAnsi="Calibri"/>
                <w:color w:val="282C34"/>
                <w:sz w:val="17"/>
              </w:rPr>
              <w:t>Mitigasi Serangan XSS &amp; Clickjacking</w:t>
            </w:r>
          </w:p>
        </w:tc>
        <w:tc>
          <w:tcPr>
            <w:tcW w:type="dxa" w:w="3888"/>
            <w:shd w:fill="F1F5F9"/>
            <w:tcMar>
              <w:top w:w="80" w:type="dxa"/>
              <w:bottom w:w="80" w:type="dxa"/>
              <w:left w:w="90" w:type="dxa"/>
              <w:right w:w="90" w:type="dxa"/>
            </w:tcMar>
          </w:tcPr>
          <w:p>
            <w:pPr>
              <w:spacing w:before="20" w:after="20" w:line="252" w:lineRule="auto"/>
            </w:pPr>
            <w:r>
              <w:rPr>
                <w:rFonts w:ascii="Calibri" w:hAnsi="Calibri"/>
                <w:color w:val="282C34"/>
                <w:sz w:val="17"/>
              </w:rPr>
              <w:t>Penegakan Content-Security-Policy (CSP) ketat tanpa `unsafe-eval`, serta `X-Frame-Options: DENY`.</w:t>
            </w:r>
          </w:p>
        </w:tc>
        <w:tc>
          <w:tcPr>
            <w:tcW w:type="dxa" w:w="3312"/>
            <w:shd w:fill="F1F5F9"/>
            <w:tcMar>
              <w:top w:w="80" w:type="dxa"/>
              <w:bottom w:w="80" w:type="dxa"/>
              <w:left w:w="90" w:type="dxa"/>
              <w:right w:w="90" w:type="dxa"/>
            </w:tcMar>
          </w:tcPr>
          <w:p>
            <w:pPr>
              <w:spacing w:before="20" w:after="20" w:line="252" w:lineRule="auto"/>
            </w:pPr>
            <w:r>
              <w:rPr>
                <w:rFonts w:ascii="Calibri" w:hAnsi="Calibri"/>
                <w:color w:val="282C34"/>
                <w:sz w:val="17"/>
              </w:rPr>
              <w:t>OWASP ASVS V7.2, V7.4</w:t>
            </w:r>
          </w:p>
        </w:tc>
      </w:tr>
      <w:tr>
        <w:tc>
          <w:tcPr>
            <w:tcW w:type="dxa" w:w="2160"/>
            <w:shd w:fill="FFFFFF"/>
            <w:tcMar>
              <w:top w:w="80" w:type="dxa"/>
              <w:bottom w:w="80" w:type="dxa"/>
              <w:left w:w="90" w:type="dxa"/>
              <w:right w:w="90" w:type="dxa"/>
            </w:tcMar>
          </w:tcPr>
          <w:p>
            <w:pPr>
              <w:spacing w:before="20" w:after="20" w:line="252" w:lineRule="auto"/>
            </w:pPr>
            <w:r>
              <w:rPr>
                <w:rFonts w:ascii="Calibri" w:hAnsi="Calibri"/>
                <w:color w:val="282C34"/>
                <w:sz w:val="17"/>
              </w:rPr>
              <w:t>Prinsip Minimisasi Data</w:t>
            </w:r>
          </w:p>
        </w:tc>
        <w:tc>
          <w:tcPr>
            <w:tcW w:type="dxa" w:w="3888"/>
            <w:shd w:fill="FFFFFF"/>
            <w:tcMar>
              <w:top w:w="80" w:type="dxa"/>
              <w:bottom w:w="80" w:type="dxa"/>
              <w:left w:w="90" w:type="dxa"/>
              <w:right w:w="90" w:type="dxa"/>
            </w:tcMar>
          </w:tcPr>
          <w:p>
            <w:pPr>
              <w:spacing w:before="20" w:after="20" w:line="252" w:lineRule="auto"/>
            </w:pPr>
            <w:r>
              <w:rPr>
                <w:rFonts w:ascii="Calibri" w:hAnsi="Calibri"/>
                <w:color w:val="282C34"/>
                <w:sz w:val="17"/>
              </w:rPr>
              <w:t>Papan kemajuan prodi hanya menampilkan agregat; nama mahasiswa dianonimkan pada statistik umum; ekspor CSV aman dari injeksi formula.</w:t>
            </w:r>
          </w:p>
        </w:tc>
        <w:tc>
          <w:tcPr>
            <w:tcW w:type="dxa" w:w="3312"/>
            <w:shd w:fill="FFFFFF"/>
            <w:tcMar>
              <w:top w:w="80" w:type="dxa"/>
              <w:bottom w:w="80" w:type="dxa"/>
              <w:left w:w="90" w:type="dxa"/>
              <w:right w:w="90" w:type="dxa"/>
            </w:tcMar>
          </w:tcPr>
          <w:p>
            <w:pPr>
              <w:spacing w:before="20" w:after="20" w:line="252" w:lineRule="auto"/>
            </w:pPr>
            <w:r>
              <w:rPr>
                <w:rFonts w:ascii="Calibri" w:hAnsi="Calibri"/>
                <w:color w:val="282C34"/>
                <w:sz w:val="17"/>
              </w:rPr>
              <w:t>UU PDP Ps. 16 ayat (2)</w:t>
            </w:r>
          </w:p>
        </w:tc>
      </w:tr>
      <w:tr>
        <w:tc>
          <w:tcPr>
            <w:tcW w:type="dxa" w:w="2160"/>
            <w:shd w:fill="F1F5F9"/>
            <w:tcMar>
              <w:top w:w="80" w:type="dxa"/>
              <w:bottom w:w="80" w:type="dxa"/>
              <w:left w:w="90" w:type="dxa"/>
              <w:right w:w="90" w:type="dxa"/>
            </w:tcMar>
          </w:tcPr>
          <w:p>
            <w:pPr>
              <w:spacing w:before="20" w:after="20" w:line="252" w:lineRule="auto"/>
            </w:pPr>
            <w:r>
              <w:rPr>
                <w:rFonts w:ascii="Calibri" w:hAnsi="Calibri"/>
                <w:color w:val="282C34"/>
                <w:sz w:val="17"/>
              </w:rPr>
              <w:t>Privasi Lokasi Geofencing</w:t>
            </w:r>
          </w:p>
        </w:tc>
        <w:tc>
          <w:tcPr>
            <w:tcW w:type="dxa" w:w="3888"/>
            <w:shd w:fill="F1F5F9"/>
            <w:tcMar>
              <w:top w:w="80" w:type="dxa"/>
              <w:bottom w:w="80" w:type="dxa"/>
              <w:left w:w="90" w:type="dxa"/>
              <w:right w:w="90" w:type="dxa"/>
            </w:tcMar>
          </w:tcPr>
          <w:p>
            <w:pPr>
              <w:spacing w:before="20" w:after="20" w:line="252" w:lineRule="auto"/>
            </w:pPr>
            <w:r>
              <w:rPr>
                <w:rFonts w:ascii="Calibri" w:hAnsi="Calibri"/>
                <w:color w:val="282C34"/>
                <w:sz w:val="17"/>
              </w:rPr>
              <w:t>Koordinat GPS hanya dihitung sesaat saat submit presensi; sistem tidak merekam riwayat pergerakan rute mahasiswa (zero continuous tracking).</w:t>
            </w:r>
          </w:p>
        </w:tc>
        <w:tc>
          <w:tcPr>
            <w:tcW w:type="dxa" w:w="3312"/>
            <w:shd w:fill="F1F5F9"/>
            <w:tcMar>
              <w:top w:w="80" w:type="dxa"/>
              <w:bottom w:w="80" w:type="dxa"/>
              <w:left w:w="90" w:type="dxa"/>
              <w:right w:w="90" w:type="dxa"/>
            </w:tcMar>
          </w:tcPr>
          <w:p>
            <w:pPr>
              <w:spacing w:before="20" w:after="20" w:line="252" w:lineRule="auto"/>
            </w:pPr>
            <w:r>
              <w:rPr>
                <w:rFonts w:ascii="Calibri" w:hAnsi="Calibri"/>
                <w:color w:val="282C34"/>
                <w:sz w:val="17"/>
              </w:rPr>
              <w:t>UU PDP Hak Privasi Lokasi</w:t>
            </w:r>
          </w:p>
        </w:tc>
      </w:tr>
      <w:tr>
        <w:tc>
          <w:tcPr>
            <w:tcW w:type="dxa" w:w="2160"/>
            <w:shd w:fill="FFFFFF"/>
            <w:tcMar>
              <w:top w:w="80" w:type="dxa"/>
              <w:bottom w:w="80" w:type="dxa"/>
              <w:left w:w="90" w:type="dxa"/>
              <w:right w:w="90" w:type="dxa"/>
            </w:tcMar>
          </w:tcPr>
          <w:p>
            <w:pPr>
              <w:spacing w:before="20" w:after="20" w:line="252" w:lineRule="auto"/>
            </w:pPr>
            <w:r>
              <w:rPr>
                <w:rFonts w:ascii="Calibri" w:hAnsi="Calibri"/>
                <w:color w:val="282C34"/>
                <w:sz w:val="17"/>
              </w:rPr>
              <w:t>Hak Subjek Data (Right to Erasure)</w:t>
            </w:r>
          </w:p>
        </w:tc>
        <w:tc>
          <w:tcPr>
            <w:tcW w:type="dxa" w:w="3888"/>
            <w:shd w:fill="FFFFFF"/>
            <w:tcMar>
              <w:top w:w="80" w:type="dxa"/>
              <w:bottom w:w="80" w:type="dxa"/>
              <w:left w:w="90" w:type="dxa"/>
              <w:right w:w="90" w:type="dxa"/>
            </w:tcMar>
          </w:tcPr>
          <w:p>
            <w:pPr>
              <w:spacing w:before="20" w:after="20" w:line="252" w:lineRule="auto"/>
            </w:pPr>
            <w:r>
              <w:rPr>
                <w:rFonts w:ascii="Calibri" w:hAnsi="Calibri"/>
                <w:color w:val="282C34"/>
                <w:sz w:val="17"/>
              </w:rPr>
              <w:t>Tersedia fitur 'Hapus Data Demo / Logout Bersih' yang membersihkan seluruh jejak IndexedDB dan sesi lokal seketika.</w:t>
            </w:r>
          </w:p>
        </w:tc>
        <w:tc>
          <w:tcPr>
            <w:tcW w:type="dxa" w:w="3312"/>
            <w:shd w:fill="FFFFFF"/>
            <w:tcMar>
              <w:top w:w="80" w:type="dxa"/>
              <w:bottom w:w="80" w:type="dxa"/>
              <w:left w:w="90" w:type="dxa"/>
              <w:right w:w="90" w:type="dxa"/>
            </w:tcMar>
          </w:tcPr>
          <w:p>
            <w:pPr>
              <w:spacing w:before="20" w:after="20" w:line="252" w:lineRule="auto"/>
            </w:pPr>
            <w:r>
              <w:rPr>
                <w:rFonts w:ascii="Calibri" w:hAnsi="Calibri"/>
                <w:color w:val="282C34"/>
                <w:sz w:val="17"/>
              </w:rPr>
              <w:t>UU PDP Ps. 8 &amp; 9</w:t>
            </w:r>
          </w:p>
        </w:tc>
      </w:tr>
    </w:tbl>
    <w:p>
      <w:pPr>
        <w:spacing w:before="80" w:after="80"/>
      </w:pPr>
    </w:p>
    <w:p>
      <w:pPr>
        <w:spacing w:before="440" w:after="160" w:line="276" w:lineRule="auto"/>
        <w:jc w:val="left"/>
        <w:pBdr>
          <w:bottom w:val="single" w:sz="14" w:space="2" w:color="1B365D"/>
        </w:pBdr>
      </w:pPr>
      <w:r>
        <w:rPr>
          <w:rFonts w:ascii="Calibri" w:hAnsi="Calibri"/>
          <w:b/>
          <w:i w:val="0"/>
          <w:color w:val="1B365D"/>
          <w:sz w:val="32"/>
        </w:rPr>
        <w:t>8. ANALISIS DAMPAK BISNIS, EFISIENSI (TCO &amp; ROI), DAN BEBAN SERVER</w:t>
      </w:r>
    </w:p>
    <w:p>
      <w:pPr>
        <w:spacing w:before="0" w:after="120" w:line="276" w:lineRule="auto"/>
        <w:jc w:val="left"/>
      </w:pPr>
      <w:r>
        <w:rPr>
          <w:rFonts w:ascii="Calibri" w:hAnsi="Calibri"/>
          <w:b w:val="0"/>
          <w:i w:val="0"/>
          <w:color w:val="282C34"/>
          <w:sz w:val="22"/>
        </w:rPr>
        <w:t>Penerapan Super UNPAM memberikan efisiensi luar biasa bagi institusi dalam hal infrastruktur komputasi, biaya lisensi, dan jam kerja operasional: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B365D"/>
            <w:tcMar>
              <w:top w:w="100" w:type="dxa"/>
              <w:bottom w:w="100" w:type="dxa"/>
              <w:left w:w="100" w:type="dxa"/>
              <w:right w:w="100" w:type="dxa"/>
            </w:tcMar>
          </w:tcPr>
          <w:p>
            <w:pPr>
              <w:spacing w:before="40" w:after="40"/>
              <w:jc w:val="center"/>
            </w:pPr>
            <w:r>
              <w:rPr>
                <w:rFonts w:ascii="Calibri" w:hAnsi="Calibri"/>
                <w:b/>
                <w:color w:val="FFFFFF"/>
                <w:sz w:val="18"/>
              </w:rPr>
              <w:t>Komponen Biaya / Beban</w:t>
            </w:r>
          </w:p>
        </w:tc>
        <w:tc>
          <w:tcPr>
            <w:tcW w:type="dxa" w:w="2592"/>
            <w:shd w:fill="1B365D"/>
            <w:tcMar>
              <w:top w:w="100" w:type="dxa"/>
              <w:bottom w:w="100" w:type="dxa"/>
              <w:left w:w="100" w:type="dxa"/>
              <w:right w:w="100" w:type="dxa"/>
            </w:tcMar>
          </w:tcPr>
          <w:p>
            <w:pPr>
              <w:spacing w:before="40" w:after="40"/>
              <w:jc w:val="center"/>
            </w:pPr>
            <w:r>
              <w:rPr>
                <w:rFonts w:ascii="Calibri" w:hAnsi="Calibri"/>
                <w:b/>
                <w:color w:val="FFFFFF"/>
                <w:sz w:val="18"/>
              </w:rPr>
              <w:t>Kondisi Konvensional (Portal Legacy)</w:t>
            </w:r>
          </w:p>
        </w:tc>
        <w:tc>
          <w:tcPr>
            <w:tcW w:type="dxa" w:w="2592"/>
            <w:shd w:fill="1B365D"/>
            <w:tcMar>
              <w:top w:w="100" w:type="dxa"/>
              <w:bottom w:w="100" w:type="dxa"/>
              <w:left w:w="100" w:type="dxa"/>
              <w:right w:w="100" w:type="dxa"/>
            </w:tcMar>
          </w:tcPr>
          <w:p>
            <w:pPr>
              <w:spacing w:before="40" w:after="40"/>
              <w:jc w:val="center"/>
            </w:pPr>
            <w:r>
              <w:rPr>
                <w:rFonts w:ascii="Calibri" w:hAnsi="Calibri"/>
                <w:b/>
                <w:color w:val="FFFFFF"/>
                <w:sz w:val="18"/>
              </w:rPr>
              <w:t>Setelah Adopsi Super UNPAM</w:t>
            </w:r>
          </w:p>
        </w:tc>
        <w:tc>
          <w:tcPr>
            <w:tcW w:type="dxa" w:w="2160"/>
            <w:shd w:fill="1B365D"/>
            <w:tcMar>
              <w:top w:w="100" w:type="dxa"/>
              <w:bottom w:w="100" w:type="dxa"/>
              <w:left w:w="100" w:type="dxa"/>
              <w:right w:w="100" w:type="dxa"/>
            </w:tcMar>
          </w:tcPr>
          <w:p>
            <w:pPr>
              <w:spacing w:before="40" w:after="40"/>
              <w:jc w:val="center"/>
            </w:pPr>
            <w:r>
              <w:rPr>
                <w:rFonts w:ascii="Calibri" w:hAnsi="Calibri"/>
                <w:b/>
                <w:color w:val="FFFFFF"/>
                <w:sz w:val="18"/>
              </w:rPr>
              <w:t>Penghematan / Manfaat Nyata</w:t>
            </w:r>
          </w:p>
        </w:tc>
      </w:tr>
      <w:tr>
        <w:tc>
          <w:tcPr>
            <w:tcW w:type="dxa" w:w="2016"/>
            <w:shd w:fill="FFFFFF"/>
            <w:tcMar>
              <w:top w:w="80" w:type="dxa"/>
              <w:bottom w:w="80" w:type="dxa"/>
              <w:left w:w="90" w:type="dxa"/>
              <w:right w:w="90" w:type="dxa"/>
            </w:tcMar>
          </w:tcPr>
          <w:p>
            <w:pPr>
              <w:spacing w:before="20" w:after="20" w:line="252" w:lineRule="auto"/>
            </w:pPr>
            <w:r>
              <w:rPr>
                <w:rFonts w:ascii="Calibri" w:hAnsi="Calibri"/>
                <w:color w:val="282C34"/>
                <w:sz w:val="17"/>
              </w:rPr>
              <w:t>Beban Lalu Lintas Server Kampus</w:t>
            </w:r>
          </w:p>
        </w:tc>
        <w:tc>
          <w:tcPr>
            <w:tcW w:type="dxa" w:w="2592"/>
            <w:shd w:fill="FFFFFF"/>
            <w:tcMar>
              <w:top w:w="80" w:type="dxa"/>
              <w:bottom w:w="80" w:type="dxa"/>
              <w:left w:w="90" w:type="dxa"/>
              <w:right w:w="90" w:type="dxa"/>
            </w:tcMar>
          </w:tcPr>
          <w:p>
            <w:pPr>
              <w:spacing w:before="20" w:after="20" w:line="252" w:lineRule="auto"/>
            </w:pPr>
            <w:r>
              <w:rPr>
                <w:rFonts w:ascii="Calibri" w:hAnsi="Calibri"/>
                <w:color w:val="282C34"/>
                <w:sz w:val="17"/>
              </w:rPr>
              <w:t>Server on-premise melayani 100% beban request aset statis (HTML/JS/CSS/Gambar). Server rawan crash saat KRS.</w:t>
            </w:r>
          </w:p>
        </w:tc>
        <w:tc>
          <w:tcPr>
            <w:tcW w:type="dxa" w:w="2592"/>
            <w:shd w:fill="FFFFFF"/>
            <w:tcMar>
              <w:top w:w="80" w:type="dxa"/>
              <w:bottom w:w="80" w:type="dxa"/>
              <w:left w:w="90" w:type="dxa"/>
              <w:right w:w="90" w:type="dxa"/>
            </w:tcMar>
          </w:tcPr>
          <w:p>
            <w:pPr>
              <w:spacing w:before="20" w:after="20" w:line="252" w:lineRule="auto"/>
            </w:pPr>
            <w:r>
              <w:rPr>
                <w:rFonts w:ascii="Calibri" w:hAnsi="Calibri"/>
                <w:color w:val="282C34"/>
                <w:sz w:val="17"/>
              </w:rPr>
              <w:t>90% beban penyajian aset diserap gratis oleh Vercel Global Anycast Edge CDN. Server kampus hanya melayani payload JSON ringan.</w:t>
            </w:r>
          </w:p>
        </w:tc>
        <w:tc>
          <w:tcPr>
            <w:tcW w:type="dxa" w:w="2160"/>
            <w:shd w:fill="FFFFFF"/>
            <w:tcMar>
              <w:top w:w="80" w:type="dxa"/>
              <w:bottom w:w="80" w:type="dxa"/>
              <w:left w:w="90" w:type="dxa"/>
              <w:right w:w="90" w:type="dxa"/>
            </w:tcMar>
          </w:tcPr>
          <w:p>
            <w:pPr>
              <w:spacing w:before="20" w:after="20" w:line="252" w:lineRule="auto"/>
            </w:pPr>
            <w:r>
              <w:rPr>
                <w:rFonts w:ascii="Calibri" w:hAnsi="Calibri"/>
                <w:color w:val="282C34"/>
                <w:sz w:val="17"/>
              </w:rPr>
              <w:t>Reduksi beban server hingga 90%; eliminasi downtime saat puncak pengisian KRS.</w:t>
            </w:r>
          </w:p>
        </w:tc>
      </w:tr>
      <w:tr>
        <w:tc>
          <w:tcPr>
            <w:tcW w:type="dxa" w:w="2016"/>
            <w:shd w:fill="F1F5F9"/>
            <w:tcMar>
              <w:top w:w="80" w:type="dxa"/>
              <w:bottom w:w="80" w:type="dxa"/>
              <w:left w:w="90" w:type="dxa"/>
              <w:right w:w="90" w:type="dxa"/>
            </w:tcMar>
          </w:tcPr>
          <w:p>
            <w:pPr>
              <w:spacing w:before="20" w:after="20" w:line="252" w:lineRule="auto"/>
            </w:pPr>
            <w:r>
              <w:rPr>
                <w:rFonts w:ascii="Calibri" w:hAnsi="Calibri"/>
                <w:color w:val="282C34"/>
                <w:sz w:val="17"/>
              </w:rPr>
              <w:t>Biaya Penerbitan Aplikasi Mobile</w:t>
            </w:r>
          </w:p>
        </w:tc>
        <w:tc>
          <w:tcPr>
            <w:tcW w:type="dxa" w:w="2592"/>
            <w:shd w:fill="F1F5F9"/>
            <w:tcMar>
              <w:top w:w="80" w:type="dxa"/>
              <w:bottom w:w="80" w:type="dxa"/>
              <w:left w:w="90" w:type="dxa"/>
              <w:right w:w="90" w:type="dxa"/>
            </w:tcMar>
          </w:tcPr>
          <w:p>
            <w:pPr>
              <w:spacing w:before="20" w:after="20" w:line="252" w:lineRule="auto"/>
            </w:pPr>
            <w:r>
              <w:rPr>
                <w:rFonts w:ascii="Calibri" w:hAnsi="Calibri"/>
                <w:color w:val="282C34"/>
                <w:sz w:val="17"/>
              </w:rPr>
              <w:t>Harus membangun aplikasi Android Java/Kotlin dan iOS Swift terpisah; biaya dev store ($99/thn Apple + $25 Google) + maintain 2 codebase.</w:t>
            </w:r>
          </w:p>
        </w:tc>
        <w:tc>
          <w:tcPr>
            <w:tcW w:type="dxa" w:w="2592"/>
            <w:shd w:fill="F1F5F9"/>
            <w:tcMar>
              <w:top w:w="80" w:type="dxa"/>
              <w:bottom w:w="80" w:type="dxa"/>
              <w:left w:w="90" w:type="dxa"/>
              <w:right w:w="90" w:type="dxa"/>
            </w:tcMar>
          </w:tcPr>
          <w:p>
            <w:pPr>
              <w:spacing w:before="20" w:after="20" w:line="252" w:lineRule="auto"/>
            </w:pPr>
            <w:r>
              <w:rPr>
                <w:rFonts w:ascii="Calibri" w:hAnsi="Calibri"/>
                <w:color w:val="282C34"/>
                <w:sz w:val="17"/>
              </w:rPr>
              <w:t>Progressive Web App (PWA) satu codebase untuk semua platform (Web, Android, iOS, Windows, Mac).</w:t>
            </w:r>
          </w:p>
        </w:tc>
        <w:tc>
          <w:tcPr>
            <w:tcW w:type="dxa" w:w="2160"/>
            <w:shd w:fill="F1F5F9"/>
            <w:tcMar>
              <w:top w:w="80" w:type="dxa"/>
              <w:bottom w:w="80" w:type="dxa"/>
              <w:left w:w="90" w:type="dxa"/>
              <w:right w:w="90" w:type="dxa"/>
            </w:tcMar>
          </w:tcPr>
          <w:p>
            <w:pPr>
              <w:spacing w:before="20" w:after="20" w:line="252" w:lineRule="auto"/>
            </w:pPr>
            <w:r>
              <w:rPr>
                <w:rFonts w:ascii="Calibri" w:hAnsi="Calibri"/>
                <w:color w:val="282C34"/>
                <w:sz w:val="17"/>
              </w:rPr>
              <w:t>Menghemat ratusan juta rupiah biaya pengembangan dan maintenance multi-platform.</w:t>
            </w:r>
          </w:p>
        </w:tc>
      </w:tr>
      <w:tr>
        <w:tc>
          <w:tcPr>
            <w:tcW w:type="dxa" w:w="2016"/>
            <w:shd w:fill="FFFFFF"/>
            <w:tcMar>
              <w:top w:w="80" w:type="dxa"/>
              <w:bottom w:w="80" w:type="dxa"/>
              <w:left w:w="90" w:type="dxa"/>
              <w:right w:w="90" w:type="dxa"/>
            </w:tcMar>
          </w:tcPr>
          <w:p>
            <w:pPr>
              <w:spacing w:before="20" w:after="20" w:line="252" w:lineRule="auto"/>
            </w:pPr>
            <w:r>
              <w:rPr>
                <w:rFonts w:ascii="Calibri" w:hAnsi="Calibri"/>
                <w:color w:val="282C34"/>
                <w:sz w:val="17"/>
              </w:rPr>
              <w:t>Biaya Percetakan Kartu Fisik</w:t>
            </w:r>
          </w:p>
        </w:tc>
        <w:tc>
          <w:tcPr>
            <w:tcW w:type="dxa" w:w="2592"/>
            <w:shd w:fill="FFFFFF"/>
            <w:tcMar>
              <w:top w:w="80" w:type="dxa"/>
              <w:bottom w:w="80" w:type="dxa"/>
              <w:left w:w="90" w:type="dxa"/>
              <w:right w:w="90" w:type="dxa"/>
            </w:tcMar>
          </w:tcPr>
          <w:p>
            <w:pPr>
              <w:spacing w:before="20" w:after="20" w:line="252" w:lineRule="auto"/>
            </w:pPr>
            <w:r>
              <w:rPr>
                <w:rFonts w:ascii="Calibri" w:hAnsi="Calibri"/>
                <w:color w:val="282C34"/>
                <w:sz w:val="17"/>
              </w:rPr>
              <w:t>Mencetak 20.000+ kartu KTM dan kartu ujian fisik per semester; biaya bahan PVC, tinta, dan staf loket.</w:t>
            </w:r>
          </w:p>
        </w:tc>
        <w:tc>
          <w:tcPr>
            <w:tcW w:type="dxa" w:w="2592"/>
            <w:shd w:fill="FFFFFF"/>
            <w:tcMar>
              <w:top w:w="80" w:type="dxa"/>
              <w:bottom w:w="80" w:type="dxa"/>
              <w:left w:w="90" w:type="dxa"/>
              <w:right w:w="90" w:type="dxa"/>
            </w:tcMar>
          </w:tcPr>
          <w:p>
            <w:pPr>
              <w:spacing w:before="20" w:after="20" w:line="252" w:lineRule="auto"/>
            </w:pPr>
            <w:r>
              <w:rPr>
                <w:rFonts w:ascii="Calibri" w:hAnsi="Calibri"/>
                <w:color w:val="282C34"/>
                <w:sz w:val="17"/>
              </w:rPr>
              <w:t>KTM Digital dan Kartu Ujian Digital ber-QR sah dan dapat diverifikasi langsung melalui aplikasi.</w:t>
            </w:r>
          </w:p>
        </w:tc>
        <w:tc>
          <w:tcPr>
            <w:tcW w:type="dxa" w:w="2160"/>
            <w:shd w:fill="FFFFFF"/>
            <w:tcMar>
              <w:top w:w="80" w:type="dxa"/>
              <w:bottom w:w="80" w:type="dxa"/>
              <w:left w:w="90" w:type="dxa"/>
              <w:right w:w="90" w:type="dxa"/>
            </w:tcMar>
          </w:tcPr>
          <w:p>
            <w:pPr>
              <w:spacing w:before="20" w:after="20" w:line="252" w:lineRule="auto"/>
            </w:pPr>
            <w:r>
              <w:rPr>
                <w:rFonts w:ascii="Calibri" w:hAnsi="Calibri"/>
                <w:color w:val="282C34"/>
                <w:sz w:val="17"/>
              </w:rPr>
              <w:t>Penghematan anggaran percetakan hingga ratusan juta rupiah per tahun akademik.</w:t>
            </w:r>
          </w:p>
        </w:tc>
      </w:tr>
      <w:tr>
        <w:tc>
          <w:tcPr>
            <w:tcW w:type="dxa" w:w="2016"/>
            <w:shd w:fill="F1F5F9"/>
            <w:tcMar>
              <w:top w:w="80" w:type="dxa"/>
              <w:bottom w:w="80" w:type="dxa"/>
              <w:left w:w="90" w:type="dxa"/>
              <w:right w:w="90" w:type="dxa"/>
            </w:tcMar>
          </w:tcPr>
          <w:p>
            <w:pPr>
              <w:spacing w:before="20" w:after="20" w:line="252" w:lineRule="auto"/>
            </w:pPr>
            <w:r>
              <w:rPr>
                <w:rFonts w:ascii="Calibri" w:hAnsi="Calibri"/>
                <w:color w:val="282C34"/>
                <w:sz w:val="17"/>
              </w:rPr>
              <w:t>Waktu Administrasi Skripsi</w:t>
            </w:r>
          </w:p>
        </w:tc>
        <w:tc>
          <w:tcPr>
            <w:tcW w:type="dxa" w:w="2592"/>
            <w:shd w:fill="F1F5F9"/>
            <w:tcMar>
              <w:top w:w="80" w:type="dxa"/>
              <w:bottom w:w="80" w:type="dxa"/>
              <w:left w:w="90" w:type="dxa"/>
              <w:right w:w="90" w:type="dxa"/>
            </w:tcMar>
          </w:tcPr>
          <w:p>
            <w:pPr>
              <w:spacing w:before="20" w:after="20" w:line="252" w:lineRule="auto"/>
            </w:pPr>
            <w:r>
              <w:rPr>
                <w:rFonts w:ascii="Calibri" w:hAnsi="Calibri"/>
                <w:color w:val="282C34"/>
                <w:sz w:val="17"/>
              </w:rPr>
              <w:t>Mahasiswa bolak-balik membawa map fisik, tanda tangan basah pembimbing, dan verifikasi berkas manual (rata-rata 3-4 minggu).</w:t>
            </w:r>
          </w:p>
        </w:tc>
        <w:tc>
          <w:tcPr>
            <w:tcW w:type="dxa" w:w="2592"/>
            <w:shd w:fill="F1F5F9"/>
            <w:tcMar>
              <w:top w:w="80" w:type="dxa"/>
              <w:bottom w:w="80" w:type="dxa"/>
              <w:left w:w="90" w:type="dxa"/>
              <w:right w:w="90" w:type="dxa"/>
            </w:tcMar>
          </w:tcPr>
          <w:p>
            <w:pPr>
              <w:spacing w:before="20" w:after="20" w:line="252" w:lineRule="auto"/>
            </w:pPr>
            <w:r>
              <w:rPr>
                <w:rFonts w:ascii="Calibri" w:hAnsi="Calibri"/>
                <w:color w:val="282C34"/>
                <w:sz w:val="17"/>
              </w:rPr>
              <w:t>Alur digital terintegrasi dari pengajuan judul, persetujuan online pembimbing, hingga penjadwalan ujian (rata-rata 2-4 hari kerja).</w:t>
            </w:r>
          </w:p>
        </w:tc>
        <w:tc>
          <w:tcPr>
            <w:tcW w:type="dxa" w:w="2160"/>
            <w:shd w:fill="F1F5F9"/>
            <w:tcMar>
              <w:top w:w="80" w:type="dxa"/>
              <w:bottom w:w="80" w:type="dxa"/>
              <w:left w:w="90" w:type="dxa"/>
              <w:right w:w="90" w:type="dxa"/>
            </w:tcMar>
          </w:tcPr>
          <w:p>
            <w:pPr>
              <w:spacing w:before="20" w:after="20" w:line="252" w:lineRule="auto"/>
            </w:pPr>
            <w:r>
              <w:rPr>
                <w:rFonts w:ascii="Calibri" w:hAnsi="Calibri"/>
                <w:color w:val="282C34"/>
                <w:sz w:val="17"/>
              </w:rPr>
              <w:t>Efisiensi waktu birokrasi hingga 80%; kepuasan mahasiswa dan dosen melonjak drastis.</w:t>
            </w:r>
          </w:p>
        </w:tc>
      </w:tr>
    </w:tbl>
    <w:p>
      <w:pPr>
        <w:spacing w:before="80" w:after="80"/>
      </w:pPr>
    </w:p>
    <w:p>
      <w:pPr>
        <w:spacing w:before="440" w:after="160" w:line="276" w:lineRule="auto"/>
        <w:jc w:val="left"/>
        <w:pBdr>
          <w:bottom w:val="single" w:sz="14" w:space="2" w:color="1B365D"/>
        </w:pBdr>
      </w:pPr>
      <w:r>
        <w:rPr>
          <w:rFonts w:ascii="Calibri" w:hAnsi="Calibri"/>
          <w:b/>
          <w:i w:val="0"/>
          <w:color w:val="1B365D"/>
          <w:sz w:val="32"/>
        </w:rPr>
        <w:t>9. ROADMAP STRATEGIS TRANSFORMASI DIGITAL MULTI-TAHAP</w:t>
      </w:r>
    </w:p>
    <w:p>
      <w:pPr>
        <w:spacing w:before="0" w:after="120" w:line="276" w:lineRule="auto"/>
        <w:jc w:val="left"/>
      </w:pPr>
      <w:r>
        <w:rPr>
          <w:rFonts w:ascii="Calibri" w:hAnsi="Calibri"/>
          <w:b w:val="0"/>
          <w:i w:val="0"/>
          <w:color w:val="282C34"/>
          <w:sz w:val="22"/>
        </w:rPr>
        <w:t>Untuk menjamin transisi yang aman, terukur, dan tanpa disrupsi operasional, adopsi Super UNPAM direkomendasikan melalui 4 fase bertahap:</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Mar>
              <w:top w:w="100" w:type="dxa"/>
              <w:bottom w:w="100" w:type="dxa"/>
              <w:left w:w="100" w:type="dxa"/>
              <w:right w:w="100" w:type="dxa"/>
            </w:tcMar>
          </w:tcPr>
          <w:p>
            <w:pPr>
              <w:spacing w:before="40" w:after="40"/>
              <w:jc w:val="center"/>
            </w:pPr>
            <w:r>
              <w:rPr>
                <w:rFonts w:ascii="Calibri" w:hAnsi="Calibri"/>
                <w:b/>
                <w:color w:val="FFFFFF"/>
                <w:sz w:val="18"/>
              </w:rPr>
              <w:t>Fase / Periode</w:t>
            </w:r>
          </w:p>
        </w:tc>
        <w:tc>
          <w:tcPr>
            <w:tcW w:type="dxa" w:w="3168"/>
            <w:shd w:fill="1B365D"/>
            <w:tcMar>
              <w:top w:w="100" w:type="dxa"/>
              <w:bottom w:w="100" w:type="dxa"/>
              <w:left w:w="100" w:type="dxa"/>
              <w:right w:w="100" w:type="dxa"/>
            </w:tcMar>
          </w:tcPr>
          <w:p>
            <w:pPr>
              <w:spacing w:before="40" w:after="40"/>
              <w:jc w:val="center"/>
            </w:pPr>
            <w:r>
              <w:rPr>
                <w:rFonts w:ascii="Calibri" w:hAnsi="Calibri"/>
                <w:b/>
                <w:color w:val="FFFFFF"/>
                <w:sz w:val="18"/>
              </w:rPr>
              <w:t>Fokus Utama &amp; Deliverables</w:t>
            </w:r>
          </w:p>
        </w:tc>
        <w:tc>
          <w:tcPr>
            <w:tcW w:type="dxa" w:w="2592"/>
            <w:shd w:fill="1B365D"/>
            <w:tcMar>
              <w:top w:w="100" w:type="dxa"/>
              <w:bottom w:w="100" w:type="dxa"/>
              <w:left w:w="100" w:type="dxa"/>
              <w:right w:w="100" w:type="dxa"/>
            </w:tcMar>
          </w:tcPr>
          <w:p>
            <w:pPr>
              <w:spacing w:before="40" w:after="40"/>
              <w:jc w:val="center"/>
            </w:pPr>
            <w:r>
              <w:rPr>
                <w:rFonts w:ascii="Calibri" w:hAnsi="Calibri"/>
                <w:b/>
                <w:color w:val="FFFFFF"/>
                <w:sz w:val="18"/>
              </w:rPr>
              <w:t>Target Capaian Teknis</w:t>
            </w:r>
          </w:p>
        </w:tc>
        <w:tc>
          <w:tcPr>
            <w:tcW w:type="dxa" w:w="1728"/>
            <w:shd w:fill="1B365D"/>
            <w:tcMar>
              <w:top w:w="100" w:type="dxa"/>
              <w:bottom w:w="100" w:type="dxa"/>
              <w:left w:w="100" w:type="dxa"/>
              <w:right w:w="100" w:type="dxa"/>
            </w:tcMar>
          </w:tcPr>
          <w:p>
            <w:pPr>
              <w:spacing w:before="40" w:after="40"/>
              <w:jc w:val="center"/>
            </w:pPr>
            <w:r>
              <w:rPr>
                <w:rFonts w:ascii="Calibri" w:hAnsi="Calibri"/>
                <w:b/>
                <w:color w:val="FFFFFF"/>
                <w:sz w:val="18"/>
              </w:rPr>
              <w:t>Prasyarat Ketergantungan</w:t>
            </w:r>
          </w:p>
        </w:tc>
      </w:tr>
      <w:tr>
        <w:tc>
          <w:tcPr>
            <w:tcW w:type="dxa" w:w="1872"/>
            <w:shd w:fill="FFFFFF"/>
            <w:tcMar>
              <w:top w:w="80" w:type="dxa"/>
              <w:bottom w:w="80" w:type="dxa"/>
              <w:left w:w="90" w:type="dxa"/>
              <w:right w:w="90" w:type="dxa"/>
            </w:tcMar>
          </w:tcPr>
          <w:p>
            <w:pPr>
              <w:spacing w:before="20" w:after="20" w:line="252" w:lineRule="auto"/>
            </w:pPr>
            <w:r>
              <w:rPr>
                <w:rFonts w:ascii="Calibri" w:hAnsi="Calibri"/>
                <w:color w:val="282C34"/>
                <w:sz w:val="17"/>
              </w:rPr>
              <w:t>Fase 1 (Bulan 1-2)</w:t>
              <w:br/>
              <w:t>Pilot Project &amp; Integrasi Read-Only</w:t>
            </w:r>
          </w:p>
        </w:tc>
        <w:tc>
          <w:tcPr>
            <w:tcW w:type="dxa" w:w="3168"/>
            <w:shd w:fill="FFFFFF"/>
            <w:tcMar>
              <w:top w:w="80" w:type="dxa"/>
              <w:bottom w:w="80" w:type="dxa"/>
              <w:left w:w="90" w:type="dxa"/>
              <w:right w:w="90" w:type="dxa"/>
            </w:tcMar>
          </w:tcPr>
          <w:p>
            <w:pPr>
              <w:spacing w:before="20" w:after="20" w:line="252" w:lineRule="auto"/>
            </w:pPr>
            <w:r>
              <w:rPr>
                <w:rFonts w:ascii="Calibri" w:hAnsi="Calibri"/>
                <w:color w:val="282C34"/>
                <w:sz w:val="17"/>
              </w:rPr>
              <w:t>Sosialisasi PWA, uji coba KTM Digital dan jadwal kuliah terpadu pada 2 program studi percontohan (misal Teknik Informatika &amp; Manajemen).</w:t>
            </w:r>
          </w:p>
        </w:tc>
        <w:tc>
          <w:tcPr>
            <w:tcW w:type="dxa" w:w="2592"/>
            <w:shd w:fill="FFFFFF"/>
            <w:tcMar>
              <w:top w:w="80" w:type="dxa"/>
              <w:bottom w:w="80" w:type="dxa"/>
              <w:left w:w="90" w:type="dxa"/>
              <w:right w:w="90" w:type="dxa"/>
            </w:tcMar>
          </w:tcPr>
          <w:p>
            <w:pPr>
              <w:spacing w:before="20" w:after="20" w:line="252" w:lineRule="auto"/>
            </w:pPr>
            <w:r>
              <w:rPr>
                <w:rFonts w:ascii="Calibri" w:hAnsi="Calibri"/>
                <w:color w:val="282C34"/>
                <w:sz w:val="17"/>
              </w:rPr>
              <w:t>Konektor HTTP read-only ke API akademik; pengukuran stabilitas TTFB di lapangan.</w:t>
            </w:r>
          </w:p>
        </w:tc>
        <w:tc>
          <w:tcPr>
            <w:tcW w:type="dxa" w:w="1728"/>
            <w:shd w:fill="FFFFFF"/>
            <w:tcMar>
              <w:top w:w="80" w:type="dxa"/>
              <w:bottom w:w="80" w:type="dxa"/>
              <w:left w:w="90" w:type="dxa"/>
              <w:right w:w="90" w:type="dxa"/>
            </w:tcMar>
          </w:tcPr>
          <w:p>
            <w:pPr>
              <w:spacing w:before="20" w:after="20" w:line="252" w:lineRule="auto"/>
            </w:pPr>
            <w:r>
              <w:rPr>
                <w:rFonts w:ascii="Calibri" w:hAnsi="Calibri"/>
                <w:color w:val="282C34"/>
                <w:sz w:val="17"/>
              </w:rPr>
              <w:t>Pemberian spesifikasi endpoint API profil &amp; jadwal dari LPTI.</w:t>
            </w:r>
          </w:p>
        </w:tc>
      </w:tr>
      <w:tr>
        <w:tc>
          <w:tcPr>
            <w:tcW w:type="dxa" w:w="1872"/>
            <w:shd w:fill="F1F5F9"/>
            <w:tcMar>
              <w:top w:w="80" w:type="dxa"/>
              <w:bottom w:w="80" w:type="dxa"/>
              <w:left w:w="90" w:type="dxa"/>
              <w:right w:w="90" w:type="dxa"/>
            </w:tcMar>
          </w:tcPr>
          <w:p>
            <w:pPr>
              <w:spacing w:before="20" w:after="20" w:line="252" w:lineRule="auto"/>
            </w:pPr>
            <w:r>
              <w:rPr>
                <w:rFonts w:ascii="Calibri" w:hAnsi="Calibri"/>
                <w:color w:val="282C34"/>
                <w:sz w:val="17"/>
              </w:rPr>
              <w:t>Fase 2 (Bulan 3-4)</w:t>
              <w:br/>
              <w:t>Integrasi SSO &amp; Presensi Mandiri</w:t>
            </w:r>
          </w:p>
        </w:tc>
        <w:tc>
          <w:tcPr>
            <w:tcW w:type="dxa" w:w="3168"/>
            <w:shd w:fill="F1F5F9"/>
            <w:tcMar>
              <w:top w:w="80" w:type="dxa"/>
              <w:bottom w:w="80" w:type="dxa"/>
              <w:left w:w="90" w:type="dxa"/>
              <w:right w:w="90" w:type="dxa"/>
            </w:tcMar>
          </w:tcPr>
          <w:p>
            <w:pPr>
              <w:spacing w:before="20" w:after="20" w:line="252" w:lineRule="auto"/>
            </w:pPr>
            <w:r>
              <w:rPr>
                <w:rFonts w:ascii="Calibri" w:hAnsi="Calibri"/>
                <w:color w:val="282C34"/>
                <w:sz w:val="17"/>
              </w:rPr>
              <w:t>Penyatuan autentikasi dengan SSO Satu UNPAM; aktivasi modul Presensi Geofencing + TOTP QR di seluruh kelas Kampus Viktor.</w:t>
            </w:r>
          </w:p>
        </w:tc>
        <w:tc>
          <w:tcPr>
            <w:tcW w:type="dxa" w:w="2592"/>
            <w:shd w:fill="F1F5F9"/>
            <w:tcMar>
              <w:top w:w="80" w:type="dxa"/>
              <w:bottom w:w="80" w:type="dxa"/>
              <w:left w:w="90" w:type="dxa"/>
              <w:right w:w="90" w:type="dxa"/>
            </w:tcMar>
          </w:tcPr>
          <w:p>
            <w:pPr>
              <w:spacing w:before="20" w:after="20" w:line="252" w:lineRule="auto"/>
            </w:pPr>
            <w:r>
              <w:rPr>
                <w:rFonts w:ascii="Calibri" w:hAnsi="Calibri"/>
                <w:color w:val="282C34"/>
                <w:sz w:val="17"/>
              </w:rPr>
              <w:t>Penyelarasan sesi cookie / JWT Bearer; eliminasi titip absen pada kelas percontohan.</w:t>
            </w:r>
          </w:p>
        </w:tc>
        <w:tc>
          <w:tcPr>
            <w:tcW w:type="dxa" w:w="1728"/>
            <w:shd w:fill="F1F5F9"/>
            <w:tcMar>
              <w:top w:w="80" w:type="dxa"/>
              <w:bottom w:w="80" w:type="dxa"/>
              <w:left w:w="90" w:type="dxa"/>
              <w:right w:w="90" w:type="dxa"/>
            </w:tcMar>
          </w:tcPr>
          <w:p>
            <w:pPr>
              <w:spacing w:before="20" w:after="20" w:line="252" w:lineRule="auto"/>
            </w:pPr>
            <w:r>
              <w:rPr>
                <w:rFonts w:ascii="Calibri" w:hAnsi="Calibri"/>
                <w:color w:val="282C34"/>
                <w:sz w:val="17"/>
              </w:rPr>
              <w:t>Konfigurasi koordinat GPS gerbang dan ruang kuliah resmi dari BAAK.</w:t>
            </w:r>
          </w:p>
        </w:tc>
      </w:tr>
      <w:tr>
        <w:tc>
          <w:tcPr>
            <w:tcW w:type="dxa" w:w="1872"/>
            <w:shd w:fill="FFFFFF"/>
            <w:tcMar>
              <w:top w:w="80" w:type="dxa"/>
              <w:bottom w:w="80" w:type="dxa"/>
              <w:left w:w="90" w:type="dxa"/>
              <w:right w:w="90" w:type="dxa"/>
            </w:tcMar>
          </w:tcPr>
          <w:p>
            <w:pPr>
              <w:spacing w:before="20" w:after="20" w:line="252" w:lineRule="auto"/>
            </w:pPr>
            <w:r>
              <w:rPr>
                <w:rFonts w:ascii="Calibri" w:hAnsi="Calibri"/>
                <w:color w:val="282C34"/>
                <w:sz w:val="17"/>
              </w:rPr>
              <w:t>Fase 3 (Bulan 5-6)</w:t>
              <w:br/>
              <w:t>Digitalisasi Ujian &amp; Skripsi Penuh</w:t>
            </w:r>
          </w:p>
        </w:tc>
        <w:tc>
          <w:tcPr>
            <w:tcW w:type="dxa" w:w="3168"/>
            <w:shd w:fill="FFFFFF"/>
            <w:tcMar>
              <w:top w:w="80" w:type="dxa"/>
              <w:bottom w:w="80" w:type="dxa"/>
              <w:left w:w="90" w:type="dxa"/>
              <w:right w:w="90" w:type="dxa"/>
            </w:tcMar>
          </w:tcPr>
          <w:p>
            <w:pPr>
              <w:spacing w:before="20" w:after="20" w:line="252" w:lineRule="auto"/>
            </w:pPr>
            <w:r>
              <w:rPr>
                <w:rFonts w:ascii="Calibri" w:hAnsi="Calibri"/>
                <w:color w:val="282C34"/>
                <w:sz w:val="17"/>
              </w:rPr>
              <w:t>Peluncuran modul Exam Center (UTS/UAS) dan sistem alur skripsi terpadu dari bimbingan hingga pendaftaran sidang.</w:t>
            </w:r>
          </w:p>
        </w:tc>
        <w:tc>
          <w:tcPr>
            <w:tcW w:type="dxa" w:w="2592"/>
            <w:shd w:fill="FFFFFF"/>
            <w:tcMar>
              <w:top w:w="80" w:type="dxa"/>
              <w:bottom w:w="80" w:type="dxa"/>
              <w:left w:w="90" w:type="dxa"/>
              <w:right w:w="90" w:type="dxa"/>
            </w:tcMar>
          </w:tcPr>
          <w:p>
            <w:pPr>
              <w:spacing w:before="20" w:after="20" w:line="252" w:lineRule="auto"/>
            </w:pPr>
            <w:r>
              <w:rPr>
                <w:rFonts w:ascii="Calibri" w:hAnsi="Calibri"/>
                <w:color w:val="282C34"/>
                <w:sz w:val="17"/>
              </w:rPr>
              <w:t>Aktivasi state machine tugas akhir 14-tahap; verifikasi aturan kelayakan akademik otomatis.</w:t>
            </w:r>
          </w:p>
        </w:tc>
        <w:tc>
          <w:tcPr>
            <w:tcW w:type="dxa" w:w="1728"/>
            <w:shd w:fill="FFFFFF"/>
            <w:tcMar>
              <w:top w:w="80" w:type="dxa"/>
              <w:bottom w:w="80" w:type="dxa"/>
              <w:left w:w="90" w:type="dxa"/>
              <w:right w:w="90" w:type="dxa"/>
            </w:tcMar>
          </w:tcPr>
          <w:p>
            <w:pPr>
              <w:spacing w:before="20" w:after="20" w:line="252" w:lineRule="auto"/>
            </w:pPr>
            <w:r>
              <w:rPr>
                <w:rFonts w:ascii="Calibri" w:hAnsi="Calibri"/>
                <w:color w:val="282C34"/>
                <w:sz w:val="17"/>
              </w:rPr>
              <w:t>Validasi SK Rektor tentang aturan bimbingan dan rubrik nilai.</w:t>
            </w:r>
          </w:p>
        </w:tc>
      </w:tr>
      <w:tr>
        <w:tc>
          <w:tcPr>
            <w:tcW w:type="dxa" w:w="1872"/>
            <w:shd w:fill="F1F5F9"/>
            <w:tcMar>
              <w:top w:w="80" w:type="dxa"/>
              <w:bottom w:w="80" w:type="dxa"/>
              <w:left w:w="90" w:type="dxa"/>
              <w:right w:w="90" w:type="dxa"/>
            </w:tcMar>
          </w:tcPr>
          <w:p>
            <w:pPr>
              <w:spacing w:before="20" w:after="20" w:line="252" w:lineRule="auto"/>
            </w:pPr>
            <w:r>
              <w:rPr>
                <w:rFonts w:ascii="Calibri" w:hAnsi="Calibri"/>
                <w:color w:val="282C34"/>
                <w:sz w:val="17"/>
              </w:rPr>
              <w:t>Fase 4 (Bulan 7-12)</w:t>
              <w:br/>
              <w:t>Smart Campus Lanjutan &amp; Verifiable Credentials</w:t>
            </w:r>
          </w:p>
        </w:tc>
        <w:tc>
          <w:tcPr>
            <w:tcW w:type="dxa" w:w="3168"/>
            <w:shd w:fill="F1F5F9"/>
            <w:tcMar>
              <w:top w:w="80" w:type="dxa"/>
              <w:bottom w:w="80" w:type="dxa"/>
              <w:left w:w="90" w:type="dxa"/>
              <w:right w:w="90" w:type="dxa"/>
            </w:tcMar>
          </w:tcPr>
          <w:p>
            <w:pPr>
              <w:spacing w:before="20" w:after="20" w:line="252" w:lineRule="auto"/>
            </w:pPr>
            <w:r>
              <w:rPr>
                <w:rFonts w:ascii="Calibri" w:hAnsi="Calibri"/>
                <w:color w:val="282C34"/>
                <w:sz w:val="17"/>
              </w:rPr>
              <w:t>Integrasi Smart Gate IoT kampus, push notifikasi terintegrasi, dan penerbitan ijazah/transkrip digital berbasis W3C Verifiable Credentials.</w:t>
            </w:r>
          </w:p>
        </w:tc>
        <w:tc>
          <w:tcPr>
            <w:tcW w:type="dxa" w:w="2592"/>
            <w:shd w:fill="F1F5F9"/>
            <w:tcMar>
              <w:top w:w="80" w:type="dxa"/>
              <w:bottom w:w="80" w:type="dxa"/>
              <w:left w:w="90" w:type="dxa"/>
              <w:right w:w="90" w:type="dxa"/>
            </w:tcMar>
          </w:tcPr>
          <w:p>
            <w:pPr>
              <w:spacing w:before="20" w:after="20" w:line="252" w:lineRule="auto"/>
            </w:pPr>
            <w:r>
              <w:rPr>
                <w:rFonts w:ascii="Calibri" w:hAnsi="Calibri"/>
                <w:color w:val="282C34"/>
                <w:sz w:val="17"/>
              </w:rPr>
              <w:t>Implementasi Web Push VAPID; integrasi barcode scanner gate fisik kampus.</w:t>
            </w:r>
          </w:p>
        </w:tc>
        <w:tc>
          <w:tcPr>
            <w:tcW w:type="dxa" w:w="1728"/>
            <w:shd w:fill="F1F5F9"/>
            <w:tcMar>
              <w:top w:w="80" w:type="dxa"/>
              <w:bottom w:w="80" w:type="dxa"/>
              <w:left w:w="90" w:type="dxa"/>
              <w:right w:w="90" w:type="dxa"/>
            </w:tcMar>
          </w:tcPr>
          <w:p>
            <w:pPr>
              <w:spacing w:before="20" w:after="20" w:line="252" w:lineRule="auto"/>
            </w:pPr>
            <w:r>
              <w:rPr>
                <w:rFonts w:ascii="Calibri" w:hAnsi="Calibri"/>
                <w:color w:val="282C34"/>
                <w:sz w:val="17"/>
              </w:rPr>
              <w:t>Pengadaan scanner barcode di gerbang masuk kampus.</w:t>
            </w:r>
          </w:p>
        </w:tc>
      </w:tr>
    </w:tbl>
    <w:p>
      <w:pPr>
        <w:spacing w:before="80" w:after="80"/>
      </w:pPr>
    </w:p>
    <w:p>
      <w:pPr>
        <w:spacing w:before="440" w:after="160" w:line="276" w:lineRule="auto"/>
        <w:jc w:val="left"/>
        <w:pBdr>
          <w:bottom w:val="single" w:sz="14" w:space="2" w:color="1B365D"/>
        </w:pBdr>
      </w:pPr>
      <w:r>
        <w:rPr>
          <w:rFonts w:ascii="Calibri" w:hAnsi="Calibri"/>
          <w:b/>
          <w:i w:val="0"/>
          <w:color w:val="1B365D"/>
          <w:sz w:val="32"/>
        </w:rPr>
        <w:t>10. REKOMENDASI KEPUTUSAN PIMPINAN &amp; KESIMPULAN AKHIR</w:t>
      </w:r>
    </w:p>
    <w:p>
      <w:pPr>
        <w:spacing w:before="0" w:after="120" w:line="276" w:lineRule="auto"/>
        <w:jc w:val="left"/>
      </w:pPr>
      <w:r>
        <w:rPr>
          <w:rFonts w:ascii="Calibri" w:hAnsi="Calibri"/>
          <w:b w:val="0"/>
          <w:i w:val="0"/>
          <w:color w:val="282C34"/>
          <w:sz w:val="22"/>
        </w:rPr>
        <w:t>Berdasarkan hasil uji kelayakan menyeluruh, efisiensi arsitektur, dan kepatuhan terhadap regulasi nasional, tim penyusun merekomendasikan tiga langkah keputusan strategis bagi Pimpinan Universitas Pamulang:</w:t>
      </w:r>
    </w:p>
    <w:p>
      <w:pPr>
        <w:spacing w:before="0" w:after="120" w:line="276" w:lineRule="auto"/>
        <w:jc w:val="left"/>
      </w:pPr>
      <w:r>
        <w:rPr>
          <w:rFonts w:ascii="Calibri" w:hAnsi="Calibri"/>
          <w:b w:val="0"/>
          <w:i w:val="0"/>
          <w:color w:val="282C34"/>
          <w:sz w:val="22"/>
        </w:rPr>
        <w:t>1. **Menetapkan Super UNPAM sebagai Front-End Resmi Ekosistem Smart Campus:**</w:t>
        <w:br/>
        <w:t>Mengadopsi antarmuka Super UNPAM sebagai aplikasi resmi sivitas akademika Universitas Pamulang dengan menghubungkan lapisan Backend-for-Frontend (BFF) ke infrastruktur gateway Satu UNPAM.</w:t>
      </w:r>
    </w:p>
    <w:p>
      <w:pPr>
        <w:spacing w:before="0" w:after="120" w:line="276" w:lineRule="auto"/>
        <w:jc w:val="left"/>
      </w:pPr>
      <w:r>
        <w:rPr>
          <w:rFonts w:ascii="Calibri" w:hAnsi="Calibri"/>
          <w:b w:val="0"/>
          <w:i w:val="0"/>
          <w:color w:val="282C34"/>
          <w:sz w:val="22"/>
        </w:rPr>
        <w:t>2. **Membentuk Gugus Tugas Integrasi API Bersama LPTI:**</w:t>
        <w:br/>
        <w:t>Menugaskan LPTI untuk membuka jalur integrasi RESTful API terstandarisasi (sesuai dokumen `docs/KONEKTOR.md`) yang menghubungkan database induk kampus dengan konektor HTTP Super UNPAM.</w:t>
      </w:r>
    </w:p>
    <w:p>
      <w:pPr>
        <w:spacing w:before="0" w:after="120" w:line="276" w:lineRule="auto"/>
        <w:jc w:val="left"/>
      </w:pPr>
      <w:r>
        <w:rPr>
          <w:rFonts w:ascii="Calibri" w:hAnsi="Calibri"/>
          <w:b w:val="0"/>
          <w:i w:val="0"/>
          <w:color w:val="282C34"/>
          <w:sz w:val="22"/>
        </w:rPr>
        <w:t>3. **Mengesahkan Regulasi 'Aturan Akademik Sebagai Data':**</w:t>
        <w:br/>
        <w:t>Memformalisasikan parameter kelayakan ujian, bimbingan skripsi, dan rubrik nilai ke dalam repositori konfigurasi data terpadu guna memastikan tata kelola akademik yang transparan, akuntabel, dan adaptif.</w:t>
      </w:r>
    </w:p>
    <w:p>
      <w:r>
        <w:br w:type="page"/>
      </w:r>
    </w:p>
    <w:p>
      <w:pPr>
        <w:spacing w:before="440" w:after="160" w:line="276" w:lineRule="auto"/>
        <w:jc w:val="left"/>
        <w:pBdr>
          <w:bottom w:val="single" w:sz="14" w:space="2" w:color="1B365D"/>
        </w:pBdr>
      </w:pPr>
      <w:r>
        <w:rPr>
          <w:rFonts w:ascii="Calibri" w:hAnsi="Calibri"/>
          <w:b/>
          <w:i w:val="0"/>
          <w:color w:val="1B365D"/>
          <w:sz w:val="32"/>
        </w:rPr>
        <w:t>LAMPIRAN: RINGKASAN PEMBERITAHUAN PRIVASI (PRIVACY NOTICE SUMMARY)</w:t>
      </w:r>
    </w:p>
    <w:p>
      <w:pPr>
        <w:spacing w:before="0" w:after="120" w:line="276" w:lineRule="auto"/>
        <w:jc w:val="left"/>
      </w:pPr>
      <w:r>
        <w:rPr>
          <w:rFonts w:ascii="Calibri" w:hAnsi="Calibri"/>
          <w:b w:val="0"/>
          <w:i w:val="0"/>
          <w:color w:val="282C34"/>
          <w:sz w:val="22"/>
        </w:rPr>
        <w:t>Sebagai wujud akuntabilitas terhadap UU No. 27 Tahun 2022 tentang Pelindungan Data Pribadi, berikut adalah ringkasan transparansi privasi bagi pengguna aplikasi Super UNPAM:</w:t>
      </w:r>
    </w:p>
    <w:tbl>
      <w:tblPr>
        <w:tblW w:type="auto" w:w="0"/>
        <w:jc w:val="center"/>
        <w:tblLook w:firstColumn="1" w:firstRow="1" w:lastColumn="0" w:lastRow="0" w:noHBand="0" w:noVBand="1" w:val="04A0"/>
      </w:tblPr>
      <w:tblGrid>
        <w:gridCol w:w="9360"/>
      </w:tblGrid>
      <w:tr>
        <w:tc>
          <w:tcPr>
            <w:tcW w:type="dxa" w:w="9360"/>
            <w:shd w:fill="F0FDF4"/>
            <w:tcMar>
              <w:top w:w="130" w:type="dxa"/>
              <w:bottom w:w="130" w:type="dxa"/>
              <w:left w:w="160" w:type="dxa"/>
              <w:right w:w="160" w:type="dxa"/>
            </w:tcMar>
            <w:tcBorders>
              <w:left w:val="single" w:sz="36" w:space="0" w:color="16A34A"/>
              <w:top w:val="none"/>
              <w:right w:val="none"/>
              <w:bottom w:val="none"/>
            </w:tcBorders>
          </w:tcPr>
          <w:p>
            <w:pPr>
              <w:spacing w:before="40" w:after="40" w:line="276" w:lineRule="auto"/>
            </w:pPr>
            <w:r>
              <w:rPr>
                <w:rFonts w:ascii="Calibri" w:hAnsi="Calibri"/>
                <w:b/>
                <w:color w:val="1B365D"/>
                <w:sz w:val="20"/>
              </w:rPr>
              <w:t>🛡️ RINGKASAN KEBIJAKAN PRIVASI BAGI MAHASISWA &amp; DOSEN</w:t>
              <w:br/>
            </w:r>
            <w:r>
              <w:rPr>
                <w:rFonts w:ascii="Calibri" w:hAnsi="Calibri"/>
                <w:color w:val="282C34"/>
                <w:sz w:val="19"/>
              </w:rPr>
              <w:t>• **Data yang Dikumpulkan:** Nama, NIM/NIDN, program studi, alamat email kampus, foto profil/KTM, data nilai dan riwayat bimbingan, status pembayaran SPP/UKT, serta data lokasi GPS sesaat hanya saat melakukan submit presensi kelas.</w:t>
              <w:br/>
              <w:t>• **Tujuan Pemrosesan:** Semata-mata untuk penyelenggaraan tridharma perguruan tinggi, validasi presensi kuliah anti-fraud, penerbitan identitas KTM digital, dan pelaporan berkala ke Pangkalan Data Pendidikan Tinggi (PDDIKTI).</w:t>
              <w:br/>
              <w:t>• **Prinsip Tanpa Pelacakan (Zero Tracking):** Aplikasi tidak melacak lokasi fisik pengguna secara terus-menerus. Akses GPS langsung dimatikan setelah presensi divalidasi. Akses kamera hanya digunakan untuk pemindaian barcode/QR secara lokal di memori HP tanpa menyimpan rekaman video.</w:t>
              <w:br/>
              <w:t>• **Kerahasiaan &amp; Kedaulatan:** Data pribadi tidak akan pernah diperjualbelikan atau dialihkan kepada pihak ketiga untuk kepentingan komersial/iklan.</w:t>
              <w:br/>
              <w:t>• **Hak Anda:** Anda berhak memeriksa, memperbaiki, meminta salinan portabilitas, serta mengajukan komplain terkait privasi data melalui Unit Kepatuhan PDP LPTI Universitas Pamulang.</w:t>
            </w:r>
          </w:p>
        </w:tc>
      </w:tr>
    </w:tbl>
    <w:p>
      <w:pPr>
        <w:spacing w:before="8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