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A964F">
      <w:r>
        <w:rPr>
          <w:rFonts w:ascii="Arial" w:hAnsi="Arial" w:eastAsia="黑体"/>
          <w:b/>
          <w:color w:val="000000"/>
          <w:sz w:val="30"/>
        </w:rPr>
        <w:t>摘要</w:t>
      </w:r>
    </w:p>
    <w:p w14:paraId="7C7DBCF3">
      <w:pPr>
        <w:keepNext w:val="0"/>
        <w:keepLines w:val="0"/>
        <w:pageBreakBefore w:val="0"/>
        <w:widowControl/>
        <w:kinsoku/>
        <w:wordWrap/>
        <w:overflowPunct/>
        <w:topLinePunct w:val="0"/>
        <w:autoSpaceDE/>
        <w:autoSpaceDN/>
        <w:bidi w:val="0"/>
        <w:adjustRightInd/>
        <w:snapToGrid/>
        <w:spacing w:after="80" w:line="360" w:lineRule="auto"/>
        <w:ind w:firstLine="420"/>
        <w:jc w:val="both"/>
        <w:textAlignment w:val="auto"/>
      </w:pPr>
      <w:r>
        <w:rPr>
          <w:rFonts w:ascii="Times New Roman" w:hAnsi="Times New Roman" w:eastAsia="宋体"/>
          <w:b w:val="0"/>
          <w:color w:val="000000"/>
          <w:sz w:val="21"/>
        </w:rPr>
        <w:t>低空交通系统把城市低空空域组织为可分配、可管控的交通资源。其路阻不能仅表示飞行距离或自由飞行时间，还应反映航路流量接近容量时产生的延误、交叉口和起降点排队、冲突规避、气象扰动、能源消耗以及第三方风险。</w:t>
      </w:r>
      <w:r>
        <w:rPr>
          <w:rFonts w:hint="eastAsia"/>
          <w:b w:val="0"/>
          <w:color w:val="000000"/>
          <w:sz w:val="21"/>
          <w:lang w:val="en-US" w:eastAsia="zh-CN"/>
        </w:rPr>
        <w:t>本</w:t>
      </w:r>
      <w:r>
        <w:rPr>
          <w:rFonts w:ascii="Times New Roman" w:hAnsi="Times New Roman" w:eastAsia="宋体"/>
          <w:b w:val="0"/>
          <w:color w:val="000000"/>
          <w:sz w:val="21"/>
        </w:rPr>
        <w:t>综述以经典道路交通量延误函数为起点，结合低空宏观基本图、约束空域容量、需求容量平衡、三维航路设计、能耗优化和风险路径规划研究，讨论低空交通路阻函数的变量体系、候选形式及校准方法。文献表明，BPR、Ak</w:t>
      </w:r>
      <w:r>
        <w:rPr>
          <w:rFonts w:hint="eastAsia"/>
          <w:b w:val="0"/>
          <w:color w:val="000000"/>
          <w:sz w:val="21"/>
          <w:lang w:val="en-US" w:eastAsia="zh-CN"/>
        </w:rPr>
        <w:t>c</w:t>
      </w:r>
      <w:r>
        <w:rPr>
          <w:rFonts w:ascii="Times New Roman" w:hAnsi="Times New Roman" w:eastAsia="宋体"/>
          <w:b w:val="0"/>
          <w:color w:val="000000"/>
          <w:sz w:val="21"/>
        </w:rPr>
        <w:t>elik 和锥形函数能够描述流量容量比与延误之间的非线性关系，但直接用于低空交通会忽略动态容量、纵向机动、冲突和节点服务过程。低空路阻更适合采用由航段运行时间、能源、风险、冲突延误和节点排队构成的广义成本，并通过动态容量系数连接天气、间隔、机型混合和管制策略。</w:t>
      </w:r>
    </w:p>
    <w:p w14:paraId="3B4D5E06">
      <w:pPr>
        <w:pStyle w:val="3"/>
        <w:keepNext/>
        <w:spacing w:before="280" w:after="120"/>
        <w:jc w:val="left"/>
      </w:pPr>
      <w:r>
        <w:rPr>
          <w:rFonts w:ascii="Arial" w:hAnsi="Arial" w:eastAsia="黑体"/>
          <w:b/>
          <w:color w:val="000000"/>
          <w:sz w:val="30"/>
        </w:rPr>
        <w:t>1 研究对象与文献范围</w:t>
      </w:r>
    </w:p>
    <w:p w14:paraId="169F54FD">
      <w:pPr>
        <w:pStyle w:val="4"/>
        <w:keepNext/>
        <w:spacing w:before="180" w:after="120"/>
        <w:jc w:val="left"/>
      </w:pPr>
      <w:r>
        <w:rPr>
          <w:rFonts w:ascii="Arial" w:hAnsi="Arial" w:eastAsia="黑体"/>
          <w:b/>
          <w:color w:val="000000"/>
          <w:sz w:val="26"/>
        </w:rPr>
        <w:t>1.1 低空交通路阻的含义</w:t>
      </w:r>
    </w:p>
    <w:p w14:paraId="3DBCAFA2">
      <w:pPr>
        <w:spacing w:after="80" w:line="360" w:lineRule="auto"/>
        <w:ind w:firstLine="420"/>
        <w:jc w:val="both"/>
      </w:pPr>
      <w:r>
        <w:rPr>
          <w:rFonts w:ascii="Times New Roman" w:hAnsi="Times New Roman" w:eastAsia="宋体"/>
          <w:b w:val="0"/>
          <w:color w:val="000000"/>
          <w:sz w:val="21"/>
        </w:rPr>
        <w:t>道路交通通常以时间为核心，典型自变量是流量与容量之比。低空交通仍然需要这一基本关系，但其网络单元由三维航段、交叉点、合流点、等待区和起降点构成，航空器还受到安全间隔、机动性能、气象和空域规则约束。因此，低空交通路阻应理解为航空器完成一段网络移动所付出的广义成本，而非单一飞行时间。</w:t>
      </w:r>
    </w:p>
    <w:p w14:paraId="567283ED">
      <w:pPr>
        <w:spacing w:after="80" w:line="360" w:lineRule="auto"/>
        <w:ind w:firstLine="420"/>
        <w:jc w:val="both"/>
      </w:pPr>
      <w:r>
        <w:rPr>
          <w:rFonts w:ascii="Times New Roman" w:hAnsi="Times New Roman" w:eastAsia="宋体"/>
          <w:b w:val="0"/>
          <w:color w:val="000000"/>
          <w:sz w:val="21"/>
        </w:rPr>
        <w:t>本综述将路阻分为三个层次。航段层描述巡航时间、速度变化、能耗和沿程风险；节点层描述交叉、合流、等待和起降服务造成的延误；区域层使用宏观基本图或总量模型判断网络是否进入拥堵状态。三个层次分别对应路径选择、局部容量控制和区域流量控制。</w:t>
      </w:r>
    </w:p>
    <w:p w14:paraId="4C8E6165">
      <w:pPr>
        <w:pStyle w:val="4"/>
        <w:keepNext/>
        <w:spacing w:before="180" w:after="120"/>
        <w:jc w:val="left"/>
      </w:pPr>
      <w:r>
        <w:rPr>
          <w:rFonts w:ascii="Arial" w:hAnsi="Arial" w:eastAsia="黑体"/>
          <w:b/>
          <w:color w:val="000000"/>
          <w:sz w:val="26"/>
        </w:rPr>
        <w:t>1.2 文献选择与分类</w:t>
      </w:r>
    </w:p>
    <w:p w14:paraId="66DBE3C3">
      <w:pPr>
        <w:spacing w:after="80" w:line="360" w:lineRule="auto"/>
        <w:ind w:firstLine="420"/>
        <w:jc w:val="both"/>
      </w:pPr>
      <w:r>
        <w:rPr>
          <w:rFonts w:ascii="Times New Roman" w:hAnsi="Times New Roman" w:eastAsia="宋体"/>
          <w:b w:val="0"/>
          <w:color w:val="000000"/>
          <w:sz w:val="21"/>
        </w:rPr>
        <w:t>包括公开论文、会议论文、学位论文和报告，时间跨度为 1964 至 2025 年。</w:t>
      </w:r>
    </w:p>
    <w:tbl>
      <w:tblPr>
        <w:tblStyle w:val="33"/>
        <w:tblpPr w:leftFromText="180" w:rightFromText="180" w:vertAnchor="text" w:horzAnchor="page" w:tblpX="1521" w:tblpY="442"/>
        <w:tblOverlap w:val="never"/>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81"/>
        <w:gridCol w:w="3081"/>
        <w:gridCol w:w="3081"/>
      </w:tblGrid>
      <w:tr w14:paraId="78698D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3081" w:type="dxa"/>
            <w:shd w:val="clear" w:color="auto" w:fill="auto"/>
            <w:tcMar>
              <w:top w:w="90" w:type="dxa"/>
              <w:left w:w="110" w:type="dxa"/>
              <w:bottom w:w="90" w:type="dxa"/>
              <w:right w:w="110" w:type="dxa"/>
            </w:tcMar>
            <w:vAlign w:val="center"/>
          </w:tcPr>
          <w:p w14:paraId="1B38C2A3">
            <w:pPr>
              <w:spacing w:after="0"/>
              <w:jc w:val="center"/>
              <w:rPr>
                <w:rFonts w:hint="default" w:eastAsia="宋体"/>
                <w:lang w:val="en-US" w:eastAsia="zh-CN"/>
              </w:rPr>
            </w:pPr>
            <w:r>
              <w:rPr>
                <w:rFonts w:hint="eastAsia"/>
                <w:lang w:val="en-US" w:eastAsia="zh-CN"/>
              </w:rPr>
              <w:t>类别</w:t>
            </w:r>
          </w:p>
        </w:tc>
        <w:tc>
          <w:tcPr>
            <w:tcW w:w="3081" w:type="dxa"/>
            <w:shd w:val="clear" w:color="auto" w:fill="auto"/>
            <w:tcMar>
              <w:top w:w="90" w:type="dxa"/>
              <w:left w:w="110" w:type="dxa"/>
              <w:bottom w:w="90" w:type="dxa"/>
              <w:right w:w="110" w:type="dxa"/>
            </w:tcMar>
            <w:vAlign w:val="center"/>
          </w:tcPr>
          <w:p w14:paraId="3396A534">
            <w:pPr>
              <w:spacing w:after="0"/>
              <w:jc w:val="center"/>
              <w:rPr>
                <w:rFonts w:hint="eastAsia" w:eastAsia="宋体"/>
                <w:lang w:eastAsia="zh-CN"/>
              </w:rPr>
            </w:pPr>
            <w:r>
              <w:rPr>
                <w:rFonts w:hint="eastAsia" w:ascii="Times New Roman" w:hAnsi="Times New Roman" w:eastAsia="宋体"/>
                <w:lang w:val="en-US" w:eastAsia="zh-CN"/>
              </w:rPr>
              <w:t>文献编号</w:t>
            </w:r>
          </w:p>
        </w:tc>
        <w:tc>
          <w:tcPr>
            <w:tcW w:w="3081" w:type="dxa"/>
            <w:shd w:val="clear" w:color="auto" w:fill="auto"/>
            <w:tcMar>
              <w:top w:w="90" w:type="dxa"/>
              <w:left w:w="110" w:type="dxa"/>
              <w:bottom w:w="90" w:type="dxa"/>
              <w:right w:w="110" w:type="dxa"/>
            </w:tcMar>
            <w:vAlign w:val="center"/>
          </w:tcPr>
          <w:p w14:paraId="39CA99C4">
            <w:pPr>
              <w:spacing w:after="0"/>
              <w:jc w:val="center"/>
              <w:rPr>
                <w:rFonts w:hint="default" w:eastAsia="宋体"/>
                <w:lang w:val="en-US" w:eastAsia="zh-CN"/>
              </w:rPr>
            </w:pPr>
            <w:r>
              <w:rPr>
                <w:rFonts w:hint="eastAsia" w:ascii="Times New Roman" w:hAnsi="Times New Roman" w:eastAsia="宋体"/>
                <w:lang w:val="en-US" w:eastAsia="zh-CN"/>
              </w:rPr>
              <w:t>对路阻研究的作用</w:t>
            </w:r>
          </w:p>
        </w:tc>
      </w:tr>
      <w:tr w14:paraId="2D7491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81" w:type="dxa"/>
            <w:tcMar>
              <w:top w:w="90" w:type="dxa"/>
              <w:left w:w="110" w:type="dxa"/>
              <w:bottom w:w="90" w:type="dxa"/>
              <w:right w:w="110" w:type="dxa"/>
            </w:tcMar>
            <w:vAlign w:val="center"/>
          </w:tcPr>
          <w:p w14:paraId="5CF52624">
            <w:pPr>
              <w:spacing w:after="0" w:line="276" w:lineRule="auto"/>
              <w:jc w:val="center"/>
            </w:pPr>
            <w:r>
              <w:rPr>
                <w:rFonts w:ascii="Times New Roman" w:hAnsi="Times New Roman" w:eastAsia="宋体"/>
                <w:b w:val="0"/>
                <w:color w:val="000000"/>
                <w:sz w:val="18"/>
              </w:rPr>
              <w:t>经典交通阻抗</w:t>
            </w:r>
          </w:p>
        </w:tc>
        <w:tc>
          <w:tcPr>
            <w:tcW w:w="3081" w:type="dxa"/>
            <w:tcMar>
              <w:top w:w="90" w:type="dxa"/>
              <w:left w:w="110" w:type="dxa"/>
              <w:bottom w:w="90" w:type="dxa"/>
              <w:right w:w="110" w:type="dxa"/>
            </w:tcMar>
            <w:vAlign w:val="center"/>
          </w:tcPr>
          <w:p w14:paraId="281B952E">
            <w:pPr>
              <w:spacing w:after="0" w:line="276" w:lineRule="auto"/>
              <w:jc w:val="left"/>
            </w:pPr>
            <w:r>
              <w:rPr>
                <w:rFonts w:ascii="Times New Roman" w:hAnsi="Times New Roman" w:eastAsia="宋体"/>
                <w:b w:val="0"/>
                <w:color w:val="000000"/>
                <w:sz w:val="18"/>
              </w:rPr>
              <w:t>[1] 至 [7]</w:t>
            </w:r>
          </w:p>
        </w:tc>
        <w:tc>
          <w:tcPr>
            <w:tcW w:w="3081" w:type="dxa"/>
            <w:tcMar>
              <w:top w:w="90" w:type="dxa"/>
              <w:left w:w="110" w:type="dxa"/>
              <w:bottom w:w="90" w:type="dxa"/>
              <w:right w:w="110" w:type="dxa"/>
            </w:tcMar>
            <w:vAlign w:val="center"/>
          </w:tcPr>
          <w:p w14:paraId="2877CC9D">
            <w:pPr>
              <w:spacing w:after="0" w:line="276" w:lineRule="auto"/>
              <w:jc w:val="left"/>
            </w:pPr>
            <w:r>
              <w:rPr>
                <w:rFonts w:ascii="Times New Roman" w:hAnsi="Times New Roman" w:eastAsia="宋体"/>
                <w:b w:val="0"/>
                <w:color w:val="000000"/>
                <w:sz w:val="18"/>
              </w:rPr>
              <w:t>路阻函数、超饱和延误、交通流传播与 MFD 动态分配</w:t>
            </w:r>
          </w:p>
        </w:tc>
      </w:tr>
      <w:tr w14:paraId="7AE103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81" w:type="dxa"/>
            <w:shd w:val="clear" w:color="auto" w:fill="auto"/>
            <w:tcMar>
              <w:top w:w="90" w:type="dxa"/>
              <w:left w:w="110" w:type="dxa"/>
              <w:bottom w:w="90" w:type="dxa"/>
              <w:right w:w="110" w:type="dxa"/>
            </w:tcMar>
            <w:vAlign w:val="center"/>
          </w:tcPr>
          <w:p w14:paraId="086FABB5">
            <w:pPr>
              <w:spacing w:after="0" w:line="276" w:lineRule="auto"/>
              <w:jc w:val="center"/>
            </w:pPr>
            <w:r>
              <w:rPr>
                <w:rFonts w:ascii="Times New Roman" w:hAnsi="Times New Roman" w:eastAsia="宋体"/>
                <w:b w:val="0"/>
                <w:color w:val="000000"/>
                <w:sz w:val="18"/>
              </w:rPr>
              <w:t>低空容量与流量</w:t>
            </w:r>
          </w:p>
        </w:tc>
        <w:tc>
          <w:tcPr>
            <w:tcW w:w="3081" w:type="dxa"/>
            <w:shd w:val="clear" w:color="auto" w:fill="auto"/>
            <w:tcMar>
              <w:top w:w="90" w:type="dxa"/>
              <w:left w:w="110" w:type="dxa"/>
              <w:bottom w:w="90" w:type="dxa"/>
              <w:right w:w="110" w:type="dxa"/>
            </w:tcMar>
            <w:vAlign w:val="center"/>
          </w:tcPr>
          <w:p w14:paraId="4E71BD2B">
            <w:pPr>
              <w:spacing w:after="0" w:line="276" w:lineRule="auto"/>
              <w:jc w:val="left"/>
            </w:pPr>
            <w:r>
              <w:rPr>
                <w:rFonts w:ascii="Times New Roman" w:hAnsi="Times New Roman" w:eastAsia="宋体"/>
                <w:b w:val="0"/>
                <w:color w:val="000000"/>
                <w:sz w:val="18"/>
              </w:rPr>
              <w:t>[8] 至 [17]</w:t>
            </w:r>
          </w:p>
        </w:tc>
        <w:tc>
          <w:tcPr>
            <w:tcW w:w="3081" w:type="dxa"/>
            <w:shd w:val="clear" w:color="auto" w:fill="auto"/>
            <w:tcMar>
              <w:top w:w="90" w:type="dxa"/>
              <w:left w:w="110" w:type="dxa"/>
              <w:bottom w:w="90" w:type="dxa"/>
              <w:right w:w="110" w:type="dxa"/>
            </w:tcMar>
            <w:vAlign w:val="center"/>
          </w:tcPr>
          <w:p w14:paraId="0C00B298">
            <w:pPr>
              <w:spacing w:after="0" w:line="276" w:lineRule="auto"/>
              <w:jc w:val="left"/>
            </w:pPr>
            <w:r>
              <w:rPr>
                <w:rFonts w:ascii="Times New Roman" w:hAnsi="Times New Roman" w:eastAsia="宋体"/>
                <w:b w:val="0"/>
                <w:color w:val="000000"/>
                <w:sz w:val="18"/>
              </w:rPr>
              <w:t>低空 MFD、约束空域容量、需求容量平衡与冲突管理</w:t>
            </w:r>
          </w:p>
        </w:tc>
      </w:tr>
      <w:tr w14:paraId="368B7F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81" w:type="dxa"/>
            <w:tcMar>
              <w:top w:w="90" w:type="dxa"/>
              <w:left w:w="110" w:type="dxa"/>
              <w:bottom w:w="90" w:type="dxa"/>
              <w:right w:w="110" w:type="dxa"/>
            </w:tcMar>
            <w:vAlign w:val="center"/>
          </w:tcPr>
          <w:p w14:paraId="6B194F89">
            <w:pPr>
              <w:spacing w:after="0" w:line="276" w:lineRule="auto"/>
              <w:jc w:val="center"/>
            </w:pPr>
            <w:r>
              <w:rPr>
                <w:rFonts w:ascii="Times New Roman" w:hAnsi="Times New Roman" w:eastAsia="宋体"/>
                <w:b w:val="0"/>
                <w:color w:val="000000"/>
                <w:sz w:val="18"/>
              </w:rPr>
              <w:t>空域与航路结构</w:t>
            </w:r>
          </w:p>
        </w:tc>
        <w:tc>
          <w:tcPr>
            <w:tcW w:w="3081" w:type="dxa"/>
            <w:tcMar>
              <w:top w:w="90" w:type="dxa"/>
              <w:left w:w="110" w:type="dxa"/>
              <w:bottom w:w="90" w:type="dxa"/>
              <w:right w:w="110" w:type="dxa"/>
            </w:tcMar>
            <w:vAlign w:val="center"/>
          </w:tcPr>
          <w:p w14:paraId="30199E8E">
            <w:pPr>
              <w:spacing w:after="0" w:line="276" w:lineRule="auto"/>
              <w:jc w:val="left"/>
            </w:pPr>
            <w:r>
              <w:rPr>
                <w:rFonts w:ascii="Times New Roman" w:hAnsi="Times New Roman" w:eastAsia="宋体"/>
                <w:b w:val="0"/>
                <w:color w:val="000000"/>
                <w:sz w:val="18"/>
              </w:rPr>
              <w:t>[18] 至 [23]</w:t>
            </w:r>
          </w:p>
        </w:tc>
        <w:tc>
          <w:tcPr>
            <w:tcW w:w="3081" w:type="dxa"/>
            <w:tcMar>
              <w:top w:w="90" w:type="dxa"/>
              <w:left w:w="110" w:type="dxa"/>
              <w:bottom w:w="90" w:type="dxa"/>
              <w:right w:w="110" w:type="dxa"/>
            </w:tcMar>
            <w:vAlign w:val="center"/>
          </w:tcPr>
          <w:p w14:paraId="34F34A01">
            <w:pPr>
              <w:spacing w:after="0" w:line="276" w:lineRule="auto"/>
              <w:jc w:val="left"/>
            </w:pPr>
            <w:r>
              <w:rPr>
                <w:rFonts w:ascii="Times New Roman" w:hAnsi="Times New Roman" w:eastAsia="宋体"/>
                <w:b w:val="0"/>
                <w:color w:val="000000"/>
                <w:sz w:val="18"/>
              </w:rPr>
              <w:t>UTM、天路、管道式航路、三维网络与交叉口设计</w:t>
            </w:r>
          </w:p>
        </w:tc>
      </w:tr>
      <w:tr w14:paraId="7798DA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81" w:type="dxa"/>
            <w:shd w:val="clear" w:color="auto" w:fill="auto"/>
            <w:tcMar>
              <w:top w:w="90" w:type="dxa"/>
              <w:left w:w="110" w:type="dxa"/>
              <w:bottom w:w="90" w:type="dxa"/>
              <w:right w:w="110" w:type="dxa"/>
            </w:tcMar>
            <w:vAlign w:val="center"/>
          </w:tcPr>
          <w:p w14:paraId="56B943B1">
            <w:pPr>
              <w:spacing w:after="0" w:line="276" w:lineRule="auto"/>
              <w:jc w:val="center"/>
            </w:pPr>
            <w:r>
              <w:rPr>
                <w:rFonts w:ascii="Times New Roman" w:hAnsi="Times New Roman" w:eastAsia="宋体"/>
                <w:b w:val="0"/>
                <w:color w:val="000000"/>
                <w:sz w:val="18"/>
              </w:rPr>
              <w:t>能耗与风险</w:t>
            </w:r>
          </w:p>
        </w:tc>
        <w:tc>
          <w:tcPr>
            <w:tcW w:w="3081" w:type="dxa"/>
            <w:shd w:val="clear" w:color="auto" w:fill="auto"/>
            <w:tcMar>
              <w:top w:w="90" w:type="dxa"/>
              <w:left w:w="110" w:type="dxa"/>
              <w:bottom w:w="90" w:type="dxa"/>
              <w:right w:w="110" w:type="dxa"/>
            </w:tcMar>
            <w:vAlign w:val="center"/>
          </w:tcPr>
          <w:p w14:paraId="28DD395F">
            <w:pPr>
              <w:spacing w:after="0" w:line="276" w:lineRule="auto"/>
              <w:jc w:val="left"/>
            </w:pPr>
            <w:r>
              <w:rPr>
                <w:rFonts w:ascii="Times New Roman" w:hAnsi="Times New Roman" w:eastAsia="宋体"/>
                <w:b w:val="0"/>
                <w:color w:val="000000"/>
                <w:sz w:val="18"/>
              </w:rPr>
              <w:t>[24] 至 [26]</w:t>
            </w:r>
          </w:p>
        </w:tc>
        <w:tc>
          <w:tcPr>
            <w:tcW w:w="3081" w:type="dxa"/>
            <w:shd w:val="clear" w:color="auto" w:fill="auto"/>
            <w:tcMar>
              <w:top w:w="90" w:type="dxa"/>
              <w:left w:w="110" w:type="dxa"/>
              <w:bottom w:w="90" w:type="dxa"/>
              <w:right w:w="110" w:type="dxa"/>
            </w:tcMar>
            <w:vAlign w:val="center"/>
          </w:tcPr>
          <w:p w14:paraId="106A1360">
            <w:pPr>
              <w:spacing w:after="0" w:line="276" w:lineRule="auto"/>
              <w:jc w:val="left"/>
            </w:pPr>
            <w:r>
              <w:rPr>
                <w:rFonts w:ascii="Times New Roman" w:hAnsi="Times New Roman" w:eastAsia="宋体"/>
                <w:b w:val="0"/>
                <w:color w:val="000000"/>
                <w:sz w:val="18"/>
              </w:rPr>
              <w:t>风场、三维能耗与第三方风险成本</w:t>
            </w:r>
          </w:p>
        </w:tc>
      </w:tr>
      <w:tr w14:paraId="7DB4FB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81" w:type="dxa"/>
            <w:tcMar>
              <w:top w:w="90" w:type="dxa"/>
              <w:left w:w="110" w:type="dxa"/>
              <w:bottom w:w="90" w:type="dxa"/>
              <w:right w:w="110" w:type="dxa"/>
            </w:tcMar>
            <w:vAlign w:val="center"/>
          </w:tcPr>
          <w:p w14:paraId="19D91D5D">
            <w:pPr>
              <w:spacing w:after="0" w:line="276" w:lineRule="auto"/>
              <w:jc w:val="center"/>
            </w:pPr>
            <w:r>
              <w:rPr>
                <w:rFonts w:ascii="Times New Roman" w:hAnsi="Times New Roman" w:eastAsia="宋体"/>
                <w:b w:val="0"/>
                <w:color w:val="000000"/>
                <w:sz w:val="18"/>
              </w:rPr>
              <w:t>起降点与系统集成</w:t>
            </w:r>
          </w:p>
        </w:tc>
        <w:tc>
          <w:tcPr>
            <w:tcW w:w="3081" w:type="dxa"/>
            <w:tcMar>
              <w:top w:w="90" w:type="dxa"/>
              <w:left w:w="110" w:type="dxa"/>
              <w:bottom w:w="90" w:type="dxa"/>
              <w:right w:w="110" w:type="dxa"/>
            </w:tcMar>
            <w:vAlign w:val="center"/>
          </w:tcPr>
          <w:p w14:paraId="56EC828A">
            <w:pPr>
              <w:spacing w:after="0" w:line="276" w:lineRule="auto"/>
              <w:jc w:val="left"/>
            </w:pPr>
            <w:r>
              <w:rPr>
                <w:rFonts w:ascii="Times New Roman" w:hAnsi="Times New Roman" w:eastAsia="宋体"/>
                <w:b w:val="0"/>
                <w:color w:val="000000"/>
                <w:sz w:val="18"/>
              </w:rPr>
              <w:t>[27] 至 [30]</w:t>
            </w:r>
          </w:p>
        </w:tc>
        <w:tc>
          <w:tcPr>
            <w:tcW w:w="3081" w:type="dxa"/>
            <w:tcMar>
              <w:top w:w="90" w:type="dxa"/>
              <w:left w:w="110" w:type="dxa"/>
              <w:bottom w:w="90" w:type="dxa"/>
              <w:right w:w="110" w:type="dxa"/>
            </w:tcMar>
            <w:vAlign w:val="center"/>
          </w:tcPr>
          <w:p w14:paraId="598453A8">
            <w:pPr>
              <w:spacing w:after="0" w:line="276" w:lineRule="auto"/>
              <w:jc w:val="left"/>
            </w:pPr>
            <w:r>
              <w:rPr>
                <w:rFonts w:ascii="Times New Roman" w:hAnsi="Times New Roman" w:eastAsia="宋体"/>
                <w:b w:val="0"/>
                <w:color w:val="000000"/>
                <w:sz w:val="18"/>
              </w:rPr>
              <w:t>起降点容量、排队、法规和地空一体化</w:t>
            </w:r>
          </w:p>
        </w:tc>
      </w:tr>
      <w:tr w14:paraId="6B53D0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81" w:type="dxa"/>
            <w:shd w:val="clear" w:color="auto" w:fill="auto"/>
            <w:tcMar>
              <w:top w:w="90" w:type="dxa"/>
              <w:left w:w="110" w:type="dxa"/>
              <w:bottom w:w="90" w:type="dxa"/>
              <w:right w:w="110" w:type="dxa"/>
            </w:tcMar>
            <w:vAlign w:val="center"/>
          </w:tcPr>
          <w:p w14:paraId="226FCB60">
            <w:pPr>
              <w:spacing w:after="0" w:line="276" w:lineRule="auto"/>
              <w:jc w:val="center"/>
            </w:pPr>
            <w:r>
              <w:rPr>
                <w:rFonts w:ascii="Times New Roman" w:hAnsi="Times New Roman" w:eastAsia="宋体"/>
                <w:b w:val="0"/>
                <w:color w:val="000000"/>
                <w:sz w:val="18"/>
              </w:rPr>
              <w:t>国内研究</w:t>
            </w:r>
          </w:p>
        </w:tc>
        <w:tc>
          <w:tcPr>
            <w:tcW w:w="3081" w:type="dxa"/>
            <w:shd w:val="clear" w:color="auto" w:fill="auto"/>
            <w:tcMar>
              <w:top w:w="90" w:type="dxa"/>
              <w:left w:w="110" w:type="dxa"/>
              <w:bottom w:w="90" w:type="dxa"/>
              <w:right w:w="110" w:type="dxa"/>
            </w:tcMar>
            <w:vAlign w:val="center"/>
          </w:tcPr>
          <w:p w14:paraId="0C4E839E">
            <w:pPr>
              <w:spacing w:after="0" w:line="276" w:lineRule="auto"/>
              <w:jc w:val="left"/>
            </w:pPr>
            <w:r>
              <w:rPr>
                <w:rFonts w:ascii="Times New Roman" w:hAnsi="Times New Roman" w:eastAsia="宋体"/>
                <w:b w:val="0"/>
                <w:color w:val="000000"/>
                <w:sz w:val="18"/>
              </w:rPr>
              <w:t>[31] 至 [32]</w:t>
            </w:r>
          </w:p>
        </w:tc>
        <w:tc>
          <w:tcPr>
            <w:tcW w:w="3081" w:type="dxa"/>
            <w:shd w:val="clear" w:color="auto" w:fill="auto"/>
            <w:tcMar>
              <w:top w:w="90" w:type="dxa"/>
              <w:left w:w="110" w:type="dxa"/>
              <w:bottom w:w="90" w:type="dxa"/>
              <w:right w:w="110" w:type="dxa"/>
            </w:tcMar>
            <w:vAlign w:val="center"/>
          </w:tcPr>
          <w:p w14:paraId="34B44AD6">
            <w:pPr>
              <w:spacing w:after="0" w:line="276" w:lineRule="auto"/>
              <w:jc w:val="left"/>
            </w:pPr>
            <w:r>
              <w:rPr>
                <w:rFonts w:ascii="Times New Roman" w:hAnsi="Times New Roman" w:eastAsia="宋体"/>
                <w:b w:val="0"/>
                <w:color w:val="000000"/>
                <w:sz w:val="18"/>
              </w:rPr>
              <w:t>强化学习路径规划与低空公共航路基础设施</w:t>
            </w:r>
          </w:p>
        </w:tc>
      </w:tr>
    </w:tbl>
    <w:p w14:paraId="113A29F8">
      <w:pPr>
        <w:keepNext/>
        <w:spacing w:before="120" w:after="80"/>
        <w:jc w:val="center"/>
      </w:pPr>
      <w:r>
        <w:rPr>
          <w:rFonts w:ascii="Times New Roman" w:hAnsi="Times New Roman" w:eastAsia="宋体"/>
          <w:b/>
          <w:color w:val="000000"/>
          <w:sz w:val="19"/>
        </w:rPr>
        <w:t>文献分组</w:t>
      </w:r>
    </w:p>
    <w:p w14:paraId="32908BF0">
      <w:pPr>
        <w:spacing w:after="40"/>
      </w:pPr>
    </w:p>
    <w:p w14:paraId="6422C364">
      <w:pPr>
        <w:pStyle w:val="3"/>
        <w:keepNext/>
        <w:spacing w:before="280" w:after="120"/>
        <w:jc w:val="left"/>
      </w:pPr>
      <w:r>
        <w:rPr>
          <w:rFonts w:ascii="Arial" w:hAnsi="Arial" w:eastAsia="黑体"/>
          <w:b/>
          <w:color w:val="000000"/>
          <w:sz w:val="30"/>
        </w:rPr>
        <w:t>2 经典路阻函数的理论基础</w:t>
      </w:r>
    </w:p>
    <w:p w14:paraId="2D8B2C6D">
      <w:pPr>
        <w:pStyle w:val="4"/>
        <w:keepNext/>
        <w:spacing w:before="180" w:after="120"/>
        <w:jc w:val="left"/>
      </w:pPr>
      <w:r>
        <w:rPr>
          <w:rFonts w:ascii="Arial" w:hAnsi="Arial" w:eastAsia="黑体"/>
          <w:b/>
          <w:color w:val="000000"/>
          <w:sz w:val="26"/>
        </w:rPr>
        <w:t>2.1 BPR 函数</w:t>
      </w:r>
    </w:p>
    <w:p w14:paraId="78ECE3CA">
      <w:pPr>
        <w:spacing w:after="80" w:line="360" w:lineRule="auto"/>
        <w:ind w:firstLine="420"/>
        <w:jc w:val="both"/>
      </w:pPr>
      <w:r>
        <w:rPr>
          <w:rFonts w:ascii="Times New Roman" w:hAnsi="Times New Roman" w:eastAsia="宋体"/>
          <w:b w:val="0"/>
          <w:color w:val="000000"/>
          <w:sz w:val="21"/>
        </w:rPr>
        <w:t>美国公路局交通分配手册提出的 BPR 函数是最常用的容量约束型路阻函数之一</w:t>
      </w:r>
      <w:r>
        <w:rPr>
          <w:rFonts w:ascii="Times New Roman" w:hAnsi="Times New Roman" w:eastAsia="宋体"/>
          <w:b w:val="0"/>
          <w:color w:val="000000"/>
          <w:sz w:val="21"/>
          <w:vertAlign w:val="superscript"/>
        </w:rPr>
        <w:t>[1]</w:t>
      </w:r>
      <w:r>
        <w:rPr>
          <w:rFonts w:ascii="Times New Roman" w:hAnsi="Times New Roman" w:eastAsia="宋体"/>
          <w:b w:val="0"/>
          <w:color w:val="000000"/>
          <w:sz w:val="21"/>
        </w:rPr>
        <w:t>。其基本形式为</w:t>
      </w:r>
    </w:p>
    <w:p w14:paraId="3717C538">
      <w:pPr>
        <w:spacing w:before="100" w:after="100"/>
        <w:jc w:val="center"/>
      </w:pPr>
      <w:r>
        <w:rPr>
          <w:rFonts w:ascii="Cambria Math" w:hAnsi="Cambria Math" w:eastAsia="Cambria Math"/>
          <w:b w:val="0"/>
          <w:color w:val="000000"/>
          <w:sz w:val="22"/>
        </w:rPr>
        <w:t>tₐ = tₐ⁰ [1 + α (xₐ / Cₐ)ᵝ]</w:t>
      </w:r>
    </w:p>
    <w:p w14:paraId="08FB08C1">
      <w:pPr>
        <w:spacing w:after="80" w:line="360" w:lineRule="auto"/>
        <w:ind w:firstLine="420"/>
        <w:jc w:val="both"/>
      </w:pPr>
      <w:r>
        <w:rPr>
          <w:rFonts w:ascii="Times New Roman" w:hAnsi="Times New Roman" w:eastAsia="宋体"/>
          <w:b w:val="0"/>
          <w:color w:val="000000"/>
          <w:sz w:val="21"/>
        </w:rPr>
        <w:t>其中 tₐ⁰ 为自由流时间，xₐ 为流量，Cₐ 为容量，α 和 β 控制拥堵增长的幅度与陡峭程度。BPR 函数连续、可微，便于嵌入用户均衡和系统最优模型，但它不显式描述排队位置、拥堵回溢和容量随环境变化的过程。当 xₐ 超过 Cₐ 时，函数给出的时间是静态惩罚，而不是由队列守恒关系产生的真实延误。</w:t>
      </w:r>
    </w:p>
    <w:p w14:paraId="5DC96923">
      <w:pPr>
        <w:pStyle w:val="4"/>
        <w:keepNext/>
        <w:spacing w:before="180" w:after="120"/>
        <w:jc w:val="left"/>
      </w:pPr>
      <w:r>
        <w:rPr>
          <w:rFonts w:ascii="Arial" w:hAnsi="Arial" w:eastAsia="黑体"/>
          <w:b/>
          <w:color w:val="000000"/>
          <w:sz w:val="26"/>
        </w:rPr>
        <w:t>2.2 Akçelik 与锥形函数</w:t>
      </w:r>
    </w:p>
    <w:p w14:paraId="09645764">
      <w:pPr>
        <w:spacing w:after="80" w:line="360" w:lineRule="auto"/>
        <w:ind w:firstLine="420"/>
        <w:jc w:val="both"/>
      </w:pPr>
      <w:r>
        <w:rPr>
          <w:rFonts w:ascii="Times New Roman" w:hAnsi="Times New Roman" w:eastAsia="宋体"/>
          <w:b w:val="0"/>
          <w:color w:val="000000"/>
          <w:sz w:val="21"/>
        </w:rPr>
        <w:t>Akçelik 分析了 Davidson 函数的参数含义和超容量条件，提出时间相关形式及替代函数</w:t>
      </w:r>
      <w:r>
        <w:rPr>
          <w:rFonts w:ascii="Times New Roman" w:hAnsi="Times New Roman" w:eastAsia="宋体"/>
          <w:b w:val="0"/>
          <w:color w:val="000000"/>
          <w:sz w:val="21"/>
          <w:vertAlign w:val="superscript"/>
        </w:rPr>
        <w:t>[2]</w:t>
      </w:r>
      <w:r>
        <w:rPr>
          <w:rFonts w:ascii="Times New Roman" w:hAnsi="Times New Roman" w:eastAsia="宋体"/>
          <w:b w:val="0"/>
          <w:color w:val="000000"/>
          <w:sz w:val="21"/>
        </w:rPr>
        <w:t>。这一研究的重要启示是：超过容量后的延误与分析时段有关，不能只靠静态流量容量比解释。对低空交通而言，航空器在交叉口或起降点等待的时间同样受需求持续时间和初始队列影响，因此需要把静态阻抗和动态排队分开。</w:t>
      </w:r>
    </w:p>
    <w:p w14:paraId="407A0735">
      <w:pPr>
        <w:spacing w:after="80" w:line="360" w:lineRule="auto"/>
        <w:ind w:firstLine="420"/>
        <w:jc w:val="both"/>
      </w:pPr>
      <w:r>
        <w:rPr>
          <w:rFonts w:ascii="Times New Roman" w:hAnsi="Times New Roman" w:eastAsia="宋体"/>
          <w:b w:val="0"/>
          <w:color w:val="000000"/>
          <w:sz w:val="21"/>
        </w:rPr>
        <w:t>Spiess 提出的锥形函数以连续、单调和良好的数值性质为目标，避免 BPR 函数在容量附近斜率过大造成的求解困难</w:t>
      </w:r>
      <w:r>
        <w:rPr>
          <w:rFonts w:ascii="Times New Roman" w:hAnsi="Times New Roman" w:eastAsia="宋体"/>
          <w:b w:val="0"/>
          <w:color w:val="000000"/>
          <w:sz w:val="21"/>
          <w:vertAlign w:val="superscript"/>
        </w:rPr>
        <w:t>[3]</w:t>
      </w:r>
      <w:r>
        <w:rPr>
          <w:rFonts w:ascii="Times New Roman" w:hAnsi="Times New Roman" w:eastAsia="宋体"/>
          <w:b w:val="0"/>
          <w:color w:val="000000"/>
          <w:sz w:val="21"/>
        </w:rPr>
        <w:t>。如果低空交通分配需要大量迭代，锥形函数可作为航段拥堵项的候选形式。Moses 等的速度模型报告和 Paszkowski 等的研究进一步说明，函数参数应随道路或通道的几何和运行规则变化，而不宜全网使用同一组参数</w:t>
      </w:r>
      <w:r>
        <w:rPr>
          <w:rFonts w:ascii="Times New Roman" w:hAnsi="Times New Roman" w:eastAsia="宋体"/>
          <w:b w:val="0"/>
          <w:color w:val="000000"/>
          <w:sz w:val="21"/>
          <w:vertAlign w:val="superscript"/>
        </w:rPr>
        <w:t>[4]</w:t>
      </w:r>
      <w:r>
        <w:rPr>
          <w:rFonts w:ascii="Times New Roman" w:hAnsi="Times New Roman" w:eastAsia="宋体"/>
          <w:b w:val="0"/>
          <w:color w:val="000000"/>
          <w:sz w:val="21"/>
          <w:vertAlign w:val="superscript"/>
        </w:rPr>
        <w:t>[5]</w:t>
      </w:r>
      <w:r>
        <w:rPr>
          <w:rFonts w:ascii="Times New Roman" w:hAnsi="Times New Roman" w:eastAsia="宋体"/>
          <w:b w:val="0"/>
          <w:color w:val="000000"/>
          <w:sz w:val="21"/>
        </w:rPr>
        <w:t>。对应到低空网络，航段宽度、转弯角、允许速度和分离规则应进入参数分组。</w:t>
      </w:r>
    </w:p>
    <w:p w14:paraId="3443C2E4">
      <w:pPr>
        <w:pStyle w:val="4"/>
        <w:keepNext/>
        <w:spacing w:before="180" w:after="120"/>
        <w:jc w:val="left"/>
      </w:pPr>
      <w:r>
        <w:rPr>
          <w:rFonts w:ascii="Arial" w:hAnsi="Arial" w:eastAsia="黑体"/>
          <w:b/>
          <w:color w:val="000000"/>
          <w:sz w:val="26"/>
        </w:rPr>
        <w:t>2.3 动态传播与宏观基本图</w:t>
      </w:r>
      <w:bookmarkStart w:id="0" w:name="_GoBack"/>
      <w:bookmarkEnd w:id="0"/>
    </w:p>
    <w:p w14:paraId="09D1B2D6">
      <w:pPr>
        <w:spacing w:after="80" w:line="360" w:lineRule="auto"/>
        <w:ind w:firstLine="420"/>
        <w:jc w:val="both"/>
      </w:pPr>
      <w:r>
        <w:rPr>
          <w:rFonts w:ascii="Times New Roman" w:hAnsi="Times New Roman" w:eastAsia="宋体"/>
          <w:b w:val="0"/>
          <w:color w:val="000000"/>
          <w:sz w:val="21"/>
        </w:rPr>
        <w:t>Daganzo 的元胞传输模型通过车辆守恒、发送能力和接收能力描述拥堵形成与回溢</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w:t>
      </w:r>
      <w:r>
        <w:rPr>
          <w:rFonts w:hint="eastAsia"/>
          <w:b w:val="0"/>
          <w:color w:val="000000"/>
          <w:sz w:val="21"/>
          <w:lang w:val="en-US" w:eastAsia="zh-CN"/>
        </w:rPr>
        <w:t>该模型</w:t>
      </w:r>
      <w:r>
        <w:rPr>
          <w:rFonts w:ascii="Times New Roman" w:hAnsi="Times New Roman" w:eastAsia="宋体"/>
          <w:b w:val="0"/>
          <w:color w:val="000000"/>
          <w:sz w:val="21"/>
        </w:rPr>
        <w:t>提示低空航路不能只给出单航段时间函数，还应处理下游交叉点饱和后对上游航段的阻塞。Aghamohammadi 和 Laval 总结了基于 MFD 的动态交通分配，指出区域总积累量与总流出量之间的关系能够降低大规模网络建模成本，但仍需解决出发时刻选择、数值算法和实时校准问题</w:t>
      </w:r>
      <w:r>
        <w:rPr>
          <w:rFonts w:ascii="Times New Roman" w:hAnsi="Times New Roman" w:eastAsia="宋体"/>
          <w:b w:val="0"/>
          <w:color w:val="000000"/>
          <w:sz w:val="21"/>
          <w:vertAlign w:val="superscript"/>
        </w:rPr>
        <w:t>[7]</w:t>
      </w:r>
      <w:r>
        <w:rPr>
          <w:rFonts w:ascii="Times New Roman" w:hAnsi="Times New Roman" w:eastAsia="宋体"/>
          <w:b w:val="0"/>
          <w:color w:val="000000"/>
          <w:sz w:val="21"/>
        </w:rPr>
        <w:t>。这一思路为低空区域级阻抗提供了直接参照。</w:t>
      </w:r>
    </w:p>
    <w:p w14:paraId="5AB59BEC">
      <w:pPr>
        <w:keepNext/>
        <w:spacing w:before="120" w:after="80"/>
        <w:jc w:val="center"/>
      </w:pPr>
      <w:r>
        <w:rPr>
          <w:rFonts w:ascii="Times New Roman" w:hAnsi="Times New Roman" w:eastAsia="宋体"/>
          <w:b/>
          <w:color w:val="000000"/>
          <w:sz w:val="19"/>
        </w:rPr>
        <w:t xml:space="preserve"> 基础模型比较</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10"/>
        <w:gridCol w:w="2310"/>
        <w:gridCol w:w="2310"/>
        <w:gridCol w:w="2310"/>
      </w:tblGrid>
      <w:tr w14:paraId="29ADE2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360" w:type="dxa"/>
            <w:shd w:val="clear" w:color="auto" w:fill="auto"/>
            <w:tcMar>
              <w:top w:w="90" w:type="dxa"/>
              <w:left w:w="110" w:type="dxa"/>
              <w:bottom w:w="90" w:type="dxa"/>
              <w:right w:w="110" w:type="dxa"/>
            </w:tcMar>
            <w:vAlign w:val="center"/>
          </w:tcPr>
          <w:p w14:paraId="4BFAE9DC">
            <w:pPr>
              <w:spacing w:after="0" w:line="276" w:lineRule="auto"/>
              <w:jc w:val="center"/>
            </w:pPr>
            <w:r>
              <w:rPr>
                <w:rFonts w:ascii="Times New Roman" w:hAnsi="Times New Roman" w:eastAsia="宋体"/>
                <w:b w:val="0"/>
                <w:color w:val="000000"/>
                <w:sz w:val="17"/>
              </w:rPr>
              <w:t>模型</w:t>
            </w:r>
          </w:p>
        </w:tc>
        <w:tc>
          <w:tcPr>
            <w:tcW w:w="2097" w:type="dxa"/>
            <w:shd w:val="clear" w:color="auto" w:fill="auto"/>
            <w:tcMar>
              <w:top w:w="90" w:type="dxa"/>
              <w:left w:w="110" w:type="dxa"/>
              <w:bottom w:w="90" w:type="dxa"/>
              <w:right w:w="110" w:type="dxa"/>
            </w:tcMar>
            <w:vAlign w:val="center"/>
          </w:tcPr>
          <w:p w14:paraId="2B200B90">
            <w:pPr>
              <w:spacing w:after="0" w:line="276" w:lineRule="auto"/>
              <w:jc w:val="center"/>
            </w:pPr>
            <w:r>
              <w:rPr>
                <w:rFonts w:ascii="Times New Roman" w:hAnsi="Times New Roman" w:eastAsia="宋体"/>
                <w:b w:val="0"/>
                <w:color w:val="000000"/>
                <w:sz w:val="17"/>
              </w:rPr>
              <w:t>主要变量</w:t>
            </w:r>
          </w:p>
        </w:tc>
        <w:tc>
          <w:tcPr>
            <w:tcW w:w="2494" w:type="dxa"/>
            <w:shd w:val="clear" w:color="auto" w:fill="auto"/>
            <w:tcMar>
              <w:top w:w="90" w:type="dxa"/>
              <w:left w:w="110" w:type="dxa"/>
              <w:bottom w:w="90" w:type="dxa"/>
              <w:right w:w="110" w:type="dxa"/>
            </w:tcMar>
            <w:vAlign w:val="center"/>
          </w:tcPr>
          <w:p w14:paraId="101352CC">
            <w:pPr>
              <w:spacing w:after="0" w:line="276" w:lineRule="auto"/>
              <w:jc w:val="center"/>
              <w:rPr>
                <w:rFonts w:ascii="Times New Roman" w:hAnsi="Times New Roman" w:eastAsia="宋体"/>
                <w:b w:val="0"/>
                <w:color w:val="000000"/>
                <w:sz w:val="17"/>
              </w:rPr>
            </w:pPr>
            <w:r>
              <w:rPr>
                <w:rFonts w:ascii="Times New Roman" w:hAnsi="Times New Roman" w:eastAsia="宋体"/>
                <w:b w:val="0"/>
                <w:color w:val="000000"/>
                <w:sz w:val="17"/>
              </w:rPr>
              <w:t>适用</w:t>
            </w:r>
          </w:p>
        </w:tc>
        <w:tc>
          <w:tcPr>
            <w:tcW w:w="2721" w:type="dxa"/>
            <w:shd w:val="clear" w:color="auto" w:fill="auto"/>
            <w:tcMar>
              <w:top w:w="90" w:type="dxa"/>
              <w:left w:w="110" w:type="dxa"/>
              <w:bottom w:w="90" w:type="dxa"/>
              <w:right w:w="110" w:type="dxa"/>
            </w:tcMar>
            <w:vAlign w:val="center"/>
          </w:tcPr>
          <w:p w14:paraId="609BFA45">
            <w:pPr>
              <w:spacing w:after="0" w:line="276" w:lineRule="auto"/>
              <w:jc w:val="center"/>
              <w:rPr>
                <w:rFonts w:ascii="Times New Roman" w:hAnsi="Times New Roman" w:eastAsia="宋体"/>
                <w:b w:val="0"/>
                <w:color w:val="000000"/>
                <w:sz w:val="17"/>
              </w:rPr>
            </w:pPr>
            <w:r>
              <w:rPr>
                <w:rFonts w:ascii="Times New Roman" w:hAnsi="Times New Roman" w:eastAsia="宋体"/>
                <w:b w:val="0"/>
                <w:color w:val="000000"/>
                <w:sz w:val="17"/>
              </w:rPr>
              <w:t>直接移植的限制</w:t>
            </w:r>
          </w:p>
        </w:tc>
      </w:tr>
      <w:tr w14:paraId="2A9A6B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360" w:type="dxa"/>
            <w:shd w:val="clear" w:color="auto" w:fill="auto"/>
            <w:tcMar>
              <w:top w:w="90" w:type="dxa"/>
              <w:left w:w="110" w:type="dxa"/>
              <w:bottom w:w="90" w:type="dxa"/>
              <w:right w:w="110" w:type="dxa"/>
            </w:tcMar>
            <w:vAlign w:val="center"/>
          </w:tcPr>
          <w:p w14:paraId="2B6DB27D">
            <w:pPr>
              <w:spacing w:after="0" w:line="276" w:lineRule="auto"/>
              <w:jc w:val="center"/>
            </w:pPr>
            <w:r>
              <w:rPr>
                <w:rFonts w:ascii="Times New Roman" w:hAnsi="Times New Roman" w:eastAsia="宋体"/>
                <w:b w:val="0"/>
                <w:color w:val="000000"/>
                <w:sz w:val="17"/>
              </w:rPr>
              <w:t>BPR</w:t>
            </w:r>
          </w:p>
        </w:tc>
        <w:tc>
          <w:tcPr>
            <w:tcW w:w="2097" w:type="dxa"/>
            <w:shd w:val="clear" w:color="auto" w:fill="auto"/>
            <w:tcMar>
              <w:top w:w="90" w:type="dxa"/>
              <w:left w:w="110" w:type="dxa"/>
              <w:bottom w:w="90" w:type="dxa"/>
              <w:right w:w="110" w:type="dxa"/>
            </w:tcMar>
            <w:vAlign w:val="center"/>
          </w:tcPr>
          <w:p w14:paraId="0E2296F7">
            <w:pPr>
              <w:spacing w:after="0" w:line="276" w:lineRule="auto"/>
              <w:jc w:val="left"/>
            </w:pPr>
            <w:r>
              <w:rPr>
                <w:rFonts w:ascii="Times New Roman" w:hAnsi="Times New Roman" w:eastAsia="宋体"/>
                <w:b w:val="0"/>
                <w:color w:val="000000"/>
                <w:sz w:val="17"/>
              </w:rPr>
              <w:t>流量 容量 自由流时间</w:t>
            </w:r>
          </w:p>
        </w:tc>
        <w:tc>
          <w:tcPr>
            <w:tcW w:w="2494" w:type="dxa"/>
            <w:shd w:val="clear" w:color="auto" w:fill="auto"/>
            <w:tcMar>
              <w:top w:w="90" w:type="dxa"/>
              <w:left w:w="110" w:type="dxa"/>
              <w:bottom w:w="90" w:type="dxa"/>
              <w:right w:w="110" w:type="dxa"/>
            </w:tcMar>
            <w:vAlign w:val="center"/>
          </w:tcPr>
          <w:p w14:paraId="39B54683">
            <w:pPr>
              <w:spacing w:after="0" w:line="276" w:lineRule="auto"/>
              <w:jc w:val="left"/>
            </w:pPr>
            <w:r>
              <w:rPr>
                <w:rFonts w:ascii="Times New Roman" w:hAnsi="Times New Roman" w:eastAsia="宋体"/>
                <w:b w:val="0"/>
                <w:color w:val="000000"/>
                <w:sz w:val="17"/>
              </w:rPr>
              <w:t>连续可微 便于交通分配</w:t>
            </w:r>
          </w:p>
        </w:tc>
        <w:tc>
          <w:tcPr>
            <w:tcW w:w="2721" w:type="dxa"/>
            <w:shd w:val="clear" w:color="auto" w:fill="auto"/>
            <w:tcMar>
              <w:top w:w="90" w:type="dxa"/>
              <w:left w:w="110" w:type="dxa"/>
              <w:bottom w:w="90" w:type="dxa"/>
              <w:right w:w="110" w:type="dxa"/>
            </w:tcMar>
            <w:vAlign w:val="center"/>
          </w:tcPr>
          <w:p w14:paraId="0514A7B9">
            <w:pPr>
              <w:spacing w:after="0" w:line="276" w:lineRule="auto"/>
              <w:jc w:val="left"/>
            </w:pPr>
            <w:r>
              <w:rPr>
                <w:rFonts w:ascii="Times New Roman" w:hAnsi="Times New Roman" w:eastAsia="宋体"/>
                <w:b w:val="0"/>
                <w:color w:val="000000"/>
                <w:sz w:val="17"/>
              </w:rPr>
              <w:t>不显式处理动态队列和回溢</w:t>
            </w:r>
          </w:p>
        </w:tc>
      </w:tr>
      <w:tr w14:paraId="414C20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360" w:type="dxa"/>
            <w:shd w:val="clear" w:color="auto" w:fill="auto"/>
            <w:tcMar>
              <w:top w:w="90" w:type="dxa"/>
              <w:left w:w="110" w:type="dxa"/>
              <w:bottom w:w="90" w:type="dxa"/>
              <w:right w:w="110" w:type="dxa"/>
            </w:tcMar>
            <w:vAlign w:val="center"/>
          </w:tcPr>
          <w:p w14:paraId="0073D045">
            <w:pPr>
              <w:spacing w:after="0" w:line="276" w:lineRule="auto"/>
              <w:jc w:val="center"/>
            </w:pPr>
            <w:r>
              <w:rPr>
                <w:rFonts w:ascii="Times New Roman" w:hAnsi="Times New Roman" w:eastAsia="宋体"/>
                <w:b w:val="0"/>
                <w:color w:val="000000"/>
                <w:sz w:val="17"/>
              </w:rPr>
              <w:t>Akçelik</w:t>
            </w:r>
          </w:p>
        </w:tc>
        <w:tc>
          <w:tcPr>
            <w:tcW w:w="2097" w:type="dxa"/>
            <w:shd w:val="clear" w:color="auto" w:fill="auto"/>
            <w:tcMar>
              <w:top w:w="90" w:type="dxa"/>
              <w:left w:w="110" w:type="dxa"/>
              <w:bottom w:w="90" w:type="dxa"/>
              <w:right w:w="110" w:type="dxa"/>
            </w:tcMar>
            <w:vAlign w:val="center"/>
          </w:tcPr>
          <w:p w14:paraId="1B127669">
            <w:pPr>
              <w:spacing w:after="0" w:line="276" w:lineRule="auto"/>
              <w:jc w:val="left"/>
            </w:pPr>
            <w:r>
              <w:rPr>
                <w:rFonts w:ascii="Times New Roman" w:hAnsi="Times New Roman" w:eastAsia="宋体"/>
                <w:b w:val="0"/>
                <w:color w:val="000000"/>
                <w:sz w:val="17"/>
              </w:rPr>
              <w:t>流量 容量 分析时段</w:t>
            </w:r>
          </w:p>
        </w:tc>
        <w:tc>
          <w:tcPr>
            <w:tcW w:w="2494" w:type="dxa"/>
            <w:shd w:val="clear" w:color="auto" w:fill="auto"/>
            <w:tcMar>
              <w:top w:w="90" w:type="dxa"/>
              <w:left w:w="110" w:type="dxa"/>
              <w:bottom w:w="90" w:type="dxa"/>
              <w:right w:w="110" w:type="dxa"/>
            </w:tcMar>
            <w:vAlign w:val="center"/>
          </w:tcPr>
          <w:p w14:paraId="6BE00C31">
            <w:pPr>
              <w:spacing w:after="0" w:line="276" w:lineRule="auto"/>
              <w:jc w:val="left"/>
            </w:pPr>
            <w:r>
              <w:rPr>
                <w:rFonts w:ascii="Times New Roman" w:hAnsi="Times New Roman" w:eastAsia="宋体"/>
                <w:b w:val="0"/>
                <w:color w:val="000000"/>
                <w:sz w:val="17"/>
              </w:rPr>
              <w:t>适合近饱和和超饱和状态</w:t>
            </w:r>
          </w:p>
        </w:tc>
        <w:tc>
          <w:tcPr>
            <w:tcW w:w="2721" w:type="dxa"/>
            <w:shd w:val="clear" w:color="auto" w:fill="auto"/>
            <w:tcMar>
              <w:top w:w="90" w:type="dxa"/>
              <w:left w:w="110" w:type="dxa"/>
              <w:bottom w:w="90" w:type="dxa"/>
              <w:right w:w="110" w:type="dxa"/>
            </w:tcMar>
            <w:vAlign w:val="center"/>
          </w:tcPr>
          <w:p w14:paraId="3B04AAD1">
            <w:pPr>
              <w:spacing w:after="0" w:line="276" w:lineRule="auto"/>
              <w:jc w:val="left"/>
            </w:pPr>
            <w:r>
              <w:rPr>
                <w:rFonts w:ascii="Times New Roman" w:hAnsi="Times New Roman" w:eastAsia="宋体"/>
                <w:b w:val="0"/>
                <w:color w:val="000000"/>
                <w:sz w:val="17"/>
              </w:rPr>
              <w:t>参数和初始队列需要校准</w:t>
            </w:r>
          </w:p>
        </w:tc>
      </w:tr>
      <w:tr w14:paraId="78E195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360" w:type="dxa"/>
            <w:shd w:val="clear" w:color="auto" w:fill="auto"/>
            <w:tcMar>
              <w:top w:w="90" w:type="dxa"/>
              <w:left w:w="110" w:type="dxa"/>
              <w:bottom w:w="90" w:type="dxa"/>
              <w:right w:w="110" w:type="dxa"/>
            </w:tcMar>
            <w:vAlign w:val="center"/>
          </w:tcPr>
          <w:p w14:paraId="148F0BE0">
            <w:pPr>
              <w:spacing w:after="0" w:line="276" w:lineRule="auto"/>
              <w:jc w:val="center"/>
            </w:pPr>
            <w:r>
              <w:rPr>
                <w:rFonts w:ascii="Times New Roman" w:hAnsi="Times New Roman" w:eastAsia="宋体"/>
                <w:b w:val="0"/>
                <w:color w:val="000000"/>
                <w:sz w:val="17"/>
              </w:rPr>
              <w:t>锥形函数</w:t>
            </w:r>
          </w:p>
        </w:tc>
        <w:tc>
          <w:tcPr>
            <w:tcW w:w="2097" w:type="dxa"/>
            <w:shd w:val="clear" w:color="auto" w:fill="auto"/>
            <w:tcMar>
              <w:top w:w="90" w:type="dxa"/>
              <w:left w:w="110" w:type="dxa"/>
              <w:bottom w:w="90" w:type="dxa"/>
              <w:right w:w="110" w:type="dxa"/>
            </w:tcMar>
            <w:vAlign w:val="center"/>
          </w:tcPr>
          <w:p w14:paraId="5AEF43CE">
            <w:pPr>
              <w:spacing w:after="0" w:line="276" w:lineRule="auto"/>
              <w:jc w:val="left"/>
            </w:pPr>
            <w:r>
              <w:rPr>
                <w:rFonts w:ascii="Times New Roman" w:hAnsi="Times New Roman" w:eastAsia="宋体"/>
                <w:b w:val="0"/>
                <w:color w:val="000000"/>
                <w:sz w:val="17"/>
              </w:rPr>
              <w:t>流量 容量 陡峭度</w:t>
            </w:r>
          </w:p>
        </w:tc>
        <w:tc>
          <w:tcPr>
            <w:tcW w:w="2494" w:type="dxa"/>
            <w:shd w:val="clear" w:color="auto" w:fill="auto"/>
            <w:tcMar>
              <w:top w:w="90" w:type="dxa"/>
              <w:left w:w="110" w:type="dxa"/>
              <w:bottom w:w="90" w:type="dxa"/>
              <w:right w:w="110" w:type="dxa"/>
            </w:tcMar>
            <w:vAlign w:val="center"/>
          </w:tcPr>
          <w:p w14:paraId="157421D2">
            <w:pPr>
              <w:spacing w:after="0" w:line="276" w:lineRule="auto"/>
              <w:jc w:val="left"/>
            </w:pPr>
            <w:r>
              <w:rPr>
                <w:rFonts w:ascii="Times New Roman" w:hAnsi="Times New Roman" w:eastAsia="宋体"/>
                <w:b w:val="0"/>
                <w:color w:val="000000"/>
                <w:sz w:val="17"/>
              </w:rPr>
              <w:t>数值稳定 容量附近平滑</w:t>
            </w:r>
          </w:p>
        </w:tc>
        <w:tc>
          <w:tcPr>
            <w:tcW w:w="2721" w:type="dxa"/>
            <w:shd w:val="clear" w:color="auto" w:fill="auto"/>
            <w:tcMar>
              <w:top w:w="90" w:type="dxa"/>
              <w:left w:w="110" w:type="dxa"/>
              <w:bottom w:w="90" w:type="dxa"/>
              <w:right w:w="110" w:type="dxa"/>
            </w:tcMar>
            <w:vAlign w:val="center"/>
          </w:tcPr>
          <w:p w14:paraId="38508C29">
            <w:pPr>
              <w:spacing w:after="0" w:line="276" w:lineRule="auto"/>
              <w:jc w:val="left"/>
            </w:pPr>
            <w:r>
              <w:rPr>
                <w:rFonts w:ascii="Times New Roman" w:hAnsi="Times New Roman" w:eastAsia="宋体"/>
                <w:b w:val="0"/>
                <w:color w:val="000000"/>
                <w:sz w:val="17"/>
              </w:rPr>
              <w:t>缺少低空物理含义的直接参数</w:t>
            </w:r>
          </w:p>
        </w:tc>
      </w:tr>
      <w:tr w14:paraId="415C39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360" w:type="dxa"/>
            <w:shd w:val="clear" w:color="auto" w:fill="auto"/>
            <w:tcMar>
              <w:top w:w="90" w:type="dxa"/>
              <w:left w:w="110" w:type="dxa"/>
              <w:bottom w:w="90" w:type="dxa"/>
              <w:right w:w="110" w:type="dxa"/>
            </w:tcMar>
            <w:vAlign w:val="center"/>
          </w:tcPr>
          <w:p w14:paraId="261A0B2E">
            <w:pPr>
              <w:spacing w:after="0" w:line="276" w:lineRule="auto"/>
              <w:jc w:val="center"/>
            </w:pPr>
            <w:r>
              <w:rPr>
                <w:rFonts w:ascii="Times New Roman" w:hAnsi="Times New Roman" w:eastAsia="宋体"/>
                <w:b w:val="0"/>
                <w:color w:val="000000"/>
                <w:sz w:val="17"/>
              </w:rPr>
              <w:t>元胞传输模型</w:t>
            </w:r>
          </w:p>
        </w:tc>
        <w:tc>
          <w:tcPr>
            <w:tcW w:w="2097" w:type="dxa"/>
            <w:shd w:val="clear" w:color="auto" w:fill="auto"/>
            <w:tcMar>
              <w:top w:w="90" w:type="dxa"/>
              <w:left w:w="110" w:type="dxa"/>
              <w:bottom w:w="90" w:type="dxa"/>
              <w:right w:w="110" w:type="dxa"/>
            </w:tcMar>
            <w:vAlign w:val="center"/>
          </w:tcPr>
          <w:p w14:paraId="7E9AD892">
            <w:pPr>
              <w:spacing w:after="0" w:line="276" w:lineRule="auto"/>
              <w:jc w:val="left"/>
            </w:pPr>
            <w:r>
              <w:rPr>
                <w:rFonts w:ascii="Times New Roman" w:hAnsi="Times New Roman" w:eastAsia="宋体"/>
                <w:b w:val="0"/>
                <w:color w:val="000000"/>
                <w:sz w:val="17"/>
              </w:rPr>
              <w:t>发送能力 接收能力 密度</w:t>
            </w:r>
          </w:p>
        </w:tc>
        <w:tc>
          <w:tcPr>
            <w:tcW w:w="2494" w:type="dxa"/>
            <w:shd w:val="clear" w:color="auto" w:fill="auto"/>
            <w:tcMar>
              <w:top w:w="90" w:type="dxa"/>
              <w:left w:w="110" w:type="dxa"/>
              <w:bottom w:w="90" w:type="dxa"/>
              <w:right w:w="110" w:type="dxa"/>
            </w:tcMar>
            <w:vAlign w:val="center"/>
          </w:tcPr>
          <w:p w14:paraId="40880DC9">
            <w:pPr>
              <w:spacing w:after="0" w:line="276" w:lineRule="auto"/>
              <w:jc w:val="left"/>
            </w:pPr>
            <w:r>
              <w:rPr>
                <w:rFonts w:ascii="Times New Roman" w:hAnsi="Times New Roman" w:eastAsia="宋体"/>
                <w:b w:val="0"/>
                <w:color w:val="000000"/>
                <w:sz w:val="17"/>
              </w:rPr>
              <w:t>能描述回溢和动态传播</w:t>
            </w:r>
          </w:p>
        </w:tc>
        <w:tc>
          <w:tcPr>
            <w:tcW w:w="2721" w:type="dxa"/>
            <w:shd w:val="clear" w:color="auto" w:fill="auto"/>
            <w:tcMar>
              <w:top w:w="90" w:type="dxa"/>
              <w:left w:w="110" w:type="dxa"/>
              <w:bottom w:w="90" w:type="dxa"/>
              <w:right w:w="110" w:type="dxa"/>
            </w:tcMar>
            <w:vAlign w:val="center"/>
          </w:tcPr>
          <w:p w14:paraId="0A64A2C6">
            <w:pPr>
              <w:spacing w:after="0" w:line="276" w:lineRule="auto"/>
              <w:jc w:val="left"/>
            </w:pPr>
            <w:r>
              <w:rPr>
                <w:rFonts w:ascii="Times New Roman" w:hAnsi="Times New Roman" w:eastAsia="宋体"/>
                <w:b w:val="0"/>
                <w:color w:val="000000"/>
                <w:sz w:val="17"/>
              </w:rPr>
              <w:t>网络离散与计算量较大</w:t>
            </w:r>
          </w:p>
        </w:tc>
      </w:tr>
      <w:tr w14:paraId="38D3DF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360" w:type="dxa"/>
            <w:shd w:val="clear" w:color="auto" w:fill="auto"/>
            <w:tcMar>
              <w:top w:w="90" w:type="dxa"/>
              <w:left w:w="110" w:type="dxa"/>
              <w:bottom w:w="90" w:type="dxa"/>
              <w:right w:w="110" w:type="dxa"/>
            </w:tcMar>
            <w:vAlign w:val="center"/>
          </w:tcPr>
          <w:p w14:paraId="784CD42A">
            <w:pPr>
              <w:spacing w:after="0" w:line="276" w:lineRule="auto"/>
              <w:jc w:val="center"/>
            </w:pPr>
            <w:r>
              <w:rPr>
                <w:rFonts w:ascii="Times New Roman" w:hAnsi="Times New Roman" w:eastAsia="宋体"/>
                <w:b w:val="0"/>
                <w:color w:val="000000"/>
                <w:sz w:val="17"/>
              </w:rPr>
              <w:t>宏观基本图</w:t>
            </w:r>
          </w:p>
        </w:tc>
        <w:tc>
          <w:tcPr>
            <w:tcW w:w="2097" w:type="dxa"/>
            <w:shd w:val="clear" w:color="auto" w:fill="auto"/>
            <w:tcMar>
              <w:top w:w="90" w:type="dxa"/>
              <w:left w:w="110" w:type="dxa"/>
              <w:bottom w:w="90" w:type="dxa"/>
              <w:right w:w="110" w:type="dxa"/>
            </w:tcMar>
            <w:vAlign w:val="center"/>
          </w:tcPr>
          <w:p w14:paraId="0DA3CB11">
            <w:pPr>
              <w:spacing w:after="0" w:line="276" w:lineRule="auto"/>
              <w:jc w:val="left"/>
            </w:pPr>
            <w:r>
              <w:rPr>
                <w:rFonts w:ascii="Times New Roman" w:hAnsi="Times New Roman" w:eastAsia="宋体"/>
                <w:b w:val="0"/>
                <w:color w:val="000000"/>
                <w:sz w:val="17"/>
              </w:rPr>
              <w:t>区域积累量 流量 平均速度</w:t>
            </w:r>
          </w:p>
        </w:tc>
        <w:tc>
          <w:tcPr>
            <w:tcW w:w="2494" w:type="dxa"/>
            <w:shd w:val="clear" w:color="auto" w:fill="auto"/>
            <w:tcMar>
              <w:top w:w="90" w:type="dxa"/>
              <w:left w:w="110" w:type="dxa"/>
              <w:bottom w:w="90" w:type="dxa"/>
              <w:right w:w="110" w:type="dxa"/>
            </w:tcMar>
            <w:vAlign w:val="center"/>
          </w:tcPr>
          <w:p w14:paraId="4B55F885">
            <w:pPr>
              <w:spacing w:after="0" w:line="276" w:lineRule="auto"/>
              <w:jc w:val="left"/>
            </w:pPr>
            <w:r>
              <w:rPr>
                <w:rFonts w:ascii="Times New Roman" w:hAnsi="Times New Roman" w:eastAsia="宋体"/>
                <w:b w:val="0"/>
                <w:color w:val="000000"/>
                <w:sz w:val="17"/>
              </w:rPr>
              <w:t>适合区域状态识别和边界控制</w:t>
            </w:r>
          </w:p>
        </w:tc>
        <w:tc>
          <w:tcPr>
            <w:tcW w:w="2721" w:type="dxa"/>
            <w:shd w:val="clear" w:color="auto" w:fill="auto"/>
            <w:tcMar>
              <w:top w:w="90" w:type="dxa"/>
              <w:left w:w="110" w:type="dxa"/>
              <w:bottom w:w="90" w:type="dxa"/>
              <w:right w:w="110" w:type="dxa"/>
            </w:tcMar>
            <w:vAlign w:val="center"/>
          </w:tcPr>
          <w:p w14:paraId="012CB5F4">
            <w:pPr>
              <w:spacing w:after="0" w:line="276" w:lineRule="auto"/>
              <w:jc w:val="left"/>
            </w:pPr>
            <w:r>
              <w:rPr>
                <w:rFonts w:ascii="Times New Roman" w:hAnsi="Times New Roman" w:eastAsia="宋体"/>
                <w:b w:val="0"/>
                <w:color w:val="000000"/>
                <w:sz w:val="17"/>
              </w:rPr>
              <w:t>空间异质性会增加散点</w:t>
            </w:r>
          </w:p>
        </w:tc>
      </w:tr>
    </w:tbl>
    <w:p w14:paraId="7CEADC1D">
      <w:pPr>
        <w:spacing w:after="40"/>
      </w:pPr>
    </w:p>
    <w:p w14:paraId="73A7246D">
      <w:pPr>
        <w:pStyle w:val="3"/>
        <w:keepNext/>
        <w:spacing w:before="280" w:after="120"/>
        <w:jc w:val="left"/>
      </w:pPr>
      <w:r>
        <w:rPr>
          <w:rFonts w:ascii="Arial" w:hAnsi="Arial" w:eastAsia="黑体"/>
          <w:b/>
          <w:color w:val="000000"/>
          <w:sz w:val="30"/>
        </w:rPr>
        <w:t>3 低空交通容量与拥堵机理</w:t>
      </w:r>
    </w:p>
    <w:p w14:paraId="4CB6C63D">
      <w:pPr>
        <w:pStyle w:val="4"/>
        <w:keepNext/>
        <w:spacing w:before="180" w:after="120"/>
        <w:jc w:val="left"/>
      </w:pPr>
      <w:r>
        <w:rPr>
          <w:rFonts w:ascii="Arial" w:hAnsi="Arial" w:eastAsia="黑体"/>
          <w:b/>
          <w:color w:val="000000"/>
          <w:sz w:val="26"/>
        </w:rPr>
        <w:t>3.1 低空宏观基本图</w:t>
      </w:r>
    </w:p>
    <w:p w14:paraId="657DBBF0">
      <w:pPr>
        <w:spacing w:after="80" w:line="360" w:lineRule="auto"/>
        <w:ind w:firstLine="420"/>
        <w:jc w:val="both"/>
      </w:pPr>
      <w:r>
        <w:rPr>
          <w:rFonts w:ascii="Times New Roman" w:hAnsi="Times New Roman" w:eastAsia="宋体"/>
          <w:b w:val="0"/>
          <w:color w:val="000000"/>
          <w:sz w:val="21"/>
        </w:rPr>
        <w:t>Safadi 等将 MFD 引入低空城市交通系统，构建了连接流量、密度和速度的低空宏观基本图，并通过不同避碰算法、航空器性能和空域设置识别自由流与拥堵状态</w:t>
      </w:r>
      <w:r>
        <w:rPr>
          <w:rFonts w:ascii="Times New Roman" w:hAnsi="Times New Roman" w:eastAsia="宋体"/>
          <w:b w:val="0"/>
          <w:color w:val="000000"/>
          <w:sz w:val="21"/>
          <w:vertAlign w:val="superscript"/>
        </w:rPr>
        <w:t>[8]</w:t>
      </w:r>
      <w:r>
        <w:rPr>
          <w:rFonts w:ascii="Times New Roman" w:hAnsi="Times New Roman" w:eastAsia="宋体"/>
          <w:b w:val="0"/>
          <w:color w:val="000000"/>
          <w:sz w:val="21"/>
        </w:rPr>
        <w:t>。这说明低空网络同样可能存在临界积累量：航空器数量增加到一定程度后，冲突规避和相互干扰会使平均速度和网络流出率下降。</w:t>
      </w:r>
    </w:p>
    <w:p w14:paraId="2B689B66">
      <w:pPr>
        <w:spacing w:after="80" w:line="360" w:lineRule="auto"/>
        <w:ind w:firstLine="420"/>
        <w:jc w:val="both"/>
      </w:pPr>
      <w:r>
        <w:rPr>
          <w:rFonts w:ascii="Times New Roman" w:hAnsi="Times New Roman" w:eastAsia="宋体"/>
          <w:b w:val="0"/>
          <w:color w:val="000000"/>
          <w:sz w:val="21"/>
        </w:rPr>
        <w:t>Chour 等在结构化空域网络中验证了低散点、单峰形态的 MFD，并使用比例积分反馈调节离场流量。</w:t>
      </w:r>
      <w:r>
        <w:rPr>
          <w:rFonts w:hint="eastAsia"/>
          <w:b w:val="0"/>
          <w:color w:val="000000"/>
          <w:sz w:val="21"/>
          <w:lang w:val="en-US" w:eastAsia="zh-CN"/>
        </w:rPr>
        <w:t>在实验中，</w:t>
      </w:r>
      <w:r>
        <w:rPr>
          <w:rFonts w:ascii="Times New Roman" w:hAnsi="Times New Roman" w:eastAsia="宋体"/>
          <w:b w:val="0"/>
          <w:color w:val="000000"/>
          <w:sz w:val="21"/>
        </w:rPr>
        <w:t>等待航班峰值可降低约 80%，代价是吞吐量略有下降</w:t>
      </w:r>
      <w:r>
        <w:rPr>
          <w:rFonts w:ascii="Times New Roman" w:hAnsi="Times New Roman" w:eastAsia="宋体"/>
          <w:b w:val="0"/>
          <w:color w:val="000000"/>
          <w:sz w:val="21"/>
          <w:vertAlign w:val="superscript"/>
        </w:rPr>
        <w:t>[9]</w:t>
      </w:r>
      <w:r>
        <w:rPr>
          <w:rFonts w:ascii="Times New Roman" w:hAnsi="Times New Roman" w:eastAsia="宋体"/>
          <w:b w:val="0"/>
          <w:color w:val="000000"/>
          <w:sz w:val="21"/>
        </w:rPr>
        <w:t>。对路阻函数而言，区域积累量不只是背景变量，它可以作为修正单航段容量或附加区域拥堵费的状态量。</w:t>
      </w:r>
    </w:p>
    <w:p w14:paraId="7E689F47">
      <w:pPr>
        <w:pStyle w:val="4"/>
        <w:keepNext/>
        <w:spacing w:before="180" w:after="120"/>
        <w:jc w:val="left"/>
      </w:pPr>
      <w:r>
        <w:rPr>
          <w:rFonts w:ascii="Arial" w:hAnsi="Arial" w:eastAsia="黑体"/>
          <w:b/>
          <w:color w:val="000000"/>
          <w:sz w:val="26"/>
        </w:rPr>
        <w:t>3.2 约束空域容量</w:t>
      </w:r>
    </w:p>
    <w:p w14:paraId="705FC413">
      <w:pPr>
        <w:spacing w:after="80" w:line="360" w:lineRule="auto"/>
        <w:ind w:firstLine="420"/>
        <w:jc w:val="both"/>
      </w:pPr>
      <w:r>
        <w:rPr>
          <w:rFonts w:ascii="Times New Roman" w:hAnsi="Times New Roman" w:eastAsia="宋体"/>
          <w:b w:val="0"/>
          <w:color w:val="000000"/>
          <w:sz w:val="21"/>
        </w:rPr>
        <w:t>Aarts 的研究表明，受道路上方空域约束的正交网络会形成排队和局部热点，单个交叉口达到最大能力后可能触发全局不稳定</w:t>
      </w:r>
      <w:r>
        <w:rPr>
          <w:rFonts w:ascii="Times New Roman" w:hAnsi="Times New Roman" w:eastAsia="宋体"/>
          <w:b w:val="0"/>
          <w:color w:val="000000"/>
          <w:sz w:val="21"/>
          <w:vertAlign w:val="superscript"/>
        </w:rPr>
        <w:t>[10]</w:t>
      </w:r>
      <w:r>
        <w:rPr>
          <w:rFonts w:ascii="Times New Roman" w:hAnsi="Times New Roman" w:eastAsia="宋体"/>
          <w:b w:val="0"/>
          <w:color w:val="000000"/>
          <w:sz w:val="21"/>
        </w:rPr>
        <w:t>。Cummings 等以不同城市需求和航路结构评估空域容量，说明结构化程度、路线组织和需求分布会改变可容纳流量</w:t>
      </w:r>
      <w:r>
        <w:rPr>
          <w:rFonts w:ascii="Times New Roman" w:hAnsi="Times New Roman" w:eastAsia="宋体"/>
          <w:b w:val="0"/>
          <w:color w:val="000000"/>
          <w:sz w:val="21"/>
          <w:vertAlign w:val="superscript"/>
        </w:rPr>
        <w:t>[11]</w:t>
      </w:r>
      <w:r>
        <w:rPr>
          <w:rFonts w:ascii="Times New Roman" w:hAnsi="Times New Roman" w:eastAsia="宋体"/>
          <w:b w:val="0"/>
          <w:color w:val="000000"/>
          <w:sz w:val="21"/>
        </w:rPr>
        <w:t>。这两项研究共同表明，低空网络容量由最薄弱的关键资源决定，不能用航段几何宽度简单代替。</w:t>
      </w:r>
    </w:p>
    <w:p w14:paraId="267C7F6C">
      <w:pPr>
        <w:pStyle w:val="4"/>
        <w:keepNext/>
        <w:spacing w:before="180" w:after="120"/>
        <w:jc w:val="left"/>
      </w:pPr>
      <w:r>
        <w:rPr>
          <w:rFonts w:ascii="Arial" w:hAnsi="Arial" w:eastAsia="黑体"/>
          <w:b/>
          <w:color w:val="000000"/>
          <w:sz w:val="26"/>
        </w:rPr>
        <w:t>3.3 动态容量管理</w:t>
      </w:r>
    </w:p>
    <w:p w14:paraId="1A82957F">
      <w:pPr>
        <w:spacing w:after="80" w:line="360" w:lineRule="auto"/>
        <w:ind w:firstLine="420"/>
        <w:jc w:val="both"/>
      </w:pPr>
      <w:r>
        <w:rPr>
          <w:rFonts w:ascii="Times New Roman" w:hAnsi="Times New Roman" w:eastAsia="宋体"/>
          <w:b w:val="0"/>
          <w:color w:val="000000"/>
          <w:sz w:val="21"/>
        </w:rPr>
        <w:t>Patrinopoulou 等使用区域聚类和动态分区管理高密度约束空域，结果显示局部化流量组有助于改善安全、效率和容量指标</w:t>
      </w:r>
      <w:r>
        <w:rPr>
          <w:rFonts w:ascii="Times New Roman" w:hAnsi="Times New Roman" w:eastAsia="宋体"/>
          <w:b w:val="0"/>
          <w:color w:val="000000"/>
          <w:sz w:val="21"/>
          <w:vertAlign w:val="superscript"/>
        </w:rPr>
        <w:t>[12]</w:t>
      </w:r>
      <w:r>
        <w:rPr>
          <w:rFonts w:ascii="Times New Roman" w:hAnsi="Times New Roman" w:eastAsia="宋体"/>
          <w:b w:val="0"/>
          <w:color w:val="000000"/>
          <w:sz w:val="21"/>
        </w:rPr>
        <w:t>。Morfin Veytia 等比较历史数据与实时聚合流量：低需求时历史热点更稳定，高需求时实时方法更灵活；较优方案在增加不到 6% 航程的情况下使空域侵入事件减少约 30%</w:t>
      </w:r>
      <w:r>
        <w:rPr>
          <w:rFonts w:ascii="Times New Roman" w:hAnsi="Times New Roman" w:eastAsia="宋体"/>
          <w:b w:val="0"/>
          <w:color w:val="000000"/>
          <w:sz w:val="21"/>
          <w:vertAlign w:val="superscript"/>
        </w:rPr>
        <w:t>[13]</w:t>
      </w:r>
      <w:r>
        <w:rPr>
          <w:rFonts w:ascii="Times New Roman" w:hAnsi="Times New Roman" w:eastAsia="宋体"/>
          <w:b w:val="0"/>
          <w:color w:val="000000"/>
          <w:sz w:val="21"/>
        </w:rPr>
        <w:t>。这说明阻抗不只是被动反映拥堵，也可作为动态绕行和容量平衡的控制信号。</w:t>
      </w:r>
    </w:p>
    <w:p w14:paraId="58932CAE">
      <w:pPr>
        <w:spacing w:after="80" w:line="360" w:lineRule="auto"/>
        <w:ind w:firstLine="420"/>
        <w:jc w:val="both"/>
      </w:pPr>
      <w:r>
        <w:rPr>
          <w:rFonts w:ascii="Times New Roman" w:hAnsi="Times New Roman" w:eastAsia="宋体"/>
          <w:b w:val="0"/>
          <w:color w:val="000000"/>
          <w:sz w:val="21"/>
        </w:rPr>
        <w:t>Moolchandani 和 Lee 将需求容量平衡从起降点扩展到航路点，并比较起飞前延误与空中速度调整</w:t>
      </w:r>
      <w:r>
        <w:rPr>
          <w:rFonts w:ascii="Times New Roman" w:hAnsi="Times New Roman" w:eastAsia="宋体"/>
          <w:b w:val="0"/>
          <w:color w:val="000000"/>
          <w:sz w:val="21"/>
          <w:vertAlign w:val="superscript"/>
        </w:rPr>
        <w:t>[14]</w:t>
      </w:r>
      <w:r>
        <w:rPr>
          <w:rFonts w:ascii="Times New Roman" w:hAnsi="Times New Roman" w:eastAsia="宋体"/>
          <w:b w:val="0"/>
          <w:color w:val="000000"/>
          <w:sz w:val="21"/>
        </w:rPr>
        <w:t>。Lee 等进一步把起降点、机队可用性和航路资源合并为吞吐量估计模型，用瓶颈资源解释网络最大流量</w:t>
      </w:r>
      <w:r>
        <w:rPr>
          <w:rFonts w:ascii="Times New Roman" w:hAnsi="Times New Roman" w:eastAsia="宋体"/>
          <w:b w:val="0"/>
          <w:color w:val="000000"/>
          <w:sz w:val="21"/>
          <w:vertAlign w:val="superscript"/>
        </w:rPr>
        <w:t>[15]</w:t>
      </w:r>
      <w:r>
        <w:rPr>
          <w:rFonts w:ascii="Times New Roman" w:hAnsi="Times New Roman" w:eastAsia="宋体"/>
          <w:b w:val="0"/>
          <w:color w:val="000000"/>
          <w:sz w:val="21"/>
        </w:rPr>
        <w:t>。Chen 等把战略需求容量平衡与强化学习战术解冲突结合，表明预先控制交通密度可提高战术解冲突达到目标安全水平的可能性</w:t>
      </w:r>
      <w:r>
        <w:rPr>
          <w:rFonts w:ascii="Times New Roman" w:hAnsi="Times New Roman" w:eastAsia="宋体"/>
          <w:b w:val="0"/>
          <w:color w:val="000000"/>
          <w:sz w:val="21"/>
          <w:vertAlign w:val="superscript"/>
        </w:rPr>
        <w:t>[16]</w:t>
      </w:r>
      <w:r>
        <w:rPr>
          <w:rFonts w:ascii="Times New Roman" w:hAnsi="Times New Roman" w:eastAsia="宋体"/>
          <w:b w:val="0"/>
          <w:color w:val="000000"/>
          <w:sz w:val="21"/>
        </w:rPr>
        <w:t>。</w:t>
      </w:r>
    </w:p>
    <w:p w14:paraId="5AA39931">
      <w:pPr>
        <w:pStyle w:val="3"/>
        <w:keepNext/>
        <w:spacing w:before="280" w:after="120"/>
        <w:jc w:val="left"/>
      </w:pPr>
      <w:r>
        <w:rPr>
          <w:rFonts w:ascii="Arial" w:hAnsi="Arial" w:eastAsia="黑体"/>
          <w:b/>
          <w:color w:val="000000"/>
          <w:sz w:val="30"/>
        </w:rPr>
        <w:t>4 航路结构 能耗 风险与节点延误</w:t>
      </w:r>
    </w:p>
    <w:p w14:paraId="14807E5D">
      <w:pPr>
        <w:pStyle w:val="4"/>
        <w:keepNext/>
        <w:spacing w:before="180" w:after="120"/>
        <w:jc w:val="left"/>
      </w:pPr>
      <w:r>
        <w:rPr>
          <w:rFonts w:ascii="Arial" w:hAnsi="Arial" w:eastAsia="黑体"/>
          <w:b/>
          <w:color w:val="000000"/>
          <w:sz w:val="26"/>
        </w:rPr>
        <w:t>4.1 航路结构产生的阻抗</w:t>
      </w:r>
    </w:p>
    <w:p w14:paraId="3ED9101F">
      <w:pPr>
        <w:spacing w:after="80" w:line="360" w:lineRule="auto"/>
        <w:ind w:firstLine="420"/>
        <w:jc w:val="both"/>
      </w:pPr>
      <w:r>
        <w:rPr>
          <w:rFonts w:ascii="Times New Roman" w:hAnsi="Times New Roman" w:eastAsia="宋体"/>
          <w:b w:val="0"/>
          <w:color w:val="000000"/>
          <w:sz w:val="21"/>
        </w:rPr>
        <w:t>Pongsakornsathien 等从性能角度定义 UTM 空域等级与结构，将通信、导航、监视和航空器性能纳入运行条件</w:t>
      </w:r>
      <w:r>
        <w:rPr>
          <w:rFonts w:ascii="Times New Roman" w:hAnsi="Times New Roman" w:eastAsia="宋体"/>
          <w:b w:val="0"/>
          <w:color w:val="000000"/>
          <w:sz w:val="21"/>
          <w:vertAlign w:val="superscript"/>
        </w:rPr>
        <w:t>[18]</w:t>
      </w:r>
      <w:r>
        <w:rPr>
          <w:rFonts w:ascii="Times New Roman" w:hAnsi="Times New Roman" w:eastAsia="宋体"/>
          <w:b w:val="0"/>
          <w:color w:val="000000"/>
          <w:sz w:val="21"/>
        </w:rPr>
        <w:t>；McCarthy 等总结城市 UTM 的基本组成，强调注册、授权、地理围栏、信息交换和冲突管理</w:t>
      </w:r>
      <w:r>
        <w:rPr>
          <w:rFonts w:ascii="Times New Roman" w:hAnsi="Times New Roman" w:eastAsia="宋体"/>
          <w:b w:val="0"/>
          <w:color w:val="000000"/>
          <w:sz w:val="21"/>
          <w:vertAlign w:val="superscript"/>
        </w:rPr>
        <w:t>[19]</w:t>
      </w:r>
      <w:r>
        <w:rPr>
          <w:rFonts w:ascii="Times New Roman" w:hAnsi="Times New Roman" w:eastAsia="宋体"/>
          <w:b w:val="0"/>
          <w:color w:val="000000"/>
          <w:sz w:val="21"/>
        </w:rPr>
        <w:t>。这些系统要求会形成准入约束、绕行和等待时间，应在阻抗中表现为控制延误或不可行惩罚。</w:t>
      </w:r>
    </w:p>
    <w:p w14:paraId="43A0BC4D">
      <w:pPr>
        <w:spacing w:after="80" w:line="360" w:lineRule="auto"/>
        <w:ind w:firstLine="420"/>
        <w:jc w:val="both"/>
      </w:pPr>
      <w:r>
        <w:rPr>
          <w:rFonts w:ascii="Times New Roman" w:hAnsi="Times New Roman" w:eastAsia="宋体"/>
          <w:b w:val="0"/>
          <w:color w:val="000000"/>
          <w:sz w:val="21"/>
        </w:rPr>
        <w:t>Quan 等提出支持密集交通的空中高速路几何结构和飞行模式</w:t>
      </w:r>
      <w:r>
        <w:rPr>
          <w:rFonts w:ascii="Times New Roman" w:hAnsi="Times New Roman" w:eastAsia="宋体"/>
          <w:b w:val="0"/>
          <w:color w:val="000000"/>
          <w:sz w:val="21"/>
          <w:vertAlign w:val="superscript"/>
        </w:rPr>
        <w:t>[20]</w:t>
      </w:r>
      <w:r>
        <w:rPr>
          <w:rFonts w:ascii="Times New Roman" w:hAnsi="Times New Roman" w:eastAsia="宋体"/>
          <w:b w:val="0"/>
          <w:color w:val="000000"/>
          <w:sz w:val="21"/>
        </w:rPr>
        <w:t>。He 等面向管道式城市配送航路提出优先级分解和空间成本函数，使生成的航路更密集、对齐且计算更快</w:t>
      </w:r>
      <w:r>
        <w:rPr>
          <w:rFonts w:ascii="Times New Roman" w:hAnsi="Times New Roman" w:eastAsia="宋体"/>
          <w:b w:val="0"/>
          <w:color w:val="000000"/>
          <w:sz w:val="21"/>
          <w:vertAlign w:val="superscript"/>
        </w:rPr>
        <w:t>[21]</w:t>
      </w:r>
      <w:r>
        <w:rPr>
          <w:rFonts w:ascii="Times New Roman" w:hAnsi="Times New Roman" w:eastAsia="宋体"/>
          <w:b w:val="0"/>
          <w:color w:val="000000"/>
          <w:sz w:val="21"/>
        </w:rPr>
        <w:t>。Li 等定义圆柱形航段、沿路交叉口和环岛式交叉口，并把航路容量与几何参数联系起来</w:t>
      </w:r>
      <w:r>
        <w:rPr>
          <w:rFonts w:ascii="Times New Roman" w:hAnsi="Times New Roman" w:eastAsia="宋体"/>
          <w:b w:val="0"/>
          <w:color w:val="000000"/>
          <w:sz w:val="21"/>
          <w:vertAlign w:val="superscript"/>
        </w:rPr>
        <w:t>[22]</w:t>
      </w:r>
      <w:r>
        <w:rPr>
          <w:rFonts w:ascii="Times New Roman" w:hAnsi="Times New Roman" w:eastAsia="宋体"/>
          <w:b w:val="0"/>
          <w:color w:val="000000"/>
          <w:sz w:val="21"/>
        </w:rPr>
        <w:t>。Ditta 和 Postorino 的三维城市空中网络则强调垂直维度、起终点连通性和城市边界条件</w:t>
      </w:r>
      <w:r>
        <w:rPr>
          <w:rFonts w:ascii="Times New Roman" w:hAnsi="Times New Roman" w:eastAsia="宋体"/>
          <w:b w:val="0"/>
          <w:color w:val="000000"/>
          <w:sz w:val="21"/>
          <w:vertAlign w:val="superscript"/>
        </w:rPr>
        <w:t>[23]</w:t>
      </w:r>
      <w:r>
        <w:rPr>
          <w:rFonts w:ascii="Times New Roman" w:hAnsi="Times New Roman" w:eastAsia="宋体"/>
          <w:b w:val="0"/>
          <w:color w:val="000000"/>
          <w:sz w:val="21"/>
        </w:rPr>
        <w:t>。这些研究说明，航段长度并不足以决定阻抗，转弯、换层、交叉结构和可用走廊数量都应形成附加成本。</w:t>
      </w:r>
    </w:p>
    <w:p w14:paraId="5EFAF777">
      <w:pPr>
        <w:pStyle w:val="4"/>
        <w:keepNext/>
        <w:spacing w:before="180" w:after="120"/>
        <w:jc w:val="left"/>
      </w:pPr>
      <w:r>
        <w:rPr>
          <w:rFonts w:ascii="Arial" w:hAnsi="Arial" w:eastAsia="黑体"/>
          <w:b/>
          <w:color w:val="000000"/>
          <w:sz w:val="26"/>
        </w:rPr>
        <w:t>4.2 能耗和气象阻抗</w:t>
      </w:r>
    </w:p>
    <w:p w14:paraId="59FDCFC9">
      <w:pPr>
        <w:spacing w:after="80" w:line="360" w:lineRule="auto"/>
        <w:ind w:firstLine="420"/>
        <w:jc w:val="both"/>
      </w:pPr>
      <w:r>
        <w:rPr>
          <w:rFonts w:ascii="Times New Roman" w:hAnsi="Times New Roman" w:eastAsia="宋体"/>
          <w:b w:val="0"/>
          <w:color w:val="000000"/>
          <w:sz w:val="21"/>
        </w:rPr>
        <w:t>Xue 和 Wei 将城市三维问题转化为特定离地高度的二维障碍地图，以风场能耗和障碍物排斥势构造搜索成本，并使用 Theta 生成可快速计算的路径</w:t>
      </w:r>
      <w:r>
        <w:rPr>
          <w:rFonts w:ascii="Times New Roman" w:hAnsi="Times New Roman" w:eastAsia="宋体"/>
          <w:b w:val="0"/>
          <w:color w:val="000000"/>
          <w:sz w:val="21"/>
          <w:vertAlign w:val="superscript"/>
        </w:rPr>
        <w:t>[24]</w:t>
      </w:r>
      <w:r>
        <w:rPr>
          <w:rFonts w:ascii="Times New Roman" w:hAnsi="Times New Roman" w:eastAsia="宋体"/>
          <w:b w:val="0"/>
          <w:color w:val="000000"/>
          <w:sz w:val="21"/>
        </w:rPr>
        <w:t>。Rienecker 等进一步在三维城市风场中求解能量最优飞行路径，考虑航向变化约束和真实风环境</w:t>
      </w:r>
      <w:r>
        <w:rPr>
          <w:rFonts w:ascii="Times New Roman" w:hAnsi="Times New Roman" w:eastAsia="宋体"/>
          <w:b w:val="0"/>
          <w:color w:val="000000"/>
          <w:sz w:val="21"/>
          <w:vertAlign w:val="superscript"/>
        </w:rPr>
        <w:t>[25]</w:t>
      </w:r>
      <w:r>
        <w:rPr>
          <w:rFonts w:ascii="Times New Roman" w:hAnsi="Times New Roman" w:eastAsia="宋体"/>
          <w:b w:val="0"/>
          <w:color w:val="000000"/>
          <w:sz w:val="21"/>
        </w:rPr>
        <w:t>。这些结果支持将能耗作为独立项 Eₐ，而不是仅通过时间间接表示。</w:t>
      </w:r>
    </w:p>
    <w:p w14:paraId="4E097FD2">
      <w:pPr>
        <w:pStyle w:val="4"/>
        <w:keepNext/>
        <w:spacing w:before="180" w:after="120"/>
        <w:jc w:val="left"/>
      </w:pPr>
      <w:r>
        <w:rPr>
          <w:rFonts w:ascii="Arial" w:hAnsi="Arial" w:eastAsia="黑体"/>
          <w:b/>
          <w:color w:val="000000"/>
          <w:sz w:val="26"/>
        </w:rPr>
        <w:t>4.3 风险阻抗</w:t>
      </w:r>
    </w:p>
    <w:p w14:paraId="3A917220">
      <w:pPr>
        <w:spacing w:after="80" w:line="360" w:lineRule="auto"/>
        <w:ind w:firstLine="420"/>
        <w:jc w:val="both"/>
      </w:pPr>
      <w:r>
        <w:rPr>
          <w:rFonts w:ascii="Times New Roman" w:hAnsi="Times New Roman" w:eastAsia="宋体"/>
          <w:b w:val="0"/>
          <w:color w:val="000000"/>
          <w:sz w:val="21"/>
        </w:rPr>
        <w:t>Pang 等把无人机故障概率、地面人员与车辆暴露、碰撞后果和社会影响纳入第三方风险评估，并将三维风险路径规划表述为最小费用流问题</w:t>
      </w:r>
      <w:r>
        <w:rPr>
          <w:rFonts w:ascii="Times New Roman" w:hAnsi="Times New Roman" w:eastAsia="宋体"/>
          <w:b w:val="0"/>
          <w:color w:val="000000"/>
          <w:sz w:val="21"/>
          <w:vertAlign w:val="superscript"/>
        </w:rPr>
        <w:t>[26]</w:t>
      </w:r>
      <w:r>
        <w:rPr>
          <w:rFonts w:ascii="Times New Roman" w:hAnsi="Times New Roman" w:eastAsia="宋体"/>
          <w:b w:val="0"/>
          <w:color w:val="000000"/>
          <w:sz w:val="21"/>
        </w:rPr>
        <w:t>。风险成本具有明显空间异质性：相同长度和时间的航段可能因人口密度、道路流量或敏感设施不同而具有完全不同的可接受性。因此，风险项 Rₐ 应保留可解释的物理或货币单位，并通过任务类型设置权重。载人运输、物流和应急飞行不能共享一套固定风险权重。</w:t>
      </w:r>
    </w:p>
    <w:p w14:paraId="1C5CCCED">
      <w:pPr>
        <w:pStyle w:val="4"/>
        <w:keepNext/>
        <w:spacing w:before="180" w:after="120"/>
        <w:jc w:val="left"/>
      </w:pPr>
      <w:r>
        <w:rPr>
          <w:rFonts w:ascii="Arial" w:hAnsi="Arial" w:eastAsia="黑体"/>
          <w:b/>
          <w:color w:val="000000"/>
          <w:sz w:val="26"/>
        </w:rPr>
        <w:t>4.4 起降点和节点阻抗</w:t>
      </w:r>
    </w:p>
    <w:p w14:paraId="2F04D671">
      <w:pPr>
        <w:spacing w:after="80" w:line="360" w:lineRule="auto"/>
        <w:ind w:firstLine="420"/>
        <w:jc w:val="both"/>
      </w:pPr>
      <w:r>
        <w:rPr>
          <w:rFonts w:ascii="Times New Roman" w:hAnsi="Times New Roman" w:eastAsia="宋体"/>
          <w:b w:val="0"/>
          <w:color w:val="000000"/>
          <w:sz w:val="21"/>
        </w:rPr>
        <w:t>Guerreiro 等用先到先服务调度算法分析不同数量起降坪和停机位组合的容量与吞吐量，指出系统可能受起降坪或地面停机资源限制，先到先服务还会带来资源使用效率损失</w:t>
      </w:r>
      <w:r>
        <w:rPr>
          <w:rFonts w:ascii="Times New Roman" w:hAnsi="Times New Roman" w:eastAsia="宋体"/>
          <w:b w:val="0"/>
          <w:color w:val="000000"/>
          <w:sz w:val="21"/>
          <w:vertAlign w:val="superscript"/>
        </w:rPr>
        <w:t>[27]</w:t>
      </w:r>
      <w:r>
        <w:rPr>
          <w:rFonts w:ascii="Times New Roman" w:hAnsi="Times New Roman" w:eastAsia="宋体"/>
          <w:b w:val="0"/>
          <w:color w:val="000000"/>
          <w:sz w:val="21"/>
        </w:rPr>
        <w:t>。Schweiger 和 Preis 的系统综述显示，起降点位置、布局、进离场程序、法规和地面衔接相互影响</w:t>
      </w:r>
      <w:r>
        <w:rPr>
          <w:rFonts w:ascii="Times New Roman" w:hAnsi="Times New Roman" w:eastAsia="宋体"/>
          <w:b w:val="0"/>
          <w:color w:val="000000"/>
          <w:sz w:val="21"/>
          <w:vertAlign w:val="superscript"/>
        </w:rPr>
        <w:t>[28]</w:t>
      </w:r>
      <w:r>
        <w:rPr>
          <w:rFonts w:ascii="Times New Roman" w:hAnsi="Times New Roman" w:eastAsia="宋体"/>
          <w:b w:val="0"/>
          <w:color w:val="000000"/>
          <w:sz w:val="21"/>
        </w:rPr>
        <w:t>。</w:t>
      </w:r>
    </w:p>
    <w:p w14:paraId="30D6A1EF">
      <w:pPr>
        <w:spacing w:after="80" w:line="360" w:lineRule="auto"/>
        <w:ind w:firstLine="420"/>
        <w:jc w:val="both"/>
      </w:pPr>
      <w:r>
        <w:rPr>
          <w:rFonts w:ascii="Times New Roman" w:hAnsi="Times New Roman" w:eastAsia="宋体"/>
          <w:b w:val="0"/>
          <w:color w:val="000000"/>
          <w:sz w:val="21"/>
        </w:rPr>
        <w:t>Jiang 等对 UAM 与现有交通系统的仿真研究进行了综述，强调接驳、候机、安检和上下客时间会抵消空中飞行的节省</w:t>
      </w:r>
      <w:r>
        <w:rPr>
          <w:rFonts w:ascii="Times New Roman" w:hAnsi="Times New Roman" w:eastAsia="宋体"/>
          <w:b w:val="0"/>
          <w:color w:val="000000"/>
          <w:sz w:val="21"/>
          <w:vertAlign w:val="superscript"/>
        </w:rPr>
        <w:t>[29]</w:t>
      </w:r>
      <w:r>
        <w:rPr>
          <w:rFonts w:ascii="Times New Roman" w:hAnsi="Times New Roman" w:eastAsia="宋体"/>
          <w:b w:val="0"/>
          <w:color w:val="000000"/>
          <w:sz w:val="21"/>
        </w:rPr>
        <w:t>。Schuchardt 等回顾 DLR 在 UAM 空管领域的长期研究，也指出网络设计、运行概念、通信导航监视和人机协同必须共同考虑</w:t>
      </w:r>
      <w:r>
        <w:rPr>
          <w:rFonts w:ascii="Times New Roman" w:hAnsi="Times New Roman" w:eastAsia="宋体"/>
          <w:b w:val="0"/>
          <w:color w:val="000000"/>
          <w:sz w:val="21"/>
          <w:vertAlign w:val="superscript"/>
        </w:rPr>
        <w:t>[30]</w:t>
      </w:r>
      <w:r>
        <w:rPr>
          <w:rFonts w:ascii="Times New Roman" w:hAnsi="Times New Roman" w:eastAsia="宋体"/>
          <w:b w:val="0"/>
          <w:color w:val="000000"/>
          <w:sz w:val="21"/>
        </w:rPr>
        <w:t>。</w:t>
      </w:r>
    </w:p>
    <w:p w14:paraId="6045B7D1">
      <w:pPr>
        <w:pStyle w:val="3"/>
        <w:keepNext/>
        <w:spacing w:before="280" w:after="120"/>
        <w:jc w:val="left"/>
      </w:pPr>
      <w:r>
        <w:rPr>
          <w:rFonts w:hint="eastAsia" w:ascii="Arial" w:hAnsi="Arial" w:eastAsia="黑体"/>
          <w:b/>
          <w:color w:val="000000"/>
          <w:sz w:val="30"/>
          <w:lang w:val="en-US" w:eastAsia="zh-CN"/>
        </w:rPr>
        <w:t>5</w:t>
      </w:r>
      <w:r>
        <w:rPr>
          <w:rFonts w:ascii="Arial" w:hAnsi="Arial" w:eastAsia="黑体"/>
          <w:b/>
          <w:color w:val="000000"/>
          <w:sz w:val="30"/>
        </w:rPr>
        <w:t xml:space="preserve"> 国内研究与工程应用</w:t>
      </w:r>
    </w:p>
    <w:p w14:paraId="08A100E3">
      <w:pPr>
        <w:spacing w:after="80" w:line="360" w:lineRule="auto"/>
        <w:ind w:firstLine="420"/>
        <w:jc w:val="both"/>
      </w:pPr>
      <w:r>
        <w:rPr>
          <w:rFonts w:ascii="Times New Roman" w:hAnsi="Times New Roman" w:eastAsia="宋体"/>
          <w:b w:val="0"/>
          <w:color w:val="000000"/>
          <w:sz w:val="21"/>
        </w:rPr>
        <w:t>丁杰和王迪使用包含多样建筑与动态障碍物的三维环境，提出基于 N 步更新和改进优先经验回放的 NP-MTDDQN 算法，用于多无人机路径规划与动态避障</w:t>
      </w:r>
      <w:r>
        <w:rPr>
          <w:rFonts w:ascii="Times New Roman" w:hAnsi="Times New Roman" w:eastAsia="宋体"/>
          <w:b w:val="0"/>
          <w:color w:val="000000"/>
          <w:sz w:val="21"/>
          <w:vertAlign w:val="superscript"/>
        </w:rPr>
        <w:t>[31]</w:t>
      </w:r>
      <w:r>
        <w:rPr>
          <w:rFonts w:ascii="Times New Roman" w:hAnsi="Times New Roman" w:eastAsia="宋体"/>
          <w:b w:val="0"/>
          <w:color w:val="000000"/>
          <w:sz w:val="21"/>
        </w:rPr>
        <w:t>。该研究对路阻函数的价值主要体现在状态和代价设计：建筑优先级、动态障碍和协同冲突可以转换为时变惩罚，但强化学习奖励需要进一步映射为具有交通工程含义的时间、能耗或风险成本。</w:t>
      </w:r>
    </w:p>
    <w:p w14:paraId="7A38E899">
      <w:pPr>
        <w:spacing w:after="80" w:line="360" w:lineRule="auto"/>
        <w:ind w:firstLine="420"/>
        <w:jc w:val="both"/>
      </w:pPr>
      <w:r>
        <w:rPr>
          <w:rFonts w:ascii="Times New Roman" w:hAnsi="Times New Roman" w:eastAsia="宋体"/>
          <w:b w:val="0"/>
          <w:color w:val="000000"/>
          <w:sz w:val="21"/>
        </w:rPr>
        <w:t>廖小罕等把低空公共航路网视为支撑规模化无人机运行的关键基础设施，强调地理信息、通信导航监视、监管和航路网络协同建设</w:t>
      </w:r>
      <w:r>
        <w:rPr>
          <w:rFonts w:ascii="Times New Roman" w:hAnsi="Times New Roman" w:eastAsia="宋体"/>
          <w:b w:val="0"/>
          <w:color w:val="000000"/>
          <w:sz w:val="21"/>
          <w:vertAlign w:val="superscript"/>
        </w:rPr>
        <w:t>[32]</w:t>
      </w:r>
      <w:r>
        <w:rPr>
          <w:rFonts w:ascii="Times New Roman" w:hAnsi="Times New Roman" w:eastAsia="宋体"/>
          <w:b w:val="0"/>
          <w:color w:val="000000"/>
          <w:sz w:val="21"/>
        </w:rPr>
        <w:t>。这为低空阻抗函数提供了工程边界。</w:t>
      </w:r>
    </w:p>
    <w:p w14:paraId="39525CFC">
      <w:pPr>
        <w:pStyle w:val="3"/>
        <w:keepNext/>
        <w:spacing w:before="280" w:after="120"/>
        <w:jc w:val="left"/>
      </w:pPr>
      <w:r>
        <w:rPr>
          <w:rFonts w:hint="eastAsia" w:ascii="Arial" w:hAnsi="Arial" w:eastAsia="黑体"/>
          <w:b/>
          <w:color w:val="000000"/>
          <w:sz w:val="30"/>
          <w:lang w:val="en-US" w:eastAsia="zh-CN"/>
        </w:rPr>
        <w:t>6</w:t>
      </w:r>
      <w:r>
        <w:rPr>
          <w:rFonts w:ascii="Arial" w:hAnsi="Arial" w:eastAsia="黑体"/>
          <w:b/>
          <w:color w:val="000000"/>
          <w:sz w:val="30"/>
        </w:rPr>
        <w:t xml:space="preserve"> 结论</w:t>
      </w:r>
    </w:p>
    <w:p w14:paraId="2DBAA04E">
      <w:pPr>
        <w:spacing w:after="80" w:line="360" w:lineRule="auto"/>
        <w:ind w:firstLine="420"/>
        <w:jc w:val="both"/>
        <w:rPr>
          <w:rFonts w:ascii="Times New Roman" w:hAnsi="Times New Roman" w:eastAsia="宋体"/>
          <w:b w:val="0"/>
          <w:color w:val="000000"/>
          <w:sz w:val="21"/>
        </w:rPr>
      </w:pPr>
      <w:r>
        <w:rPr>
          <w:rFonts w:ascii="Times New Roman" w:hAnsi="Times New Roman" w:eastAsia="宋体"/>
          <w:b w:val="0"/>
          <w:color w:val="000000"/>
          <w:sz w:val="21"/>
        </w:rPr>
        <w:t>低空交通路阻函数应在经典流量容量关系上扩展，而不能完全照搬道路 BPR 函数。航段时间仍是基础，但动态容量、转弯与垂直机动、冲突管制、风场能耗、第三方风险和节点排队都会改变路径成本。区域 MFD 可判断网络拥堵状态，BPR 或锥形函数可保持航段阻抗连续可微，显式排队模型可处理起降点和关键交叉口。</w:t>
      </w:r>
    </w:p>
    <w:p w14:paraId="334A1F6B">
      <w:pPr>
        <w:pStyle w:val="16"/>
        <w:spacing w:after="40" w:line="324" w:lineRule="auto"/>
        <w:ind w:left="425" w:hanging="142"/>
      </w:pPr>
      <w:r>
        <w:rPr>
          <w:rFonts w:ascii="Times New Roman" w:hAnsi="Times New Roman" w:eastAsia="宋体"/>
          <w:b w:val="0"/>
          <w:color w:val="000000"/>
          <w:sz w:val="21"/>
        </w:rPr>
        <w:t>低空航路阻抗应由航段阻抗和节点阻抗共同构成。只计算巡航时间会低估交叉口、合流点和起降点引起的系统延误。</w:t>
      </w:r>
    </w:p>
    <w:p w14:paraId="063B7B80">
      <w:pPr>
        <w:pStyle w:val="16"/>
        <w:spacing w:after="40" w:line="324" w:lineRule="auto"/>
        <w:ind w:left="425" w:hanging="142"/>
      </w:pPr>
      <w:r>
        <w:rPr>
          <w:rFonts w:ascii="Times New Roman" w:hAnsi="Times New Roman" w:eastAsia="宋体"/>
          <w:b w:val="0"/>
          <w:color w:val="000000"/>
          <w:sz w:val="21"/>
        </w:rPr>
        <w:t>容量不是固定常数。安全间隔、航路结构、可用高度层、天气、通信导航监视性能和机型混合会共同改变有效容量。</w:t>
      </w:r>
    </w:p>
    <w:p w14:paraId="56C2B608">
      <w:pPr>
        <w:pStyle w:val="16"/>
        <w:spacing w:after="40" w:line="324" w:lineRule="auto"/>
        <w:ind w:left="425" w:hanging="142"/>
      </w:pPr>
      <w:r>
        <w:rPr>
          <w:rFonts w:ascii="Times New Roman" w:hAnsi="Times New Roman" w:eastAsia="宋体"/>
          <w:b w:val="0"/>
          <w:color w:val="000000"/>
          <w:sz w:val="21"/>
        </w:rPr>
        <w:t>MFD 适合描述区域级低空网络从自由流到拥堵的状态变化，BPR 或锥形函数适合描述单航段的可微阻抗，两者可形成区域与航段两层模型。</w:t>
      </w:r>
    </w:p>
    <w:p w14:paraId="501C6E70">
      <w:pPr>
        <w:pStyle w:val="16"/>
        <w:spacing w:after="40" w:line="324" w:lineRule="auto"/>
        <w:ind w:left="425" w:hanging="142"/>
      </w:pPr>
      <w:r>
        <w:rPr>
          <w:rFonts w:ascii="Times New Roman" w:hAnsi="Times New Roman" w:eastAsia="宋体"/>
          <w:b w:val="0"/>
          <w:color w:val="000000"/>
          <w:sz w:val="21"/>
        </w:rPr>
        <w:t>能耗和第三方风险应作为独立成本项保留，而不是全部折算为飞行时间。这样便于按照货运、载人、应急等任务调整权重。</w:t>
      </w:r>
    </w:p>
    <w:p w14:paraId="4D744FFC">
      <w:pPr>
        <w:pStyle w:val="16"/>
        <w:spacing w:after="40" w:line="324" w:lineRule="auto"/>
        <w:ind w:left="425" w:hanging="142"/>
      </w:pPr>
      <w:r>
        <w:rPr>
          <w:rFonts w:ascii="Times New Roman" w:hAnsi="Times New Roman" w:eastAsia="宋体"/>
          <w:b w:val="0"/>
          <w:color w:val="000000"/>
          <w:sz w:val="21"/>
        </w:rPr>
        <w:t>现有研究已经提供容量、流量、冲突、能耗和风险模型，但缺少统一、可校准并可嵌入交通分配的低空路阻函数。</w:t>
      </w:r>
    </w:p>
    <w:p w14:paraId="27106EEB">
      <w:pPr>
        <w:spacing w:after="80" w:line="360" w:lineRule="auto"/>
        <w:ind w:firstLine="420"/>
        <w:jc w:val="both"/>
        <w:rPr>
          <w:rFonts w:ascii="Times New Roman" w:hAnsi="Times New Roman" w:eastAsia="宋体"/>
          <w:b w:val="0"/>
          <w:color w:val="000000"/>
          <w:sz w:val="21"/>
        </w:rPr>
      </w:pPr>
    </w:p>
    <w:p w14:paraId="07F93B00"/>
    <w:p w14:paraId="056D5D5A"/>
    <w:p w14:paraId="55FFF326">
      <w:pPr>
        <w:pStyle w:val="3"/>
        <w:keepNext/>
        <w:keepLines/>
        <w:pageBreakBefore/>
        <w:widowControl/>
        <w:kinsoku/>
        <w:wordWrap/>
        <w:overflowPunct/>
        <w:topLinePunct w:val="0"/>
        <w:autoSpaceDE/>
        <w:autoSpaceDN/>
        <w:bidi w:val="0"/>
        <w:adjustRightInd/>
        <w:snapToGrid/>
        <w:spacing w:before="280" w:after="120"/>
        <w:jc w:val="left"/>
        <w:textAlignment w:val="auto"/>
      </w:pPr>
      <w:r>
        <w:rPr>
          <w:rFonts w:ascii="Arial" w:hAnsi="Arial" w:eastAsia="黑体"/>
          <w:b/>
          <w:color w:val="000000"/>
          <w:sz w:val="30"/>
        </w:rPr>
        <w:t>参考文献</w:t>
      </w:r>
    </w:p>
    <w:p w14:paraId="359D004E">
      <w:pPr>
        <w:spacing w:after="60" w:line="288" w:lineRule="auto"/>
        <w:ind w:left="420" w:hanging="420"/>
      </w:pPr>
      <w:r>
        <w:rPr>
          <w:rFonts w:ascii="Times New Roman" w:hAnsi="Times New Roman" w:eastAsia="宋体"/>
          <w:b w:val="0"/>
          <w:color w:val="000000"/>
          <w:sz w:val="18"/>
        </w:rPr>
        <w:t>[1] U.S. Bureau of Public Roads. Traffic Assignment Manual for Application with a Large High Speed Computer. Washington, D.C., 1964.</w:t>
      </w:r>
    </w:p>
    <w:p w14:paraId="3BB0F529">
      <w:pPr>
        <w:spacing w:after="60" w:line="288" w:lineRule="auto"/>
        <w:ind w:left="420" w:hanging="420"/>
      </w:pPr>
      <w:r>
        <w:rPr>
          <w:rFonts w:ascii="Times New Roman" w:hAnsi="Times New Roman" w:eastAsia="宋体"/>
          <w:b w:val="0"/>
          <w:color w:val="000000"/>
          <w:sz w:val="18"/>
        </w:rPr>
        <w:t>[2] Akçelik R. Travel time functions for transport planning purposes: Davidson's function, its time-dependent form and an alternative travel time function. Australian Road Research, 1991, 21(3): 49-59.</w:t>
      </w:r>
    </w:p>
    <w:p w14:paraId="0BB69E49">
      <w:pPr>
        <w:spacing w:after="60" w:line="288" w:lineRule="auto"/>
        <w:ind w:left="420" w:hanging="420"/>
      </w:pPr>
      <w:r>
        <w:rPr>
          <w:rFonts w:ascii="Times New Roman" w:hAnsi="Times New Roman" w:eastAsia="宋体"/>
          <w:b w:val="0"/>
          <w:color w:val="000000"/>
          <w:sz w:val="18"/>
        </w:rPr>
        <w:t>[3] Spiess H. Technical note: Conical volume-delay functions. Transportation Science, 1990, 24(2): 153-158. DOI: 10.1287/trsc.24.2.153.</w:t>
      </w:r>
    </w:p>
    <w:p w14:paraId="55CFD0DC">
      <w:pPr>
        <w:spacing w:after="60" w:line="288" w:lineRule="auto"/>
        <w:ind w:left="420" w:hanging="420"/>
      </w:pPr>
      <w:r>
        <w:rPr>
          <w:rFonts w:ascii="Times New Roman" w:hAnsi="Times New Roman" w:eastAsia="宋体"/>
          <w:b w:val="0"/>
          <w:color w:val="000000"/>
          <w:sz w:val="18"/>
        </w:rPr>
        <w:t>[4] Moses R, Mtoi E, Ruegg S, McBean H. Development of Speed Models for Improving Travel Forecasting and Highway Performance Evaluation. Florida Department of Transportation, 2013.</w:t>
      </w:r>
    </w:p>
    <w:p w14:paraId="6D21719D">
      <w:pPr>
        <w:spacing w:after="60" w:line="288" w:lineRule="auto"/>
        <w:ind w:left="420" w:hanging="420"/>
      </w:pPr>
      <w:r>
        <w:rPr>
          <w:rFonts w:ascii="Times New Roman" w:hAnsi="Times New Roman" w:eastAsia="宋体"/>
          <w:b w:val="0"/>
          <w:color w:val="000000"/>
          <w:sz w:val="18"/>
        </w:rPr>
        <w:t>[5] Paszkowski J, Herrmann M, Richter M, Szarata A. Modelling the effects of traffic-calming introduction to volume-delay functions and traffic assignment. Energies, 2021, 14(13): 3726.</w:t>
      </w:r>
    </w:p>
    <w:p w14:paraId="2554776A">
      <w:pPr>
        <w:spacing w:after="60" w:line="288" w:lineRule="auto"/>
        <w:ind w:left="420" w:hanging="420"/>
      </w:pPr>
      <w:r>
        <w:rPr>
          <w:rFonts w:ascii="Times New Roman" w:hAnsi="Times New Roman" w:eastAsia="宋体"/>
          <w:b w:val="0"/>
          <w:color w:val="000000"/>
          <w:sz w:val="18"/>
        </w:rPr>
        <w:t>[6] Daganzo C F. The Cell Transmission Model: Network Traffic. UCB-ITS-PWP-94-12, University of California, Berkeley, 1994.</w:t>
      </w:r>
    </w:p>
    <w:p w14:paraId="5E1B79F4">
      <w:pPr>
        <w:spacing w:after="60" w:line="288" w:lineRule="auto"/>
        <w:ind w:left="420" w:hanging="420"/>
      </w:pPr>
      <w:r>
        <w:rPr>
          <w:rFonts w:ascii="Times New Roman" w:hAnsi="Times New Roman" w:eastAsia="宋体"/>
          <w:b w:val="0"/>
          <w:color w:val="000000"/>
          <w:sz w:val="18"/>
        </w:rPr>
        <w:t>[7] Aghamohammadi R, Laval J A. Dynamic traffic assignment using the macroscopic fundamental diagram: A review of vehicular and pedestrian flow models. Transportation Research Part B, 2020, 137: 99-118.</w:t>
      </w:r>
    </w:p>
    <w:p w14:paraId="3C91C9BB">
      <w:pPr>
        <w:spacing w:after="60" w:line="288" w:lineRule="auto"/>
        <w:ind w:left="420" w:hanging="420"/>
      </w:pPr>
      <w:r>
        <w:rPr>
          <w:rFonts w:ascii="Times New Roman" w:hAnsi="Times New Roman" w:eastAsia="宋体"/>
          <w:b w:val="0"/>
          <w:color w:val="000000"/>
          <w:sz w:val="18"/>
        </w:rPr>
        <w:t>[8] Safadi Y, Fu R, Quan Q, Haddad J. Macroscopic fundamental diagrams for low-altitude air city transport. Transportation Research Part C, 2023, 152: 104141.</w:t>
      </w:r>
    </w:p>
    <w:p w14:paraId="3C0CB2AA">
      <w:pPr>
        <w:spacing w:after="60" w:line="288" w:lineRule="auto"/>
        <w:ind w:left="420" w:hanging="420"/>
      </w:pPr>
      <w:r>
        <w:rPr>
          <w:rFonts w:ascii="Times New Roman" w:hAnsi="Times New Roman" w:eastAsia="宋体"/>
          <w:b w:val="0"/>
          <w:color w:val="000000"/>
          <w:sz w:val="18"/>
        </w:rPr>
        <w:t>[9] Chour K, Razzaghi P, Verma D, et al. Analysis of traffic flow in structured urban airspace networks with MFD-based feedback control. AIAA AVIATION Forum, 2024.</w:t>
      </w:r>
    </w:p>
    <w:p w14:paraId="1355004A">
      <w:pPr>
        <w:spacing w:after="60" w:line="288" w:lineRule="auto"/>
        <w:ind w:left="420" w:hanging="420"/>
      </w:pPr>
      <w:r>
        <w:rPr>
          <w:rFonts w:ascii="Times New Roman" w:hAnsi="Times New Roman" w:eastAsia="宋体"/>
          <w:b w:val="0"/>
          <w:color w:val="000000"/>
          <w:sz w:val="18"/>
        </w:rPr>
        <w:t>[10] Aarts M J M. An Analysis of the Factors Influencing the Capacity of Constrained Urban Airspace. Delft University of Technology, 2021.</w:t>
      </w:r>
    </w:p>
    <w:p w14:paraId="29BFD95A">
      <w:pPr>
        <w:spacing w:after="60" w:line="288" w:lineRule="auto"/>
        <w:ind w:left="420" w:hanging="420"/>
      </w:pPr>
      <w:r>
        <w:rPr>
          <w:rFonts w:ascii="Times New Roman" w:hAnsi="Times New Roman" w:eastAsia="宋体"/>
          <w:b w:val="0"/>
          <w:color w:val="000000"/>
          <w:sz w:val="18"/>
        </w:rPr>
        <w:t>[11] Cummings W G, Denham C L, Smith J C. Effect of airspace characteristics on urban air mobility airspace capacity. AIAA SciTech Forum, 2023.</w:t>
      </w:r>
    </w:p>
    <w:p w14:paraId="61CECACE">
      <w:pPr>
        <w:spacing w:after="60" w:line="288" w:lineRule="auto"/>
        <w:ind w:left="420" w:hanging="420"/>
      </w:pPr>
      <w:r>
        <w:rPr>
          <w:rFonts w:ascii="Times New Roman" w:hAnsi="Times New Roman" w:eastAsia="宋体"/>
          <w:b w:val="0"/>
          <w:color w:val="000000"/>
          <w:sz w:val="18"/>
        </w:rPr>
        <w:t>[12] Patrinopoulou N, Daramouskas I, Badea C A, et al. Dynamic capacity management for air traffic operations in high density constrained urban airspace. Drones, 2023, 7(6): 395.</w:t>
      </w:r>
    </w:p>
    <w:p w14:paraId="713DF796">
      <w:pPr>
        <w:spacing w:after="60" w:line="288" w:lineRule="auto"/>
        <w:ind w:left="420" w:hanging="420"/>
      </w:pPr>
      <w:r>
        <w:rPr>
          <w:rFonts w:ascii="Times New Roman" w:hAnsi="Times New Roman" w:eastAsia="宋体"/>
          <w:b w:val="0"/>
          <w:color w:val="000000"/>
          <w:sz w:val="18"/>
        </w:rPr>
        <w:t>[13] Morfin Veytia A, Ellerbroek J, Hoekstra J. Dynamic capacity balancing in urban airspace: Comparing historical and real-time aggregate flow data. 14th SESAR Innovation Days, 2024.</w:t>
      </w:r>
    </w:p>
    <w:p w14:paraId="22216FD0">
      <w:pPr>
        <w:spacing w:after="60" w:line="288" w:lineRule="auto"/>
        <w:ind w:left="420" w:hanging="420"/>
      </w:pPr>
      <w:r>
        <w:rPr>
          <w:rFonts w:ascii="Times New Roman" w:hAnsi="Times New Roman" w:eastAsia="宋体"/>
          <w:b w:val="0"/>
          <w:color w:val="000000"/>
          <w:sz w:val="18"/>
        </w:rPr>
        <w:t>[14] Moolchandani K A, Lee H. Demand-capacity balancing algorithms for urban air mobility operations. 43rd AIAA/IEEE Digital Avionics Systems Conference, 2024.</w:t>
      </w:r>
    </w:p>
    <w:p w14:paraId="66D87208">
      <w:pPr>
        <w:spacing w:after="60" w:line="288" w:lineRule="auto"/>
        <w:ind w:left="420" w:hanging="420"/>
      </w:pPr>
      <w:r>
        <w:rPr>
          <w:rFonts w:ascii="Times New Roman" w:hAnsi="Times New Roman" w:eastAsia="宋体"/>
          <w:b w:val="0"/>
          <w:color w:val="000000"/>
          <w:sz w:val="18"/>
        </w:rPr>
        <w:t>[15] Lee H, Windhorst R, Lauderdale T A, Cone A, Moolchandani K A. Estimating throughput for urban air mobility operations. AIAA AVIATION Forum, 2023.</w:t>
      </w:r>
    </w:p>
    <w:p w14:paraId="60D1B3A3">
      <w:pPr>
        <w:spacing w:after="60" w:line="288" w:lineRule="auto"/>
        <w:ind w:left="420" w:hanging="420"/>
      </w:pPr>
      <w:r>
        <w:rPr>
          <w:rFonts w:ascii="Times New Roman" w:hAnsi="Times New Roman" w:eastAsia="宋体"/>
          <w:b w:val="0"/>
          <w:color w:val="000000"/>
          <w:sz w:val="18"/>
        </w:rPr>
        <w:t>[16] Chen S, Evans A, Brittain M, Wei P. Integrated conflict management for UAM with strategic demand capacity balancing and learning-based tactical deconfliction. IEEE Transactions on Intelligent Transportation Systems, 2024.</w:t>
      </w:r>
    </w:p>
    <w:p w14:paraId="1D4068AC">
      <w:pPr>
        <w:spacing w:after="60" w:line="288" w:lineRule="auto"/>
        <w:ind w:left="420" w:hanging="420"/>
      </w:pPr>
      <w:r>
        <w:rPr>
          <w:rFonts w:ascii="Times New Roman" w:hAnsi="Times New Roman" w:eastAsia="宋体"/>
          <w:b w:val="0"/>
          <w:color w:val="000000"/>
          <w:sz w:val="18"/>
        </w:rPr>
        <w:t>[17] Mehditabrizi A, Samadzad M, Sabzekar S. A deep reinforcement learning approach to assess the low-altitude airspace capacity for urban air mobility. arXiv:2301.09758, 2023.</w:t>
      </w:r>
    </w:p>
    <w:p w14:paraId="08242688">
      <w:pPr>
        <w:spacing w:after="60" w:line="288" w:lineRule="auto"/>
        <w:ind w:left="420" w:hanging="420"/>
      </w:pPr>
      <w:r>
        <w:rPr>
          <w:rFonts w:ascii="Times New Roman" w:hAnsi="Times New Roman" w:eastAsia="宋体"/>
          <w:b w:val="0"/>
          <w:color w:val="000000"/>
          <w:sz w:val="18"/>
        </w:rPr>
        <w:t>[18] Pongsakornsathien N, Bijjahalli S, Gardi A, et al. A performance-based airspace model for unmanned aircraft systems traffic management. Aerospace, 2020, 7(11): 154.</w:t>
      </w:r>
    </w:p>
    <w:p w14:paraId="11F667AF">
      <w:pPr>
        <w:spacing w:after="60" w:line="288" w:lineRule="auto"/>
        <w:ind w:left="420" w:hanging="420"/>
      </w:pPr>
      <w:r>
        <w:rPr>
          <w:rFonts w:ascii="Times New Roman" w:hAnsi="Times New Roman" w:eastAsia="宋体"/>
          <w:b w:val="0"/>
          <w:color w:val="000000"/>
          <w:sz w:val="18"/>
        </w:rPr>
        <w:t>[19] McCarthy T, Pforte L, Burke R. Fundamental elements of an urban UTM. Aerospace, 2020, 7(7): 85.</w:t>
      </w:r>
    </w:p>
    <w:p w14:paraId="50C35001">
      <w:pPr>
        <w:spacing w:after="60" w:line="288" w:lineRule="auto"/>
        <w:ind w:left="420" w:hanging="420"/>
      </w:pPr>
      <w:r>
        <w:rPr>
          <w:rFonts w:ascii="Times New Roman" w:hAnsi="Times New Roman" w:eastAsia="宋体"/>
          <w:b w:val="0"/>
          <w:color w:val="000000"/>
          <w:sz w:val="18"/>
        </w:rPr>
        <w:t>[20] Quan Q, Li M, Fu R. Sky highway design for dense traffic. IFAC-PapersOnLine, 2021, 54(2): 140-145.</w:t>
      </w:r>
    </w:p>
    <w:p w14:paraId="0EBF783E">
      <w:pPr>
        <w:spacing w:after="60" w:line="288" w:lineRule="auto"/>
        <w:ind w:left="420" w:hanging="420"/>
      </w:pPr>
      <w:r>
        <w:rPr>
          <w:rFonts w:ascii="Times New Roman" w:hAnsi="Times New Roman" w:eastAsia="宋体"/>
          <w:b w:val="0"/>
          <w:color w:val="000000"/>
          <w:sz w:val="18"/>
        </w:rPr>
        <w:t>[21] He X, He F, Li L, Zhang L, Xiao G. A route network planning method for urban air delivery. Transportation Research Part E, 2022, 166: 102872.</w:t>
      </w:r>
    </w:p>
    <w:p w14:paraId="193E7699">
      <w:pPr>
        <w:spacing w:after="60" w:line="288" w:lineRule="auto"/>
        <w:ind w:left="420" w:hanging="420"/>
      </w:pPr>
      <w:r>
        <w:rPr>
          <w:rFonts w:ascii="Times New Roman" w:hAnsi="Times New Roman" w:eastAsia="宋体"/>
          <w:b w:val="0"/>
          <w:color w:val="000000"/>
          <w:sz w:val="18"/>
        </w:rPr>
        <w:t>[22] Li S, Zhang H, Li Z, Liu H. Air route design of multi-rotor UAVs for urban air mobility. Drones, 2024, 8(10): 601.</w:t>
      </w:r>
    </w:p>
    <w:p w14:paraId="33E4ABC2">
      <w:pPr>
        <w:spacing w:after="60" w:line="288" w:lineRule="auto"/>
        <w:ind w:left="420" w:hanging="420"/>
      </w:pPr>
      <w:r>
        <w:rPr>
          <w:rFonts w:ascii="Times New Roman" w:hAnsi="Times New Roman" w:eastAsia="宋体"/>
          <w:b w:val="0"/>
          <w:color w:val="000000"/>
          <w:sz w:val="18"/>
        </w:rPr>
        <w:t>[23] Ditta C C, Postorino M N. Three-dimensional urban air networks for future urban air transport systems. Sustainability, 2023, 15(18): 13551.</w:t>
      </w:r>
    </w:p>
    <w:p w14:paraId="0C8F7038">
      <w:pPr>
        <w:spacing w:after="60" w:line="288" w:lineRule="auto"/>
        <w:ind w:left="420" w:hanging="420"/>
      </w:pPr>
      <w:r>
        <w:rPr>
          <w:rFonts w:ascii="Times New Roman" w:hAnsi="Times New Roman" w:eastAsia="宋体"/>
          <w:b w:val="0"/>
          <w:color w:val="000000"/>
          <w:sz w:val="18"/>
        </w:rPr>
        <w:t>[24] Xue M, Wei M. Small UAV flight planning in urban environments. Journal of Aerospace Information Systems, 2021, 18(10).</w:t>
      </w:r>
    </w:p>
    <w:p w14:paraId="64D8BE14">
      <w:pPr>
        <w:spacing w:after="60" w:line="288" w:lineRule="auto"/>
        <w:ind w:left="420" w:hanging="420"/>
      </w:pPr>
      <w:r>
        <w:rPr>
          <w:rFonts w:ascii="Times New Roman" w:hAnsi="Times New Roman" w:eastAsia="宋体"/>
          <w:b w:val="0"/>
          <w:color w:val="000000"/>
          <w:sz w:val="18"/>
        </w:rPr>
        <w:t>[25] Rienecker H, Hildebrand V, Pfifer H. Energy optimal 3D flight path planning for unmanned aerial vehicle in urban environments. CEAS Aeronautical Journal, 2023, 14: 621-636.</w:t>
      </w:r>
    </w:p>
    <w:p w14:paraId="1BD085F7">
      <w:pPr>
        <w:spacing w:after="60" w:line="288" w:lineRule="auto"/>
        <w:ind w:left="420" w:hanging="420"/>
      </w:pPr>
      <w:r>
        <w:rPr>
          <w:rFonts w:ascii="Times New Roman" w:hAnsi="Times New Roman" w:eastAsia="宋体"/>
          <w:b w:val="0"/>
          <w:color w:val="000000"/>
          <w:sz w:val="18"/>
        </w:rPr>
        <w:t>[26] Pang B, Hu X, Dai W, Low K H. Third party risk modelling and assessment for safe UAV path planning in metropolitan environments. arXiv:2107.01834, 2021.</w:t>
      </w:r>
    </w:p>
    <w:p w14:paraId="4FAF2A0B">
      <w:pPr>
        <w:spacing w:after="60" w:line="288" w:lineRule="auto"/>
        <w:ind w:left="420" w:hanging="420"/>
      </w:pPr>
      <w:r>
        <w:rPr>
          <w:rFonts w:ascii="Times New Roman" w:hAnsi="Times New Roman" w:eastAsia="宋体"/>
          <w:b w:val="0"/>
          <w:color w:val="000000"/>
          <w:sz w:val="18"/>
        </w:rPr>
        <w:t>[27] Guerreiro N M, Hagen G E, Maddalon J M, Butler R W. Capacity and throughput of urban air mobility vertiports with a first-come, first-served vertiport scheduling algorithm. AIAA AVIATION Forum, 2020.</w:t>
      </w:r>
    </w:p>
    <w:p w14:paraId="649B4DE9">
      <w:pPr>
        <w:spacing w:after="60" w:line="288" w:lineRule="auto"/>
        <w:ind w:left="420" w:hanging="420"/>
      </w:pPr>
      <w:r>
        <w:rPr>
          <w:rFonts w:ascii="Times New Roman" w:hAnsi="Times New Roman" w:eastAsia="宋体"/>
          <w:b w:val="0"/>
          <w:color w:val="000000"/>
          <w:sz w:val="18"/>
        </w:rPr>
        <w:t>[28] Schweiger K, Preis L. Urban air mobility: Systematic review of scientific publications and regulations for vertiport design and operations. Drones, 2022, 6(7): 179.</w:t>
      </w:r>
    </w:p>
    <w:p w14:paraId="7BF36196">
      <w:pPr>
        <w:spacing w:after="60" w:line="288" w:lineRule="auto"/>
        <w:ind w:left="420" w:hanging="420"/>
      </w:pPr>
      <w:r>
        <w:rPr>
          <w:rFonts w:ascii="Times New Roman" w:hAnsi="Times New Roman" w:eastAsia="宋体"/>
          <w:b w:val="0"/>
          <w:color w:val="000000"/>
          <w:sz w:val="18"/>
        </w:rPr>
        <w:t>[29] Jiang X, Tang Y, Cao J, et al. Simulating the integration of urban air mobility into existing transportation systems: A survey. Journal of Air Transportation, 2024, 32(3): 97-107.</w:t>
      </w:r>
    </w:p>
    <w:p w14:paraId="49CAB0AE">
      <w:pPr>
        <w:spacing w:after="60" w:line="288" w:lineRule="auto"/>
        <w:ind w:left="420" w:hanging="420"/>
      </w:pPr>
      <w:r>
        <w:rPr>
          <w:rFonts w:ascii="Times New Roman" w:hAnsi="Times New Roman" w:eastAsia="宋体"/>
          <w:b w:val="0"/>
          <w:color w:val="000000"/>
          <w:sz w:val="18"/>
        </w:rPr>
        <w:t>[30] Schuchardt B I, Geister D, Lüken T, et al. Air traffic management as a vital part of urban air mobility: A review of DLR's research work from 1995 to 2022. Aerospace, 2023, 10(1): 81.</w:t>
      </w:r>
    </w:p>
    <w:p w14:paraId="300C0931">
      <w:pPr>
        <w:spacing w:after="60" w:line="288" w:lineRule="auto"/>
        <w:ind w:left="420" w:hanging="420"/>
      </w:pPr>
      <w:r>
        <w:rPr>
          <w:rFonts w:ascii="Times New Roman" w:hAnsi="Times New Roman" w:eastAsia="宋体"/>
          <w:b w:val="0"/>
          <w:color w:val="000000"/>
          <w:sz w:val="18"/>
        </w:rPr>
        <w:t>[31] 丁杰, 王迪. 基于强化学习的城市低空无人机路径规划. 交通运输工程与信息学报, 2025, 23(2): 14-31.</w:t>
      </w:r>
    </w:p>
    <w:p w14:paraId="211A00CB">
      <w:pPr>
        <w:spacing w:after="60" w:line="288" w:lineRule="auto"/>
        <w:ind w:left="420" w:hanging="420"/>
        <w:rPr>
          <w:rFonts w:ascii="Times New Roman" w:hAnsi="Times New Roman" w:eastAsia="宋体"/>
          <w:b w:val="0"/>
          <w:color w:val="000000"/>
          <w:sz w:val="18"/>
        </w:rPr>
      </w:pPr>
      <w:r>
        <w:rPr>
          <w:rFonts w:ascii="Times New Roman" w:hAnsi="Times New Roman" w:eastAsia="宋体"/>
          <w:b w:val="0"/>
          <w:color w:val="000000"/>
          <w:sz w:val="18"/>
        </w:rPr>
        <w:t>[32] 廖小罕, 徐晨晨, 叶虎平, 等. 无人机应用发展关键基础设施与低空公共航路网规划. 中国科学院院刊, 2022, 37(7): 977-988.</w:t>
      </w:r>
    </w:p>
    <w:p w14:paraId="465229A9">
      <w:pPr>
        <w:spacing w:after="60" w:line="288" w:lineRule="auto"/>
        <w:ind w:left="420" w:hanging="420"/>
        <w:rPr>
          <w:rFonts w:ascii="Times New Roman" w:hAnsi="Times New Roman" w:eastAsia="宋体"/>
          <w:b w:val="0"/>
          <w:color w:val="000000"/>
          <w:sz w:val="18"/>
        </w:rPr>
      </w:pPr>
    </w:p>
    <w:p w14:paraId="452B1B78">
      <w:pPr>
        <w:spacing w:after="60" w:line="288" w:lineRule="auto"/>
        <w:ind w:left="420" w:hanging="420"/>
        <w:rPr>
          <w:rFonts w:ascii="Times New Roman" w:hAnsi="Times New Roman" w:eastAsia="宋体"/>
          <w:b w:val="0"/>
          <w:color w:val="000000"/>
          <w:sz w:val="18"/>
        </w:rPr>
      </w:pPr>
    </w:p>
    <w:sectPr>
      <w:headerReference r:id="rId5" w:type="default"/>
      <w:footerReference r:id="rId6" w:type="default"/>
      <w:pgSz w:w="11906" w:h="16838"/>
      <w:pgMar w:top="1361" w:right="1247" w:bottom="1247" w:left="1417" w:header="680" w:footer="68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5ED43">
    <w:pPr>
      <w:pStyle w:val="24"/>
      <w:jc w:val="center"/>
    </w:pPr>
    <w:r>
      <w:rPr>
        <w:rFonts w:ascii="Times New Roman" w:hAnsi="Times New Roman" w:eastAsia="宋体"/>
        <w:b w:val="0"/>
        <w:color w:val="000000"/>
        <w:sz w:val="18"/>
      </w:rPr>
      <w:fldChar w:fldCharType="begin"/>
    </w:r>
    <w:r>
      <w:rPr>
        <w:rFonts w:ascii="Times New Roman" w:hAnsi="Times New Roman" w:eastAsia="宋体"/>
        <w:b w:val="0"/>
        <w:color w:val="000000"/>
        <w:sz w:val="18"/>
      </w:rPr>
      <w:instrText xml:space="preserve"> PAGE </w:instrText>
    </w:r>
    <w:r>
      <w:rPr>
        <w:rFonts w:ascii="Times New Roman" w:hAnsi="Times New Roman" w:eastAsia="宋体"/>
        <w:b w:val="0"/>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0DCC5">
    <w:pPr>
      <w:pStyle w:val="2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AB63DF"/>
    <w:rsid w:val="0AB67731"/>
    <w:rsid w:val="1246139A"/>
    <w:rsid w:val="1B19589E"/>
    <w:rsid w:val="2D7A4DC7"/>
    <w:rsid w:val="2FF67B04"/>
    <w:rsid w:val="3B9F54F4"/>
    <w:rsid w:val="403A57EB"/>
    <w:rsid w:val="502618E8"/>
    <w:rsid w:val="53DA1367"/>
    <w:rsid w:val="54B716A8"/>
    <w:rsid w:val="578D049F"/>
    <w:rsid w:val="5BF136F2"/>
    <w:rsid w:val="5DF474C9"/>
    <w:rsid w:val="64D21BE7"/>
    <w:rsid w:val="66E719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8308</Words>
  <Characters>13364</Characters>
  <Lines>0</Lines>
  <Paragraphs>0</Paragraphs>
  <TotalTime>144</TotalTime>
  <ScaleCrop>false</ScaleCrop>
  <LinksUpToDate>false</LinksUpToDate>
  <CharactersWithSpaces>14525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低吟~曾经</dc:creator>
  <dc:description>generated by python-docx</dc:description>
  <cp:keywords>低空交通, 路阻函数, 城市空中交通, 空域容量, 宏观基本图</cp:keywords>
  <cp:lastModifiedBy>低吟~曾经</cp:lastModifiedBy>
  <dcterms:modified xsi:type="dcterms:W3CDTF">2026-09-22T15:06:07Z</dcterms:modified>
  <dc:subject>低空交通路阻函数文献综述</dc:subject>
  <dc:title>低空交通路阻函数研究综述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eyJoZGlkIjoiMzEwNTM5NzYwMDRjMzkwZTVkZjY2ODkwMGIxNGU0OTUiLCJ1c2VySWQiOiIxMTMzODc0Mzk4In0=</vt:lpwstr>
  </property>
  <property fmtid="{D5CDD505-2E9C-101B-9397-08002B2CF9AE}" pid="3" name="KSOProductBuildVer">
    <vt:lpwstr>2052-12.1.0.28505</vt:lpwstr>
  </property>
  <property fmtid="{D5CDD505-2E9C-101B-9397-08002B2CF9AE}" pid="4" name="ICV">
    <vt:lpwstr>1F0C3A1A641F40B7B83161D01164D88C_12</vt:lpwstr>
  </property>
</Properties>
</file>