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iberation Serif" w:hAnsi="Liberation Serif"/>
          <w:lang w:val="es-ES"/>
        </w:rPr>
      </w:pPr>
      <w:r>
        <w:rPr>
          <w:rFonts w:ascii="Liberation Serif" w:hAnsi="Liberation Serif"/>
          <w:lang w:val="es-ES"/>
        </w:rPr>
      </w:r>
    </w:p>
    <w:p>
      <w:pPr>
        <w:pStyle w:val="TextBody"/>
        <w:bidi w:val="0"/>
        <w:spacing w:lineRule="auto" w:line="331" w:before="0" w:after="0"/>
        <w:jc w:val="center"/>
        <w:rPr/>
      </w:pPr>
      <w:bookmarkStart w:id="0" w:name="docs-internal-guid-10005762-7fff-a17a-cd06-283e0a1dab8c"/>
      <w:bookmarkEnd w:id="0"/>
      <w:r>
        <w:rPr>
          <w:rFonts w:ascii="Liberation Serif" w:hAnsi="Liberation Serif"/>
          <w:b/>
          <w:bCs/>
          <w:i w:val="false"/>
          <w:caps w:val="false"/>
          <w:smallCaps w:val="false"/>
          <w:strike w:val="false"/>
          <w:dstrike w:val="false"/>
          <w:color w:val="000000"/>
          <w:sz w:val="28"/>
          <w:szCs w:val="28"/>
          <w:u w:val="none"/>
          <w:effect w:val="none"/>
          <w:lang w:val="es-ES"/>
        </w:rPr>
        <w:t>PREDICCIÓN DE CARBONO ORGÁNICO EN LOS SUELOS DE MÉXICO A 1M DE PROFUNDIDAD Y 90M DE RESOLUCIÓN ESPACIAL (1999-2009)</w:t>
      </w:r>
    </w:p>
    <w:p>
      <w:pPr>
        <w:pStyle w:val="TextBody"/>
        <w:bidi w:val="0"/>
        <w:spacing w:lineRule="auto" w:line="331" w:before="0" w:after="0"/>
        <w:jc w:val="center"/>
        <w:rPr>
          <w:rFonts w:ascii="Liberation Serif" w:hAnsi="Liberation Serif"/>
          <w:b/>
          <w:b/>
          <w:bCs/>
          <w:i w:val="false"/>
          <w:i w:val="false"/>
          <w:caps w:val="false"/>
          <w:smallCaps w:val="false"/>
          <w:strike w:val="false"/>
          <w:dstrike w:val="false"/>
          <w:color w:val="000000"/>
          <w:sz w:val="24"/>
          <w:szCs w:val="24"/>
          <w:u w:val="none"/>
          <w:effect w:val="none"/>
          <w:lang w:val="es-ES"/>
        </w:rPr>
      </w:pPr>
      <w:r>
        <w:rPr>
          <w:rFonts w:ascii="Liberation Serif" w:hAnsi="Liberation Serif"/>
          <w:b/>
          <w:bCs/>
          <w:i w:val="false"/>
          <w:caps w:val="false"/>
          <w:smallCaps w:val="false"/>
          <w:strike w:val="false"/>
          <w:dstrike w:val="false"/>
          <w:color w:val="000000"/>
          <w:sz w:val="24"/>
          <w:szCs w:val="24"/>
          <w:u w:val="none"/>
          <w:effect w:val="none"/>
          <w:lang w:val="es-ES"/>
        </w:rPr>
        <w:t>Soil Organic Carbon Predictions across Mexico at 1m of Soil Depth and 90m of Spatial Resolution (1999-2009)</w:t>
      </w:r>
    </w:p>
    <w:p>
      <w:pPr>
        <w:pStyle w:val="TextBody"/>
        <w:rPr>
          <w:rFonts w:ascii="Liberation Serif" w:hAnsi="Liberation Serif"/>
          <w:sz w:val="24"/>
          <w:szCs w:val="24"/>
          <w:lang w:val="es-ES"/>
        </w:rPr>
      </w:pPr>
      <w:r>
        <w:rPr>
          <w:rFonts w:ascii="Liberation Serif" w:hAnsi="Liberation Serif"/>
          <w:sz w:val="24"/>
          <w:szCs w:val="24"/>
          <w:lang w:val="es-ES"/>
        </w:rPr>
      </w:r>
    </w:p>
    <w:p>
      <w:pPr>
        <w:pStyle w:val="TextBody"/>
        <w:jc w:val="center"/>
        <w:rPr>
          <w:rFonts w:ascii="Liberation Serif" w:hAnsi="Liberation Serif"/>
          <w:b/>
          <w:b/>
          <w:bCs/>
          <w:sz w:val="24"/>
          <w:szCs w:val="24"/>
        </w:rPr>
      </w:pPr>
      <w:r>
        <w:rPr>
          <w:rFonts w:ascii="Liberation Serif" w:hAnsi="Liberation Serif"/>
          <w:b/>
          <w:bCs/>
          <w:sz w:val="24"/>
          <w:szCs w:val="24"/>
          <w:lang w:val="es-ES"/>
        </w:rPr>
        <w:t xml:space="preserve">Mario Guevara, Rodrigo Vargas </w:t>
        <w:br/>
      </w:r>
      <w:r>
        <w:rPr>
          <w:rFonts w:ascii="Liberation Serif" w:hAnsi="Liberation Serif"/>
          <w:b w:val="false"/>
          <w:bCs w:val="false"/>
          <w:sz w:val="22"/>
          <w:szCs w:val="22"/>
          <w:lang w:val="es-ES"/>
        </w:rPr>
        <w:t xml:space="preserve">Department of Pland and Soil Sciences, University of Delaware, Newark DE, USA </w:t>
      </w:r>
    </w:p>
    <w:p>
      <w:pPr>
        <w:pStyle w:val="Normal"/>
        <w:rPr>
          <w:rFonts w:ascii="Liberation Serif" w:hAnsi="Liberation Serif"/>
          <w:b/>
          <w:b/>
          <w:bCs/>
          <w:lang w:val="es-ES"/>
        </w:rPr>
      </w:pPr>
      <w:r>
        <w:rPr>
          <w:rFonts w:ascii="Liberation Serif" w:hAnsi="Liberation Serif"/>
          <w:b/>
          <w:bCs/>
          <w:lang w:val="es-ES"/>
        </w:rPr>
      </w:r>
    </w:p>
    <w:p>
      <w:pPr>
        <w:pStyle w:val="Normal"/>
        <w:rPr>
          <w:rFonts w:ascii="Liberation Serif" w:hAnsi="Liberation Serif"/>
          <w:b/>
          <w:b/>
          <w:bCs/>
          <w:lang w:val="es-ES"/>
        </w:rPr>
      </w:pPr>
      <w:r>
        <w:rPr>
          <w:rFonts w:ascii="Liberation Serif" w:hAnsi="Liberation Serif"/>
          <w:b/>
          <w:bCs/>
          <w:lang w:val="es-ES"/>
        </w:rPr>
        <w:t>Resumen</w:t>
      </w:r>
    </w:p>
    <w:p>
      <w:pPr>
        <w:pStyle w:val="Normal"/>
        <w:rPr>
          <w:rFonts w:ascii="Liberation Serif" w:hAnsi="Liberation Serif"/>
          <w:lang w:val="es-ES"/>
        </w:rPr>
      </w:pPr>
      <w:r>
        <w:rPr>
          <w:rFonts w:ascii="Liberation Serif" w:hAnsi="Liberation Serif"/>
          <w:lang w:val="es-ES"/>
        </w:rPr>
        <w:tab/>
        <w:t xml:space="preserve"> </w:t>
        <w:tab/>
        <w:t xml:space="preserve"> </w:t>
        <w:tab/>
        <w:t xml:space="preserve"> </w:t>
        <w:tab/>
      </w:r>
    </w:p>
    <w:p>
      <w:pPr>
        <w:pStyle w:val="Normal"/>
        <w:rPr>
          <w:rFonts w:ascii="Liberation Serif" w:hAnsi="Liberation Serif"/>
        </w:rPr>
      </w:pPr>
      <w:r>
        <w:rPr>
          <w:rFonts w:ascii="Liberation Serif" w:hAnsi="Liberation Serif"/>
          <w:lang w:val="es-ES"/>
        </w:rPr>
        <w:t>Estudios sobre la variación espacial del carbono orgánico del suelo (COS) son indispensables para mejorar el conocimiento sobre el ciclo global del carbono. Este trabajo documenta el desarrollo de un mapa digital de COS para México a 1m de profundidad y 90 m de resolución espacial representativo del periodo 1991-2009. Un ensamble de árboles de regresión con una eliminación recursiva de variables explica 54% de la variabilidad total empleando una técnica de validación cruzada de muestras independientes. El modelo predictivo produce un error promedio de 0.54 kg m</w:t>
      </w:r>
      <w:r>
        <w:rPr>
          <w:rFonts w:ascii="Liberation Serif" w:hAnsi="Liberation Serif"/>
          <w:vertAlign w:val="superscript"/>
          <w:lang w:val="es-ES"/>
        </w:rPr>
        <w:t>2</w:t>
      </w:r>
      <w:r>
        <w:rPr>
          <w:rFonts w:ascii="Liberation Serif" w:hAnsi="Liberation Serif"/>
          <w:lang w:val="es-ES"/>
        </w:rPr>
        <w:t xml:space="preserve"> de COS a 1m de profundidad. Se discuten las limitaciones del mapa presentado y las oportunidades de investigación para mejorar la precisión en trabajos futuros. Se estima un total de 16.03 ± 4.24 Pg de COS en el primer metro de suelo mineral para el territorio mexicano. Este resultado es conservador comparado con otros trabajos previos (globales y nacionales). Con este trabajo se provee un marco de trabajo en mapeo digital de suelos útil para habilitar programas de monitoreo estatales y municipales de COS con bajo costo computacional.</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b/>
          <w:bCs/>
          <w:i/>
          <w:iCs/>
          <w:lang w:val="es-ES"/>
        </w:rPr>
        <w:t>Palabras clave:</w:t>
      </w:r>
      <w:r>
        <w:rPr>
          <w:rFonts w:ascii="Liberation Serif" w:hAnsi="Liberation Serif"/>
          <w:b w:val="false"/>
          <w:bCs w:val="false"/>
          <w:i/>
          <w:iCs/>
          <w:lang w:val="es-ES"/>
        </w:rPr>
        <w:t xml:space="preserve"> mapeo digital de suelos, carbono orgánico del suelo 0-100 cm, predicción espacial, 90m de resolución espacial.</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b/>
          <w:b/>
          <w:bCs/>
          <w:lang w:val="en-US"/>
        </w:rPr>
      </w:pPr>
      <w:r>
        <w:rPr>
          <w:rFonts w:ascii="Liberation Serif" w:hAnsi="Liberation Serif"/>
          <w:b/>
          <w:bCs/>
          <w:lang w:val="es-ES"/>
        </w:rPr>
        <w:t xml:space="preserve">Summary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Studies of the spatial variation of soil organic carbon (SOC) are essential to improve knowledge about the global carbon cycle. This work documents the development of a digital SOC map for Mexico at 1m of soil depth and at 90 m of spatial resolution representative of the period 1991-2009. A model ensemble of regression trees with a recursive elimination of variables explains 54% of the total variability using a cross-validation technique of independent samples. The predictive model produces an average error of 0.54 kg m</w:t>
      </w:r>
      <w:r>
        <w:rPr>
          <w:rFonts w:ascii="Liberation Serif" w:hAnsi="Liberation Serif"/>
          <w:vertAlign w:val="superscript"/>
          <w:lang w:val="es-ES"/>
        </w:rPr>
        <w:t>2</w:t>
      </w:r>
      <w:r>
        <w:rPr>
          <w:rFonts w:ascii="Liberation Serif" w:hAnsi="Liberation Serif"/>
          <w:lang w:val="es-ES"/>
        </w:rPr>
        <w:t xml:space="preserve"> of SOC at 1m depth. The limitations of the proposed map and the research opportunities to improve the accuracy in future work are discussed. A total of 16.03 ± 4.24 Pg of SOC is estimated in the first meter of mineral soil for the Mexican territory. This result is conservative compared to previous works (global and national). In this study we provide a reference framework on digital soil mapping useful for enabling state and municipal SOC monitoring programs with low computational cost.</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b w:val="false"/>
          <w:b w:val="false"/>
          <w:bCs w:val="false"/>
          <w:i/>
          <w:i/>
          <w:iCs/>
          <w:lang w:val="es-ES"/>
        </w:rPr>
      </w:pPr>
      <w:r>
        <w:rPr>
          <w:rFonts w:ascii="Liberation Serif" w:hAnsi="Liberation Serif"/>
          <w:b w:val="false"/>
          <w:bCs w:val="false"/>
          <w:i/>
          <w:iCs/>
          <w:lang w:val="es-ES"/>
        </w:rPr>
      </w:r>
    </w:p>
    <w:p>
      <w:pPr>
        <w:pStyle w:val="Normal"/>
        <w:rPr>
          <w:rFonts w:ascii="Liberation Serif" w:hAnsi="Liberation Serif"/>
          <w:lang w:val="en-US"/>
        </w:rPr>
      </w:pPr>
      <w:r>
        <w:rPr>
          <w:rFonts w:ascii="Liberation Serif" w:hAnsi="Liberation Serif"/>
          <w:b/>
          <w:bCs/>
          <w:i/>
          <w:iCs/>
          <w:lang w:val="es-ES"/>
        </w:rPr>
        <w:t>Index words:</w:t>
      </w:r>
      <w:r>
        <w:rPr>
          <w:rFonts w:ascii="Liberation Serif" w:hAnsi="Liberation Serif"/>
          <w:b w:val="false"/>
          <w:bCs w:val="false"/>
          <w:i/>
          <w:iCs/>
          <w:lang w:val="es-ES"/>
        </w:rPr>
        <w:t xml:space="preserve"> digital soil mapping, soil organic carbon 0-100cm, spatial prediction, 90m of spatial resolution.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b/>
          <w:b/>
          <w:bCs/>
          <w:lang w:val="es-ES"/>
        </w:rPr>
      </w:pPr>
      <w:r>
        <w:rPr>
          <w:rFonts w:ascii="Liberation Serif" w:hAnsi="Liberation Serif"/>
          <w:b/>
          <w:bCs/>
          <w:lang w:val="es-ES"/>
        </w:rPr>
        <w:t>Introducción</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i w:val="false"/>
          <w:iCs w:val="false"/>
          <w:lang w:val="es-ES"/>
        </w:rPr>
        <w:t>Los mapas de distribución del carbono orgánico del suelo (COS) son herramientas de gestión requeridas para la formulación e implementación de políticas públicas relacionadas con el potencial natural de los suelos y su respuesta funcional al cambio ambiental global (Stockmann, et al., 2013). Información actual y precisa sobre los contenidos y distribución espacial del COS es constantemente requerida para la planeación de sistemas agrícolas y la identificación de suelos degradados (Powlson et al., 2016). Esto es porque el COS es un indicador directo de la capacidad del suelo para regular funciones de los ecosistemas, como la infiltración de agua a horizontes más profundos o su capacidad para almacenar, transportar y transformar nutrientes en formas disponibles para las plantas (Lal et al., 2018). El COS es entonces un indicador de funciones ecosistémicas e interacciones entre factores biofísicos del suelo, la vegetación y la atmósfera.</w:t>
      </w:r>
      <w:r>
        <w:rPr>
          <w:rFonts w:ascii="Liberation Serif" w:hAnsi="Liberation Serif"/>
          <w:lang w:val="es-ES"/>
        </w:rPr>
        <w:t xml:space="preserve">  </w:t>
      </w:r>
      <w:r>
        <w:rPr>
          <w:rFonts w:ascii="Liberation Serif" w:hAnsi="Liberation Serif"/>
          <w:b w:val="false"/>
          <w:bCs w:val="false"/>
          <w:lang w:val="es-ES"/>
        </w:rPr>
        <w:t xml:space="preserve">El COS es tambien un indicador clave de procesos como la degradación de tierras o la productividad primaria, sin embargo, actualmente los estimados de COS a nivel global y nacional son una causa principal de incertidumbre en modelos globales de carbono. Por tanto, los estimados actuales de COS requieren constantemente mayor precisión, exactitud y resolución espacial y temporal. </w:t>
      </w:r>
    </w:p>
    <w:p>
      <w:pPr>
        <w:pStyle w:val="Normal"/>
        <w:rPr>
          <w:rFonts w:ascii="Liberation Serif" w:hAnsi="Liberation Serif"/>
        </w:rPr>
      </w:pPr>
      <w:r>
        <w:rPr>
          <w:rFonts w:ascii="Liberation Serif" w:hAnsi="Liberation Serif"/>
          <w:lang w:val="es-ES"/>
        </w:rPr>
        <w:t xml:space="preserve">   </w:t>
      </w:r>
    </w:p>
    <w:p>
      <w:pPr>
        <w:pStyle w:val="Normal"/>
        <w:rPr>
          <w:rFonts w:ascii="Liberation Serif" w:hAnsi="Liberation Serif"/>
        </w:rPr>
      </w:pPr>
      <w:r>
        <w:rPr>
          <w:rFonts w:ascii="Liberation Serif" w:hAnsi="Liberation Serif"/>
          <w:lang w:val="es-ES"/>
        </w:rPr>
        <w:t xml:space="preserve">Actualmente existe gran incertidumbre en los modelos predictivos del ciclo global del carbono que proviene de los estimados de COS (Tifafi </w:t>
      </w:r>
      <w:r>
        <w:rPr>
          <w:rFonts w:ascii="Liberation Serif" w:hAnsi="Liberation Serif"/>
          <w:i w:val="false"/>
          <w:iCs w:val="false"/>
          <w:lang w:val="es-ES"/>
        </w:rPr>
        <w:t>et al</w:t>
      </w:r>
      <w:r>
        <w:rPr>
          <w:rFonts w:ascii="Liberation Serif" w:hAnsi="Liberation Serif"/>
          <w:i/>
          <w:lang w:val="es-ES"/>
        </w:rPr>
        <w:t>.,</w:t>
      </w:r>
      <w:r>
        <w:rPr>
          <w:rFonts w:ascii="Liberation Serif" w:hAnsi="Liberation Serif"/>
          <w:lang w:val="es-ES"/>
        </w:rPr>
        <w:t xml:space="preserve"> 2017). Diversos esfuerzos por caracterizar los contenidos de COS muestran discrepancias a diversas escalas espaciales y temporales (Lajtha et al., 2018). Esto es principalmente porque los diversos estimados de COS están basados en múltiples colecciones de datos patrimoniales y métodos de colecta de datos que representan indistintamente condiciones pasadas (en algunos casos &gt;50 años) y condiciones actuales (e.g., Hengl </w:t>
      </w:r>
      <w:r>
        <w:rPr>
          <w:rFonts w:ascii="Liberation Serif" w:hAnsi="Liberation Serif"/>
          <w:i w:val="false"/>
          <w:iCs w:val="false"/>
          <w:lang w:val="es-ES"/>
        </w:rPr>
        <w:t>et al</w:t>
      </w:r>
      <w:r>
        <w:rPr>
          <w:rFonts w:ascii="Liberation Serif" w:hAnsi="Liberation Serif"/>
          <w:lang w:val="es-ES"/>
        </w:rPr>
        <w:t xml:space="preserve">., 2017, Guevara et al., 2018).  México es un país pionero en cuanto al mapeo y documentación de sus recursos naturales ya que desde 1968, el Instituto Nacional de Estadística, Geografía e Informática (INEGI) trabaja en protocolos para generar información geográfica a nivel nacional sobre los recursos naturales (e.g., INEGI Serie 1 y 2, Krasilnikov et al., 2013). Con la información disponible para México, se han presentado estimaciones de carbono en el suelo (dentro de los primeros 30cm de profundidad) que varían entre seis y 18 Pg (Guevara et al., 2018). Síntesis recientes sugieren que el contenido actual de carbono en los primeros 30cm de profundidad en México es cercano a 9 Pg (Paz et al., 2016), pero existen discrepancias entre diversos estimados (Tifafi et al., 2017). En México se asume que el contenido a un metro de profundidad es de 18 Pg, el doble que a los 30 cm de profundidad (Lajtha et al., 2018). Sin embargo, no existe información detallada (e.g., en pixeles con resolución espacial &lt; 100m) de cobertura nacional que nos permita saber cuál es el la distribución espacial y el contenido de carbono en el suelo a un metro de profundidad. Esta alta resolución espacial no solo es importante para la caracterización espacial del COS pero también para para proveer información a una escala relevante para generar planes de manejo y políticas públicas (FAO, 2017). El COS almacenado en la superficie del suelo (e.g., 0-15 o 0-30 cm) es más sensible a cambios de uso de suelo y transformaciones a la cobertura vegetal o a la acción directa del clima comparado con el carbono almacenado a mayores profundidades (e.g., 1 m de profundidad). El carbono almacenado a un metro de profundidad es por tanto más estable que el COS almacenado en la superficie del suelo.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 xml:space="preserve">La estimación del contenido de COS requiere dos variables edáficas adicionales: la densidad aparente del suelo (i.e., la relación entre peso y volumen) y el contenido de fragmentos rocosos (fragmentos &gt; 2mm) (Nelson y Sommers, 1982). Estas variables tienen una disponibilidad limitada a nivel país y son la causa principal de errores en los estimados del COS (Poeplau et al., 2017). A pesar de los grandes esfuerzos realizados (Cruz-Cárdenas et al., 2014, Paz et al., 2016), México no es una excepción ya que existen grandes áreas sin información disponible sobre mediciones directas de COS, densidad aparente o fragmentos rocosos (Krasilnikov et al., 2013). Esto representa un gran reto para mejorar los estimados actuales de la distribución del COS al nivel nacional.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 xml:space="preserve">Existen varios métodos para predecir con datos de COS áreas sin información. Una posibilidad es asignar (e.g., con una ponderación) un valor de carbono a cada categoría de un mapa de suelos (e.g., tipos de suelo) disponible o a la intersección de varios mapas de variables relacionadas con la variabilidad espacial del COS (i.e., tipos de clima, tipos de rocas, tipos de geoformas, mapas de uso de suelo y tipos de vegetación) (Yigini et al., 2018). Estas capas posteriormente se generalizan (e.g., con el criterio de área mínima cartografiable) a una escala donde (idealmente) todas las categorías en el mapa están representadas con mediciones directas y datos de carbono. Otra manera es hacer un mapeo predictivo de COS construyendo un modelo estadístico (e.g., lineal, no lineal, basado en hipótesis, basado en datos) (Hengl y MacMillan, 2018). Este modelo depende de las relaciones entre los datos de COS y la información ambiental disponible representativa del área de interés, la cual se puede obtener a partir de productos satelitales, modelos digitales de elevación (i.e., Geomorfometría o análisis digital de terreno) y diversos tipos de mapas temáticos para representar el ambiente de formación de suelos (Reuter and Hengl, 2012). El ambiente de formación de suelos deriva de la información asociada a los factores de formación de suelos: clima, organismos vivos, topografía (relieve) y geología, que interactúan en un periodo determinado de tiempo (para el caso de interés) (Jenny, 1941). Combinando los datos disponibles y las capas ambientales es posible generar predicciones continuas de COS (y de otras de sus propiedades físicas, químicas y biológicas) en áreas sin datos disponibles y estimar un error asociado a estas predicciones (Lagacherie, et al., 2019). Las técnicas asociadas a estas estimaciones estadísticas para generar mapas digitales de COS pertenecen al área de estudio del mapeo digital de suelos (McBratney et al., 2003).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 xml:space="preserve">Avances recientes en mapeo digital de suelos y la disposición de datos relacionados al COS y el ambiente de formación de suelos han resultado en predicciones globales de COS a 250m de resolución espacial (Hengl et al., 2017). Las estimaciones globales de COS no necesariamente representan de manera precisa el COS para un país específico (Guevara et al., 2018). Esto se debe a que cada región (o país) tiene limitaciones particulares de información y el COS está asociado a condiciones de formación de suelo específicas para dicha región (o país). Con la disponibilidad de información específica de COS para México y el desarrollo de nuevas técnicas de Geomorfometría (i.e., análisis digital de terreno) es posible generar predictores topográficos del COS a una escala espacial mucho más detallada (e.g., &lt;100m) usando datos a nivel país (Amatulli et al., 2019). Una estimación a esta resolución espacial para los más de 2 millones de kilómetros cuadrados de México representa un reto computacional que hasta el momento ha sido reservado para instituciones con acceso a recursos de </w:t>
      </w:r>
      <w:r>
        <w:rPr>
          <w:rFonts w:ascii="Liberation Serif" w:hAnsi="Liberation Serif"/>
          <w:color w:val="222222"/>
          <w:lang w:val="es-ES"/>
        </w:rPr>
        <w:t>computación de alto rendimiento</w:t>
      </w:r>
      <w:r>
        <w:rPr>
          <w:rFonts w:ascii="Liberation Serif" w:hAnsi="Liberation Serif"/>
          <w:color w:val="222222"/>
          <w:highlight w:val="white"/>
          <w:lang w:val="es-ES"/>
        </w:rPr>
        <w:t xml:space="preserve"> (</w:t>
      </w:r>
      <w:r>
        <w:rPr>
          <w:rFonts w:ascii="Liberation Serif" w:hAnsi="Liberation Serif"/>
          <w:i/>
          <w:color w:val="222222"/>
          <w:highlight w:val="white"/>
          <w:lang w:val="es-ES"/>
        </w:rPr>
        <w:t>High performance Computing</w:t>
      </w:r>
      <w:r>
        <w:rPr>
          <w:rFonts w:ascii="Liberation Serif" w:hAnsi="Liberation Serif"/>
          <w:color w:val="222222"/>
          <w:highlight w:val="white"/>
          <w:lang w:val="es-ES"/>
        </w:rPr>
        <w:t xml:space="preserve"> o HPC en inglés). Por lo tanto, existe la necesidad de desarrollar técnicas para implementar estimaciones con gran resolución espacial de COS (y otras variables biofísicas del suelo) con recursos computacionales </w:t>
      </w:r>
      <w:r>
        <w:rPr>
          <w:rFonts w:ascii="Liberation Serif" w:hAnsi="Liberation Serif"/>
          <w:lang w:val="es-ES"/>
        </w:rPr>
        <w:t xml:space="preserve">de bajo costo disponibles para múltiples usuarios (Beaudette y O’Geen, 2009). </w:t>
      </w:r>
    </w:p>
    <w:p>
      <w:pPr>
        <w:pStyle w:val="Normal"/>
        <w:rPr>
          <w:lang w:val="es-ES"/>
        </w:rPr>
      </w:pPr>
      <w:r>
        <w:rPr>
          <w:lang w:val="es-ES"/>
        </w:rPr>
      </w:r>
    </w:p>
    <w:p>
      <w:pPr>
        <w:pStyle w:val="Normal"/>
        <w:rPr>
          <w:rFonts w:ascii="Liberation Serif" w:hAnsi="Liberation Serif"/>
          <w:lang w:val="es-ES"/>
        </w:rPr>
      </w:pPr>
      <w:r>
        <w:rPr>
          <w:rFonts w:ascii="Liberation Serif" w:hAnsi="Liberation Serif"/>
          <w:lang w:val="es-ES"/>
        </w:rPr>
        <w:t>El objetivo de este trabajo fue generar una predicción espacial del COS a 1 m de profundidad y a la resolución espacial de 90 m, empleando diversas capas de información ambiental como factores predictivos. Esta predicción se basó en un modelo estadístico seleccionado a partir de la comparación de diversas combinaciones de predictores ambientales y datos disponibles usando criterios de información como medidas de desempeño. La información generada será de utilidad para la validación y calibración de estimaciones nacionales y globales de carbono, y para la interpretación espacial de COS en México a escalas espaciales relevantes para el manejo de ecosistemas terrestres. Este objetivo se logró con recursos computacionales que generalmente están disponibles en la mayoría de las instituciones nacionales (e.g., agencias y centros de investigación) con intereses de predicción de COS y otros recursos naturales.</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b/>
          <w:b/>
          <w:bCs/>
          <w:lang w:val="es-ES"/>
        </w:rPr>
      </w:pPr>
      <w:r>
        <w:rPr>
          <w:rFonts w:ascii="Liberation Serif" w:hAnsi="Liberation Serif"/>
          <w:b/>
          <w:bCs/>
          <w:lang w:val="es-ES"/>
        </w:rPr>
        <w:t xml:space="preserve">Métodos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 xml:space="preserve">El mapa digital de COS de México a un metro de profundidad y 90m de resolución espacial fue generado en R Core Team (2018) y el código se encuentra disponible en el material suplementario. La predicción de COS fue preparada a lo largo de una cuadrícula regular de píxeles de 90 m (250 901 811 pixeles de 90m) representativa del área dentro de los límites geográficos del país. La generación del modelo se basa en los datos disponibles a nivel nacional, y el proceso de predicción se genera por estado. En la predicción se aplican los coeficientes del modelo predictivo a toda el área de interés. Estos procesos (modelación y predicción) de México se realizan en una computadora portátil con 15.5 Gb de memoria, un procesador Intel® Core™ i7-7700HQ CPU @ 2.80GHz × 8 nodos y un sistema operativo Debian GNU/Linux 9 (stretch) 64-bit. El límite político para cada estado se obtuvo del proyecto </w:t>
      </w:r>
      <w:r>
        <w:rPr>
          <w:rFonts w:ascii="Liberation Serif" w:hAnsi="Liberation Serif"/>
          <w:i/>
          <w:lang w:val="es-ES"/>
        </w:rPr>
        <w:t>Global Administrative Areas</w:t>
      </w:r>
      <w:r>
        <w:rPr>
          <w:rFonts w:ascii="Liberation Serif" w:hAnsi="Liberation Serif"/>
          <w:lang w:val="es-ES"/>
        </w:rPr>
        <w:t xml:space="preserve"> (2012).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Para el desarrollo de nuestro modelo predictivo, solamente se usaron los datos disponibles entre 1999 y 2009 provenientes de 2852 perfiles de suelo descritos a lo largo del territorio nacional (Figura 1) por el INEGI en su serie 2 de información edafológica (Krasilnikov, 2014). Para probar la capacidad predictiva de un modelo de aprendizaje automático aplicado a la variabilidad espacial del COS, fue seleccionada solo una decada de datos relativamente bien representada en la serie 2 de INEGI para generar una línea base de mapeo (relativamente ‘reciente’) basada en un solo sistema de organización de la información de suelos disponible (INEGI 2011, Figura 1). En este trabajo se asume un escenario de datos ‘estático’ pero representativo de la década analizada con la finalidad de evitar confusión en los resultados asociada a cambios en el carbono orgánico del suelo durante períodos más largos de tiempo. De esta manera emerge una fuente inevitable de incertidumbre asociada a posibles cambios, durante 1999 y 2009, en el ambiente de formación de suelos (y consecuentemente cambios en el COS) por actividad humana o por patrones climáticos ocurridos durante este periodo de tiempo. Esta incertidumbre va más allá del enfoque principal de este trabajo, el cual está enfocado en la predicción de la variabilidad espacial del COS y en proponer un marco de trabajo que puede ser aplicado (en trabajos futuros) a múltiples series de colecta de datos en México. Trabajos previos han documentado las características principales de la bases de datos con información de suelos y series de colecta dirigidas por el INEGI (e.g., Krasilnikov, 2014) que pueden ser usadas con fines de monitoreo de COS.</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 xml:space="preserve">Para obtener un valor específico de COS para un metro de profundidad fue usada  la propuesta metodológica propuesta por Beaudette (2013) para estimar propiedades del suelo y relaciones con profundidad. Posteriormente aplicamos las funciones de suavizado de áreas equivalentes propuestas por Bishop et al., (1999) y por Malone et al., (2009) para su aplicación en mapeo digital de suelos siguiendo la implementación de Hengl et al. (2017).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b/>
          <w:b/>
          <w:bCs/>
          <w:i/>
          <w:i/>
          <w:iCs/>
          <w:lang w:val="es-ES"/>
        </w:rPr>
      </w:pPr>
      <w:r>
        <w:rPr>
          <w:rFonts w:ascii="Liberation Serif" w:hAnsi="Liberation Serif"/>
          <w:b/>
          <w:bCs/>
          <w:i/>
          <w:iCs/>
          <w:lang w:val="es-ES"/>
        </w:rPr>
        <w:t>Estimación de COS</w:t>
      </w:r>
    </w:p>
    <w:p>
      <w:pPr>
        <w:pStyle w:val="Normal"/>
        <w:rPr>
          <w:rFonts w:ascii="Liberation Serif" w:hAnsi="Liberation Serif"/>
          <w:b/>
          <w:b/>
          <w:bCs/>
          <w:i/>
          <w:i/>
          <w:iCs/>
          <w:lang w:val="es-ES"/>
        </w:rPr>
      </w:pPr>
      <w:r>
        <w:rPr>
          <w:rFonts w:ascii="Liberation Serif" w:hAnsi="Liberation Serif"/>
          <w:b/>
          <w:bCs/>
          <w:i/>
          <w:iCs/>
          <w:lang w:val="es-ES"/>
        </w:rPr>
      </w:r>
    </w:p>
    <w:p>
      <w:pPr>
        <w:pStyle w:val="Normal"/>
        <w:rPr>
          <w:rFonts w:ascii="Liberation Serif" w:hAnsi="Liberation Serif"/>
        </w:rPr>
      </w:pPr>
      <w:r>
        <w:rPr>
          <w:rFonts w:ascii="Liberation Serif" w:hAnsi="Liberation Serif"/>
          <w:lang w:val="es-ES"/>
        </w:rPr>
        <w:t>Para el cálculo de COS se utilizó la ecuación (Eq.1) propuesta por Nelson y Sommers (1983). Esta ecuación relaciona de manera lineal la concentración de carbono orgánico (CO, g kg), la densidad aparente del suelo (BLD, gr cm</w:t>
      </w:r>
      <w:r>
        <w:rPr>
          <w:rFonts w:ascii="Liberation Serif" w:hAnsi="Liberation Serif"/>
          <w:vertAlign w:val="superscript"/>
          <w:lang w:val="es-ES"/>
        </w:rPr>
        <w:t>3</w:t>
      </w:r>
      <w:r>
        <w:rPr>
          <w:rFonts w:ascii="Liberation Serif" w:hAnsi="Liberation Serif"/>
          <w:lang w:val="es-ES"/>
        </w:rPr>
        <w:t xml:space="preserve">), el contenido de fragmentos rocosos (CFR, %) y la profundidad del suelo representada en cm (H, 1 m).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COS = CO/1000 × H/100 × BLD × (100 – CFR) /100</w:t>
        <w:tab/>
        <w:tab/>
        <w:t>Eq. 1</w:t>
        <w:tab/>
        <w:tab/>
        <w:tab/>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 xml:space="preserve">Donde COS representa el contenido total de carbono orgánico (g kg) a 1 m de profundidad de suelo mineral. La base de datos utilizada no cuenta con información de BLD. Por tanto, la BLD fue estimada de manera lineal a partir del contenido de materia orgánica (MO) empleando la ecuación (Eq. 2) propuesta por Saini (1996).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t>BLD = 1.53 (±0.1) - 0.05 (±0.01) * MO</w:t>
        <w:tab/>
        <w:t>Eq.2</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 xml:space="preserve">Donde MO es igual a CO * 1.724. Este método fue generado por Saini y colaboradores (1966) para diversos suelos a nivel global, mostrando una mayor precisión para suelos escasamente drenados (r=0.85) que para suelos imperfectamente drenados (r=0.80) o suelos bien drenados (r=0.63). Los CFR (&gt; 2 mm)  fueron clasificados por su tamaño en piedras, guijarros o gravas y reportados en porcentaje en cada polígono de suelo analizado (INEGI, 2011). Para este trabajo estos valores fueron agrupados en 5 clases porcentuales (0, 20, 40, 60 y 80%) correspondientes con las 5 clases  que usa INEGI para reportar la pedregosidad en cada perfil de suelo analizado (INEGI, 2011).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drawing>
          <wp:inline distT="0" distB="0" distL="0" distR="0">
            <wp:extent cx="5943600" cy="2819400"/>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5943600" cy="2819400"/>
                    </a:xfrm>
                    <a:prstGeom prst="rect">
                      <a:avLst/>
                    </a:prstGeom>
                  </pic:spPr>
                </pic:pic>
              </a:graphicData>
            </a:graphic>
          </wp:inline>
        </w:drawing>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t>Figura 1 Distribución estadística de los datos disponibles de COS (a) y la transformación a su logaritmo natural + 1 (b). Distribución espacial de los datos de entrenamiento para el modelo predictivo (c). El tamaño del círculo está asociado con la concentración (%) de COS en cada punto.</w:t>
      </w:r>
    </w:p>
    <w:p>
      <w:pPr>
        <w:pStyle w:val="Normal"/>
        <w:rPr>
          <w:rFonts w:ascii="Liberation Serif" w:hAnsi="Liberation Serif"/>
          <w:i/>
          <w:i/>
          <w:lang w:val="es-ES"/>
        </w:rPr>
      </w:pPr>
      <w:r>
        <w:rPr>
          <w:rFonts w:ascii="Liberation Serif" w:hAnsi="Liberation Serif"/>
          <w:i/>
          <w:lang w:val="es-ES"/>
        </w:rPr>
      </w:r>
    </w:p>
    <w:p>
      <w:pPr>
        <w:pStyle w:val="Normal"/>
        <w:rPr>
          <w:rFonts w:ascii="Liberation Serif" w:hAnsi="Liberation Serif"/>
          <w:b/>
          <w:b/>
          <w:bCs/>
          <w:i/>
          <w:i/>
          <w:iCs/>
          <w:lang w:val="es-ES"/>
        </w:rPr>
      </w:pPr>
      <w:r>
        <w:rPr>
          <w:rFonts w:ascii="Liberation Serif" w:hAnsi="Liberation Serif"/>
          <w:b/>
          <w:bCs/>
          <w:i/>
          <w:iCs/>
          <w:lang w:val="es-ES"/>
        </w:rPr>
        <w:t>Factores de predicción del COS</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 xml:space="preserve">Para representar el ambiente de formación de suelos empleamos un conjunto armonizado de covariables ambientales en una cuadrícula regular de 90x90m a lo largo del territorio mexicano. La base de referencia fue el modelo digital de elevaciones (MDE) de INEGI a 90 m de resolución espacial. De este MDE fueron calculados atributos topográficos primarios como la pendiente del terreno y la exposición. También se calcularon atributos topográficos secundarios como el índice de rugosidad del terreno, el índice de posición topográfica, el índice analítico de sombra del terreno y el índice de escurrimiento de flujo superficial (Figura 3a). Estos atributos topográficos se calcularon en R empleando la implementación propuesta por Hijmans (2017), con base en los trabajos previos de Burrough y McDonnell (1998) y de Wilson et al., (2007). También fue utilizada la información climática (precipitación y temperatura) de WorldClim para condiciones ‘recientes’ (1970-2000, Fick y Hijmans, 2017). Estas capas de precipitación y temperatura fueron el insumo requerido para calcular el índice de aridez (evapotranspiración/precipitación) con base en el modelo de balance hídrico empírico propuesto por Thornthwaite (1948).  Estas capas climáticas tienen una resolución espacial de 1km y fueron armonizadas en la cuadrícula base de 90m del MDE pero manteniendo el mismo valor en todos los píxeles de 90 m que corresponden a cada pixel de 1 km. Este procedimiento se repitió para armoniza en la cuadrícula regular de 90x90m, dos capas adicionales de información preparadas para el proyecto SoilGrids (Hengl et al., 2014, 2017): a) el índice de vegetación mejorada (EVI) derivado del sensor MODIS (Moderate Resolution Imaging Spectroradiometer); y b) un producto satelital generado por el USGS (United States Geological Survey) que representa la edad aproximada (en millones de años) de la geología y variabilidad litológica asociada (Reuter and Hengl, 2012). </w:t>
      </w:r>
    </w:p>
    <w:p>
      <w:pPr>
        <w:pStyle w:val="Normal"/>
        <w:rPr>
          <w:rFonts w:ascii="Liberation Serif" w:hAnsi="Liberation Serif"/>
          <w:lang w:val="es-ES"/>
        </w:rPr>
      </w:pPr>
      <w:r>
        <w:rPr>
          <w:rFonts w:ascii="Liberation Serif" w:hAnsi="Liberation Serif"/>
          <w:lang w:val="es-ES"/>
        </w:rPr>
        <w:t>Un problema común en el mapeo digital de suelos es la selección del tamaño del pixel (Hengl 2006). Para este trabajo decidimos utilizar un tamaño de píxel de 90 m de resolución espacial para seguir con las especificaciones de GlobalSoilMap.net para el mapa global de propiedades del suelo (Sánchez et al., 2009). En este trabajo se utilizaron capas ambientales con diversas resoluciones espaciales (clima y geología a 1 km, vegetación a 250m y topografía a 90m) y la armonización de esta información en un raster de 90 m de resolución espacial es otro factor que puede acarrear incertidumbre a nuestro modelo predictivo. Sin embargo, esta organización de covariables ambientales del suelo donde el clima y geología controlan la variación más general de suelos (e.g., a 1 km de resolución espacial) y el tipo de vegetación controlando una variación intermedia (e.g., a 250 m de resolución espacial) entre la topografía (e.g., a 90 m de resolución espacial) y el clima también es congruente con la interacción de factores formadores del suelo propuestos anteriormente (Jenny, 1941). La ventaja de este marco de trabajo es que tanto los datos como las covariables ambientales pueden ser actualizadas en el sistema con la finalidad de mejorar gradualmente (con nuevos datos y nuevas covariables) los resultados y mapas de COS.</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t xml:space="preserve">Otro problema que también afecta la capacidad predictiva de los modelos tiene que ver con la multitemporalidad de los datos disponibles para representar el ambiente de formación de suelos. Para este trabajo, covariables de COS como la topografía o la geología provienen de productos relativamente actuales (Reuter and Hengl, 2012) pero estáticos, como el modelo digital de elevaciones (que no explican la dinámica temporal de la topografía y su influencia en la evolución del paisaje edáfico). Otras capas climáticas como la precipitación y temperatura representan provienen de productos como worldclim (Fick et al., 2017) que representan un periodo de tiempo (1970-2000) diferente a la década de los datos de COS seleccionada para este trabajo. Estas incertidumbres pueden propagarse a los estimados de COS.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 xml:space="preserve">En este trabajo ejecutamos la rutina de mapeo digital de suelos (descrita en los parrafos anteriores) en México con la finalidad de demostrar el potencial de un modelo conceptual dirigido por datos para la constante actualización de mapas de COS y el establecimiento de programas de monitoreo de COS en México. Los estimados de COS entonces, a partir de la metodología empleada en el presente trabajo, pueden mejorar a medida que se incorporen en futuros esfuerzos, a) estrategias automáticas para la selección apropiada del pixel (e.g., mayor detalle espacial y menor error predictivo), 2) estrategias dirigidas por datos para la identificación de las variables más importantes controlando la variabilidad espacial del carbono (y su sensibilidad a diversos escenarios de disponibilidad de datos) y 3) estrategias automáticas para identificar eficientemente cambios en los reservorios de COS a los largo de distintos periodos de tiempo y sus principales variables explicativas.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b/>
          <w:b/>
          <w:bCs/>
          <w:i/>
          <w:i/>
          <w:iCs/>
          <w:lang w:val="es-ES"/>
        </w:rPr>
      </w:pPr>
      <w:r>
        <w:rPr>
          <w:rFonts w:ascii="Liberation Serif" w:hAnsi="Liberation Serif"/>
          <w:b/>
          <w:bCs/>
          <w:i/>
          <w:iCs/>
          <w:lang w:val="es-ES"/>
        </w:rPr>
        <w:t>Forma del modelo</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t xml:space="preserve">La media de estas capas de información se centró en 0 para reducir el riesgo de ruido en el modelo asociado a diversas dimensiones en los insumos empleados. De esta manera integramos un conjunto de variables ambientales para representar los diversos factores de formación de suelos (i.e., clima, relieve, topografía, geología y vegetación, Jenny, 1941) y generar predicciones de carbono en suelos sin información disponible (entre perfiles de suelo) de acuerdo con la ecuación (Eq. 3) y la formulación del marco de trabajo para el mapeo digital de suelos descrito previamente por McBratney et al., (2003).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 xml:space="preserve">COSxyz ~ </w:t>
      </w:r>
      <w:r>
        <w:rPr>
          <w:rFonts w:ascii="Liberation Serif" w:hAnsi="Liberation Serif"/>
          <w:i/>
          <w:lang w:val="es-ES"/>
        </w:rPr>
        <w:t xml:space="preserve">f </w:t>
      </w:r>
      <w:r>
        <w:rPr>
          <w:rFonts w:ascii="Liberation Serif" w:hAnsi="Liberation Serif"/>
          <w:lang w:val="es-ES"/>
        </w:rPr>
        <w:t>(MDExyz + ATxyz + Pxyz + Txyz + BHxyz + EVIxyz + Gxyz) + Ɛ</w:t>
        <w:tab/>
        <w:t xml:space="preserve"> Eq.3 </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Donde COS (representado por los datos disponibles entre 1999 y 2009) para un lugar determinado por las coordenadas (x,y) y a una profundidad específica de suelo (1m), puede ser representado por una función estadística (</w:t>
      </w:r>
      <w:r>
        <w:rPr>
          <w:rFonts w:ascii="Liberation Serif" w:hAnsi="Liberation Serif"/>
          <w:i/>
          <w:lang w:val="es-ES"/>
        </w:rPr>
        <w:t>f</w:t>
      </w:r>
      <w:r>
        <w:rPr>
          <w:rFonts w:ascii="Liberation Serif" w:hAnsi="Liberation Serif"/>
          <w:lang w:val="es-ES"/>
        </w:rPr>
        <w:t xml:space="preserve">) a partir de las relaciones que presenta con las capas ambientales que representan el ambiente de formación de suelos. Estas capas incluyen al MDE y sus atributos topográficos derivados (AT), precipitación y temperatura (P, T), el balance hídrico (BH), el EVI(1970-2000) y la capa de edades geológicas (G). La </w:t>
      </w:r>
      <w:r>
        <w:rPr>
          <w:rFonts w:ascii="Liberation Serif" w:hAnsi="Liberation Serif"/>
          <w:i/>
          <w:lang w:val="es-ES"/>
        </w:rPr>
        <w:t>f</w:t>
      </w:r>
      <w:r>
        <w:rPr>
          <w:rFonts w:ascii="Liberation Serif" w:hAnsi="Liberation Serif"/>
          <w:lang w:val="es-ES"/>
        </w:rPr>
        <w:t xml:space="preserve"> en la Eq. 3 tomó forma de un ensamble de árboles de regresión conocido como bosques aleatorios (</w:t>
      </w:r>
      <w:r>
        <w:rPr>
          <w:rFonts w:ascii="Liberation Serif" w:hAnsi="Liberation Serif"/>
          <w:i/>
          <w:lang w:val="es-ES"/>
        </w:rPr>
        <w:t>Random Forests en inglés</w:t>
      </w:r>
      <w:r>
        <w:rPr>
          <w:rFonts w:ascii="Liberation Serif" w:hAnsi="Liberation Serif"/>
          <w:lang w:val="es-ES"/>
        </w:rPr>
        <w:t>, Breiman 2000) y Ɛ representa el error asociado a cada modelo (</w:t>
      </w:r>
      <w:r>
        <w:rPr>
          <w:rFonts w:ascii="Liberation Serif" w:hAnsi="Liberation Serif"/>
          <w:i/>
          <w:lang w:val="es-ES"/>
        </w:rPr>
        <w:t>f</w:t>
      </w:r>
      <w:r>
        <w:rPr>
          <w:rFonts w:ascii="Liberation Serif" w:hAnsi="Liberation Serif"/>
          <w:lang w:val="es-ES"/>
        </w:rPr>
        <w:t xml:space="preserve">). Random Forests es una técnica de minería de datos que permite modelar relaciones no-lineales entre la variable de respuesta (i.e., SOC) y sus variables explicativas (e.g., factores predictivos del COS). Esta técnica ha mostrado un elevado poder predictivo para el mapeo digital de suelos a escalas nacionales (Adhikari et al., 2014), regionales (Guevara et al., 2018) y globales (Hengl et al., 2017). </w:t>
      </w:r>
    </w:p>
    <w:p>
      <w:pPr>
        <w:pStyle w:val="Normal"/>
        <w:rPr>
          <w:rFonts w:ascii="Liberation Serif" w:hAnsi="Liberation Serif"/>
          <w:lang w:val="es-ES"/>
        </w:rPr>
      </w:pPr>
      <w:r>
        <w:rPr/>
      </w:r>
    </w:p>
    <w:p>
      <w:pPr>
        <w:pStyle w:val="Normal"/>
        <w:rPr>
          <w:i/>
          <w:i/>
          <w:iCs/>
        </w:rPr>
      </w:pPr>
      <w:r>
        <w:rPr>
          <w:rFonts w:ascii="Liberation Serif" w:hAnsi="Liberation Serif"/>
          <w:b/>
          <w:bCs/>
          <w:i/>
          <w:iCs/>
          <w:lang w:val="es-ES"/>
        </w:rPr>
        <w:t xml:space="preserve">Selección del modelo </w:t>
      </w:r>
      <w:r>
        <w:rPr>
          <w:rFonts w:ascii="Liberation Serif" w:hAnsi="Liberation Serif"/>
          <w:i/>
          <w:iCs/>
          <w:lang w:val="es-ES"/>
        </w:rPr>
        <w:tab/>
      </w:r>
    </w:p>
    <w:p>
      <w:pPr>
        <w:pStyle w:val="Normal"/>
        <w:rPr/>
      </w:pPr>
      <w:r>
        <w:rPr>
          <w:rFonts w:ascii="Liberation Serif" w:hAnsi="Liberation Serif"/>
          <w:lang w:val="es-ES"/>
        </w:rPr>
        <w:t xml:space="preserve"> </w:t>
      </w:r>
      <w:r>
        <w:rPr>
          <w:rFonts w:ascii="Liberation Serif" w:hAnsi="Liberation Serif"/>
          <w:lang w:val="es-ES"/>
        </w:rPr>
        <w:tab/>
        <w:t xml:space="preserve"> </w:t>
        <w:tab/>
        <w:t xml:space="preserve"> </w:t>
      </w:r>
    </w:p>
    <w:p>
      <w:pPr>
        <w:pStyle w:val="Normal"/>
        <w:rPr/>
      </w:pPr>
      <w:r>
        <w:rPr>
          <w:rFonts w:ascii="Liberation Serif" w:hAnsi="Liberation Serif"/>
          <w:lang w:val="es-ES"/>
        </w:rPr>
        <w:t xml:space="preserve">En este trabajo se asume que no existe un método que sea una bala de plata para generar los mejores resultados con todas las bases de datos de COS disponibles y que por tanto es necesario probar y compara la capacidad predictiva de diversos modelos o algoritmos para la predicción espacial del COS (Guevara et al., 2018). Existe una gran cantidad de métodos estadísticos para desarrollar predicciones de variables numéricas como el COS. Los modelos lineales (i.e,. regresión lineal múltiple) y los modelos basados en árboles de regresión como Random Forests son las formas estadísticas más comunes para el mapeo digital de COS (Lamichhane et al., 2019). Random Forests fue escogido para el desarrollo de este trabajo porque mostró un mejor desempeño estadístico modelando COS dado el escenario de datos disponibles en la colección de perfiles de INEGI serie 2 (INEGI, 2011), comparado con otros métodos de aprendizaje automático. </w:t>
      </w:r>
    </w:p>
    <w:p>
      <w:pPr>
        <w:pStyle w:val="Normal"/>
        <w:rPr>
          <w:rFonts w:ascii="Liberation Serif" w:hAnsi="Liberation Serif"/>
          <w:lang w:val="es-ES"/>
        </w:rPr>
      </w:pPr>
      <w:r>
        <w:rPr/>
      </w:r>
    </w:p>
    <w:p>
      <w:pPr>
        <w:pStyle w:val="Normal"/>
        <w:rPr/>
      </w:pPr>
      <w:bookmarkStart w:id="1" w:name="docs-internal-guid-e11a1280-7fff-add5-ee04-69f07f5923cc"/>
      <w:bookmarkEnd w:id="1"/>
      <w:r>
        <w:rPr>
          <w:rFonts w:ascii="Liberation Serif" w:hAnsi="Liberation Serif"/>
          <w:b w:val="false"/>
          <w:i w:val="false"/>
          <w:caps w:val="false"/>
          <w:smallCaps w:val="false"/>
          <w:strike w:val="false"/>
          <w:dstrike w:val="false"/>
          <w:color w:val="000000"/>
          <w:sz w:val="24"/>
          <w:u w:val="none"/>
          <w:effect w:val="none"/>
          <w:lang w:val="es-ES"/>
        </w:rPr>
        <w:t xml:space="preserve">Métodos como </w:t>
      </w:r>
      <w:r>
        <w:rPr>
          <w:rFonts w:ascii="Liberation Serif" w:hAnsi="Liberation Serif"/>
          <w:b w:val="false"/>
          <w:i/>
          <w:iCs/>
          <w:caps w:val="false"/>
          <w:smallCaps w:val="false"/>
          <w:strike w:val="false"/>
          <w:dstrike w:val="false"/>
          <w:color w:val="000000"/>
          <w:sz w:val="24"/>
          <w:u w:val="none"/>
          <w:effect w:val="none"/>
          <w:lang w:val="es-ES"/>
        </w:rPr>
        <w:t>kknn (</w:t>
      </w:r>
      <w:r>
        <w:rPr>
          <w:rFonts w:ascii="Liberation Serif" w:hAnsi="Liberation Serif"/>
          <w:b w:val="false"/>
          <w:i w:val="false"/>
          <w:caps w:val="false"/>
          <w:smallCaps w:val="false"/>
          <w:strike w:val="false"/>
          <w:dstrike w:val="false"/>
          <w:color w:val="000000"/>
          <w:sz w:val="24"/>
          <w:u w:val="none"/>
          <w:effect w:val="none"/>
          <w:lang w:val="es-ES"/>
        </w:rPr>
        <w:t>v</w:t>
      </w:r>
      <w:r>
        <w:rPr>
          <w:rFonts w:ascii="Liberation Serif" w:hAnsi="Liberation Serif"/>
          <w:lang w:val="es-ES"/>
        </w:rPr>
        <w:t>ecinos cercanos ponderados por distancias y ‘kernels’</w:t>
      </w:r>
      <w:r>
        <w:rPr>
          <w:rFonts w:ascii="Liberation Serif" w:hAnsi="Liberation Serif"/>
          <w:lang w:val="es-ES"/>
        </w:rPr>
        <w:t xml:space="preserve"> o</w:t>
      </w:r>
      <w:r>
        <w:rPr>
          <w:rFonts w:ascii="Liberation Serif" w:hAnsi="Liberation Serif"/>
          <w:lang w:val="es-ES"/>
        </w:rPr>
        <w:t xml:space="preserve"> funciones de forma </w:t>
      </w:r>
      <w:r>
        <w:rPr>
          <w:rFonts w:ascii="Liberation Serif" w:hAnsi="Liberation Serif"/>
          <w:lang w:val="es-ES"/>
        </w:rPr>
        <w:t>de</w:t>
      </w:r>
      <w:r>
        <w:rPr>
          <w:rFonts w:ascii="Liberation Serif" w:hAnsi="Liberation Serif"/>
          <w:lang w:val="es-ES"/>
        </w:rPr>
        <w:t xml:space="preserve"> la distribuciones estadísticas de los datos de entrenamiento disponibles, </w:t>
      </w:r>
      <w:r>
        <w:rPr>
          <w:rFonts w:ascii="Liberation Serif" w:hAnsi="Liberation Serif"/>
          <w:lang w:val="es-ES"/>
        </w:rPr>
        <w:t>Hechenbichler y Schliep, 2004</w:t>
      </w:r>
      <w:r>
        <w:rPr>
          <w:rFonts w:ascii="Liberation Serif" w:hAnsi="Liberation Serif"/>
          <w:lang w:val="es-ES"/>
        </w:rPr>
        <w:t xml:space="preserve">) y maquinarias de soporte vectorial (Cortes y Vapnik, 1995), así como métodos basados en á modelos lineales generalizados </w:t>
      </w:r>
      <w:r>
        <w:rPr>
          <w:rFonts w:ascii="Liberation Serif" w:hAnsi="Liberation Serif"/>
          <w:lang w:val="es-ES"/>
        </w:rPr>
        <w:t>(Gelman, 2009)</w:t>
      </w:r>
      <w:r>
        <w:rPr>
          <w:rFonts w:ascii="Liberation Serif" w:hAnsi="Liberation Serif"/>
          <w:lang w:val="es-ES"/>
        </w:rPr>
        <w:t xml:space="preserve"> </w:t>
      </w:r>
      <w:r>
        <w:rPr>
          <w:rFonts w:ascii="Liberation Serif" w:hAnsi="Liberation Serif"/>
          <w:lang w:val="es-ES"/>
        </w:rPr>
        <w:t>y algorithmos impulsados por gradientes de aprendizaje automatico (</w:t>
      </w:r>
      <w:r>
        <w:rPr>
          <w:rFonts w:ascii="Liberation Serif" w:hAnsi="Liberation Serif"/>
          <w:lang w:val="es-ES"/>
        </w:rPr>
        <w:t>e.g., G</w:t>
      </w:r>
      <w:r>
        <w:rPr>
          <w:rFonts w:ascii="Liberation Serif" w:hAnsi="Liberation Serif"/>
          <w:i/>
          <w:iCs/>
          <w:lang w:val="es-ES"/>
        </w:rPr>
        <w:t xml:space="preserve">radient </w:t>
      </w:r>
      <w:r>
        <w:rPr>
          <w:rFonts w:ascii="Liberation Serif" w:hAnsi="Liberation Serif"/>
          <w:i/>
          <w:iCs/>
          <w:lang w:val="es-ES"/>
        </w:rPr>
        <w:t>B</w:t>
      </w:r>
      <w:r>
        <w:rPr>
          <w:rFonts w:ascii="Liberation Serif" w:hAnsi="Liberation Serif"/>
          <w:i/>
          <w:iCs/>
          <w:lang w:val="es-ES"/>
        </w:rPr>
        <w:t xml:space="preserve">oosting, </w:t>
      </w:r>
      <w:r>
        <w:rPr>
          <w:rFonts w:ascii="Liberation Serif" w:hAnsi="Liberation Serif"/>
          <w:i w:val="false"/>
          <w:iCs w:val="false"/>
          <w:lang w:val="es-ES"/>
        </w:rPr>
        <w:t>Friedman, 2001</w:t>
      </w:r>
      <w:r>
        <w:rPr>
          <w:rFonts w:ascii="Liberation Serif" w:hAnsi="Liberation Serif"/>
          <w:lang w:val="es-ES"/>
        </w:rPr>
        <w:t xml:space="preserve">) </w:t>
      </w:r>
      <w:r>
        <w:rPr>
          <w:rFonts w:ascii="Liberation Serif" w:hAnsi="Liberation Serif"/>
          <w:lang w:val="es-ES"/>
        </w:rPr>
        <w:t>fueron sometidos a un proceso de riguroso de validación cruzada repetida (</w:t>
      </w:r>
      <w:r>
        <w:rPr>
          <w:rFonts w:ascii="Liberation Serif" w:hAnsi="Liberation Serif"/>
          <w:i/>
          <w:iCs/>
          <w:lang w:val="es-ES"/>
        </w:rPr>
        <w:t>V-fold cross validation</w:t>
      </w:r>
      <w:r>
        <w:rPr>
          <w:rFonts w:ascii="Liberation Serif" w:hAnsi="Liberation Serif"/>
          <w:lang w:val="es-ES"/>
        </w:rPr>
        <w:t xml:space="preserve">) y comparados con </w:t>
      </w:r>
      <w:r>
        <w:rPr>
          <w:rFonts w:ascii="Liberation Serif" w:hAnsi="Liberation Serif"/>
          <w:i/>
          <w:iCs/>
          <w:lang w:val="es-ES"/>
        </w:rPr>
        <w:t>Random Forests</w:t>
      </w:r>
      <w:r>
        <w:rPr>
          <w:rFonts w:ascii="Liberation Serif" w:hAnsi="Liberation Serif"/>
          <w:lang w:val="es-ES"/>
        </w:rPr>
        <w:t xml:space="preserve"> (Breiman, 2000). Por tanto, para respaldar la selección del modelo predictivo empleado, en este trabajo se reporta el resultado del proceso de remuestreo </w:t>
      </w:r>
      <w:r>
        <w:rPr>
          <w:rFonts w:ascii="Liberation Serif" w:hAnsi="Liberation Serif"/>
          <w:i/>
          <w:iCs/>
          <w:lang w:val="es-ES"/>
        </w:rPr>
        <w:t>V-fold cross validation</w:t>
      </w:r>
      <w:r>
        <w:rPr>
          <w:rFonts w:ascii="Liberation Serif" w:hAnsi="Liberation Serif"/>
          <w:lang w:val="es-ES"/>
        </w:rPr>
        <w:t xml:space="preserve"> aplicado a los modelos anteriormente mencionados (y sus posibles combinaciones) (Polley, 2011). Con este proceso se obtiene información sobre la sensibilidad de los modelos a variaciones en los datos disponibles e información sobre el riesgo </w:t>
      </w:r>
      <w:r>
        <w:rPr>
          <w:rFonts w:ascii="Liberation Serif" w:hAnsi="Liberation Serif"/>
          <w:lang w:val="es-ES"/>
        </w:rPr>
        <w:t>(</w:t>
      </w:r>
      <w:bookmarkStart w:id="2" w:name="docs-internal-guid-922f04c1-7fff-313c-cf1f-a71dc2fccdd3"/>
      <w:bookmarkEnd w:id="2"/>
      <w:r>
        <w:rPr>
          <w:rFonts w:ascii="Liberation Serif" w:hAnsi="Liberation Serif"/>
          <w:b w:val="false"/>
          <w:i/>
          <w:caps w:val="false"/>
          <w:smallCaps w:val="false"/>
          <w:strike w:val="false"/>
          <w:dstrike w:val="false"/>
          <w:color w:val="000000"/>
          <w:sz w:val="24"/>
          <w:u w:val="none"/>
          <w:effect w:val="none"/>
          <w:lang w:val="es-ES"/>
        </w:rPr>
        <w:t>V-fold cross validation risk estimate</w:t>
      </w:r>
      <w:r>
        <w:rPr>
          <w:rFonts w:ascii="Liberation Serif" w:hAnsi="Liberation Serif"/>
          <w:lang w:val="es-ES"/>
        </w:rPr>
        <w:t xml:space="preserve">) </w:t>
      </w:r>
      <w:r>
        <w:rPr>
          <w:rFonts w:ascii="Liberation Serif" w:hAnsi="Liberation Serif"/>
          <w:lang w:val="es-ES"/>
        </w:rPr>
        <w:t xml:space="preserve">de incrementar el error de predicción (e.g., generalización de errores) al usar un modelo que no se ajusta de manera estable (precisa) a los datos disponibles cuando una porción de estos datos (i.e., 5 </w:t>
      </w:r>
      <w:r>
        <w:rPr>
          <w:rFonts w:ascii="Liberation Serif" w:hAnsi="Liberation Serif"/>
          <w:lang w:val="es-ES"/>
        </w:rPr>
        <w:t>y</w:t>
      </w:r>
      <w:r>
        <w:rPr>
          <w:rFonts w:ascii="Liberation Serif" w:hAnsi="Liberation Serif"/>
          <w:lang w:val="es-ES"/>
        </w:rPr>
        <w:t xml:space="preserve"> 10% de los datos disponibles) es removida con el propósito de validar un modelo predictivo en ausencia de una muestra totalmente independiente. </w:t>
      </w:r>
      <w:r>
        <w:rPr>
          <w:rFonts w:ascii="Liberation Serif" w:hAnsi="Liberation Serif"/>
          <w:lang w:val="es-ES"/>
        </w:rPr>
        <w:t xml:space="preserve">El  </w:t>
      </w:r>
      <w:r>
        <w:rPr>
          <w:rFonts w:ascii="Liberation Serif" w:hAnsi="Liberation Serif"/>
          <w:b w:val="false"/>
          <w:i/>
          <w:caps w:val="false"/>
          <w:smallCaps w:val="false"/>
          <w:strike w:val="false"/>
          <w:dstrike w:val="false"/>
          <w:color w:val="000000"/>
          <w:sz w:val="24"/>
          <w:u w:val="none"/>
          <w:effect w:val="none"/>
          <w:lang w:val="es-ES"/>
        </w:rPr>
        <w:t xml:space="preserve">V-fold cross validation risk estimate </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fue estimado usando el paquete </w:t>
      </w:r>
      <w:r>
        <w:rPr>
          <w:rFonts w:ascii="Liberation Serif" w:hAnsi="Liberation Serif"/>
          <w:b w:val="false"/>
          <w:i/>
          <w:iCs/>
          <w:caps w:val="false"/>
          <w:smallCaps w:val="false"/>
          <w:strike w:val="false"/>
          <w:dstrike w:val="false"/>
          <w:color w:val="000000"/>
          <w:sz w:val="24"/>
          <w:u w:val="none"/>
          <w:effect w:val="none"/>
          <w:lang w:val="es-ES"/>
        </w:rPr>
        <w:t>Super Learner</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 de R </w:t>
      </w:r>
      <w:r>
        <w:rPr>
          <w:rFonts w:ascii="Liberation Serif" w:hAnsi="Liberation Serif"/>
          <w:b w:val="false"/>
          <w:i w:val="false"/>
          <w:iCs w:val="false"/>
          <w:caps w:val="false"/>
          <w:smallCaps w:val="false"/>
          <w:strike w:val="false"/>
          <w:dstrike w:val="false"/>
          <w:color w:val="000000"/>
          <w:sz w:val="24"/>
          <w:u w:val="none"/>
          <w:effect w:val="none"/>
          <w:lang w:val="es-ES"/>
        </w:rPr>
        <w:t>(</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SL, </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Polley, 2011). </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Con este paquete podemos encontrar combinaciones optimas de diversos modelos predictivos basados en ponderaciones asociadas con el error promedio de cada modelo usando diversas formas de remuestreo estadistico y </w:t>
      </w:r>
      <w:r>
        <w:rPr>
          <w:rFonts w:ascii="Liberation Serif" w:hAnsi="Liberation Serif"/>
          <w:b w:val="false"/>
          <w:i w:val="false"/>
          <w:iCs w:val="false"/>
          <w:caps w:val="false"/>
          <w:smallCaps w:val="false"/>
          <w:strike w:val="false"/>
          <w:dstrike w:val="false"/>
          <w:color w:val="000000"/>
          <w:spacing w:val="0"/>
          <w:sz w:val="24"/>
          <w:u w:val="none"/>
          <w:effect w:val="none"/>
          <w:lang w:val="es-ES"/>
        </w:rPr>
        <w:t>validación</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 cruzada.</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 </w:t>
      </w:r>
      <w:r>
        <w:rPr>
          <w:rFonts w:ascii="Liberation Serif" w:hAnsi="Liberation Serif"/>
          <w:b w:val="false"/>
          <w:i/>
          <w:iCs/>
          <w:caps w:val="false"/>
          <w:smallCaps w:val="false"/>
          <w:strike w:val="false"/>
          <w:dstrike w:val="false"/>
          <w:color w:val="000000"/>
          <w:sz w:val="24"/>
          <w:u w:val="none"/>
          <w:effect w:val="none"/>
          <w:lang w:val="es-ES"/>
        </w:rPr>
        <w:t>Random Forests</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 </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en </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el paquete </w:t>
      </w:r>
      <w:r>
        <w:rPr>
          <w:rFonts w:ascii="Liberation Serif" w:hAnsi="Liberation Serif"/>
          <w:b w:val="false"/>
          <w:i/>
          <w:iCs/>
          <w:caps w:val="false"/>
          <w:smallCaps w:val="false"/>
          <w:strike w:val="false"/>
          <w:dstrike w:val="false"/>
          <w:color w:val="000000"/>
          <w:sz w:val="24"/>
          <w:u w:val="none"/>
          <w:effect w:val="none"/>
          <w:lang w:val="es-ES"/>
        </w:rPr>
        <w:t>Super Learner</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 de R requiere del paquete </w:t>
      </w:r>
      <w:r>
        <w:rPr>
          <w:rFonts w:ascii="Liberation Serif" w:hAnsi="Liberation Serif"/>
          <w:b w:val="false"/>
          <w:i/>
          <w:iCs/>
          <w:caps w:val="false"/>
          <w:smallCaps w:val="false"/>
          <w:strike w:val="false"/>
          <w:dstrike w:val="false"/>
          <w:color w:val="000000"/>
          <w:sz w:val="24"/>
          <w:u w:val="none"/>
          <w:effect w:val="none"/>
          <w:lang w:val="es-ES"/>
        </w:rPr>
        <w:t>ranger</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 una implementación rápida </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de </w:t>
      </w:r>
      <w:r>
        <w:rPr>
          <w:rFonts w:ascii="Liberation Serif" w:hAnsi="Liberation Serif"/>
          <w:b w:val="false"/>
          <w:i/>
          <w:iCs/>
          <w:caps w:val="false"/>
          <w:smallCaps w:val="false"/>
          <w:strike w:val="false"/>
          <w:dstrike w:val="false"/>
          <w:color w:val="000000"/>
          <w:sz w:val="24"/>
          <w:u w:val="none"/>
          <w:effect w:val="none"/>
          <w:lang w:val="es-ES"/>
        </w:rPr>
        <w:t>Random Forests</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 (en C++) </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variante del paquete </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original </w:t>
      </w:r>
      <w:r>
        <w:rPr>
          <w:rFonts w:ascii="Liberation Serif" w:hAnsi="Liberation Serif"/>
          <w:b w:val="false"/>
          <w:i/>
          <w:iCs/>
          <w:caps w:val="false"/>
          <w:smallCaps w:val="false"/>
          <w:strike w:val="false"/>
          <w:dstrike w:val="false"/>
          <w:color w:val="000000"/>
          <w:sz w:val="24"/>
          <w:u w:val="none"/>
          <w:effect w:val="none"/>
          <w:lang w:val="es-ES"/>
        </w:rPr>
        <w:t>randomForest</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 </w:t>
      </w:r>
      <w:r>
        <w:rPr>
          <w:rFonts w:ascii="Liberation Serif" w:hAnsi="Liberation Serif"/>
          <w:b w:val="false"/>
          <w:i w:val="false"/>
          <w:iCs w:val="false"/>
          <w:caps w:val="false"/>
          <w:smallCaps w:val="false"/>
          <w:strike w:val="false"/>
          <w:dstrike w:val="false"/>
          <w:color w:val="000000"/>
          <w:sz w:val="24"/>
          <w:u w:val="none"/>
          <w:effect w:val="none"/>
          <w:lang w:val="es-ES"/>
        </w:rPr>
        <w:t xml:space="preserve">de R </w:t>
      </w:r>
      <w:r>
        <w:rPr>
          <w:rFonts w:ascii="Liberation Serif" w:hAnsi="Liberation Serif"/>
          <w:b w:val="false"/>
          <w:i w:val="false"/>
          <w:iCs w:val="false"/>
          <w:caps w:val="false"/>
          <w:smallCaps w:val="false"/>
          <w:strike w:val="false"/>
          <w:dstrike w:val="false"/>
          <w:color w:val="000000"/>
          <w:sz w:val="24"/>
          <w:u w:val="none"/>
          <w:effect w:val="none"/>
          <w:lang w:val="es-ES"/>
        </w:rPr>
        <w:t>(Liaw and Wiener 2002, Wright and Ziegler, 2017).</w:t>
      </w:r>
    </w:p>
    <w:p>
      <w:pPr>
        <w:pStyle w:val="Normal"/>
        <w:rPr/>
      </w:pPr>
      <w:r>
        <w:rPr>
          <w:rFonts w:ascii="Liberation Serif" w:hAnsi="Liberation Serif"/>
          <w:b w:val="false"/>
          <w:i w:val="false"/>
          <w:iCs w:val="false"/>
          <w:caps w:val="false"/>
          <w:smallCaps w:val="false"/>
          <w:strike w:val="false"/>
          <w:dstrike w:val="false"/>
          <w:color w:val="000000"/>
          <w:sz w:val="24"/>
          <w:u w:val="none"/>
          <w:effect w:val="none"/>
          <w:lang w:val="es-ES"/>
        </w:rPr>
        <w:t xml:space="preserve"> </w:t>
      </w:r>
    </w:p>
    <w:p>
      <w:pPr>
        <w:pStyle w:val="Normal"/>
        <w:rPr/>
      </w:pPr>
      <w:r>
        <w:rPr>
          <w:rFonts w:ascii="Liberation Serif" w:hAnsi="Liberation Serif"/>
          <w:b/>
          <w:bCs/>
          <w:i/>
          <w:iCs/>
          <w:lang w:val="es-ES"/>
        </w:rPr>
        <w:t>Refinamiento y verificación</w:t>
      </w:r>
      <w:r>
        <w:rPr>
          <w:rFonts w:ascii="Liberation Serif" w:hAnsi="Liberation Serif"/>
          <w:b/>
          <w:bCs/>
          <w:i/>
          <w:iCs/>
          <w:lang w:val="es-ES"/>
        </w:rPr>
        <w:t xml:space="preserve"> del modelo </w:t>
      </w:r>
      <w:r>
        <w:rPr>
          <w:rFonts w:ascii="Liberation Serif" w:hAnsi="Liberation Serif"/>
          <w:b/>
          <w:bCs/>
          <w:i/>
          <w:iCs/>
          <w:lang w:val="es-ES"/>
        </w:rPr>
        <w:t>predictivo</w:t>
      </w:r>
      <w:r>
        <w:rPr>
          <w:rFonts w:ascii="Liberation Serif" w:hAnsi="Liberation Serif"/>
          <w:b/>
          <w:bCs/>
          <w:i/>
          <w:iCs/>
          <w:lang w:val="es-ES"/>
        </w:rPr>
        <w:t xml:space="preserve"> </w:t>
      </w:r>
    </w:p>
    <w:p>
      <w:pPr>
        <w:pStyle w:val="Normal"/>
        <w:rPr>
          <w:rFonts w:ascii="Liberation Serif" w:hAnsi="Liberation Serif"/>
          <w:b/>
          <w:b/>
          <w:bCs/>
          <w:i/>
          <w:i/>
          <w:iCs/>
          <w:lang w:val="es-ES"/>
        </w:rPr>
      </w:pPr>
      <w:r>
        <w:rPr>
          <w:rFonts w:ascii="Liberation Serif" w:hAnsi="Liberation Serif"/>
          <w:b/>
          <w:bCs/>
          <w:i/>
          <w:iCs/>
          <w:lang w:val="es-ES"/>
        </w:rPr>
      </w:r>
    </w:p>
    <w:p>
      <w:pPr>
        <w:pStyle w:val="Normal"/>
        <w:rPr/>
      </w:pPr>
      <w:r>
        <w:rPr>
          <w:rFonts w:ascii="Liberation Serif" w:hAnsi="Liberation Serif"/>
          <w:lang w:val="es-ES"/>
        </w:rPr>
        <w:t xml:space="preserve">Para verificar/validar nuestros modelos predictivos empleamos una técnica de eliminación recursiva de variables donde el modelo se repite muchas veces y en cada realización utiliza una combinación diferente de predictores ambientales. </w:t>
      </w:r>
      <w:r>
        <w:rPr>
          <w:rFonts w:ascii="Liberation Serif" w:hAnsi="Liberation Serif"/>
          <w:lang w:val="es-ES"/>
        </w:rPr>
        <w:t>Este metodo esta bien explicado en trabajos previos y es comunmente usado para selección de vatiables</w:t>
      </w:r>
      <w:r>
        <w:rPr>
          <w:rFonts w:ascii="Liberation Serif" w:hAnsi="Liberation Serif"/>
          <w:lang w:val="es-ES"/>
        </w:rPr>
        <w:t xml:space="preserve"> (</w:t>
      </w:r>
      <w:r>
        <w:rPr>
          <w:rFonts w:ascii="Liberation Serif" w:hAnsi="Liberation Serif"/>
          <w:lang w:val="es-ES"/>
        </w:rPr>
        <w:t>Guyon et al., 2002</w:t>
      </w:r>
      <w:r>
        <w:rPr>
          <w:rFonts w:ascii="Liberation Serif" w:hAnsi="Liberation Serif"/>
          <w:lang w:val="es-ES"/>
        </w:rPr>
        <w:t>).</w:t>
      </w:r>
      <w:r>
        <w:rPr>
          <w:rFonts w:ascii="Liberation Serif" w:hAnsi="Liberation Serif"/>
          <w:lang w:val="es-ES"/>
        </w:rPr>
        <w:t xml:space="preserve"> Con este método podemos obtener información acerca de las factores de predicción que son más importantes disminuyendo los errores en el modelo predictivo </w:t>
      </w:r>
      <w:r>
        <w:rPr>
          <w:rFonts w:ascii="Liberation Serif" w:hAnsi="Liberation Serif"/>
          <w:lang w:val="es-ES"/>
        </w:rPr>
        <w:t>(Kohavi y John 1997)</w:t>
      </w:r>
      <w:r>
        <w:rPr>
          <w:rFonts w:ascii="Liberation Serif" w:hAnsi="Liberation Serif"/>
          <w:lang w:val="es-ES"/>
        </w:rPr>
        <w:t>. En cad</w:t>
      </w:r>
      <w:r>
        <w:rPr>
          <w:rFonts w:ascii="Liberation Serif" w:hAnsi="Liberation Serif"/>
          <w:lang w:val="es-ES"/>
        </w:rPr>
        <w:t>a modelo el predictor menos informativo (</w:t>
      </w:r>
      <w:r>
        <w:rPr>
          <w:rFonts w:ascii="Liberation Serif" w:hAnsi="Liberation Serif"/>
          <w:lang w:val="es-ES"/>
        </w:rPr>
        <w:t>usando como indicador el error derivado de</w:t>
      </w:r>
      <w:r>
        <w:rPr>
          <w:rFonts w:ascii="Liberation Serif" w:hAnsi="Liberation Serif"/>
          <w:lang w:val="es-ES"/>
        </w:rPr>
        <w:t xml:space="preserve"> la validación cruzada de cada </w:t>
      </w:r>
      <w:r>
        <w:rPr>
          <w:rFonts w:ascii="Liberation Serif" w:hAnsi="Liberation Serif"/>
          <w:lang w:val="es-ES"/>
        </w:rPr>
        <w:t>modelo</w:t>
      </w:r>
      <w:r>
        <w:rPr>
          <w:rFonts w:ascii="Liberation Serif" w:hAnsi="Liberation Serif"/>
          <w:lang w:val="es-ES"/>
        </w:rPr>
        <w:t xml:space="preserve"> </w:t>
      </w:r>
      <w:r>
        <w:rPr>
          <w:rFonts w:ascii="Liberation Serif" w:hAnsi="Liberation Serif"/>
          <w:i/>
          <w:iCs/>
          <w:lang w:val="es-ES"/>
        </w:rPr>
        <w:t>Random Forest</w:t>
      </w:r>
      <w:r>
        <w:rPr>
          <w:rFonts w:ascii="Liberation Serif" w:hAnsi="Liberation Serif"/>
          <w:lang w:val="es-ES"/>
        </w:rPr>
        <w:t>) queda afuera de la siguiente interacción hasta encontrar la combinación mínima de predictores ambientales que minimizan el error (e.g., error medio cuadrático, error medio absoluto) y maximizan la varianza explicada (r</w:t>
      </w:r>
      <w:r>
        <w:rPr>
          <w:rFonts w:ascii="Liberation Serif" w:hAnsi="Liberation Serif"/>
          <w:vertAlign w:val="superscript"/>
          <w:lang w:val="es-ES"/>
        </w:rPr>
        <w:t>2</w:t>
      </w:r>
      <w:r>
        <w:rPr>
          <w:rFonts w:ascii="Liberation Serif" w:hAnsi="Liberation Serif"/>
          <w:lang w:val="es-ES"/>
        </w:rPr>
        <w:t>) de cada predicción. La estimación de medidas de desempeño (errores y r</w:t>
      </w:r>
      <w:r>
        <w:rPr>
          <w:rFonts w:ascii="Liberation Serif" w:hAnsi="Liberation Serif"/>
          <w:vertAlign w:val="superscript"/>
          <w:lang w:val="es-ES"/>
        </w:rPr>
        <w:t>2</w:t>
      </w:r>
      <w:r>
        <w:rPr>
          <w:rFonts w:ascii="Liberation Serif" w:hAnsi="Liberation Serif"/>
          <w:lang w:val="es-ES"/>
        </w:rPr>
        <w:t xml:space="preserve">) se llevó a cabo empleando una técnica de validación cruzada con particiones de datos 80/20% para entrenar y validar los modelos predictivos. </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 xml:space="preserve">Para obtener una medida espacialmente explícita de la incertidumbre </w:t>
      </w:r>
      <w:r>
        <w:rPr>
          <w:rFonts w:ascii="Liberation Serif" w:hAnsi="Liberation Serif"/>
          <w:lang w:val="es-ES"/>
        </w:rPr>
        <w:t>fueron generadas</w:t>
      </w:r>
      <w:r>
        <w:rPr>
          <w:rFonts w:ascii="Liberation Serif" w:hAnsi="Liberation Serif"/>
          <w:lang w:val="es-ES"/>
        </w:rPr>
        <w:t xml:space="preserve"> predicciones a l</w:t>
      </w:r>
      <w:r>
        <w:rPr>
          <w:rFonts w:ascii="Liberation Serif" w:hAnsi="Liberation Serif"/>
          <w:lang w:val="es-ES"/>
        </w:rPr>
        <w:t>os datos</w:t>
      </w:r>
      <w:r>
        <w:rPr>
          <w:rFonts w:ascii="Liberation Serif" w:hAnsi="Liberation Serif"/>
          <w:lang w:val="es-ES"/>
        </w:rPr>
        <w:t xml:space="preserve"> de validacion </w:t>
      </w:r>
      <w:r>
        <w:rPr>
          <w:rFonts w:ascii="Liberation Serif" w:hAnsi="Liberation Serif"/>
          <w:lang w:val="es-ES"/>
        </w:rPr>
        <w:t>(no se usaron en el modelo)</w:t>
      </w:r>
      <w:r>
        <w:rPr>
          <w:rFonts w:ascii="Liberation Serif" w:hAnsi="Liberation Serif"/>
          <w:lang w:val="es-ES"/>
        </w:rPr>
        <w:t xml:space="preserve"> y residuales </w:t>
      </w:r>
      <w:r>
        <w:rPr>
          <w:rFonts w:ascii="Liberation Serif" w:hAnsi="Liberation Serif"/>
          <w:lang w:val="es-ES"/>
        </w:rPr>
        <w:t xml:space="preserve">independientes del modelo predictivo </w:t>
      </w:r>
      <w:r>
        <w:rPr>
          <w:rFonts w:ascii="Liberation Serif" w:hAnsi="Liberation Serif"/>
          <w:lang w:val="es-ES"/>
        </w:rPr>
        <w:t>fueron calculados</w:t>
      </w:r>
      <w:r>
        <w:rPr>
          <w:rFonts w:ascii="Liberation Serif" w:hAnsi="Liberation Serif"/>
          <w:lang w:val="es-ES"/>
        </w:rPr>
        <w:t xml:space="preserve">. Estos residuales fueron interpolados empleando el mismo algoritmo </w:t>
      </w:r>
      <w:r>
        <w:rPr>
          <w:rFonts w:ascii="Liberation Serif" w:hAnsi="Liberation Serif"/>
          <w:lang w:val="es-ES"/>
        </w:rPr>
        <w:t>(</w:t>
      </w:r>
      <w:r>
        <w:rPr>
          <w:rFonts w:ascii="Liberation Serif" w:hAnsi="Liberation Serif"/>
          <w:i/>
          <w:iCs/>
          <w:lang w:val="es-ES"/>
        </w:rPr>
        <w:t>Random Forest</w:t>
      </w:r>
      <w:r>
        <w:rPr>
          <w:rFonts w:ascii="Liberation Serif" w:hAnsi="Liberation Serif"/>
          <w:lang w:val="es-ES"/>
        </w:rPr>
        <w:t>)</w:t>
      </w:r>
      <w:r>
        <w:rPr>
          <w:rFonts w:ascii="Liberation Serif" w:hAnsi="Liberation Serif"/>
          <w:lang w:val="es-ES"/>
        </w:rPr>
        <w:t xml:space="preserve"> y las mismas variables explicativas para generar un mapa de errores el cual expresamos en porcentaje promedio de error </w:t>
      </w:r>
      <w:r>
        <w:rPr>
          <w:rFonts w:ascii="Liberation Serif" w:hAnsi="Liberation Serif"/>
          <w:lang w:val="es-ES"/>
        </w:rPr>
        <w:t>(e.g., COS / Ɛ*</w:t>
      </w:r>
      <w:r>
        <w:rPr>
          <w:rFonts w:ascii="Liberation Serif" w:hAnsi="Liberation Serif"/>
          <w:lang w:val="es-ES"/>
        </w:rPr>
        <w:t>100</w:t>
      </w:r>
      <w:r>
        <w:rPr>
          <w:rFonts w:ascii="Liberation Serif" w:hAnsi="Liberation Serif"/>
          <w:lang w:val="es-ES"/>
        </w:rPr>
        <w:t>)</w:t>
      </w:r>
      <w:r>
        <w:rPr>
          <w:rFonts w:ascii="Liberation Serif" w:hAnsi="Liberation Serif"/>
          <w:lang w:val="es-ES"/>
        </w:rPr>
        <w:t xml:space="preserve"> para facilitar su lectura e interpretación.</w:t>
      </w:r>
    </w:p>
    <w:p>
      <w:pPr>
        <w:pStyle w:val="Normal"/>
        <w:rPr>
          <w:rFonts w:ascii="Liberation Serif" w:hAnsi="Liberation Serif"/>
          <w:lang w:val="es-ES"/>
        </w:rPr>
      </w:pPr>
      <w:r>
        <w:rPr/>
      </w:r>
    </w:p>
    <w:p>
      <w:pPr>
        <w:pStyle w:val="Normal"/>
        <w:rPr/>
      </w:pPr>
      <w:r>
        <w:rPr>
          <w:rFonts w:ascii="Liberation Serif" w:hAnsi="Liberation Serif"/>
          <w:lang w:val="es-ES"/>
        </w:rPr>
        <w:t xml:space="preserve">Diversas combinaciones de predictores fueron comparadas. Este proceso se repitió 5 veces (i.e, </w:t>
      </w:r>
      <w:r>
        <w:rPr>
          <w:rFonts w:ascii="Liberation Serif" w:hAnsi="Liberation Serif"/>
          <w:i/>
          <w:lang w:val="es-ES"/>
        </w:rPr>
        <w:t>repeated 5 fold cross validation</w:t>
      </w:r>
      <w:r>
        <w:rPr>
          <w:rFonts w:ascii="Liberation Serif" w:hAnsi="Liberation Serif"/>
          <w:lang w:val="es-ES"/>
        </w:rPr>
        <w:t xml:space="preserve"> en inglés) para considerar la varianza en las predicciones asociada a combinaciones diferentes de datos y predictores ambientales. Una vez estimadas las medidas de desempeño del modelo</w:t>
      </w:r>
      <w:r>
        <w:rPr>
          <w:rFonts w:ascii="Liberation Serif" w:hAnsi="Liberation Serif"/>
          <w:lang w:val="es-ES"/>
        </w:rPr>
        <w:t xml:space="preserve"> (RMSE=raíz cuadrada del error medio cuadrático, r</w:t>
      </w:r>
      <w:r>
        <w:rPr>
          <w:rFonts w:ascii="Liberation Serif" w:hAnsi="Liberation Serif"/>
          <w:vertAlign w:val="superscript"/>
          <w:lang w:val="es-ES"/>
        </w:rPr>
        <w:t>2</w:t>
      </w:r>
      <w:r>
        <w:rPr>
          <w:rFonts w:ascii="Liberation Serif" w:hAnsi="Liberation Serif"/>
          <w:lang w:val="es-ES"/>
        </w:rPr>
        <w:t>= varianza explicada, MAE=error medio absoluto)</w:t>
      </w:r>
      <w:r>
        <w:rPr>
          <w:rFonts w:ascii="Liberation Serif" w:hAnsi="Liberation Serif"/>
          <w:lang w:val="es-ES"/>
        </w:rPr>
        <w:t>, fue generada una predicción a 90 m de resolución espacial a lo largo de la República Mexicana, por estado, y usando en paralelo los recursos computacionales disponibles.</w:t>
      </w:r>
    </w:p>
    <w:p>
      <w:pPr>
        <w:pStyle w:val="Normal"/>
        <w:rPr>
          <w:rFonts w:ascii="Liberation Serif" w:hAnsi="Liberation Serif"/>
          <w:lang w:val="es-ES"/>
        </w:rPr>
      </w:pPr>
      <w:r>
        <w:rPr>
          <w:rFonts w:ascii="Liberation Serif" w:hAnsi="Liberation Serif"/>
          <w:lang w:val="es-ES"/>
        </w:rPr>
        <w:tab/>
      </w:r>
    </w:p>
    <w:p>
      <w:pPr>
        <w:pStyle w:val="Normal"/>
        <w:rPr>
          <w:rFonts w:ascii="Liberation Serif" w:hAnsi="Liberation Serif"/>
          <w:b/>
          <w:b/>
          <w:bCs/>
          <w:lang w:val="es-ES"/>
        </w:rPr>
      </w:pPr>
      <w:r>
        <w:rPr>
          <w:rFonts w:ascii="Liberation Serif" w:hAnsi="Liberation Serif"/>
          <w:b/>
          <w:bCs/>
          <w:lang w:val="es-ES"/>
        </w:rPr>
        <w:t xml:space="preserve">Resultados </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Los datos de COS estimados muestran valores entre 0.03 a 135 kg m</w:t>
      </w:r>
      <w:r>
        <w:rPr>
          <w:rFonts w:ascii="Liberation Serif" w:hAnsi="Liberation Serif"/>
          <w:vertAlign w:val="superscript"/>
          <w:lang w:val="es-ES"/>
        </w:rPr>
        <w:t xml:space="preserve">2 </w:t>
      </w:r>
      <w:r>
        <w:rPr>
          <w:rFonts w:ascii="Liberation Serif" w:hAnsi="Liberation Serif"/>
          <w:lang w:val="es-ES"/>
        </w:rPr>
        <w:t>a un metro de profundidad de suelo mineral, con un valor medio de 1.22 y una mediana de 0.67 kg m</w:t>
      </w:r>
      <w:r>
        <w:rPr>
          <w:rFonts w:ascii="Liberation Serif" w:hAnsi="Liberation Serif"/>
          <w:vertAlign w:val="superscript"/>
          <w:lang w:val="es-ES"/>
        </w:rPr>
        <w:t>2</w:t>
      </w:r>
      <w:r>
        <w:rPr>
          <w:rFonts w:ascii="Liberation Serif" w:hAnsi="Liberation Serif"/>
          <w:lang w:val="es-ES"/>
        </w:rPr>
        <w:t xml:space="preserve">, indicando un sesgo hacia la derecha consistente con la distribución estadística de los datos disponibles (Figure 1a). Este sesgo a la derecha de la distribución estadística disminuye con la transformación logarítmica (Figure 1b). La mayoría de los valores más altos de carbono fueron encontrados en los primeros 30 cm de suelo mineral, hacia el sureste del país, mientras que las áreas áridas y semiáridas del centro norte del país mostraron los menores valores de COSs (Figura 1c). </w:t>
      </w:r>
    </w:p>
    <w:p>
      <w:pPr>
        <w:pStyle w:val="Normal"/>
        <w:rPr>
          <w:rFonts w:ascii="Liberation Serif" w:hAnsi="Liberation Serif"/>
          <w:lang w:val="es-ES"/>
        </w:rPr>
      </w:pPr>
      <w:r>
        <w:rPr/>
      </w:r>
    </w:p>
    <w:p>
      <w:pPr>
        <w:pStyle w:val="Normal"/>
        <w:rPr>
          <w:b/>
          <w:b/>
          <w:bCs/>
          <w:i/>
          <w:i/>
          <w:iCs/>
        </w:rPr>
      </w:pPr>
      <w:r>
        <w:rPr>
          <w:rFonts w:ascii="Liberation Serif" w:hAnsi="Liberation Serif"/>
          <w:b/>
          <w:bCs/>
          <w:i/>
          <w:iCs/>
          <w:lang w:val="es-ES"/>
        </w:rPr>
        <w:t>Valores de COS</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Los valores de COS tienen una variación inversamente proporcional con la BLD a lo largo del primer metro del suelo mineral (Figure 2). La BLD muestra valores entre 0.68 y 1.6 gr/cm</w:t>
      </w:r>
      <w:r>
        <w:rPr>
          <w:rFonts w:ascii="Liberation Serif" w:hAnsi="Liberation Serif"/>
          <w:vertAlign w:val="superscript"/>
          <w:lang w:val="es-ES"/>
        </w:rPr>
        <w:t>3</w:t>
      </w:r>
      <w:r>
        <w:rPr>
          <w:rFonts w:ascii="Liberation Serif" w:hAnsi="Liberation Serif"/>
          <w:lang w:val="es-ES"/>
        </w:rPr>
        <w:t>, un valor medio de 1.52 y una mediana de 1.55 gr/cm</w:t>
      </w:r>
      <w:r>
        <w:rPr>
          <w:rFonts w:ascii="Liberation Serif" w:hAnsi="Liberation Serif"/>
          <w:vertAlign w:val="superscript"/>
          <w:lang w:val="es-ES"/>
        </w:rPr>
        <w:t>3</w:t>
      </w:r>
      <w:r>
        <w:rPr>
          <w:rFonts w:ascii="Liberation Serif" w:hAnsi="Liberation Serif"/>
          <w:lang w:val="es-ES"/>
        </w:rPr>
        <w:t>. Los CFR, que van de 0 a &gt;80%, presentaron una media de 30 y una mediana de 20% y los valores disponibles muestran una clara disminución con la profundidad de manera abrupta después de los primeros 25 cm de suelo mineral (Figura 2).</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drawing>
          <wp:inline distT="0" distB="0" distL="0" distR="0">
            <wp:extent cx="5943600" cy="22733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5943600" cy="2273300"/>
                    </a:xfrm>
                    <a:prstGeom prst="rect">
                      <a:avLst/>
                    </a:prstGeom>
                  </pic:spPr>
                </pic:pic>
              </a:graphicData>
            </a:graphic>
          </wp:inline>
        </w:drawing>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t xml:space="preserve">Figura 2 Variación de los datos de concentración de CO  (eje x) con la profundidad del suelo mineral hasta 1.05 m (eje y) (a). Se muestran las relaciones entre la profundidad con los datos estimados de densidad aparente (BLD) (b) y con los datos disponibles de fragmentos rocosos (CFR) (c).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b/>
          <w:b/>
          <w:bCs/>
          <w:i/>
          <w:i/>
          <w:iCs/>
          <w:lang w:val="es-ES"/>
        </w:rPr>
      </w:pPr>
      <w:r>
        <w:rPr>
          <w:rFonts w:ascii="Liberation Serif" w:hAnsi="Liberation Serif"/>
          <w:b/>
          <w:bCs/>
          <w:i/>
          <w:iCs/>
          <w:lang w:val="es-ES"/>
        </w:rPr>
        <w:t>Correlacion entre COS y sus predictores</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t xml:space="preserve">Los factores de predicción (Figura 3a) que mejor se correlacionaron positivamente con los datos de COS estimados fueron el EVI (r=0.37), la precipitación (r=0.27) y el BH (r=0.18). De manera opuesta (i.e., correlaciones negativas), las mejores correlaciones entre COS fueron con el índice de sombra (r=-0.20), el índice de posición topográfica (r=-0.13) y la temperatura (r=-0.11) (Figura 3b). Estas correlaciones son estadísticamente significativas y muestran valores de probabilidad cercanos al 99% (p &lt; 0.001). En relación a su posición geográfica, los datos disponibles muestran correlaciones significativas con las coordenadas de los puntos muestreados (p &lt; 0.001). Identificamos una correlación positiva con la longitud (r=0.47) y una correlación negativa con la latitud (r=-0.30), lo cual confirma que los datos estimados de COS muestran incrementos en sus valores de oeste a este y decrementos en sus valores del sur al norte de México (Figura 1c).   </w:t>
        <w:tab/>
        <w:t xml:space="preserve">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drawing>
          <wp:inline distT="0" distB="0" distL="0" distR="0">
            <wp:extent cx="4519295" cy="7099935"/>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4"/>
                    <a:stretch>
                      <a:fillRect/>
                    </a:stretch>
                  </pic:blipFill>
                  <pic:spPr bwMode="auto">
                    <a:xfrm>
                      <a:off x="0" y="0"/>
                      <a:ext cx="4519295" cy="7099935"/>
                    </a:xfrm>
                    <a:prstGeom prst="rect">
                      <a:avLst/>
                    </a:prstGeom>
                  </pic:spPr>
                </pic:pic>
              </a:graphicData>
            </a:graphic>
          </wp:inline>
        </w:drawing>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Figura 3 (a) Covariables ambientales usadas para predecir el COS en México a 90m de resolución espacial. TPI, índice de posición topográfica. TRI, índice de rugosidad del terreno. EVI, índice de vegetación (a). Escala de valores estandarizada entre -1 y 1. Correlograma (coeficiente de Pearson) entre el COS y sus predictores ambientales (b).</w:t>
      </w:r>
    </w:p>
    <w:p>
      <w:pPr>
        <w:pStyle w:val="Normal"/>
        <w:rPr>
          <w:rFonts w:ascii="Liberation Serif" w:hAnsi="Liberation Serif"/>
          <w:lang w:val="es-ES"/>
        </w:rPr>
      </w:pPr>
      <w:r>
        <w:rPr>
          <w:rFonts w:ascii="Liberation Serif" w:hAnsi="Liberation Serif"/>
          <w:lang w:val="es-ES"/>
        </w:rPr>
      </w:r>
    </w:p>
    <w:p>
      <w:pPr>
        <w:pStyle w:val="Normal"/>
        <w:rPr>
          <w:i/>
          <w:i/>
          <w:iCs/>
        </w:rPr>
      </w:pPr>
      <w:r>
        <w:rPr>
          <w:rFonts w:ascii="Liberation Serif" w:hAnsi="Liberation Serif"/>
          <w:b/>
          <w:bCs/>
          <w:i/>
          <w:iCs/>
          <w:lang w:val="es-ES"/>
        </w:rPr>
        <w:t xml:space="preserve">Selección del modelo </w:t>
      </w:r>
      <w:r>
        <w:rPr>
          <w:rFonts w:ascii="Liberation Serif" w:hAnsi="Liberation Serif"/>
          <w:i/>
          <w:iCs/>
          <w:lang w:val="es-ES"/>
        </w:rPr>
        <w:tab/>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w:t>
      </w:r>
      <w:r>
        <w:rPr>
          <w:rFonts w:ascii="Liberation Serif" w:hAnsi="Liberation Serif"/>
          <w:lang w:val="es-ES"/>
        </w:rPr>
        <w:t xml:space="preserve">El resultado de la validación cruzada aplicada a los distintos modelos predictivos usando </w:t>
      </w:r>
      <w:r>
        <w:rPr>
          <w:rFonts w:ascii="Liberation Serif" w:hAnsi="Liberation Serif"/>
          <w:i/>
          <w:iCs/>
          <w:lang w:val="es-ES"/>
        </w:rPr>
        <w:t>V-fold cross validation</w:t>
      </w:r>
      <w:r>
        <w:rPr>
          <w:rFonts w:ascii="Liberation Serif" w:hAnsi="Liberation Serif"/>
          <w:lang w:val="es-ES"/>
        </w:rPr>
        <w:t xml:space="preserve"> y los datos de COS de la serie 2 de INEGI revela que </w:t>
      </w:r>
      <w:r>
        <w:rPr>
          <w:rFonts w:ascii="Liberation Serif" w:hAnsi="Liberation Serif"/>
          <w:i/>
          <w:iCs/>
          <w:lang w:val="es-ES"/>
        </w:rPr>
        <w:t>Random Forest(</w:t>
      </w:r>
      <w:r>
        <w:rPr>
          <w:rFonts w:ascii="Liberation Serif" w:hAnsi="Liberation Serif"/>
          <w:i/>
          <w:iCs/>
          <w:lang w:val="es-ES"/>
        </w:rPr>
        <w:t xml:space="preserve">SL.ranger, </w:t>
      </w:r>
      <w:r>
        <w:rPr>
          <w:rFonts w:ascii="Liberation Serif" w:hAnsi="Liberation Serif"/>
          <w:i/>
          <w:iCs/>
          <w:lang w:val="es-ES"/>
        </w:rPr>
        <w:t>Figur</w:t>
      </w:r>
      <w:r>
        <w:rPr>
          <w:rFonts w:ascii="Liberation Serif" w:hAnsi="Liberation Serif"/>
          <w:i/>
          <w:iCs/>
          <w:lang w:val="es-ES"/>
        </w:rPr>
        <w:t>a</w:t>
      </w:r>
      <w:r>
        <w:rPr>
          <w:rFonts w:ascii="Liberation Serif" w:hAnsi="Liberation Serif"/>
          <w:i/>
          <w:iCs/>
          <w:lang w:val="es-ES"/>
        </w:rPr>
        <w:t xml:space="preserve"> 4)</w:t>
      </w:r>
      <w:r>
        <w:rPr>
          <w:rFonts w:ascii="Liberation Serif" w:hAnsi="Liberation Serif"/>
          <w:lang w:val="es-ES"/>
        </w:rPr>
        <w:t xml:space="preserve"> </w:t>
      </w:r>
      <w:r>
        <w:rPr>
          <w:rFonts w:ascii="Liberation Serif" w:hAnsi="Liberation Serif"/>
          <w:lang w:val="es-ES"/>
        </w:rPr>
        <w:t xml:space="preserve">es el modelo que </w:t>
      </w:r>
      <w:r>
        <w:rPr>
          <w:rFonts w:ascii="Liberation Serif" w:hAnsi="Liberation Serif"/>
          <w:lang w:val="es-ES"/>
        </w:rPr>
        <w:t>reduce al máximo el riesgo de errores (</w:t>
      </w:r>
      <w:r>
        <w:rPr>
          <w:rFonts w:ascii="Liberation Serif" w:hAnsi="Liberation Serif"/>
          <w:i/>
          <w:iCs/>
          <w:lang w:val="es-ES"/>
        </w:rPr>
        <w:t>V-fold cross validation risk estimate</w:t>
      </w:r>
      <w:r>
        <w:rPr>
          <w:rFonts w:ascii="Liberation Serif" w:hAnsi="Liberation Serif"/>
          <w:lang w:val="es-ES"/>
        </w:rPr>
        <w:t xml:space="preserve">) </w:t>
      </w:r>
      <w:r>
        <w:rPr>
          <w:rFonts w:ascii="Liberation Serif" w:hAnsi="Liberation Serif"/>
          <w:lang w:val="es-ES"/>
        </w:rPr>
        <w:t>en la predicci</w:t>
      </w:r>
      <w:r>
        <w:rPr>
          <w:rFonts w:ascii="Liberation Serif" w:hAnsi="Liberation Serif"/>
          <w:lang w:val="es-ES"/>
        </w:rPr>
        <w:t>ón</w:t>
      </w:r>
      <w:r>
        <w:rPr>
          <w:rFonts w:ascii="Liberation Serif" w:hAnsi="Liberation Serif"/>
          <w:lang w:val="es-ES"/>
        </w:rPr>
        <w:t xml:space="preserve"> de COS</w:t>
      </w:r>
      <w:r>
        <w:rPr>
          <w:rFonts w:ascii="Liberation Serif" w:hAnsi="Liberation Serif"/>
          <w:lang w:val="es-ES"/>
        </w:rPr>
        <w:t xml:space="preserve"> (Figura 4). El </w:t>
      </w:r>
      <w:r>
        <w:rPr>
          <w:rFonts w:ascii="Liberation Serif" w:hAnsi="Liberation Serif"/>
          <w:i/>
          <w:iCs/>
          <w:lang w:val="es-ES"/>
        </w:rPr>
        <w:t>V-fold cross validation risk estimate</w:t>
      </w:r>
      <w:r>
        <w:rPr>
          <w:rFonts w:ascii="Liberation Serif" w:hAnsi="Liberation Serif"/>
          <w:lang w:val="es-ES"/>
        </w:rPr>
        <w:t xml:space="preserve"> muestra un error relativo mayor en otros modelos comparados </w:t>
      </w:r>
      <w:r>
        <w:rPr>
          <w:rFonts w:ascii="Liberation Serif" w:hAnsi="Liberation Serif"/>
          <w:lang w:val="es-ES"/>
        </w:rPr>
        <w:t xml:space="preserve">con </w:t>
      </w:r>
      <w:r>
        <w:rPr>
          <w:rFonts w:ascii="Liberation Serif" w:hAnsi="Liberation Serif"/>
          <w:i/>
          <w:iCs/>
          <w:lang w:val="es-ES"/>
        </w:rPr>
        <w:t>Random Forests</w:t>
      </w:r>
      <w:r>
        <w:rPr>
          <w:rFonts w:ascii="Liberation Serif" w:hAnsi="Liberation Serif"/>
          <w:lang w:val="es-ES"/>
        </w:rPr>
        <w:t xml:space="preserve">. </w:t>
      </w:r>
      <w:bookmarkStart w:id="3" w:name="docs-internal-guid-a678b5c4-7fff-58ce-b3c4-70205dbd87d9"/>
      <w:bookmarkEnd w:id="3"/>
      <w:r>
        <w:rPr>
          <w:caps w:val="false"/>
          <w:smallCaps w:val="false"/>
          <w:strike w:val="false"/>
          <w:dstrike w:val="false"/>
          <w:color w:val="000000"/>
          <w:u w:val="none"/>
          <w:effect w:val="none"/>
        </w:rPr>
        <w:t>‌</w:t>
      </w:r>
      <w:r>
        <w:rPr>
          <w:rFonts w:ascii="Times New Roman" w:hAnsi="Times New Roman"/>
          <w:b w:val="false"/>
          <w:i w:val="false"/>
          <w:caps w:val="false"/>
          <w:smallCaps w:val="false"/>
          <w:strike w:val="false"/>
          <w:dstrike w:val="false"/>
          <w:color w:val="000000"/>
          <w:sz w:val="24"/>
          <w:u w:val="none"/>
          <w:effect w:val="none"/>
        </w:rPr>
        <w:t>Las combinaciones de los algoritmos empleados (</w:t>
      </w:r>
      <w:r>
        <w:rPr>
          <w:rFonts w:ascii="Times New Roman" w:hAnsi="Times New Roman"/>
          <w:b w:val="false"/>
          <w:i/>
          <w:iCs/>
          <w:caps w:val="false"/>
          <w:smallCaps w:val="false"/>
          <w:strike w:val="false"/>
          <w:dstrike w:val="false"/>
          <w:color w:val="000000"/>
          <w:sz w:val="24"/>
          <w:u w:val="none"/>
          <w:effect w:val="none"/>
        </w:rPr>
        <w:t>Super Learner,</w:t>
      </w:r>
      <w:r>
        <w:rPr>
          <w:rFonts w:ascii="Times New Roman" w:hAnsi="Times New Roman"/>
          <w:b w:val="false"/>
          <w:i w:val="false"/>
          <w:caps w:val="false"/>
          <w:smallCaps w:val="false"/>
          <w:strike w:val="false"/>
          <w:dstrike w:val="false"/>
          <w:color w:val="000000"/>
          <w:sz w:val="24"/>
          <w:u w:val="none"/>
          <w:effect w:val="none"/>
        </w:rPr>
        <w:t xml:space="preserve"> Figura 4) están ponderadas por el riesgo de errores de cada modelo </w:t>
      </w:r>
      <w:r>
        <w:rPr>
          <w:rFonts w:ascii="Times New Roman" w:hAnsi="Times New Roman"/>
          <w:b w:val="false"/>
          <w:i w:val="false"/>
          <w:caps w:val="false"/>
          <w:smallCaps w:val="false"/>
          <w:strike w:val="false"/>
          <w:dstrike w:val="false"/>
          <w:color w:val="000000"/>
          <w:sz w:val="24"/>
          <w:u w:val="none"/>
          <w:effect w:val="none"/>
        </w:rPr>
        <w:t>y el mejor modelo (el que mas reduce el error, Discrete S</w:t>
      </w:r>
      <w:r>
        <w:rPr>
          <w:rFonts w:ascii="Times New Roman" w:hAnsi="Times New Roman"/>
          <w:b w:val="false"/>
          <w:i w:val="false"/>
          <w:caps w:val="false"/>
          <w:smallCaps w:val="false"/>
          <w:strike w:val="false"/>
          <w:dstrike w:val="false"/>
          <w:color w:val="000000"/>
          <w:sz w:val="24"/>
          <w:u w:val="none"/>
          <w:effect w:val="none"/>
        </w:rPr>
        <w:t xml:space="preserve">L en </w:t>
      </w:r>
      <w:r>
        <w:rPr>
          <w:rFonts w:ascii="Liberation Serif" w:hAnsi="Liberation Serif"/>
          <w:b w:val="false"/>
          <w:i w:val="false"/>
          <w:caps w:val="false"/>
          <w:smallCaps w:val="false"/>
          <w:strike w:val="false"/>
          <w:dstrike w:val="false"/>
          <w:color w:val="000000"/>
          <w:sz w:val="24"/>
          <w:u w:val="none"/>
          <w:effect w:val="none"/>
          <w:lang w:val="es-ES"/>
        </w:rPr>
        <w:t>Figur</w:t>
      </w:r>
      <w:r>
        <w:rPr>
          <w:rFonts w:ascii="Liberation Serif" w:hAnsi="Liberation Serif"/>
          <w:b w:val="false"/>
          <w:i w:val="false"/>
          <w:caps w:val="false"/>
          <w:smallCaps w:val="false"/>
          <w:strike w:val="false"/>
          <w:dstrike w:val="false"/>
          <w:color w:val="000000"/>
          <w:sz w:val="24"/>
          <w:u w:val="none"/>
          <w:effect w:val="none"/>
          <w:lang w:val="es-ES"/>
        </w:rPr>
        <w:t>a</w:t>
      </w:r>
      <w:r>
        <w:rPr>
          <w:rFonts w:ascii="Liberation Serif" w:hAnsi="Liberation Serif"/>
          <w:b w:val="false"/>
          <w:i w:val="false"/>
          <w:caps w:val="false"/>
          <w:smallCaps w:val="false"/>
          <w:strike w:val="false"/>
          <w:dstrike w:val="false"/>
          <w:color w:val="000000"/>
          <w:sz w:val="24"/>
          <w:u w:val="none"/>
          <w:effect w:val="none"/>
          <w:lang w:val="es-ES"/>
        </w:rPr>
        <w:t xml:space="preserve"> 4</w:t>
      </w:r>
      <w:r>
        <w:rPr>
          <w:rFonts w:ascii="Times New Roman" w:hAnsi="Times New Roman"/>
          <w:b w:val="false"/>
          <w:i w:val="false"/>
          <w:caps w:val="false"/>
          <w:smallCaps w:val="false"/>
          <w:strike w:val="false"/>
          <w:dstrike w:val="false"/>
          <w:color w:val="000000"/>
          <w:sz w:val="24"/>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no fue significativamente distint</w:t>
      </w:r>
      <w:r>
        <w:rPr>
          <w:rFonts w:ascii="Times New Roman" w:hAnsi="Times New Roman"/>
          <w:b w:val="false"/>
          <w:i w:val="false"/>
          <w:caps w:val="false"/>
          <w:smallCaps w:val="false"/>
          <w:strike w:val="false"/>
          <w:dstrike w:val="false"/>
          <w:color w:val="000000"/>
          <w:sz w:val="24"/>
          <w:u w:val="none"/>
          <w:effect w:val="none"/>
        </w:rPr>
        <w:t>o</w:t>
      </w:r>
      <w:r>
        <w:rPr>
          <w:rFonts w:ascii="Times New Roman" w:hAnsi="Times New Roman"/>
          <w:b w:val="false"/>
          <w:i w:val="false"/>
          <w:caps w:val="false"/>
          <w:smallCaps w:val="false"/>
          <w:strike w:val="false"/>
          <w:dstrike w:val="false"/>
          <w:color w:val="000000"/>
          <w:sz w:val="24"/>
          <w:u w:val="none"/>
          <w:effect w:val="none"/>
        </w:rPr>
        <w:t xml:space="preserve"> al error generado por</w:t>
      </w:r>
      <w:r>
        <w:rPr>
          <w:b w:val="false"/>
          <w:caps w:val="false"/>
          <w:smallCaps w:val="false"/>
          <w:strike w:val="false"/>
          <w:dstrike w:val="false"/>
          <w:color w:val="000000"/>
          <w:u w:val="none"/>
          <w:effect w:val="none"/>
        </w:rPr>
        <w:t xml:space="preserve"> </w:t>
      </w:r>
      <w:r>
        <w:rPr>
          <w:rFonts w:ascii="Times New Roman" w:hAnsi="Times New Roman"/>
          <w:b w:val="false"/>
          <w:i/>
          <w:caps w:val="false"/>
          <w:smallCaps w:val="false"/>
          <w:strike w:val="false"/>
          <w:dstrike w:val="false"/>
          <w:color w:val="000000"/>
          <w:sz w:val="24"/>
          <w:u w:val="none"/>
          <w:effect w:val="none"/>
        </w:rPr>
        <w:t>Random Forests</w:t>
      </w:r>
      <w:r>
        <w:rPr>
          <w:b w:val="false"/>
          <w:caps w:val="false"/>
          <w:smallCaps w:val="false"/>
          <w:strike w:val="false"/>
          <w:dstrike w:val="false"/>
          <w:color w:val="000000"/>
          <w:u w:val="none"/>
          <w:effect w:val="none"/>
        </w:rPr>
        <w:t xml:space="preserve"> </w:t>
      </w:r>
      <w:r>
        <w:rPr>
          <w:rFonts w:ascii="Times New Roman" w:hAnsi="Times New Roman"/>
          <w:b w:val="false"/>
          <w:i w:val="false"/>
          <w:caps w:val="false"/>
          <w:smallCaps w:val="false"/>
          <w:strike w:val="false"/>
          <w:dstrike w:val="false"/>
          <w:color w:val="000000"/>
          <w:sz w:val="24"/>
          <w:u w:val="none"/>
          <w:effect w:val="none"/>
        </w:rPr>
        <w:t>(SL.ranger_All, Figura 4). Esto sugiere que esta técnica es predominantemente mejor prediciendo el COS que los otros algoritmos empleados (SL.bayesglm= modelos lineales generalizados, SL.kernelKnn_All=</w:t>
      </w:r>
      <w:r>
        <w:rPr>
          <w:rFonts w:ascii="Times New Roman" w:hAnsi="Times New Roman"/>
          <w:b w:val="false"/>
          <w:i/>
          <w:caps w:val="false"/>
          <w:smallCaps w:val="false"/>
          <w:strike w:val="false"/>
          <w:dstrike w:val="false"/>
          <w:color w:val="000000"/>
          <w:sz w:val="24"/>
          <w:u w:val="none"/>
          <w:effect w:val="none"/>
        </w:rPr>
        <w:t>kknn</w:t>
      </w:r>
      <w:r>
        <w:rPr>
          <w:rFonts w:ascii="Times New Roman" w:hAnsi="Times New Roman"/>
          <w:b w:val="false"/>
          <w:i w:val="false"/>
          <w:caps w:val="false"/>
          <w:smallCaps w:val="false"/>
          <w:strike w:val="false"/>
          <w:dstrike w:val="false"/>
          <w:color w:val="000000"/>
          <w:sz w:val="24"/>
          <w:u w:val="none"/>
          <w:effect w:val="none"/>
        </w:rPr>
        <w:t>, SL.ksvm_All=maquinarias de soporte vectorial, SL.xgboost_All=</w:t>
      </w:r>
      <w:r>
        <w:rPr>
          <w:b w:val="false"/>
          <w:caps w:val="false"/>
          <w:smallCaps w:val="false"/>
          <w:strike w:val="false"/>
          <w:dstrike w:val="false"/>
          <w:color w:val="000000"/>
          <w:u w:val="none"/>
          <w:effect w:val="none"/>
        </w:rPr>
        <w:t xml:space="preserve"> </w:t>
      </w:r>
      <w:r>
        <w:rPr>
          <w:rFonts w:ascii="Times New Roman" w:hAnsi="Times New Roman"/>
          <w:b w:val="false"/>
          <w:i/>
          <w:caps w:val="false"/>
          <w:smallCaps w:val="false"/>
          <w:strike w:val="false"/>
          <w:dstrike w:val="false"/>
          <w:color w:val="000000"/>
          <w:sz w:val="24"/>
          <w:u w:val="none"/>
          <w:effect w:val="none"/>
        </w:rPr>
        <w:t xml:space="preserve">Gradient Boosting, </w:t>
      </w:r>
      <w:r>
        <w:rPr>
          <w:rFonts w:ascii="Times New Roman" w:hAnsi="Times New Roman"/>
          <w:b w:val="false"/>
          <w:i w:val="false"/>
          <w:caps w:val="false"/>
          <w:smallCaps w:val="false"/>
          <w:strike w:val="false"/>
          <w:dstrike w:val="false"/>
          <w:color w:val="000000"/>
          <w:sz w:val="24"/>
          <w:u w:val="none"/>
          <w:effect w:val="none"/>
        </w:rPr>
        <w:t>Figura 4) dados los datos disponibles en la serie dos de INEGI (Figura 1).</w:t>
      </w:r>
    </w:p>
    <w:p>
      <w:pPr>
        <w:pStyle w:val="TextBody"/>
        <w:rPr/>
      </w:pPr>
      <w:r>
        <w:drawing>
          <wp:anchor behindDoc="0" distT="0" distB="0" distL="0" distR="0" simplePos="0" locked="0" layoutInCell="1" allowOverlap="1" relativeHeight="7">
            <wp:simplePos x="0" y="0"/>
            <wp:positionH relativeFrom="column">
              <wp:posOffset>1021715</wp:posOffset>
            </wp:positionH>
            <wp:positionV relativeFrom="paragraph">
              <wp:posOffset>97155</wp:posOffset>
            </wp:positionV>
            <wp:extent cx="3517265" cy="283527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3517265" cy="2835275"/>
                    </a:xfrm>
                    <a:prstGeom prst="rect">
                      <a:avLst/>
                    </a:prstGeom>
                  </pic:spPr>
                </pic:pic>
              </a:graphicData>
            </a:graphic>
          </wp:anchor>
        </w:drawing>
      </w:r>
      <w:r>
        <w:rPr/>
        <w:br/>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
    </w:p>
    <w:p>
      <w:pPr>
        <w:pStyle w:val="Normal"/>
        <w:rPr>
          <w:rFonts w:ascii="Liberation Serif" w:hAnsi="Liberation Serif"/>
          <w:lang w:val="es-ES"/>
        </w:rPr>
      </w:pPr>
      <w:r>
        <w:rPr/>
      </w:r>
    </w:p>
    <w:p>
      <w:pPr>
        <w:pStyle w:val="Normal"/>
        <w:rPr>
          <w:rFonts w:ascii="Liberation Serif" w:hAnsi="Liberation Serif"/>
          <w:lang w:val="es-ES"/>
        </w:rPr>
      </w:pPr>
      <w:r>
        <w:rPr/>
      </w:r>
    </w:p>
    <w:p>
      <w:pPr>
        <w:pStyle w:val="Normal"/>
        <w:rPr>
          <w:rFonts w:ascii="Liberation Serif" w:hAnsi="Liberation Serif"/>
          <w:lang w:val="es-ES"/>
        </w:rPr>
      </w:pPr>
      <w:r>
        <w:rPr/>
      </w:r>
    </w:p>
    <w:p>
      <w:pPr>
        <w:pStyle w:val="Normal"/>
        <w:rPr>
          <w:rFonts w:ascii="Liberation Serif" w:hAnsi="Liberation Serif"/>
          <w:lang w:val="es-ES"/>
        </w:rPr>
      </w:pPr>
      <w:r>
        <w:rPr/>
      </w:r>
    </w:p>
    <w:p>
      <w:pPr>
        <w:pStyle w:val="Normal"/>
        <w:rPr>
          <w:rFonts w:ascii="Liberation Serif" w:hAnsi="Liberation Serif"/>
          <w:lang w:val="es-ES"/>
        </w:rPr>
      </w:pPr>
      <w:r>
        <w:rPr/>
      </w:r>
    </w:p>
    <w:p>
      <w:pPr>
        <w:pStyle w:val="Normal"/>
        <w:rPr>
          <w:rFonts w:ascii="Liberation Serif" w:hAnsi="Liberation Serif"/>
          <w:lang w:val="es-ES"/>
        </w:rPr>
      </w:pPr>
      <w:r>
        <w:rPr/>
      </w:r>
    </w:p>
    <w:p>
      <w:pPr>
        <w:pStyle w:val="Normal"/>
        <w:rPr>
          <w:rFonts w:ascii="Liberation Serif" w:hAnsi="Liberation Serif"/>
          <w:lang w:val="es-ES"/>
        </w:rPr>
      </w:pPr>
      <w:r>
        <w:rPr/>
      </w:r>
    </w:p>
    <w:p>
      <w:pPr>
        <w:pStyle w:val="Normal"/>
        <w:rPr>
          <w:rFonts w:ascii="Liberation Serif" w:hAnsi="Liberation Serif"/>
          <w:lang w:val="es-ES"/>
        </w:rPr>
      </w:pPr>
      <w:r>
        <w:rPr/>
      </w:r>
    </w:p>
    <w:p>
      <w:pPr>
        <w:pStyle w:val="Normal"/>
        <w:rPr>
          <w:rFonts w:ascii="Liberation Serif" w:hAnsi="Liberation Serif"/>
          <w:lang w:val="es-ES"/>
        </w:rPr>
      </w:pPr>
      <w:r>
        <w:rPr/>
      </w:r>
    </w:p>
    <w:p>
      <w:pPr>
        <w:pStyle w:val="Normal"/>
        <w:rPr>
          <w:rFonts w:ascii="Liberation Serif" w:hAnsi="Liberation Serif"/>
          <w:lang w:val="es-ES"/>
        </w:rPr>
      </w:pPr>
      <w:r>
        <w:rPr/>
      </w:r>
    </w:p>
    <w:p>
      <w:pPr>
        <w:pStyle w:val="TextBody"/>
        <w:rPr/>
      </w:pPr>
      <w:r>
        <w:rPr>
          <w:rFonts w:ascii="Times New Roman" w:hAnsi="Times New Roman"/>
          <w:b w:val="false"/>
          <w:i w:val="false"/>
          <w:caps w:val="false"/>
          <w:smallCaps w:val="false"/>
          <w:strike w:val="false"/>
          <w:dstrike w:val="false"/>
          <w:color w:val="000000"/>
          <w:sz w:val="24"/>
          <w:u w:val="none"/>
          <w:effect w:val="none"/>
          <w:lang w:val="es-ES"/>
        </w:rPr>
        <w:t xml:space="preserve">Figura 4 Gráfica nativa del paquete </w:t>
      </w:r>
      <w:r>
        <w:rPr>
          <w:rFonts w:ascii="Times New Roman" w:hAnsi="Times New Roman"/>
          <w:b w:val="false"/>
          <w:i/>
          <w:iCs/>
          <w:caps w:val="false"/>
          <w:smallCaps w:val="false"/>
          <w:strike w:val="false"/>
          <w:dstrike w:val="false"/>
          <w:color w:val="000000"/>
          <w:sz w:val="24"/>
          <w:u w:val="none"/>
          <w:effect w:val="none"/>
          <w:lang w:val="es-ES"/>
        </w:rPr>
        <w:t>Super learner</w:t>
      </w:r>
      <w:r>
        <w:rPr>
          <w:rFonts w:ascii="Times New Roman" w:hAnsi="Times New Roman"/>
          <w:b w:val="false"/>
          <w:i w:val="false"/>
          <w:caps w:val="false"/>
          <w:smallCaps w:val="false"/>
          <w:strike w:val="false"/>
          <w:dstrike w:val="false"/>
          <w:color w:val="000000"/>
          <w:sz w:val="24"/>
          <w:u w:val="none"/>
          <w:effect w:val="none"/>
          <w:lang w:val="es-ES"/>
        </w:rPr>
        <w:t xml:space="preserve"> para la selección de modelos predictivos empleando el índice de riesgo relativo de error (V-fold cross validation estimate) derivado de la validación cruzada. </w:t>
      </w:r>
      <w:r>
        <w:rPr>
          <w:rFonts w:ascii="Times New Roman" w:hAnsi="Times New Roman"/>
          <w:b w:val="false"/>
          <w:i/>
          <w:iCs/>
          <w:caps w:val="false"/>
          <w:smallCaps w:val="false"/>
          <w:strike w:val="false"/>
          <w:dstrike w:val="false"/>
          <w:color w:val="000000"/>
          <w:sz w:val="24"/>
          <w:u w:val="none"/>
          <w:effect w:val="none"/>
          <w:lang w:val="es-ES"/>
        </w:rPr>
        <w:t>Super Learner</w:t>
      </w:r>
      <w:r>
        <w:rPr>
          <w:rFonts w:ascii="Times New Roman" w:hAnsi="Times New Roman"/>
          <w:b w:val="false"/>
          <w:i w:val="false"/>
          <w:caps w:val="false"/>
          <w:smallCaps w:val="false"/>
          <w:strike w:val="false"/>
          <w:dstrike w:val="false"/>
          <w:color w:val="000000"/>
          <w:sz w:val="24"/>
          <w:u w:val="none"/>
          <w:effect w:val="none"/>
          <w:lang w:val="es-ES"/>
        </w:rPr>
        <w:t xml:space="preserve"> es una combinación de los modelos generadas usando el error relativo como factor de ponderación </w:t>
      </w:r>
      <w:r>
        <w:rPr>
          <w:rFonts w:ascii="Times New Roman" w:hAnsi="Times New Roman"/>
          <w:b w:val="false"/>
          <w:i w:val="false"/>
          <w:caps w:val="false"/>
          <w:smallCaps w:val="false"/>
          <w:strike w:val="false"/>
          <w:dstrike w:val="false"/>
          <w:color w:val="000000"/>
          <w:sz w:val="24"/>
          <w:u w:val="none"/>
          <w:effect w:val="none"/>
          <w:lang w:val="es-ES"/>
        </w:rPr>
        <w:t xml:space="preserve">y diversas combinaciones convexas. </w:t>
      </w:r>
      <w:r>
        <w:rPr>
          <w:rFonts w:ascii="Times New Roman" w:hAnsi="Times New Roman"/>
          <w:b w:val="false"/>
          <w:i w:val="false"/>
          <w:caps w:val="false"/>
          <w:smallCaps w:val="false"/>
          <w:strike w:val="false"/>
          <w:dstrike w:val="false"/>
          <w:color w:val="000000"/>
          <w:sz w:val="24"/>
          <w:u w:val="none"/>
          <w:effect w:val="none"/>
          <w:lang w:val="es-ES"/>
        </w:rPr>
        <w:t xml:space="preserve">Discrete SL </w:t>
      </w:r>
      <w:r>
        <w:rPr>
          <w:rFonts w:ascii="Times New Roman" w:hAnsi="Times New Roman"/>
          <w:b w:val="false"/>
          <w:i w:val="false"/>
          <w:caps w:val="false"/>
          <w:smallCaps w:val="false"/>
          <w:strike w:val="false"/>
          <w:dstrike w:val="false"/>
          <w:color w:val="000000"/>
          <w:sz w:val="24"/>
          <w:u w:val="none"/>
          <w:effect w:val="none"/>
          <w:lang w:val="es-ES"/>
        </w:rPr>
        <w:t>representa diversas combinaciones (con diversos pesos) de multiples realizaciones del</w:t>
      </w:r>
      <w:r>
        <w:rPr>
          <w:rFonts w:ascii="Times New Roman" w:hAnsi="Times New Roman"/>
          <w:b w:val="false"/>
          <w:i w:val="false"/>
          <w:caps w:val="false"/>
          <w:smallCaps w:val="false"/>
          <w:strike w:val="false"/>
          <w:dstrike w:val="false"/>
          <w:color w:val="000000"/>
          <w:sz w:val="24"/>
          <w:u w:val="none"/>
          <w:effect w:val="none"/>
          <w:lang w:val="es-ES"/>
        </w:rPr>
        <w:t xml:space="preserve"> mejor modelo seleccionado por </w:t>
      </w:r>
      <w:r>
        <w:rPr>
          <w:rFonts w:ascii="Times New Roman" w:hAnsi="Times New Roman"/>
          <w:b w:val="false"/>
          <w:i/>
          <w:iCs/>
          <w:caps w:val="false"/>
          <w:smallCaps w:val="false"/>
          <w:strike w:val="false"/>
          <w:dstrike w:val="false"/>
          <w:color w:val="000000"/>
          <w:sz w:val="24"/>
          <w:u w:val="none"/>
          <w:effect w:val="none"/>
          <w:lang w:val="es-ES"/>
        </w:rPr>
        <w:t>Super learner</w:t>
      </w:r>
      <w:r>
        <w:rPr>
          <w:rFonts w:ascii="Times New Roman" w:hAnsi="Times New Roman"/>
          <w:b w:val="false"/>
          <w:i w:val="false"/>
          <w:caps w:val="false"/>
          <w:smallCaps w:val="false"/>
          <w:strike w:val="false"/>
          <w:dstrike w:val="false"/>
          <w:color w:val="000000"/>
          <w:sz w:val="24"/>
          <w:u w:val="none"/>
          <w:effect w:val="none"/>
          <w:lang w:val="es-ES"/>
        </w:rPr>
        <w:t xml:space="preserve"> (</w:t>
      </w:r>
      <w:r>
        <w:rPr>
          <w:rFonts w:ascii="Times New Roman" w:hAnsi="Times New Roman"/>
          <w:b w:val="false"/>
          <w:i/>
          <w:iCs/>
          <w:caps w:val="false"/>
          <w:smallCaps w:val="false"/>
          <w:strike w:val="false"/>
          <w:dstrike w:val="false"/>
          <w:color w:val="000000"/>
          <w:sz w:val="24"/>
          <w:u w:val="none"/>
          <w:effect w:val="none"/>
          <w:lang w:val="es-ES"/>
        </w:rPr>
        <w:t>Random Forests</w:t>
      </w:r>
      <w:r>
        <w:rPr>
          <w:rFonts w:ascii="Times New Roman" w:hAnsi="Times New Roman"/>
          <w:b w:val="false"/>
          <w:i w:val="false"/>
          <w:caps w:val="false"/>
          <w:smallCaps w:val="false"/>
          <w:strike w:val="false"/>
          <w:dstrike w:val="false"/>
          <w:color w:val="000000"/>
          <w:sz w:val="24"/>
          <w:u w:val="none"/>
          <w:effect w:val="none"/>
          <w:lang w:val="es-ES"/>
        </w:rPr>
        <w:t xml:space="preserve">). </w:t>
      </w:r>
      <w:r>
        <w:rPr>
          <w:rFonts w:ascii="Times New Roman" w:hAnsi="Times New Roman"/>
          <w:b w:val="false"/>
          <w:i/>
          <w:iCs/>
          <w:caps w:val="false"/>
          <w:smallCaps w:val="false"/>
          <w:strike w:val="false"/>
          <w:dstrike w:val="false"/>
          <w:color w:val="000000"/>
          <w:sz w:val="24"/>
          <w:u w:val="none"/>
          <w:effect w:val="none"/>
          <w:lang w:val="es-ES"/>
        </w:rPr>
        <w:t>Random Forests</w:t>
      </w:r>
      <w:r>
        <w:rPr>
          <w:rFonts w:ascii="Times New Roman" w:hAnsi="Times New Roman"/>
          <w:b w:val="false"/>
          <w:i w:val="false"/>
          <w:caps w:val="false"/>
          <w:smallCaps w:val="false"/>
          <w:strike w:val="false"/>
          <w:dstrike w:val="false"/>
          <w:color w:val="000000"/>
          <w:sz w:val="24"/>
          <w:u w:val="none"/>
          <w:effect w:val="none"/>
          <w:lang w:val="es-ES"/>
        </w:rPr>
        <w:t xml:space="preserve"> fue implementado con el paquete ranger de R = SL.ranger_All. Los otros algoritmos empleados </w:t>
      </w:r>
      <w:r>
        <w:rPr>
          <w:rFonts w:ascii="Times New Roman" w:hAnsi="Times New Roman"/>
          <w:b w:val="false"/>
          <w:i w:val="false"/>
          <w:caps w:val="false"/>
          <w:smallCaps w:val="false"/>
          <w:strike w:val="false"/>
          <w:dstrike w:val="false"/>
          <w:color w:val="000000"/>
          <w:sz w:val="24"/>
          <w:u w:val="none"/>
          <w:effect w:val="none"/>
          <w:lang w:val="es-ES"/>
        </w:rPr>
        <w:t xml:space="preserve">mostraron un mayor error relativo </w:t>
      </w:r>
      <w:r>
        <w:rPr>
          <w:rFonts w:ascii="Times New Roman" w:hAnsi="Times New Roman"/>
          <w:b w:val="false"/>
          <w:i w:val="false"/>
          <w:caps w:val="false"/>
          <w:smallCaps w:val="false"/>
          <w:strike w:val="false"/>
          <w:dstrike w:val="false"/>
          <w:color w:val="000000"/>
          <w:sz w:val="24"/>
          <w:u w:val="none"/>
          <w:effect w:val="none"/>
          <w:lang w:val="es-ES"/>
        </w:rPr>
        <w:t>(SL.bayesglm= modelos lineales generalizados, SL.kernelKnn_All=kknn, SL.ksvm_All=maquinarias de soporte vectorial, SL.xgboost_All= Gradient Boosting.</w:t>
      </w:r>
    </w:p>
    <w:p>
      <w:pPr>
        <w:pStyle w:val="TextBody"/>
        <w:rPr/>
      </w:pPr>
      <w:bookmarkStart w:id="4" w:name="docs-internal-guid-5cb142c2-7fff-1915-672a-b5c391c631f0"/>
      <w:bookmarkEnd w:id="4"/>
      <w:r>
        <w:rPr>
          <w:rFonts w:ascii="Liberation Serif" w:hAnsi="Liberation Serif"/>
          <w:b/>
          <w:bCs/>
          <w:i/>
          <w:iCs/>
          <w:caps w:val="false"/>
          <w:smallCaps w:val="false"/>
          <w:strike w:val="false"/>
          <w:dstrike w:val="false"/>
          <w:color w:val="000000"/>
          <w:sz w:val="24"/>
          <w:u w:val="none"/>
          <w:effect w:val="none"/>
          <w:lang w:val="es-ES"/>
        </w:rPr>
        <w:t>Eliminación recursiva de variables</w:t>
      </w:r>
    </w:p>
    <w:p>
      <w:pPr>
        <w:pStyle w:val="TextBody"/>
        <w:rPr/>
      </w:pPr>
      <w:r>
        <w:rPr>
          <w:rFonts w:ascii="Liberation Serif" w:hAnsi="Liberation Serif"/>
          <w:lang w:val="es-ES"/>
        </w:rPr>
        <w:t>La capacidad predictiva de nuestros modelos alcanzó una varianza explicada (r</w:t>
      </w:r>
      <w:r>
        <w:rPr>
          <w:rFonts w:ascii="Liberation Serif" w:hAnsi="Liberation Serif"/>
          <w:vertAlign w:val="superscript"/>
          <w:lang w:val="es-ES"/>
        </w:rPr>
        <w:t>2</w:t>
      </w:r>
      <w:r>
        <w:rPr>
          <w:rFonts w:ascii="Liberation Serif" w:hAnsi="Liberation Serif"/>
          <w:lang w:val="es-ES"/>
        </w:rPr>
        <w:t xml:space="preserve">) de 54±0.03 (por encima del 50 % usando solo los datos de la serie 2 de INEGI, 2011) y empleando todas las variables disponibles para representar el ambiente de formación de suelos (n=12; Tabla 1). Sin embargo, la eliminación recursiva de variables sugiere que esta capacidad predictiva puede lograrse empleando solamente la siguiente combinación de 6 variables explicativas: elevación + EVI + Precipitación + Temperatura + edad de rocas + TPI (Tabla 1). </w:t>
      </w:r>
    </w:p>
    <w:p>
      <w:pPr>
        <w:pStyle w:val="Normal"/>
        <w:rPr/>
      </w:pPr>
      <w:r>
        <w:rPr>
          <w:rFonts w:ascii="Liberation Serif" w:hAnsi="Liberation Serif"/>
          <w:lang w:val="es-ES"/>
        </w:rPr>
        <w:t>Tabla 1 Resultados de la validación cruzada (usando conjuntos de 5% de datos para validar, 5 realizaciones de cada modelo) derivada de nuestra estrategia de modelación basada en la eliminación recursiva de variables. RMSE=raíz cuadrada del error medio cuadrático, r</w:t>
      </w:r>
      <w:r>
        <w:rPr>
          <w:rFonts w:ascii="Liberation Serif" w:hAnsi="Liberation Serif"/>
          <w:vertAlign w:val="superscript"/>
          <w:lang w:val="es-ES"/>
        </w:rPr>
        <w:t>2</w:t>
      </w:r>
      <w:r>
        <w:rPr>
          <w:rFonts w:ascii="Liberation Serif" w:hAnsi="Liberation Serif"/>
          <w:lang w:val="es-ES"/>
        </w:rPr>
        <w:t>=varianza explicada, MAE=error medio absoluto, RMSESD=desviación estándar de la raíz cuadrada del error medio cuadrático, r</w:t>
      </w:r>
      <w:r>
        <w:rPr>
          <w:rFonts w:ascii="Liberation Serif" w:hAnsi="Liberation Serif"/>
          <w:vertAlign w:val="superscript"/>
          <w:lang w:val="es-ES"/>
        </w:rPr>
        <w:t>2</w:t>
      </w:r>
      <w:r>
        <w:rPr>
          <w:rFonts w:ascii="Liberation Serif" w:hAnsi="Liberation Serif"/>
          <w:lang w:val="es-ES"/>
        </w:rPr>
        <w:t xml:space="preserve">SD=desviación estándar de varianza explicada y MAESD=desviación estándar del error medio absoluto. Las desviaciones (SD) representan las medidas de incertidumbre y la varianza de cada modelo asociado a variaciones en los datos para entrenar y validar. </w:t>
      </w:r>
    </w:p>
    <w:p>
      <w:pPr>
        <w:pStyle w:val="Normal"/>
        <w:rPr>
          <w:rFonts w:ascii="Liberation Serif" w:hAnsi="Liberation Serif"/>
          <w:lang w:val="es-ES"/>
        </w:rPr>
      </w:pPr>
      <w:r>
        <w:rPr>
          <w:rFonts w:ascii="Liberation Serif" w:hAnsi="Liberation Serif"/>
          <w:lang w:val="es-ES"/>
        </w:rPr>
      </w:r>
    </w:p>
    <w:tbl>
      <w:tblPr>
        <w:tblW w:w="9354" w:type="dxa"/>
        <w:jc w:val="left"/>
        <w:tblInd w:w="-8" w:type="dxa"/>
        <w:tblBorders>
          <w:top w:val="single" w:sz="8" w:space="0" w:color="000001"/>
          <w:bottom w:val="single" w:sz="8" w:space="0" w:color="000001"/>
          <w:insideH w:val="single" w:sz="8" w:space="0" w:color="000001"/>
        </w:tblBorders>
        <w:tblCellMar>
          <w:top w:w="100" w:type="dxa"/>
          <w:left w:w="100" w:type="dxa"/>
          <w:bottom w:w="100" w:type="dxa"/>
          <w:right w:w="100" w:type="dxa"/>
        </w:tblCellMar>
      </w:tblPr>
      <w:tblGrid>
        <w:gridCol w:w="1288"/>
        <w:gridCol w:w="898"/>
        <w:gridCol w:w="1520"/>
        <w:gridCol w:w="1310"/>
        <w:gridCol w:w="1432"/>
        <w:gridCol w:w="1514"/>
        <w:gridCol w:w="1391"/>
      </w:tblGrid>
      <w:tr>
        <w:trPr>
          <w:trHeight w:val="440" w:hRule="atLeast"/>
        </w:trPr>
        <w:tc>
          <w:tcPr>
            <w:tcW w:w="1288"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lang w:val="es-ES"/>
              </w:rPr>
            </w:pPr>
            <w:r>
              <w:rPr>
                <w:rFonts w:ascii="Liberation Serif" w:hAnsi="Liberation Serif"/>
                <w:lang w:val="es-ES"/>
              </w:rPr>
              <w:t>Variables</w:t>
            </w:r>
          </w:p>
        </w:tc>
        <w:tc>
          <w:tcPr>
            <w:tcW w:w="898"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lang w:val="es-ES"/>
              </w:rPr>
            </w:pPr>
            <w:r>
              <w:rPr>
                <w:rFonts w:ascii="Liberation Serif" w:hAnsi="Liberation Serif"/>
                <w:lang w:val="es-ES"/>
              </w:rPr>
              <w:t>RMSE</w:t>
            </w:r>
          </w:p>
        </w:tc>
        <w:tc>
          <w:tcPr>
            <w:tcW w:w="152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rPr>
            </w:pPr>
            <w:r>
              <w:rPr>
                <w:rFonts w:ascii="Liberation Serif" w:hAnsi="Liberation Serif"/>
                <w:lang w:val="es-ES"/>
              </w:rPr>
              <w:t>r</w:t>
            </w:r>
            <w:r>
              <w:rPr>
                <w:rFonts w:ascii="Liberation Serif" w:hAnsi="Liberation Serif"/>
                <w:vertAlign w:val="superscript"/>
                <w:lang w:val="es-ES"/>
              </w:rPr>
              <w:t>2</w:t>
            </w:r>
          </w:p>
        </w:tc>
        <w:tc>
          <w:tcPr>
            <w:tcW w:w="1310"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lang w:val="es-ES"/>
              </w:rPr>
            </w:pPr>
            <w:r>
              <w:rPr>
                <w:rFonts w:ascii="Liberation Serif" w:hAnsi="Liberation Serif"/>
                <w:lang w:val="es-ES"/>
              </w:rPr>
              <w:t>MAE</w:t>
            </w:r>
          </w:p>
        </w:tc>
        <w:tc>
          <w:tcPr>
            <w:tcW w:w="1432"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lang w:val="es-ES"/>
              </w:rPr>
            </w:pPr>
            <w:r>
              <w:rPr>
                <w:rFonts w:ascii="Liberation Serif" w:hAnsi="Liberation Serif"/>
                <w:lang w:val="es-ES"/>
              </w:rPr>
              <w:t>RMSESD</w:t>
            </w:r>
          </w:p>
        </w:tc>
        <w:tc>
          <w:tcPr>
            <w:tcW w:w="1514"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rPr>
            </w:pPr>
            <w:r>
              <w:rPr>
                <w:rFonts w:ascii="Liberation Serif" w:hAnsi="Liberation Serif"/>
                <w:lang w:val="es-ES"/>
              </w:rPr>
              <w:t>r</w:t>
            </w:r>
            <w:r>
              <w:rPr>
                <w:rFonts w:ascii="Liberation Serif" w:hAnsi="Liberation Serif"/>
                <w:vertAlign w:val="superscript"/>
                <w:lang w:val="es-ES"/>
              </w:rPr>
              <w:t>2</w:t>
            </w:r>
            <w:r>
              <w:rPr>
                <w:rFonts w:ascii="Liberation Serif" w:hAnsi="Liberation Serif"/>
                <w:lang w:val="es-ES"/>
              </w:rPr>
              <w:t>SD</w:t>
            </w:r>
          </w:p>
        </w:tc>
        <w:tc>
          <w:tcPr>
            <w:tcW w:w="1391" w:type="dxa"/>
            <w:tcBorders>
              <w:top w:val="single" w:sz="8" w:space="0" w:color="222222"/>
              <w:bottom w:val="single" w:sz="8" w:space="0" w:color="000001"/>
              <w:insideH w:val="single" w:sz="8" w:space="0" w:color="000001"/>
            </w:tcBorders>
            <w:shd w:fill="FFFFFF" w:val="clear"/>
          </w:tcPr>
          <w:p>
            <w:pPr>
              <w:pStyle w:val="Normal"/>
              <w:keepNext/>
              <w:rPr>
                <w:rFonts w:ascii="Liberation Serif" w:hAnsi="Liberation Serif"/>
                <w:lang w:val="es-ES"/>
              </w:rPr>
            </w:pPr>
            <w:r>
              <w:rPr>
                <w:rFonts w:ascii="Liberation Serif" w:hAnsi="Liberation Serif"/>
                <w:lang w:val="es-ES"/>
              </w:rPr>
              <w:t>MAESD</w:t>
            </w:r>
          </w:p>
        </w:tc>
      </w:tr>
      <w:tr>
        <w:trPr>
          <w:trHeight w:val="440" w:hRule="atLeast"/>
        </w:trPr>
        <w:tc>
          <w:tcPr>
            <w:tcW w:w="1288"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1</w:t>
            </w:r>
          </w:p>
        </w:tc>
        <w:tc>
          <w:tcPr>
            <w:tcW w:w="898"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0.81</w:t>
            </w:r>
          </w:p>
        </w:tc>
        <w:tc>
          <w:tcPr>
            <w:tcW w:w="1520"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0.09</w:t>
            </w:r>
          </w:p>
        </w:tc>
        <w:tc>
          <w:tcPr>
            <w:tcW w:w="1310"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0.63</w:t>
            </w:r>
          </w:p>
        </w:tc>
        <w:tc>
          <w:tcPr>
            <w:tcW w:w="1432"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0.03</w:t>
            </w:r>
          </w:p>
        </w:tc>
        <w:tc>
          <w:tcPr>
            <w:tcW w:w="1514"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0.03</w:t>
            </w:r>
          </w:p>
        </w:tc>
        <w:tc>
          <w:tcPr>
            <w:tcW w:w="1391"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0.02</w:t>
            </w:r>
          </w:p>
        </w:tc>
      </w:tr>
      <w:tr>
        <w:trPr>
          <w:trHeight w:val="440" w:hRule="atLeast"/>
        </w:trPr>
        <w:tc>
          <w:tcPr>
            <w:tcW w:w="1288"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2</w:t>
            </w:r>
          </w:p>
        </w:tc>
        <w:tc>
          <w:tcPr>
            <w:tcW w:w="898"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0.67</w:t>
            </w:r>
          </w:p>
        </w:tc>
        <w:tc>
          <w:tcPr>
            <w:tcW w:w="1520"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0.31</w:t>
            </w:r>
          </w:p>
        </w:tc>
        <w:tc>
          <w:tcPr>
            <w:tcW w:w="1310"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0.50</w:t>
            </w:r>
          </w:p>
        </w:tc>
        <w:tc>
          <w:tcPr>
            <w:tcW w:w="1432"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0.02</w:t>
            </w:r>
          </w:p>
        </w:tc>
        <w:tc>
          <w:tcPr>
            <w:tcW w:w="1514"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0.03</w:t>
            </w:r>
          </w:p>
        </w:tc>
        <w:tc>
          <w:tcPr>
            <w:tcW w:w="1391"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0.01</w:t>
            </w:r>
          </w:p>
        </w:tc>
      </w:tr>
      <w:tr>
        <w:trPr>
          <w:trHeight w:val="440" w:hRule="atLeast"/>
        </w:trPr>
        <w:tc>
          <w:tcPr>
            <w:tcW w:w="1288"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3</w:t>
            </w:r>
          </w:p>
        </w:tc>
        <w:tc>
          <w:tcPr>
            <w:tcW w:w="898"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0.62</w:t>
            </w:r>
          </w:p>
        </w:tc>
        <w:tc>
          <w:tcPr>
            <w:tcW w:w="1520"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0.40</w:t>
            </w:r>
          </w:p>
        </w:tc>
        <w:tc>
          <w:tcPr>
            <w:tcW w:w="1310"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0.46</w:t>
            </w:r>
          </w:p>
        </w:tc>
        <w:tc>
          <w:tcPr>
            <w:tcW w:w="1432"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0.02</w:t>
            </w:r>
          </w:p>
        </w:tc>
        <w:tc>
          <w:tcPr>
            <w:tcW w:w="1514"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0.03</w:t>
            </w:r>
          </w:p>
        </w:tc>
        <w:tc>
          <w:tcPr>
            <w:tcW w:w="1391"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0.01</w:t>
            </w:r>
          </w:p>
        </w:tc>
      </w:tr>
      <w:tr>
        <w:trPr>
          <w:trHeight w:val="440" w:hRule="atLeast"/>
        </w:trPr>
        <w:tc>
          <w:tcPr>
            <w:tcW w:w="1288"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4</w:t>
            </w:r>
          </w:p>
        </w:tc>
        <w:tc>
          <w:tcPr>
            <w:tcW w:w="898"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0.58</w:t>
            </w:r>
          </w:p>
        </w:tc>
        <w:tc>
          <w:tcPr>
            <w:tcW w:w="1520"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0.48</w:t>
            </w:r>
          </w:p>
        </w:tc>
        <w:tc>
          <w:tcPr>
            <w:tcW w:w="1310"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0.43</w:t>
            </w:r>
          </w:p>
        </w:tc>
        <w:tc>
          <w:tcPr>
            <w:tcW w:w="1432"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0.01</w:t>
            </w:r>
          </w:p>
        </w:tc>
        <w:tc>
          <w:tcPr>
            <w:tcW w:w="1514"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0.03</w:t>
            </w:r>
          </w:p>
        </w:tc>
        <w:tc>
          <w:tcPr>
            <w:tcW w:w="1391"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0.01</w:t>
            </w:r>
          </w:p>
        </w:tc>
      </w:tr>
      <w:tr>
        <w:trPr>
          <w:trHeight w:val="440" w:hRule="atLeast"/>
        </w:trPr>
        <w:tc>
          <w:tcPr>
            <w:tcW w:w="1288"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5</w:t>
            </w:r>
          </w:p>
        </w:tc>
        <w:tc>
          <w:tcPr>
            <w:tcW w:w="898"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0.56</w:t>
            </w:r>
          </w:p>
        </w:tc>
        <w:tc>
          <w:tcPr>
            <w:tcW w:w="1520"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0.51</w:t>
            </w:r>
          </w:p>
        </w:tc>
        <w:tc>
          <w:tcPr>
            <w:tcW w:w="1310"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0.42</w:t>
            </w:r>
          </w:p>
        </w:tc>
        <w:tc>
          <w:tcPr>
            <w:tcW w:w="1432"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0.01</w:t>
            </w:r>
          </w:p>
        </w:tc>
        <w:tc>
          <w:tcPr>
            <w:tcW w:w="1514"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0.02</w:t>
            </w:r>
          </w:p>
        </w:tc>
        <w:tc>
          <w:tcPr>
            <w:tcW w:w="1391"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0.01</w:t>
            </w:r>
          </w:p>
        </w:tc>
      </w:tr>
      <w:tr>
        <w:trPr>
          <w:trHeight w:val="440" w:hRule="atLeast"/>
        </w:trPr>
        <w:tc>
          <w:tcPr>
            <w:tcW w:w="1288" w:type="dxa"/>
            <w:tcBorders>
              <w:top w:val="single" w:sz="8" w:space="0" w:color="000001"/>
              <w:bottom w:val="single" w:sz="8" w:space="0" w:color="000001"/>
              <w:insideH w:val="single" w:sz="8" w:space="0" w:color="000001"/>
            </w:tcBorders>
            <w:shd w:fill="FFFFFF" w:val="clear"/>
          </w:tcPr>
          <w:p>
            <w:pPr>
              <w:pStyle w:val="Normal"/>
              <w:keepNext/>
              <w:rPr/>
            </w:pPr>
            <w:r>
              <w:rPr>
                <w:rFonts w:ascii="Liberation Serif" w:hAnsi="Liberation Serif"/>
                <w:sz w:val="20"/>
                <w:szCs w:val="20"/>
                <w:lang w:val="es-ES"/>
              </w:rPr>
              <w:t>6</w:t>
            </w:r>
          </w:p>
        </w:tc>
        <w:tc>
          <w:tcPr>
            <w:tcW w:w="898"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0.54</w:t>
            </w:r>
          </w:p>
        </w:tc>
        <w:tc>
          <w:tcPr>
            <w:tcW w:w="1520"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0.54</w:t>
            </w:r>
          </w:p>
        </w:tc>
        <w:tc>
          <w:tcPr>
            <w:tcW w:w="1310"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0.40</w:t>
            </w:r>
          </w:p>
        </w:tc>
        <w:tc>
          <w:tcPr>
            <w:tcW w:w="1432"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0.01</w:t>
            </w:r>
          </w:p>
        </w:tc>
        <w:tc>
          <w:tcPr>
            <w:tcW w:w="1514"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0.02</w:t>
            </w:r>
          </w:p>
        </w:tc>
        <w:tc>
          <w:tcPr>
            <w:tcW w:w="1391"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0.01</w:t>
            </w:r>
          </w:p>
        </w:tc>
      </w:tr>
      <w:tr>
        <w:trPr>
          <w:trHeight w:val="440" w:hRule="atLeast"/>
        </w:trPr>
        <w:tc>
          <w:tcPr>
            <w:tcW w:w="1288"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12</w:t>
            </w:r>
          </w:p>
        </w:tc>
        <w:tc>
          <w:tcPr>
            <w:tcW w:w="898"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0.54</w:t>
            </w:r>
          </w:p>
        </w:tc>
        <w:tc>
          <w:tcPr>
            <w:tcW w:w="1520"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0.54</w:t>
            </w:r>
          </w:p>
        </w:tc>
        <w:tc>
          <w:tcPr>
            <w:tcW w:w="1310"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0.40</w:t>
            </w:r>
          </w:p>
        </w:tc>
        <w:tc>
          <w:tcPr>
            <w:tcW w:w="1432"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0.01</w:t>
            </w:r>
          </w:p>
        </w:tc>
        <w:tc>
          <w:tcPr>
            <w:tcW w:w="1514"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0.03</w:t>
            </w:r>
          </w:p>
        </w:tc>
        <w:tc>
          <w:tcPr>
            <w:tcW w:w="1391" w:type="dxa"/>
            <w:tcBorders>
              <w:top w:val="single" w:sz="8" w:space="0" w:color="000001"/>
              <w:bottom w:val="single" w:sz="8" w:space="0" w:color="000001"/>
              <w:insideH w:val="single" w:sz="8" w:space="0" w:color="000001"/>
            </w:tcBorders>
            <w:shd w:fill="FFFFFF" w:val="clear"/>
          </w:tcPr>
          <w:p>
            <w:pPr>
              <w:pStyle w:val="Normal"/>
              <w:keepNext/>
              <w:rPr>
                <w:rFonts w:ascii="Liberation Serif" w:hAnsi="Liberation Serif"/>
                <w:sz w:val="20"/>
                <w:szCs w:val="20"/>
                <w:lang w:val="es-ES"/>
              </w:rPr>
            </w:pPr>
            <w:r>
              <w:rPr>
                <w:rFonts w:ascii="Liberation Serif" w:hAnsi="Liberation Serif"/>
                <w:sz w:val="20"/>
                <w:szCs w:val="20"/>
                <w:lang w:val="es-ES"/>
              </w:rPr>
              <w:t>0.01</w:t>
            </w:r>
          </w:p>
        </w:tc>
      </w:tr>
    </w:tbl>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Usando solamente las variables más importantes seleccionadas por la eliminación recursiva de predictores se obtuvo un error promedio de 0.54±0.01 kg m</w:t>
      </w:r>
      <w:r>
        <w:rPr>
          <w:rFonts w:ascii="Liberation Serif" w:hAnsi="Liberation Serif"/>
          <w:vertAlign w:val="superscript"/>
          <w:lang w:val="es-ES"/>
        </w:rPr>
        <w:t>2</w:t>
      </w:r>
      <w:r>
        <w:rPr>
          <w:rFonts w:ascii="Liberation Serif" w:hAnsi="Liberation Serif"/>
          <w:lang w:val="es-ES"/>
        </w:rPr>
        <w:t xml:space="preserve"> a 1m de profundidad de suelo mineral (Tabla 1). Este valor se encuentra por debajo del primer cuartil de la distribución de los datos empleados para entrenar el modelo predictivo (3.39 kg m</w:t>
      </w:r>
      <w:r>
        <w:rPr>
          <w:rFonts w:ascii="Liberation Serif" w:hAnsi="Liberation Serif"/>
          <w:vertAlign w:val="superscript"/>
          <w:lang w:val="es-ES"/>
        </w:rPr>
        <w:t>2</w:t>
      </w:r>
      <w:r>
        <w:rPr>
          <w:rFonts w:ascii="Liberation Serif" w:hAnsi="Liberation Serif"/>
          <w:lang w:val="es-ES"/>
        </w:rPr>
        <w:t xml:space="preserve"> a 1m de profundidad). La varianza explicada decrece hasta 31±0.03% y el error se incrementa hasta 0.67 kg m</w:t>
      </w:r>
      <w:r>
        <w:rPr>
          <w:rFonts w:ascii="Liberation Serif" w:hAnsi="Liberation Serif"/>
          <w:vertAlign w:val="superscript"/>
          <w:lang w:val="es-ES"/>
        </w:rPr>
        <w:t>2</w:t>
      </w:r>
      <w:r>
        <w:rPr>
          <w:rFonts w:ascii="Liberation Serif" w:hAnsi="Liberation Serif"/>
          <w:lang w:val="es-ES"/>
        </w:rPr>
        <w:t xml:space="preserve"> a 1m de profundidad cuando sólo se usan las dos variables explicativas más informativas en el modelo predictivo después de la eliminación recursiva de variables (EVI + temperatura).</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rPr>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rPr>
        <w:drawing>
          <wp:anchor behindDoc="0" distT="0" distB="0" distL="0" distR="0" simplePos="0" locked="0" layoutInCell="1" allowOverlap="1" relativeHeight="2">
            <wp:simplePos x="0" y="0"/>
            <wp:positionH relativeFrom="column">
              <wp:posOffset>23495</wp:posOffset>
            </wp:positionH>
            <wp:positionV relativeFrom="paragraph">
              <wp:posOffset>22225</wp:posOffset>
            </wp:positionV>
            <wp:extent cx="5800090" cy="703961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800090" cy="7039610"/>
                    </a:xfrm>
                    <a:prstGeom prst="rect">
                      <a:avLst/>
                    </a:prstGeom>
                  </pic:spPr>
                </pic:pic>
              </a:graphicData>
            </a:graphic>
          </wp:anchor>
        </w:drawing>
      </w:r>
    </w:p>
    <w:p>
      <w:pPr>
        <w:pStyle w:val="Normal"/>
        <w:rPr/>
      </w:pPr>
      <w:r>
        <w:rPr>
          <w:rFonts w:ascii="Liberation Serif" w:hAnsi="Liberation Serif"/>
          <w:lang w:val="es-ES"/>
        </w:rPr>
        <w:t xml:space="preserve">Figura </w:t>
      </w:r>
      <w:r>
        <w:rPr>
          <w:rFonts w:ascii="Liberation Serif" w:hAnsi="Liberation Serif"/>
          <w:lang w:val="es-ES"/>
        </w:rPr>
        <w:t>5</w:t>
      </w:r>
      <w:r>
        <w:rPr>
          <w:rFonts w:ascii="Liberation Serif" w:hAnsi="Liberation Serif"/>
          <w:lang w:val="es-ES"/>
        </w:rPr>
        <w:t xml:space="preserve"> (a) Mapa digital de carbono orgánico en el suelo (kg m2) a 1m de profundidad y 90m de resolución espacial, la línea negra representa límites entre países vecinos. (b) Ɛ , Porcentaje de errores en el modelo predictivo (mapa de incertidumbre). (c) Acercamiento, </w:t>
      </w:r>
      <w:r>
        <w:rPr>
          <w:rFonts w:ascii="Liberation Serif" w:hAnsi="Liberation Serif"/>
          <w:lang w:val="es-ES"/>
        </w:rPr>
        <w:t>COS en la Cuenca del</w:t>
      </w:r>
      <w:r>
        <w:rPr>
          <w:rFonts w:ascii="Liberation Serif" w:hAnsi="Liberation Serif"/>
          <w:lang w:val="es-ES"/>
        </w:rPr>
        <w:t xml:space="preserve"> Lago de Cuitzeo, al centro de México entre los límites de Michoacán y Guanajuato, para visualizar un ejemplo del nivel de detalle alcanzado mapeando el COS a 90 m de resolución espacial. (d) Acercamiento del mapa de errores </w:t>
      </w:r>
      <w:r>
        <w:rPr>
          <w:rFonts w:ascii="Liberation Serif" w:hAnsi="Liberation Serif"/>
          <w:lang w:val="es-ES"/>
        </w:rPr>
        <w:t>de prediccion de COS</w:t>
      </w:r>
      <w:r>
        <w:rPr>
          <w:rFonts w:ascii="Liberation Serif" w:hAnsi="Liberation Serif"/>
          <w:lang w:val="es-ES"/>
        </w:rPr>
        <w:t xml:space="preserve"> en la </w:t>
      </w:r>
      <w:r>
        <w:rPr>
          <w:rFonts w:ascii="Liberation Serif" w:hAnsi="Liberation Serif"/>
          <w:lang w:val="es-ES"/>
        </w:rPr>
        <w:t>Cuenca del</w:t>
      </w:r>
      <w:r>
        <w:rPr>
          <w:rFonts w:ascii="Liberation Serif" w:hAnsi="Liberation Serif"/>
          <w:lang w:val="es-ES"/>
        </w:rPr>
        <w:t xml:space="preserve"> Lago de Cuitzeo.</w:t>
      </w:r>
    </w:p>
    <w:p>
      <w:pPr>
        <w:pStyle w:val="TextBody"/>
        <w:rPr>
          <w:rFonts w:ascii="Liberation Serif" w:hAnsi="Liberation Serif"/>
        </w:rPr>
      </w:pPr>
      <w:r>
        <w:rPr>
          <w:rFonts w:ascii="Liberation Serif" w:hAnsi="Liberation Serif"/>
        </w:rPr>
      </w:r>
    </w:p>
    <w:p>
      <w:pPr>
        <w:pStyle w:val="TextBody"/>
        <w:rPr/>
      </w:pPr>
      <w:bookmarkStart w:id="5" w:name="docs-internal-guid-d27e2982-7fff-f152-95ba-a8a282acde47"/>
      <w:bookmarkEnd w:id="5"/>
      <w:r>
        <w:rPr>
          <w:rFonts w:ascii="Liberation Serif" w:hAnsi="Liberation Serif"/>
          <w:b w:val="false"/>
          <w:i w:val="false"/>
          <w:caps w:val="false"/>
          <w:smallCaps w:val="false"/>
          <w:strike w:val="false"/>
          <w:dstrike w:val="false"/>
          <w:color w:val="000000"/>
          <w:sz w:val="22"/>
          <w:u w:val="none"/>
          <w:effect w:val="none"/>
          <w:lang w:val="es-ES"/>
        </w:rPr>
        <w:t xml:space="preserve">El mapa nacional de COS en México sugiere un total de 16.03 ± 4.24 Pg de COS (± 1 desviación estándar, Figura </w:t>
      </w:r>
      <w:r>
        <w:rPr>
          <w:rFonts w:ascii="Liberation Serif" w:hAnsi="Liberation Serif"/>
          <w:b w:val="false"/>
          <w:i w:val="false"/>
          <w:caps w:val="false"/>
          <w:smallCaps w:val="false"/>
          <w:strike w:val="false"/>
          <w:dstrike w:val="false"/>
          <w:color w:val="000000"/>
          <w:sz w:val="22"/>
          <w:u w:val="none"/>
          <w:effect w:val="none"/>
          <w:lang w:val="es-ES"/>
        </w:rPr>
        <w:t>5</w:t>
      </w:r>
      <w:r>
        <w:rPr>
          <w:rFonts w:ascii="Liberation Serif" w:hAnsi="Liberation Serif"/>
          <w:b w:val="false"/>
          <w:i w:val="false"/>
          <w:caps w:val="false"/>
          <w:smallCaps w:val="false"/>
          <w:strike w:val="false"/>
          <w:dstrike w:val="false"/>
          <w:color w:val="000000"/>
          <w:sz w:val="22"/>
          <w:u w:val="none"/>
          <w:effect w:val="none"/>
          <w:lang w:val="es-ES"/>
        </w:rPr>
        <w:t xml:space="preserve">a). El mapa de errores interpolados </w:t>
      </w:r>
      <w:r>
        <w:rPr>
          <w:rFonts w:ascii="Liberation Serif" w:hAnsi="Liberation Serif"/>
          <w:b w:val="false"/>
          <w:i w:val="false"/>
          <w:caps w:val="false"/>
          <w:smallCaps w:val="false"/>
          <w:strike w:val="false"/>
          <w:dstrike w:val="false"/>
          <w:color w:val="000000"/>
          <w:sz w:val="22"/>
          <w:u w:val="none"/>
          <w:effect w:val="none"/>
          <w:lang w:val="es-ES"/>
        </w:rPr>
        <w:t>(Ɛ)</w:t>
      </w:r>
      <w:r>
        <w:rPr>
          <w:rFonts w:ascii="Liberation Serif" w:hAnsi="Liberation Serif"/>
          <w:b w:val="false"/>
          <w:i w:val="false"/>
          <w:caps w:val="false"/>
          <w:smallCaps w:val="false"/>
          <w:strike w:val="false"/>
          <w:dstrike w:val="false"/>
          <w:color w:val="000000"/>
          <w:sz w:val="22"/>
          <w:u w:val="none"/>
          <w:effect w:val="none"/>
          <w:lang w:val="es-ES"/>
        </w:rPr>
        <w:t xml:space="preserve"> sugiere una incertidumbre de modelación de ± 1.68 Pg de COS, mostrando mayores incertidumbres (entre 50 y 100 %) en sitios aridos y semiaridos del noroeste del país, en la Península de Baja California y el desierto de Sonora (Figura </w:t>
      </w:r>
      <w:r>
        <w:rPr>
          <w:rFonts w:ascii="Liberation Serif" w:hAnsi="Liberation Serif"/>
          <w:b w:val="false"/>
          <w:i w:val="false"/>
          <w:caps w:val="false"/>
          <w:smallCaps w:val="false"/>
          <w:strike w:val="false"/>
          <w:dstrike w:val="false"/>
          <w:color w:val="000000"/>
          <w:sz w:val="22"/>
          <w:u w:val="none"/>
          <w:effect w:val="none"/>
          <w:lang w:val="es-ES"/>
        </w:rPr>
        <w:t>5</w:t>
      </w:r>
      <w:r>
        <w:rPr>
          <w:rFonts w:ascii="Liberation Serif" w:hAnsi="Liberation Serif"/>
          <w:b w:val="false"/>
          <w:i w:val="false"/>
          <w:caps w:val="false"/>
          <w:smallCaps w:val="false"/>
          <w:strike w:val="false"/>
          <w:dstrike w:val="false"/>
          <w:color w:val="000000"/>
          <w:sz w:val="22"/>
          <w:u w:val="none"/>
          <w:effect w:val="none"/>
          <w:lang w:val="es-ES"/>
        </w:rPr>
        <w:t>b).</w:t>
      </w:r>
      <w:r>
        <w:rPr>
          <w:rFonts w:ascii="Liberation Serif" w:hAnsi="Liberation Serif"/>
          <w:lang w:val="es-ES"/>
        </w:rPr>
        <w:t xml:space="preserve"> Al nivel nacional los resultados muestran  un valor promedio de 8.68 kg m</w:t>
      </w:r>
      <w:r>
        <w:rPr>
          <w:rFonts w:ascii="Liberation Serif" w:hAnsi="Liberation Serif"/>
          <w:vertAlign w:val="superscript"/>
          <w:lang w:val="es-ES"/>
        </w:rPr>
        <w:t>2</w:t>
      </w:r>
      <w:r>
        <w:rPr>
          <w:rFonts w:ascii="Liberation Serif" w:hAnsi="Liberation Serif"/>
          <w:lang w:val="es-ES"/>
        </w:rPr>
        <w:t xml:space="preserve"> a 1 metro de profundidad con valores que varían de 0.27 a 38.77 kg m</w:t>
      </w:r>
      <w:r>
        <w:rPr>
          <w:rFonts w:ascii="Liberation Serif" w:hAnsi="Liberation Serif"/>
          <w:vertAlign w:val="superscript"/>
          <w:lang w:val="es-ES"/>
        </w:rPr>
        <w:t>2</w:t>
      </w:r>
      <w:r>
        <w:rPr>
          <w:rFonts w:ascii="Liberation Serif" w:hAnsi="Liberation Serif"/>
          <w:lang w:val="es-ES"/>
        </w:rPr>
        <w:t xml:space="preserve"> (Tabla 2).  A nivel estatal,  los resultados muestran obvias relaciones entre el COS y el tamaño de los estados, pero los resultados muestran tambien variaciones importantes entre los contenidos de COS en estados con tamaños relativamente similares, pero bajo diversas condiciones geográficas (e.g., Yucatan-Sonora, Nayarit-Tabasco, Tlaxcala-Aguascalientes). La Ciudad de México, Aguascalientes y Morelos son los estados con reservorios de COS menores (Tabla 2). Gracias a su gran extensión territorial los estados Chihuahua, Coahuila y Durango mostraron los mayores reservorios de COS (Figura </w:t>
      </w:r>
      <w:r>
        <w:rPr>
          <w:rFonts w:ascii="Liberation Serif" w:hAnsi="Liberation Serif"/>
          <w:lang w:val="es-ES"/>
        </w:rPr>
        <w:t>6</w:t>
      </w:r>
      <w:r>
        <w:rPr>
          <w:rFonts w:ascii="Liberation Serif" w:hAnsi="Liberation Serif"/>
          <w:lang w:val="es-ES"/>
        </w:rPr>
        <w:t xml:space="preserve">).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Tabla 2 Reporte de COS por estado. Total de COS en Pg y descripción estadística de los datos de COS modelados (media, mín, máx, desviación estándar (SD), el logaritmo del número de píxeles de 90 m modelados para cada estado (n) y la densidad del COS modelado en toneladas (Ton/Km</w:t>
      </w:r>
      <w:r>
        <w:rPr>
          <w:rFonts w:ascii="Liberation Serif" w:hAnsi="Liberation Serif"/>
          <w:vertAlign w:val="superscript"/>
          <w:lang w:val="es-ES"/>
        </w:rPr>
        <w:t>2</w:t>
      </w:r>
      <w:r>
        <w:rPr>
          <w:rFonts w:ascii="Liberation Serif" w:hAnsi="Liberation Serif"/>
          <w:lang w:val="es-ES"/>
        </w:rPr>
        <w:t>).</w:t>
      </w:r>
    </w:p>
    <w:p>
      <w:pPr>
        <w:pStyle w:val="Normal"/>
        <w:jc w:val="center"/>
        <w:rPr>
          <w:rFonts w:ascii="Liberation Serif" w:hAnsi="Liberation Serif"/>
          <w:lang w:val="es-ES"/>
        </w:rPr>
      </w:pPr>
      <w:r>
        <w:rPr>
          <w:rFonts w:ascii="Liberation Serif" w:hAnsi="Liberation Serif"/>
          <w:lang w:val="es-ES"/>
        </w:rPr>
        <w:tab/>
        <w:t xml:space="preserve"> </w:t>
        <w:tab/>
        <w:t xml:space="preserve"> </w:t>
        <w:tab/>
        <w:t xml:space="preserve"> </w:t>
        <w:tab/>
        <w:t xml:space="preserve"> </w:t>
        <w:tab/>
        <w:t xml:space="preserve"> </w:t>
        <w:tab/>
        <w:tab/>
        <w:t xml:space="preserve"> </w:t>
        <w:tab/>
        <w:t xml:space="preserve"> </w:t>
        <w:tab/>
        <w:t xml:space="preserve"> </w:t>
        <w:tab/>
        <w:t xml:space="preserve"> </w:t>
        <w:tab/>
        <w:t xml:space="preserve"> </w:t>
        <w:tab/>
      </w:r>
    </w:p>
    <w:tbl>
      <w:tblPr>
        <w:tblW w:w="9273" w:type="dxa"/>
        <w:jc w:val="left"/>
        <w:tblInd w:w="107" w:type="dxa"/>
        <w:tblBorders>
          <w:top w:val="single" w:sz="8" w:space="0" w:color="000001"/>
          <w:bottom w:val="single" w:sz="8" w:space="0" w:color="000001"/>
          <w:insideH w:val="single" w:sz="8" w:space="0" w:color="000001"/>
        </w:tblBorders>
        <w:tblCellMar>
          <w:top w:w="100" w:type="dxa"/>
          <w:left w:w="100" w:type="dxa"/>
          <w:bottom w:w="100" w:type="dxa"/>
          <w:right w:w="100" w:type="dxa"/>
        </w:tblCellMar>
      </w:tblPr>
      <w:tblGrid>
        <w:gridCol w:w="1936"/>
        <w:gridCol w:w="734"/>
        <w:gridCol w:w="929"/>
        <w:gridCol w:w="930"/>
        <w:gridCol w:w="931"/>
        <w:gridCol w:w="930"/>
        <w:gridCol w:w="1263"/>
        <w:gridCol w:w="1619"/>
      </w:tblGrid>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Estado</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Total (Pg)</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rPr>
            </w:pPr>
            <w:r>
              <w:rPr>
                <w:rFonts w:ascii="Liberation Serif" w:hAnsi="Liberation Serif"/>
                <w:sz w:val="20"/>
                <w:szCs w:val="20"/>
                <w:lang w:val="es-ES"/>
              </w:rPr>
              <w:t>Media (kg m</w:t>
            </w:r>
            <w:r>
              <w:rPr>
                <w:rFonts w:ascii="Liberation Serif" w:hAnsi="Liberation Serif"/>
                <w:sz w:val="20"/>
                <w:szCs w:val="20"/>
                <w:vertAlign w:val="superscript"/>
                <w:lang w:val="es-ES"/>
              </w:rPr>
              <w:t>2</w:t>
            </w:r>
            <w:r>
              <w:rPr>
                <w:rFonts w:ascii="Liberation Serif" w:hAnsi="Liberation Serif"/>
                <w:sz w:val="20"/>
                <w:szCs w:val="20"/>
                <w:lang w:val="es-ES"/>
              </w:rPr>
              <w:t>)</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 xml:space="preserve">Min </w:t>
            </w:r>
          </w:p>
          <w:p>
            <w:pPr>
              <w:pStyle w:val="Normal"/>
              <w:rPr>
                <w:rFonts w:ascii="Liberation Serif" w:hAnsi="Liberation Serif"/>
              </w:rPr>
            </w:pPr>
            <w:r>
              <w:rPr>
                <w:rFonts w:ascii="Liberation Serif" w:hAnsi="Liberation Serif"/>
                <w:sz w:val="20"/>
                <w:szCs w:val="20"/>
                <w:lang w:val="es-ES"/>
              </w:rPr>
              <w:t>(kg m</w:t>
            </w:r>
            <w:r>
              <w:rPr>
                <w:rFonts w:ascii="Liberation Serif" w:hAnsi="Liberation Serif"/>
                <w:sz w:val="20"/>
                <w:szCs w:val="20"/>
                <w:vertAlign w:val="superscript"/>
                <w:lang w:val="es-ES"/>
              </w:rPr>
              <w:t>2</w:t>
            </w:r>
            <w:r>
              <w:rPr>
                <w:rFonts w:ascii="Liberation Serif" w:hAnsi="Liberation Serif"/>
                <w:sz w:val="20"/>
                <w:szCs w:val="20"/>
                <w:lang w:val="es-ES"/>
              </w:rPr>
              <w:t>)</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 xml:space="preserve">Max </w:t>
            </w:r>
          </w:p>
          <w:p>
            <w:pPr>
              <w:pStyle w:val="Normal"/>
              <w:rPr>
                <w:rFonts w:ascii="Liberation Serif" w:hAnsi="Liberation Serif"/>
              </w:rPr>
            </w:pPr>
            <w:r>
              <w:rPr>
                <w:rFonts w:ascii="Liberation Serif" w:hAnsi="Liberation Serif"/>
                <w:sz w:val="20"/>
                <w:szCs w:val="20"/>
                <w:lang w:val="es-ES"/>
              </w:rPr>
              <w:t>(kg m</w:t>
            </w:r>
            <w:r>
              <w:rPr>
                <w:rFonts w:ascii="Liberation Serif" w:hAnsi="Liberation Serif"/>
                <w:sz w:val="20"/>
                <w:szCs w:val="20"/>
                <w:vertAlign w:val="superscript"/>
                <w:lang w:val="es-ES"/>
              </w:rPr>
              <w:t>2</w:t>
            </w:r>
            <w:r>
              <w:rPr>
                <w:rFonts w:ascii="Liberation Serif" w:hAnsi="Liberation Serif"/>
                <w:sz w:val="20"/>
                <w:szCs w:val="20"/>
                <w:lang w:val="es-ES"/>
              </w:rPr>
              <w:t>)</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 xml:space="preserve">SD </w:t>
            </w:r>
          </w:p>
          <w:p>
            <w:pPr>
              <w:pStyle w:val="Normal"/>
              <w:rPr>
                <w:rFonts w:ascii="Liberation Serif" w:hAnsi="Liberation Serif"/>
              </w:rPr>
            </w:pPr>
            <w:r>
              <w:rPr>
                <w:rFonts w:ascii="Liberation Serif" w:hAnsi="Liberation Serif"/>
                <w:sz w:val="20"/>
                <w:szCs w:val="20"/>
                <w:lang w:val="es-ES"/>
              </w:rPr>
              <w:t>(kg m</w:t>
            </w:r>
            <w:r>
              <w:rPr>
                <w:rFonts w:ascii="Liberation Serif" w:hAnsi="Liberation Serif"/>
                <w:sz w:val="20"/>
                <w:szCs w:val="20"/>
                <w:vertAlign w:val="superscript"/>
                <w:lang w:val="es-ES"/>
              </w:rPr>
              <w:t>2</w:t>
            </w:r>
            <w:r>
              <w:rPr>
                <w:rFonts w:ascii="Liberation Serif" w:hAnsi="Liberation Serif"/>
                <w:sz w:val="20"/>
                <w:szCs w:val="20"/>
                <w:lang w:val="es-ES"/>
              </w:rPr>
              <w:t>)</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n</w:t>
            </w:r>
          </w:p>
          <w:p>
            <w:pPr>
              <w:pStyle w:val="Normal"/>
              <w:rPr>
                <w:rFonts w:ascii="Liberation Serif" w:hAnsi="Liberation Serif"/>
                <w:sz w:val="20"/>
                <w:szCs w:val="20"/>
                <w:lang w:val="es-ES"/>
              </w:rPr>
            </w:pPr>
            <w:r>
              <w:rPr>
                <w:rFonts w:ascii="Liberation Serif" w:hAnsi="Liberation Serif"/>
                <w:sz w:val="20"/>
                <w:szCs w:val="20"/>
                <w:lang w:val="es-ES"/>
              </w:rPr>
              <w:t>(píxeles)</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Densidad</w:t>
            </w:r>
          </w:p>
          <w:p>
            <w:pPr>
              <w:pStyle w:val="Normal"/>
              <w:rPr>
                <w:rFonts w:ascii="Liberation Serif" w:hAnsi="Liberation Serif"/>
              </w:rPr>
            </w:pPr>
            <w:r>
              <w:rPr>
                <w:rFonts w:ascii="Liberation Serif" w:hAnsi="Liberation Serif"/>
                <w:sz w:val="20"/>
                <w:szCs w:val="20"/>
                <w:lang w:val="es-ES"/>
              </w:rPr>
              <w:t>(Ton km</w:t>
            </w:r>
            <w:r>
              <w:rPr>
                <w:rFonts w:ascii="Liberation Serif" w:hAnsi="Liberation Serif"/>
                <w:sz w:val="20"/>
                <w:szCs w:val="20"/>
                <w:vertAlign w:val="superscript"/>
                <w:lang w:val="es-ES"/>
              </w:rPr>
              <w:t>2</w:t>
            </w:r>
            <w:r>
              <w:rPr>
                <w:rFonts w:ascii="Liberation Serif" w:hAnsi="Liberation Serif"/>
                <w:sz w:val="20"/>
                <w:szCs w:val="20"/>
                <w:lang w:val="es-ES"/>
              </w:rPr>
              <w:t>)</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Aguascalientes</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0.03</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6.39</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3.02</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14.97</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1.26</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655329</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7038.75</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Baja California</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0.29</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3.57</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0.63</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18.23</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2.20</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9948743</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3929.21</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Baja California Sur</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0.21</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2.76</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0.71</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15.46</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1.45</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9249971</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3040.89</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Campeche</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0.86</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14.93</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2.58</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32.98</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2.54</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7095863</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16453.99</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Chiapas</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0.63</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8.69</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1.44</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21.99</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2.79</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8975054</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9579.00</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Chihuahua</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1.51</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5.84</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0.98</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19.12</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1.71</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31826863</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6433.44</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Coahuila</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1.37</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8.35</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0.86</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38.41</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3.04</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20280451</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9196.86</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Colima</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0.05</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8.28</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3.30</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18.93</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1.67</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690793</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9129.61</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Distrito Federal</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0.01</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8.56</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2.30</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32.87</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3.10</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198139</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9435.31</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Durango</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0.97</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7.46</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1.61</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32.86</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2.35</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15972961</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8225.33</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Guanajuato</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0.21</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6.62</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3.09</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19.89</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1.30</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3855479</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7299.81</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Guerrero</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0.54</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8.33</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1.24</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20.78</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2.09</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7966888</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9177.39</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Hidalgo</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0.19</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8.53</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2.85</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22.93</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2.33</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2797573</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9402.95</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Jalisco</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0.56</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7.33</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1.63</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18.59</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1.65</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9497597</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8076.65</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México</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0.19</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8.21</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3.20</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26.95</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2.21</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2871163</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9046.71</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Michoacán</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0.49</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8.26</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1.65</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30.70</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2.61</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7319411</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9101.94</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Morelos</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0.04</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7.81</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3.41</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16.29</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1.45</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626505</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8607.18</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Nayarit</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0.21</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7.49</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2.31</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23.47</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1.95</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3445650</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8252.07</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Nuevo León</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0.63</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9.29</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2.13</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21.55</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2.58</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8412272</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10241.74</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Oaxaca</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0.77</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8.62</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1.84</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25.08</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2.75</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11098742</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9499.31</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Puebla</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0.29</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8.74</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2.33</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25.51</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2.07</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4160136</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9635.11</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Querétaro</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0.09</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7.69</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3.30</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16.56</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1.77</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1439690</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8471.49</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Quintana Roo</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0.83</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18.92</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2.74</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32.02</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3.61</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5417598</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20851.00</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San Luis Potosí</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0.62</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9.65</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3.14</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21.46</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2.33</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7959124</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10633.81</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Sinaloa</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0.37</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6.67</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1.34</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21.18</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1.81</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6884320</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7347.37</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Sonora</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0.94</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4.73</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0.27</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22.64</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2.34</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24433438</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5209.30</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Tabasco</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0.22</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9.14</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1.51</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21.28</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2.56</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2923017</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10074.28</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Tamaulipas</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0.77</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9.39</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1.81</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23.64</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2.61</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10098778</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10351.00</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Tlaxcala</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0.03</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7.93</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3.07</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20.69</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2.03</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515708</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8736.70</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Veracruz</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0.69</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9.91</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2.04</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34.84</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2.40</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8539746</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10919.12</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Yucatán</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0.87</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22.74</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3.17</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38.77</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5.24</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4745119</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25061.50</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Zacatecas</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0.55</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7.00</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2.27</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18.96</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1.72</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9634081</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7713.79</w:t>
            </w:r>
          </w:p>
        </w:tc>
      </w:tr>
      <w:tr>
        <w:trPr>
          <w:trHeight w:val="440" w:hRule="atLeast"/>
        </w:trPr>
        <w:tc>
          <w:tcPr>
            <w:tcW w:w="1936"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Nacional</w:t>
            </w:r>
          </w:p>
        </w:tc>
        <w:tc>
          <w:tcPr>
            <w:tcW w:w="734"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16.03</w:t>
            </w:r>
          </w:p>
        </w:tc>
        <w:tc>
          <w:tcPr>
            <w:tcW w:w="92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8.68</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0.27</w:t>
            </w:r>
          </w:p>
        </w:tc>
        <w:tc>
          <w:tcPr>
            <w:tcW w:w="931"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38.77</w:t>
            </w:r>
          </w:p>
        </w:tc>
        <w:tc>
          <w:tcPr>
            <w:tcW w:w="930"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4.24</w:t>
            </w:r>
          </w:p>
        </w:tc>
        <w:tc>
          <w:tcPr>
            <w:tcW w:w="1263"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250901811</w:t>
            </w:r>
          </w:p>
        </w:tc>
        <w:tc>
          <w:tcPr>
            <w:tcW w:w="1619" w:type="dxa"/>
            <w:tcBorders>
              <w:top w:val="single" w:sz="8" w:space="0" w:color="000001"/>
              <w:bottom w:val="single" w:sz="8" w:space="0" w:color="000001"/>
              <w:insideH w:val="single" w:sz="8" w:space="0" w:color="000001"/>
            </w:tcBorders>
            <w:shd w:fill="FFFFFF" w:val="clear"/>
          </w:tcPr>
          <w:p>
            <w:pPr>
              <w:pStyle w:val="Normal"/>
              <w:rPr>
                <w:rFonts w:ascii="Liberation Serif" w:hAnsi="Liberation Serif"/>
                <w:sz w:val="20"/>
                <w:szCs w:val="20"/>
                <w:lang w:val="es-ES"/>
              </w:rPr>
            </w:pPr>
            <w:r>
              <w:rPr>
                <w:rFonts w:ascii="Liberation Serif" w:hAnsi="Liberation Serif"/>
                <w:sz w:val="20"/>
                <w:szCs w:val="20"/>
                <w:lang w:val="es-ES"/>
              </w:rPr>
              <w:t>8692.13</w:t>
            </w:r>
          </w:p>
        </w:tc>
      </w:tr>
    </w:tbl>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tab/>
        <w:t xml:space="preserve"> </w:t>
        <w:tab/>
        <w:t xml:space="preserve"> </w:t>
        <w:tab/>
        <w:t xml:space="preserve"> </w:t>
        <w:tab/>
        <w:t xml:space="preserve"> </w:t>
        <w:tab/>
        <w:t xml:space="preserve"> </w:t>
        <w:tab/>
      </w:r>
    </w:p>
    <w:p>
      <w:pPr>
        <w:pStyle w:val="Normal"/>
        <w:rPr/>
      </w:pPr>
      <w:r>
        <w:rPr>
          <w:rFonts w:ascii="Liberation Serif" w:hAnsi="Liberation Serif"/>
          <w:lang w:val="es-ES"/>
        </w:rPr>
        <w:t>Las mayores densidades de COS a un metro de profundidad de acuerdo con el modelo predictivo generado son Campeche, Quintana Roo, y Veracruz. En contraste, estados como Baja California (norte y sur), Sonora y Chihuahua presentaron las menores densidades de COS por unidad de área (Tabla 2). Estas relaciones entre el área de los estados (representada por el número de píxeles modelados) y sus contenidos de COS son a nivel nacional significativas, con un valor r</w:t>
      </w:r>
      <w:r>
        <w:rPr>
          <w:rFonts w:ascii="Liberation Serif" w:hAnsi="Liberation Serif"/>
          <w:vertAlign w:val="superscript"/>
          <w:lang w:val="es-ES"/>
        </w:rPr>
        <w:t>2</w:t>
      </w:r>
      <w:r>
        <w:rPr>
          <w:rFonts w:ascii="Liberation Serif" w:hAnsi="Liberation Serif"/>
          <w:lang w:val="es-ES"/>
        </w:rPr>
        <w:t xml:space="preserve"> igual a 0.71 (Figura </w:t>
      </w:r>
      <w:r>
        <w:rPr>
          <w:rFonts w:ascii="Liberation Serif" w:hAnsi="Liberation Serif"/>
          <w:lang w:val="es-ES"/>
        </w:rPr>
        <w:t>6</w:t>
      </w:r>
      <w:r>
        <w:rPr>
          <w:rFonts w:ascii="Liberation Serif" w:hAnsi="Liberation Serif"/>
          <w:lang w:val="es-ES"/>
        </w:rPr>
        <w:t xml:space="preserve">). </w:t>
      </w:r>
    </w:p>
    <w:p>
      <w:pPr>
        <w:pStyle w:val="Normal"/>
        <w:rPr>
          <w:rFonts w:ascii="Liberation Serif" w:hAnsi="Liberation Serif"/>
          <w:lang w:val="es-ES"/>
        </w:rPr>
      </w:pPr>
      <w:r>
        <w:rPr>
          <w:rFonts w:ascii="Liberation Serif" w:hAnsi="Liberation Serif"/>
          <w:lang w:val="es-ES"/>
        </w:rPr>
      </w:r>
    </w:p>
    <w:p>
      <w:pPr>
        <w:pStyle w:val="Normal"/>
        <w:jc w:val="center"/>
        <w:rPr>
          <w:rFonts w:ascii="Liberation Serif" w:hAnsi="Liberation Serif"/>
        </w:rPr>
      </w:pPr>
      <w:r>
        <w:rPr/>
        <w:drawing>
          <wp:inline distT="0" distB="0" distL="0" distR="0">
            <wp:extent cx="4800600" cy="4400550"/>
            <wp:effectExtent l="0" t="0" r="0" b="0"/>
            <wp:docPr id="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
                    <pic:cNvPicPr>
                      <a:picLocks noChangeAspect="1" noChangeArrowheads="1"/>
                    </pic:cNvPicPr>
                  </pic:nvPicPr>
                  <pic:blipFill>
                    <a:blip r:embed="rId7"/>
                    <a:stretch>
                      <a:fillRect/>
                    </a:stretch>
                  </pic:blipFill>
                  <pic:spPr bwMode="auto">
                    <a:xfrm>
                      <a:off x="0" y="0"/>
                      <a:ext cx="4800600" cy="4400550"/>
                    </a:xfrm>
                    <a:prstGeom prst="rect">
                      <a:avLst/>
                    </a:prstGeom>
                  </pic:spPr>
                </pic:pic>
              </a:graphicData>
            </a:graphic>
          </wp:inline>
        </w:drawing>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 xml:space="preserve">Figura </w:t>
      </w:r>
      <w:r>
        <w:rPr>
          <w:rFonts w:ascii="Liberation Serif" w:hAnsi="Liberation Serif"/>
          <w:lang w:val="es-ES"/>
        </w:rPr>
        <w:t>6</w:t>
      </w:r>
      <w:r>
        <w:rPr>
          <w:rFonts w:ascii="Liberation Serif" w:hAnsi="Liberation Serif"/>
          <w:lang w:val="es-ES"/>
        </w:rPr>
        <w:t xml:space="preserve"> Relación entre el COS modelado y el área de cada estado representada por el número de píxeles (npíxeles) de 90x90 m. Los valores de COS y área se presentan en una transformación logarítmica (+1) que permitió reducir el sesgo entre las diferentes magnitudes de las variables en ambos ejes del plano. Los colores muestran una agrupación por cuantiles basada en la distribución estadística de los estimados de carbono por estado. Mostramos los coeficientes del ajuste lineal (70% de varianza explicada) entre el contenido de COS (en Petagramos) y el área (npíxeles) para cada estado.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b/>
          <w:b/>
          <w:bCs/>
          <w:lang w:val="es-ES"/>
        </w:rPr>
      </w:pPr>
      <w:r>
        <w:rPr>
          <w:rFonts w:ascii="Liberation Serif" w:hAnsi="Liberation Serif"/>
          <w:b/>
          <w:bCs/>
          <w:lang w:val="es-ES"/>
        </w:rPr>
        <w:t xml:space="preserve">Discusión </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Fue generado un mapa digital del contenido de COS en México a un metro de profundidad y con una resolución espacial de 90 m usando datos recolectados por INEGI entre 1999 y 2009.</w:t>
      </w:r>
      <w:bookmarkStart w:id="6" w:name="docs-internal-guid-3c778783-7fff-f23e-9e43-d88967160a45"/>
      <w:bookmarkEnd w:id="6"/>
      <w:r>
        <w:rPr>
          <w:rFonts w:ascii="Liberation Serif" w:hAnsi="Liberation Serif"/>
          <w:lang w:val="es-ES"/>
        </w:rPr>
        <w:t xml:space="preserve"> </w:t>
      </w:r>
      <w:r>
        <w:rPr>
          <w:rFonts w:ascii="Liberation Serif" w:hAnsi="Liberation Serif"/>
          <w:b w:val="false"/>
          <w:i w:val="false"/>
          <w:caps w:val="false"/>
          <w:smallCaps w:val="false"/>
          <w:strike w:val="false"/>
          <w:dstrike w:val="false"/>
          <w:color w:val="000000"/>
          <w:sz w:val="22"/>
          <w:u w:val="none"/>
          <w:effect w:val="none"/>
          <w:lang w:val="es-ES"/>
        </w:rPr>
        <w:t xml:space="preserve">Este mapa (Figura </w:t>
      </w:r>
      <w:r>
        <w:rPr>
          <w:rFonts w:ascii="Liberation Serif" w:hAnsi="Liberation Serif"/>
          <w:b w:val="false"/>
          <w:i w:val="false"/>
          <w:caps w:val="false"/>
          <w:smallCaps w:val="false"/>
          <w:strike w:val="false"/>
          <w:dstrike w:val="false"/>
          <w:color w:val="000000"/>
          <w:sz w:val="22"/>
          <w:u w:val="none"/>
          <w:effect w:val="none"/>
          <w:lang w:val="es-ES"/>
        </w:rPr>
        <w:t>5</w:t>
      </w:r>
      <w:r>
        <w:rPr>
          <w:rFonts w:ascii="Liberation Serif" w:hAnsi="Liberation Serif"/>
          <w:b w:val="false"/>
          <w:i w:val="false"/>
          <w:caps w:val="false"/>
          <w:smallCaps w:val="false"/>
          <w:strike w:val="false"/>
          <w:dstrike w:val="false"/>
          <w:color w:val="000000"/>
          <w:sz w:val="22"/>
          <w:u w:val="none"/>
          <w:effect w:val="none"/>
          <w:lang w:val="es-ES"/>
        </w:rPr>
        <w:t xml:space="preserve">a) sigue una metodología basada en minería de datos implementada en una plataforma de código abierto (R, Core Team 2018) que permite obtener información espacialmente explícita sobre el error asociado a la predicción de COS también a 90m de resolución espacial (Figure 4b). </w:t>
      </w:r>
      <w:r>
        <w:rPr>
          <w:rFonts w:ascii="Liberation Serif" w:hAnsi="Liberation Serif"/>
          <w:lang w:val="es-ES"/>
        </w:rPr>
        <w:t xml:space="preserve">Proponemos el uso de fuentes de información pública y metodologías reproducibles para la generación de mapas digitales y estimaciones de COS a escalas relevantes (píxeles &lt;100m) para el manejo de ecosistemas y el desarrollo de políticas públicas. El mapa de COS generado en este trabajo representa una herramienta de análisis que puede ayudar a resolver la actual discrepancia entre los distintos estimados de COS existente a diversas escalas espaciales (Tifafi et al., 2018, Guevara et al., 2018), así como reducir la incertidumbre en los pronósticos de COS en relación con el cambio ambiental global (Crowther et al., 2016, van Gestel et al., 2018). </w:t>
      </w:r>
    </w:p>
    <w:p>
      <w:pPr>
        <w:pStyle w:val="Normal"/>
        <w:rPr>
          <w:rFonts w:ascii="Liberation Serif" w:hAnsi="Liberation Serif"/>
          <w:lang w:val="es-ES"/>
        </w:rPr>
      </w:pPr>
      <w:r>
        <w:rPr>
          <w:rFonts w:ascii="Liberation Serif" w:hAnsi="Liberation Serif"/>
          <w:lang w:val="es-ES"/>
        </w:rPr>
      </w:r>
    </w:p>
    <w:p>
      <w:pPr>
        <w:pStyle w:val="Normal"/>
        <w:rPr>
          <w:lang w:val="es-ES"/>
        </w:rPr>
      </w:pPr>
      <w:r>
        <w:rPr>
          <w:rFonts w:ascii="Liberation Serif" w:hAnsi="Liberation Serif"/>
          <w:b/>
          <w:bCs/>
          <w:i/>
          <w:iCs/>
          <w:lang w:val="es-ES"/>
        </w:rPr>
        <w:t>Contenidos de COS</w:t>
      </w:r>
    </w:p>
    <w:p>
      <w:pPr>
        <w:pStyle w:val="Normal"/>
        <w:rPr>
          <w:rFonts w:ascii="Liberation Serif" w:hAnsi="Liberation Serif"/>
          <w:lang w:val="es-ES"/>
        </w:rPr>
      </w:pPr>
      <w:r>
        <w:rPr>
          <w:rFonts w:ascii="Liberation Serif" w:hAnsi="Liberation Serif"/>
          <w:lang w:val="es-ES"/>
        </w:rPr>
      </w:r>
    </w:p>
    <w:p>
      <w:pPr>
        <w:pStyle w:val="Normal"/>
        <w:rPr>
          <w:lang w:val="es-ES"/>
        </w:rPr>
      </w:pPr>
      <w:r>
        <w:rPr>
          <w:rFonts w:ascii="Liberation Serif" w:hAnsi="Liberation Serif"/>
          <w:lang w:val="es-ES"/>
        </w:rPr>
        <w:t xml:space="preserve">Para el periodo de análisis (1999-2009), el COS estimado a 1 metro de profundidad en este trabajo (16.03 ± 4.24 Pg) es un valor conservador comparado con reportes previos (Lajtha et al., 2018). La baja disponibilidad de datos de BLD o la naturaleza categórica de datos disponibles de CFR pueden ser la causa principal del sesgo en los diversos estimados de COS (Poeplau et al. 2017). Generar marcos de trabajo reproducibles para contar con estimados precisos de COS a 1m de profundidad es una prioridad (para México y otros países de Latinoamérica) ya que existe una discrepancia en estimados disponibles que va de 6 a 18 Pg de COS, sólo en la superficie del suelo (e.g., 0-30 cm, Guevara et al., 2018). Una síntesis para México, empleando diversas fuentes de datos (i.e., puntos, polígonos, imagenes) de carbono a 1 m de profundidad reporta 9 Pg para la superficie (0-30 cm de suelo mineral) y 14 Pg para el perfil de 0 a 100 cm (Paz et al., 2016). Esta varianza es un factor común en muchos países y a la escala global; por tanto, es imperante reducir la incertidumbre en los estimados actuales de COS para mejorar nuestro conocimiento sobre la contribución del COS al ciclo global del carbono. </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 xml:space="preserve">El reto constante para reducir la incertidumbre en los estimados de COS es incrementar la resolución espacial y temporal de las predicciones e incrementar la </w:t>
      </w:r>
      <w:bookmarkStart w:id="7" w:name="docs-internal-guid-c055278a-7fff-c434-7908-cc57cb635cbe"/>
      <w:bookmarkEnd w:id="7"/>
      <w:r>
        <w:rPr>
          <w:rFonts w:ascii="Liberation Serif" w:hAnsi="Liberation Serif"/>
          <w:b w:val="false"/>
          <w:i w:val="false"/>
          <w:caps w:val="false"/>
          <w:smallCaps w:val="false"/>
          <w:strike w:val="false"/>
          <w:dstrike w:val="false"/>
          <w:color w:val="000000"/>
          <w:sz w:val="22"/>
          <w:u w:val="none"/>
          <w:effect w:val="none"/>
          <w:lang w:val="es-ES"/>
        </w:rPr>
        <w:t>precisión</w:t>
      </w:r>
      <w:r>
        <w:rPr>
          <w:rFonts w:ascii="Liberation Serif" w:hAnsi="Liberation Serif"/>
          <w:lang w:val="es-ES"/>
        </w:rPr>
        <w:t xml:space="preserve"> y exactitud de los modelos generados. Para esto es importante contar con sistemas de inferencia de suelos interoperables y replicables (Vargas et al., 2017). Una fuente de discrepancia que afecta a los modelos de variabilidad espacial del COS es la resolución espacial de los estimados disponibles (Hengl et al., 2006, Shangguan et al., 2017) . Otros estudios sugieren que el COS puede ser subestimado debido al uso de covariables (e.g., topográficos) derivadas a partir de resoluciones espaciales gruesas (e.g., píxeles de 1x1 km, Chen et al., 2018). Comparado con estimados previos a resoluciones más gruesas (Cruz-Cárdenas et al. 2014, FAO e ITPS, 2018) o de carácter global (Hengl et al., 2017), nuestros resultados proveen un nivel de detalle espacial de 90 m (Figura </w:t>
      </w:r>
      <w:r>
        <w:rPr>
          <w:rFonts w:ascii="Liberation Serif" w:hAnsi="Liberation Serif"/>
          <w:lang w:val="es-ES"/>
        </w:rPr>
        <w:t>5</w:t>
      </w:r>
      <w:r>
        <w:rPr>
          <w:rFonts w:ascii="Liberation Serif" w:hAnsi="Liberation Serif"/>
          <w:lang w:val="es-ES"/>
        </w:rPr>
        <w:t xml:space="preserve">c) que puede contribuir con varios esfuerzos como: a) GlobalSoilMap.net para el mapa global de suelos (Sanchez et al., 2009, Arrouays et al., 2017); b) iniciativas de las Naciones Unidas para combatir la degradación de tierras (FAO, 2017); y c) reducir la incertidumbre en los pronósticos de cambio climático asociados al ciclo global del carbono (Crowther et al., 2016, Walsh et al., 2017).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b/>
          <w:b/>
          <w:bCs/>
          <w:i/>
          <w:i/>
          <w:iCs/>
          <w:lang w:val="es-ES"/>
        </w:rPr>
      </w:pPr>
      <w:r>
        <w:rPr>
          <w:rFonts w:ascii="Liberation Serif" w:hAnsi="Liberation Serif"/>
          <w:b/>
          <w:bCs/>
          <w:i/>
          <w:iCs/>
          <w:lang w:val="es-ES"/>
        </w:rPr>
        <w:t>Desempeño estadístico</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 xml:space="preserve">Como línea base de incertidumbre, nuestro mapa digital de COS está asociado con un reporte de desempeño estadístico </w:t>
      </w:r>
      <w:r>
        <w:rPr>
          <w:rFonts w:ascii="Liberation Serif" w:hAnsi="Liberation Serif"/>
          <w:lang w:val="es-ES"/>
        </w:rPr>
        <w:t>y un mapa de erroes (Ɛ)</w:t>
      </w:r>
      <w:r>
        <w:rPr>
          <w:rFonts w:ascii="Liberation Serif" w:hAnsi="Liberation Serif"/>
          <w:lang w:val="es-ES"/>
        </w:rPr>
        <w:t xml:space="preserve"> que captura la varianza de diversas combinaciones de datos y parámetros del modelo predictivo. Monitorear el desempeño estadístico de los modelos de variabilidad espacial del COS bajo distintos tratamientos de datos (i.e., logaritmo, no logaritmo) y combinaciones de factores predictivos representativos de múltiples periodos de tiempo o colectados con diversos métodos es requerido para reducir la incertidumbre de los múltiples estimados actuales de COS (Lagacherie et al., 2019). Esto es porque las diversas medidas de desempeño estadístico (r</w:t>
      </w:r>
      <w:r>
        <w:rPr>
          <w:rFonts w:ascii="Liberation Serif" w:hAnsi="Liberation Serif"/>
          <w:vertAlign w:val="superscript"/>
          <w:lang w:val="es-ES"/>
        </w:rPr>
        <w:t>2</w:t>
      </w:r>
      <w:r>
        <w:rPr>
          <w:rFonts w:ascii="Liberation Serif" w:hAnsi="Liberation Serif"/>
          <w:lang w:val="es-ES"/>
        </w:rPr>
        <w:t xml:space="preserve">, RMSE, MAE) proveen información útil para mejorar la selección de parámetros de los modelos predictivos del COS y consecuentemente, reducir los errores asociados a sus predicciones. Nuestro modelo predictivo sugiere errores promedio debajo del primer cuartil de la distribución estadística de los datos de COS disponibles (Tabla 1), lo cual sugiere un poder predictivo capaz de capturar la distribución estadística de los datos de entrenamiento con una varianza explicada por encima del 50%. Con 6 variables explicativas (elevación, EVI, Precipitación,Temperatura, edad de rocas y TPI), estos valores son comparables con reportes de otros países que documentan el desempeño estadístico de los modelos predictivos para desarrollo de los mapas digitales de COS a nivel global (250 m de resolución espacial, Hengl et al., 2017), continental (90 m de resolución espacial, Rossel et al., 2014) y nacional (30 m de resolución espacial, Adhikari et al., 2014).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b/>
          <w:b/>
          <w:bCs/>
          <w:i/>
          <w:i/>
          <w:iCs/>
          <w:lang w:val="es-ES"/>
        </w:rPr>
      </w:pPr>
      <w:r>
        <w:rPr>
          <w:rFonts w:ascii="Liberation Serif" w:hAnsi="Liberation Serif"/>
          <w:b/>
          <w:bCs/>
          <w:i/>
          <w:iCs/>
          <w:lang w:val="es-ES"/>
        </w:rPr>
        <w:t>Reto computacional</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t>Generar mapas de alta resolución espacial a nivel región-país se convierte en un reto computacional a medida que el área de interés incrementa. Es común que los mapas digitales del suelo a escalas detalladas (i.e., pixeles &lt;1x1km) de áreas de gran extensión territorial se desarrollen en sistemas de cómputo de alto rendimiento con infraestructura y mantenimiento costoso pero que facilitan el manejo de grandes bases de datos (Chaney et al., 2019). Sin embargo, las instituciones mexicanas que tienen el mandato de generar y actualizar información relacionada con el suelo y sus funciones (e.g, INEGI, Comisión Nacional Forestal) no necesariamente cuentan con estos sistemas computacionales. Sin embargo, estas instituciones generalmente albergan la mayor cantidad de información de campo para generar y validar modelos de variabilidad espacial de COS a escalas nacionales (Krasilnikov et al., 2013). Por lo tanto, es indispensable generar protocolos para análisis de datos y mapas digitales de COS con bajo costo computacional y con recursos computacionales disponibles en la mayoría de las instituciones interesadas en generar este tipo de información.</w:t>
      </w:r>
    </w:p>
    <w:p>
      <w:pPr>
        <w:pStyle w:val="Normal"/>
        <w:rPr>
          <w:rFonts w:ascii="Liberation Serif" w:hAnsi="Liberation Serif"/>
          <w:lang w:val="es-ES"/>
        </w:rPr>
      </w:pPr>
      <w:r>
        <w:rPr>
          <w:rFonts w:ascii="Liberation Serif" w:hAnsi="Liberation Serif"/>
          <w:lang w:val="es-ES"/>
        </w:rPr>
      </w:r>
    </w:p>
    <w:p>
      <w:pPr>
        <w:pStyle w:val="Normal"/>
        <w:rPr>
          <w:lang w:val="es-ES"/>
        </w:rPr>
      </w:pPr>
      <w:r>
        <w:rPr>
          <w:rFonts w:ascii="Liberation Serif" w:hAnsi="Liberation Serif"/>
          <w:lang w:val="es-ES"/>
        </w:rPr>
        <w:t>Por ejemplo, para analizar tendencias del COS asociadas a cambios de uso de suelo o clima a escalas detalladas (i.e., píxeles de 90 m) en México, es necesario resolver primero el reto computacional para la construcción de un modelo predictivo preciso y de un algoritmo de predicción eficiente (i.e., rápido) en los 2 millones de km</w:t>
      </w:r>
      <w:r>
        <w:rPr>
          <w:rFonts w:ascii="Liberation Serif" w:hAnsi="Liberation Serif"/>
          <w:vertAlign w:val="superscript"/>
          <w:lang w:val="es-ES"/>
        </w:rPr>
        <w:t xml:space="preserve">2 </w:t>
      </w:r>
      <w:r>
        <w:rPr>
          <w:rFonts w:ascii="Liberation Serif" w:hAnsi="Liberation Serif"/>
          <w:lang w:val="es-ES"/>
        </w:rPr>
        <w:t xml:space="preserve">del país. Con esto podremos agilizar la obtención periódica de resultados y proveer una línea base para habilitar sistemas nacionales de monitoreo de COS. Hoy en día existen recursos computacionales de libre acceso para el análisis de datos geográficos como aquellos provistos por </w:t>
      </w:r>
      <w:r>
        <w:rPr>
          <w:rFonts w:ascii="Liberation Serif" w:hAnsi="Liberation Serif"/>
          <w:i/>
          <w:lang w:val="es-ES"/>
        </w:rPr>
        <w:t>Google Earth Engine</w:t>
      </w:r>
      <w:r>
        <w:rPr>
          <w:rFonts w:ascii="Liberation Serif" w:hAnsi="Liberation Serif"/>
          <w:lang w:val="es-ES"/>
        </w:rPr>
        <w:t xml:space="preserve"> (Gorelick et al., 2017)</w:t>
      </w:r>
      <w:bookmarkStart w:id="8" w:name="docs-internal-guid-92f98d57-7fff-3b9b-b3ec-847ec9951061"/>
      <w:bookmarkEnd w:id="8"/>
      <w:r>
        <w:rPr>
          <w:rFonts w:ascii="Liberation Serif" w:hAnsi="Liberation Serif"/>
          <w:lang w:val="es-ES"/>
        </w:rPr>
        <w:t xml:space="preserve">. Aunque </w:t>
      </w:r>
      <w:r>
        <w:rPr>
          <w:rFonts w:ascii="Times New Roman" w:hAnsi="Times New Roman"/>
          <w:b w:val="false"/>
          <w:i w:val="false"/>
          <w:caps w:val="false"/>
          <w:smallCaps w:val="false"/>
          <w:strike w:val="false"/>
          <w:dstrike w:val="false"/>
          <w:color w:val="000000"/>
          <w:sz w:val="22"/>
          <w:u w:val="none"/>
          <w:effect w:val="none"/>
          <w:lang w:val="es-ES"/>
        </w:rPr>
        <w:t xml:space="preserve">existen retos asociados a la transferencia eficiente de datos (depende de una buena conexión a interne) y requiere un lenguaje de programación de alto nivel llamado </w:t>
      </w:r>
      <w:r>
        <w:rPr>
          <w:rFonts w:ascii="Times New Roman" w:hAnsi="Times New Roman"/>
          <w:b w:val="false"/>
          <w:i/>
          <w:caps w:val="false"/>
          <w:smallCaps w:val="false"/>
          <w:strike w:val="false"/>
          <w:dstrike w:val="false"/>
          <w:color w:val="000000"/>
          <w:sz w:val="22"/>
          <w:u w:val="none"/>
          <w:effect w:val="none"/>
          <w:lang w:val="es-ES"/>
        </w:rPr>
        <w:t>javascript</w:t>
      </w:r>
      <w:r>
        <w:rPr>
          <w:rFonts w:ascii="Times New Roman" w:hAnsi="Times New Roman"/>
          <w:b w:val="false"/>
          <w:i w:val="false"/>
          <w:caps w:val="false"/>
          <w:smallCaps w:val="false"/>
          <w:strike w:val="false"/>
          <w:dstrike w:val="false"/>
          <w:color w:val="000000"/>
          <w:sz w:val="22"/>
          <w:u w:val="none"/>
          <w:effect w:val="none"/>
          <w:lang w:val="es-ES"/>
        </w:rPr>
        <w:t xml:space="preserve">, esta plataforma ha demostrado ser eficiente para el mapeo digital de suelos con grandes bases de datos (Padarian et al., 2015). En este trabajo un reto principal fue manejar grandes bases de datos (i.e.., matrices de n píxeles por n predictores ) usando R en computadoras convencionales. Por tanto nuestros resultados representan un ejemplo de otra posibilidad para analizar la compleja variabilidad del COS al nivel nacional usando una plataformas de código abierto y fuentes públicas de información ambiental. </w:t>
      </w:r>
    </w:p>
    <w:p>
      <w:pPr>
        <w:pStyle w:val="TextBody"/>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En este trabajo fue empleada una estrategia de modelación a nivel nacional empleando 6 núcleos de procesamiento de una computadora portátil en paralelo (i.e., núcleos trabajando al mismo tiempo), lo cual permite llevar a cabo la eliminación recursiva de variables y simplificar el tiempo de procesamiento sin agotar la memoria disponible para cada núcleo en el procesador de la computadora portátil. Además, el modelo predictivo se dividió por estados para maximizar el uso de la memoria (16 MB RAM), la cual se hubiera saturado si se intentara predecir para toda el área de interés (i.e., los 2 millones de Km</w:t>
      </w:r>
      <w:r>
        <w:rPr>
          <w:rFonts w:ascii="Liberation Serif" w:hAnsi="Liberation Serif"/>
          <w:vertAlign w:val="superscript"/>
          <w:lang w:val="es-ES"/>
        </w:rPr>
        <w:t>2</w:t>
      </w:r>
      <w:r>
        <w:rPr>
          <w:rFonts w:ascii="Liberation Serif" w:hAnsi="Liberation Serif"/>
          <w:lang w:val="es-ES"/>
        </w:rPr>
        <w:t xml:space="preserve"> del país) al mismo tiempo. Los estados de Chihuahua, Sonora y Coahuila resultaron ser demasiado grandes para generar las predicciones a 90m en una sola pieza; por tanto, estos estados fueron subdivididos en dos archivos del mismo tamaño. Usando este protocolo es posible generar el mapa de COS para México a 90 m de resolución en 24 horas con el sistema de cómputo descrito previamente.  El avance computacional para las predicciones de COS representa una herramienta que puede ayudar con aplicaciones para el manejo de ecosistemas terrestres (FAO, 2017) y para caracterizar la calidad del suelo (Bünemann et al., 2018). Una implicación directa de este trabajo es la posibilidad de habilitar en monitoreo del suelo a partir de la producción masiva de mapas digitales de propiedades biofísicas del suelo (como el COS) que puedan ser mejorados a medida que nuevos datos y covariables (representativas de los factores de formación del suelo a profundidades específicas) sean disponibles. </w:t>
      </w:r>
    </w:p>
    <w:p>
      <w:pPr>
        <w:pStyle w:val="Normal"/>
        <w:rPr>
          <w:rFonts w:ascii="Liberation Serif" w:hAnsi="Liberation Serif"/>
          <w:lang w:val="es-ES"/>
        </w:rPr>
      </w:pPr>
      <w:r>
        <w:rPr>
          <w:rFonts w:ascii="Liberation Serif" w:hAnsi="Liberation Serif"/>
          <w:lang w:val="es-ES"/>
        </w:rPr>
      </w:r>
    </w:p>
    <w:p>
      <w:pPr>
        <w:pStyle w:val="Normal"/>
        <w:rPr>
          <w:lang w:val="es-ES"/>
        </w:rPr>
      </w:pPr>
      <w:r>
        <w:rPr>
          <w:rFonts w:ascii="Liberation Serif" w:hAnsi="Liberation Serif"/>
          <w:b/>
          <w:bCs/>
          <w:i/>
          <w:iCs/>
          <w:lang w:val="es-ES"/>
        </w:rPr>
        <w:t>Retos e implicaciones</w:t>
      </w:r>
    </w:p>
    <w:p>
      <w:pPr>
        <w:pStyle w:val="Normal"/>
        <w:rPr>
          <w:lang w:val="es-ES"/>
        </w:rPr>
      </w:pPr>
      <w:r>
        <w:rPr>
          <w:rFonts w:ascii="Liberation Serif" w:hAnsi="Liberation Serif"/>
          <w:b/>
          <w:bCs/>
          <w:i/>
          <w:iCs/>
          <w:lang w:val="es-ES"/>
        </w:rPr>
        <w:t xml:space="preserve"> </w:t>
      </w:r>
    </w:p>
    <w:p>
      <w:pPr>
        <w:pStyle w:val="Normal"/>
        <w:rPr/>
      </w:pPr>
      <w:r>
        <w:rPr>
          <w:rFonts w:ascii="Liberation Serif" w:hAnsi="Liberation Serif"/>
          <w:lang w:val="es-ES"/>
        </w:rPr>
        <w:t xml:space="preserve">En este trabajo se propone que una forma de resolver el reto computacional requerido para hacer predicciones de COS a nivel nacional, a 90 m de resolución espacial, pero reconocemos que la información generada sobre COS no es libre de errores (Figura </w:t>
      </w:r>
      <w:r>
        <w:rPr>
          <w:rFonts w:ascii="Liberation Serif" w:hAnsi="Liberation Serif"/>
          <w:lang w:val="es-ES"/>
        </w:rPr>
        <w:t>5</w:t>
      </w:r>
      <w:r>
        <w:rPr>
          <w:rFonts w:ascii="Liberation Serif" w:hAnsi="Liberation Serif"/>
          <w:lang w:val="es-ES"/>
        </w:rPr>
        <w:t xml:space="preserve">b). Es importante conocer la magnitud e ubicación de estos errores porque pueden propagarse en futuras aplicaciones de los productos de COS generados, sobre a escalas detalladas (Figura </w:t>
      </w:r>
      <w:r>
        <w:rPr>
          <w:rFonts w:ascii="Liberation Serif" w:hAnsi="Liberation Serif"/>
          <w:lang w:val="es-ES"/>
        </w:rPr>
        <w:t>5</w:t>
      </w:r>
      <w:r>
        <w:rPr>
          <w:rFonts w:ascii="Liberation Serif" w:hAnsi="Liberation Serif"/>
          <w:lang w:val="es-ES"/>
        </w:rPr>
        <w:t>d). Nuestro mapa representa una línea base del periodo 1999-2009, determinado por los datos de entrenamiento disponibles durante este periodo de tiempo. Estos datos de entrenamiento, podrían ser no representativos de condiciones actuales en áreas sometidas a cambios de uso de suelo recientes (después de 2009), pero este es el caso para cualquier análisis usando datos de suelo patrimoniales (Mayr et al., 2010, Sulaeman et al., 2013, Karunaratne et al., 2014).</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Con este trabajo se pretende incrementar la interoperabilidad en los diferentes sectores interesados en el COS. Las barreras de interoperabilidad se han descrito como conceptuales, organizacionales, tecnológicas y culturales (Vargas et al., 2017). Este trabajo busca incrementar la interoperabilidad para el entendimiento del COS en México al reducir barreras conceptuales y tecnológicas. Primero, propone un marco conceptual para estimar el COS en México (i.e., usando Geomorfometria y covariables relacionadas a los factores de formación del suelo). Segundo, se propone una metodología usando sistemas computacionales de bajo costo para incrementar la resolución espacial de las predicciones de COS y tratando de reducir el error asociado a los modelos predictivos. Cabe destacar que el error asociado a los modelos predictivos proviene de las imperfecciones en los datos de COS disponibles y en el uso de distintos tipos de insumos, con diversas resoluciones espaciales y temporales (Heuvelink, 2018). Así que un reto fundamental es reducir barreras culturales de interoperabilidad en México ya que se necesitan metodologías transparentes, fuentes públicas de bases de datos de fácil acceso y sistemas de códigos computacionales abiertos para avanzar en el cocimiento del COS y maximizar la información para mejorar el uso, manejo y conservación de los recursos naturales de México.</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b/>
          <w:b/>
          <w:bCs/>
          <w:lang w:val="es-ES"/>
        </w:rPr>
      </w:pPr>
      <w:r>
        <w:rPr>
          <w:rFonts w:ascii="Liberation Serif" w:hAnsi="Liberation Serif"/>
          <w:b/>
          <w:bCs/>
          <w:lang w:val="es-ES"/>
        </w:rPr>
        <w:t>Conclusiones</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t xml:space="preserve">Fue generando un mapa digital del COS en México a 1 m de profundidad de 90 m de resolución espacial y representativo del periodo 1999-2009. Estimamos un total de 16 Pg de carbono modelado en más de 250 millones de píxeles lo largo del territorio mexicano. Este estimado de COS fue generado en una computadora portátil con 16 Gb de memoria usando 6 núcleos (de 15) de procesamiento en paralelo. El tiempo de procesamiento para los casi dos millones de kilómetros cuadrados de México tarda aproximadamente 5-7 horas generando una predicción en una base estatal.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El modelo predictivo  del COS a nivel nacional para el periodo de tiempo analizado (&gt;50% de varianza explicada, 1999-2009) es reproducible a medida que nuevos datos o nuevas covariables estén disponibles. La metodología empleada permite obtener una medida de error de modelación que se puede ser monitoreada y asimilada en múltiples experimentos de mapeo digital de suelos (e.g., con diferentes combinaciones de datos y covariables para entrenar modelos representativos de distintos periodos de tiempo) con la finalidad principal de mejorar la calidad de la información generada y habilitar el monitoreo del COS a nivel nacional.</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 xml:space="preserve">Por tanto, el mapa digital de COS generado en este trabajo representa una herramienta que puede ayudar en el desarrollo de información para la gestión, formulación e implementación de políticas públicas relacionadas con el potencial natural de los suelos y su respuesta funcional al cambio ambiental en México. </w:t>
      </w:r>
    </w:p>
    <w:p>
      <w:pPr>
        <w:pStyle w:val="Normal"/>
        <w:rPr>
          <w:rFonts w:ascii="Liberation Serif" w:hAnsi="Liberation Serif"/>
          <w:lang w:val="es-ES"/>
        </w:rPr>
      </w:pPr>
      <w:r>
        <w:rPr/>
      </w:r>
    </w:p>
    <w:p>
      <w:pPr>
        <w:pStyle w:val="Normal"/>
        <w:rPr/>
      </w:pPr>
      <w:r>
        <w:rPr>
          <w:rFonts w:ascii="Liberation Serif" w:hAnsi="Liberation Serif"/>
          <w:lang w:val="es-ES"/>
        </w:rPr>
        <w:t>Los códigos de trabajo y archivos (i.e., datos de COS y covariables ambientales) o instrucciones para la reproducción total o parcial de este trabajo se encuentran disponibles y bajo constante actualización en:</w:t>
      </w:r>
    </w:p>
    <w:p>
      <w:pPr>
        <w:pStyle w:val="Normal"/>
        <w:rPr/>
      </w:pPr>
      <w:hyperlink r:id="rId8">
        <w:r>
          <w:rPr>
            <w:rStyle w:val="VisitedInternetLink"/>
            <w:rFonts w:ascii="Liberation Serif" w:hAnsi="Liberation Serif"/>
            <w:lang w:val="es-ES"/>
          </w:rPr>
          <w:t>https://github.com/DSM-LAC/MEXICO/tree/master/soc_map_mx_90m_inegi_s2_bdSaini</w:t>
        </w:r>
      </w:hyperlink>
      <w:r>
        <w:rPr>
          <w:rFonts w:ascii="Liberation Serif" w:hAnsi="Liberation Serif"/>
          <w:lang w:val="es-ES"/>
        </w:rPr>
        <w:t xml:space="preserve">. Estos resultados pueden ser constantemente actualizados a medida que nuevos datos, covariables de COS, o nuevas preguntas de investigación emergen con el avance de la ciencia del ciclo del carbono en México.  </w:t>
      </w:r>
    </w:p>
    <w:p>
      <w:pPr>
        <w:pStyle w:val="Normal"/>
        <w:rPr>
          <w:rFonts w:ascii="Liberation Serif" w:hAnsi="Liberation Serif"/>
          <w:lang w:val="es-ES"/>
        </w:rPr>
      </w:pPr>
      <w:r>
        <w:rPr/>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b/>
          <w:bCs/>
          <w:i/>
          <w:iCs/>
          <w:lang w:val="es-ES"/>
        </w:rPr>
        <w:t>Agradecimientos:</w:t>
      </w:r>
      <w:r>
        <w:rPr>
          <w:rFonts w:ascii="Liberation Serif" w:hAnsi="Liberation Serif"/>
          <w:lang w:val="es-ES"/>
        </w:rPr>
        <w:t xml:space="preserve"> </w:t>
      </w:r>
      <w:r>
        <w:rPr>
          <w:rFonts w:ascii="Liberation Serif" w:hAnsi="Liberation Serif"/>
          <w:i/>
          <w:iCs/>
          <w:lang w:val="es-ES"/>
        </w:rPr>
        <w:t>M.G. agradece una beca de Conacyt para estudios de doctorado (</w:t>
      </w:r>
      <w:r>
        <w:rPr>
          <w:rFonts w:ascii="Roboto;sans-serif" w:hAnsi="Roboto;sans-serif"/>
          <w:b w:val="false"/>
          <w:i/>
          <w:iCs/>
          <w:caps w:val="false"/>
          <w:smallCaps w:val="false"/>
          <w:color w:val="333333"/>
          <w:spacing w:val="0"/>
          <w:sz w:val="21"/>
          <w:lang w:val="es-ES"/>
        </w:rPr>
        <w:t>382790</w:t>
      </w:r>
      <w:r>
        <w:rPr>
          <w:rFonts w:ascii="Liberation Serif" w:hAnsi="Liberation Serif"/>
          <w:i/>
          <w:iCs/>
          <w:lang w:val="es-ES"/>
        </w:rPr>
        <w:t>). RV agradece apoyo por parte de NASA Carbon Monitoring Systems (</w:t>
      </w:r>
      <w:r>
        <w:rPr>
          <w:rFonts w:eastAsia="Roboto" w:ascii="Liberation Serif" w:hAnsi="Liberation Serif"/>
          <w:i/>
          <w:iCs/>
          <w:color w:val="202124"/>
          <w:highlight w:val="white"/>
          <w:lang w:val="es-ES"/>
        </w:rPr>
        <w:t>80NSSC18K0173</w:t>
      </w:r>
      <w:r>
        <w:rPr>
          <w:rFonts w:ascii="Liberation Serif" w:hAnsi="Liberation Serif"/>
          <w:i/>
          <w:iCs/>
          <w:lang w:val="es-ES"/>
        </w:rPr>
        <w:t xml:space="preserve">).  </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b/>
          <w:b/>
          <w:bCs/>
          <w:lang w:val="en-US"/>
        </w:rPr>
      </w:pPr>
      <w:r>
        <w:rPr>
          <w:rFonts w:ascii="Liberation Serif" w:hAnsi="Liberation Serif"/>
          <w:b/>
          <w:bCs/>
          <w:lang w:val="es-ES"/>
        </w:rPr>
        <w:t>Referencias</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Adhikari, K., Hartemink, A. E., Minasny, B., Kheir, R. B., Greve, M. B., &amp; Greve, M. H. (2014). Digital Mapping of Soil Organic Carbon Contents and Stocks in Denmark. PLoS One, 9(8), e105519. doi: 10.1371/journal.pone.0105519</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Amatulli, G., McInerney, D., Sethi, T., Strobl, P., &amp; Domisch, S. (2019). Geomorpho90m - Global high-resolution geomorphometry layers: empirical evaluation and accuracy assessment. PeerJ Preprints. doi: 10.7287/peerj.preprints.27595v1</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Arrouays, D., Richer-de-Forges, A. C., Chen, S., Saby, N., Martin, M., Libohova, Z., ...Hempel, J. (2017). GlobalSoilMap history and main achievements. Taylor &amp; Francis, 1–4. doi: 10.1201/9781351239707-1</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Beaudette, D. E., Roudier, P., &amp; O'Geen, A. T. (2013). Algorithms for quantitative pedology: A toolkit for soil scientists. Comput. Geosci., 52, 258–268. doi: 10.1016/j.cageo.2012.10.020</w:t>
      </w:r>
    </w:p>
    <w:p>
      <w:pPr>
        <w:pStyle w:val="Normal"/>
        <w:rPr>
          <w:rFonts w:ascii="Liberation Serif" w:hAnsi="Liberation Serif"/>
          <w:lang w:val="es-ES"/>
        </w:rPr>
      </w:pPr>
      <w:r>
        <w:rPr>
          <w:rFonts w:ascii="Liberation Serif" w:hAnsi="Liberation Serif"/>
          <w:lang w:val="es-ES"/>
        </w:rPr>
      </w:r>
    </w:p>
    <w:p>
      <w:pPr>
        <w:pStyle w:val="TextBody"/>
        <w:rPr>
          <w:rFonts w:ascii="Times New Roman" w:hAnsi="Times New Roman"/>
          <w:b w:val="false"/>
          <w:b w:val="false"/>
          <w:i w:val="false"/>
          <w:i w:val="false"/>
          <w:caps w:val="false"/>
          <w:smallCaps w:val="false"/>
          <w:color w:val="000000"/>
          <w:spacing w:val="0"/>
          <w:sz w:val="24"/>
          <w:lang w:val="en-US"/>
        </w:rPr>
      </w:pPr>
      <w:r>
        <w:rPr>
          <w:rFonts w:ascii="Times New Roman" w:hAnsi="Times New Roman"/>
          <w:b w:val="false"/>
          <w:i w:val="false"/>
          <w:caps w:val="false"/>
          <w:smallCaps w:val="false"/>
          <w:color w:val="000000"/>
          <w:spacing w:val="0"/>
          <w:sz w:val="24"/>
          <w:lang w:val="es-ES"/>
        </w:rPr>
        <w:t>Beaudette, D. E. and O’Geen, A. T.: Soil-Web: An online soil survey for California, Arizona, and Nevada, Computers &amp; Geosciences, 35(10), 2119–2128, doi:10.1016/j.cageo.2008.10.016, 2009.</w:t>
      </w:r>
    </w:p>
    <w:p>
      <w:pPr>
        <w:pStyle w:val="TextBody"/>
        <w:widowControl/>
        <w:ind w:left="0" w:right="0" w:hanging="0"/>
        <w:rPr>
          <w:lang w:val="es-ES"/>
        </w:rPr>
      </w:pPr>
      <w:r>
        <w:rPr>
          <w:caps w:val="false"/>
          <w:smallCaps w:val="false"/>
          <w:color w:val="000000"/>
          <w:spacing w:val="0"/>
          <w:lang w:val="es-ES"/>
        </w:rPr>
        <w:t>‌</w:t>
      </w:r>
      <w:r>
        <w:rPr>
          <w:rFonts w:ascii="Liberation Serif" w:hAnsi="Liberation Serif"/>
          <w:lang w:val="es-ES"/>
        </w:rPr>
        <w:t>Bishop, T.F.A., McBratney, A.B., Laslett, G.M., (1999) Modelling soil attribute depth functions with equal-area quadratic smoothing splines. Geoderma, 91(1-2): 27-45.</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Breiman, L. (2001). Random Forests. Machine Learning, 45(1), 5–32. doi: 0.1023/A:1010933404324</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Burrough, P., and R.A. McDonnell, 1998. Principles of Geographical Information Systems. Oxford University Press.</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Chaney, N. W., Minasny, B., Herman, J. D., Nauman, T. W., Brungard, C. W., Morgan, C. L. S., ...Yimam, Y. (2019). POLARIS Soil Properties: 30-m Probabilistic Maps of Soil Properties Over the Contiguous United States. Water Resources Research, 0(0). doi: 10.1029/2018WR022797</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Chen, S., &amp; Arrouays, D. (2018). Soil carbon stocks are underestimated in mountainous regions. Geoderma, 320, 146–148. doi: 10.1016/j.geoderma.2018.01.029</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Cortes, C. and Vapnik, V.: Machine Learning, 20(3), 273–297, doi:10.1023/a:1022627411411, 1995.</w:t>
      </w:r>
    </w:p>
    <w:p>
      <w:pPr>
        <w:pStyle w:val="Normal"/>
        <w:rPr>
          <w:rFonts w:ascii="Liberation Serif" w:hAnsi="Liberation Serif"/>
          <w:lang w:val="es-ES"/>
        </w:rPr>
      </w:pPr>
      <w:r>
        <w:rPr/>
      </w:r>
    </w:p>
    <w:p>
      <w:pPr>
        <w:pStyle w:val="Normal"/>
        <w:rPr>
          <w:rFonts w:ascii="Liberation Serif" w:hAnsi="Liberation Serif"/>
          <w:lang w:val="en-US"/>
        </w:rPr>
      </w:pPr>
      <w:r>
        <w:rPr>
          <w:rFonts w:ascii="Liberation Serif" w:hAnsi="Liberation Serif"/>
          <w:lang w:val="es-ES"/>
        </w:rPr>
        <w:t>Crowther, T. W., Todd-Brown, K. E. O., Rowe, C. W., Wieder, W. R., Carey, J. C., Machmuller, M. B., ...Bradford, M. A. (2016). Quantifying global soil carbon losses in response to warming. Nature, 540(7631), 104. doi: 10.1038/nature20150</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Cruz-Cárdenas, G., López-Mata, L., Ortiz-Solorio, C. A., Villaseñor, J. L., Ortiz, E., Silva, J. T., &amp; Estrada-Godoy, F. (2014). Interpolation of Mexican soil properties at a scale of 1:1,000,000. Geoderma, 213, 29–35. doi: 10.1016/j.geoderma.2013.07.014</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FAO 2017. Soil Organic Carbon: the hidden potential. Food and Agriculture Organization of the United Nations Rome, Italy</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FAO and ITPS. 2018. Global Soil Organic Carbon Map (GSOCmap) Technical Report. Rome. 162 pp</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Fick, S.E. and R.J. Hijmans, 2017. Worldclim 2: New 1-km spatial resolution climate surfaces for global land areas. International Journal of Climatology</w:t>
      </w:r>
    </w:p>
    <w:p>
      <w:pPr>
        <w:pStyle w:val="Normal"/>
        <w:rPr>
          <w:rFonts w:ascii="Liberation Serif" w:hAnsi="Liberation Serif"/>
          <w:lang w:val="en-US"/>
        </w:rPr>
      </w:pPr>
      <w:r>
        <w:rPr/>
      </w:r>
    </w:p>
    <w:p>
      <w:pPr>
        <w:pStyle w:val="Normal"/>
        <w:rPr/>
      </w:pPr>
      <w:r>
        <w:rPr>
          <w:rFonts w:ascii="Liberation Serif" w:hAnsi="Liberation Serif"/>
          <w:lang w:val="en-US"/>
        </w:rPr>
        <w:t>Friedman, J. H.: machine., The Annals of Statistics, 29(5), 1189–1232, doi:10.1214/aos/1013203451, 2001.</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t>Gelman A., Aleks Jakulin, Maria Grazia Pittau and Yu-Sung Su. (2009). “A Weakly Informative Default Prior Distribution For Logistic And Other Regression Models.” The Annals of Applied Statistics 2 (4): 1360--1383. http://www.stat.columbia.edu/~gelman/research/published/priors11.pdf</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 xml:space="preserve">Gorelick, N., Hancher, M., Dixon, M., Ilyushchenko, S., Thau, D., &amp; Moore, R. (2017). Google Earth Engine: Planetary-scale geospatial analysis for everyone. </w:t>
      </w:r>
      <w:r>
        <w:rPr>
          <w:rFonts w:ascii="Liberation Serif" w:hAnsi="Liberation Serif"/>
          <w:i/>
          <w:lang w:val="es-ES"/>
        </w:rPr>
        <w:t>Remote Sensing of Environment</w:t>
      </w:r>
      <w:r>
        <w:rPr>
          <w:rFonts w:ascii="Liberation Serif" w:hAnsi="Liberation Serif"/>
          <w:lang w:val="es-ES"/>
        </w:rPr>
        <w:t>.</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Global Administrative Areas ( 2012). GADM database of Global Administrative Areas, version 2.0. [online] URL:</w:t>
      </w:r>
      <w:hyperlink r:id="rId9">
        <w:r>
          <w:rPr>
            <w:rStyle w:val="InternetLink"/>
            <w:lang w:val="es-ES"/>
          </w:rPr>
          <w:t xml:space="preserve"> </w:t>
        </w:r>
      </w:hyperlink>
      <w:hyperlink r:id="rId10">
        <w:r>
          <w:rPr>
            <w:rStyle w:val="InternetLink"/>
            <w:lang w:val="es-ES"/>
          </w:rPr>
          <w:t>www.gadm.org</w:t>
        </w:r>
      </w:hyperlink>
      <w:r>
        <w:rPr>
          <w:rFonts w:ascii="Liberation Serif" w:hAnsi="Liberation Serif"/>
          <w:lang w:val="es-ES"/>
        </w:rPr>
        <w:t>.</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Guevara, M., Olmedo, G. F., Stell, E., Yigini, Y., Aguilar Duarte, Y., Arellano Hernández, C., ...Vargas, R. (2018). No silver bullet for digital soil mapping: country-specific soil organic carbon estimates across Latin America. SOIL, 4(3), 173–193. doi: 10.5194/soil-4-173-2018</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t>Guyon, I., Weston, J., Barnhill, S. and Vapnik, V.: Machine Learning, 46(1/3), 389–422, doi:10.1023/a:1012487302797, 2002.</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t>Hechenbichler K. and Schliep K.P. (2004) Weighted k-Nearest-Neighbor Techniques and Ordinal Classification, Discussion Paper 399, SFB 386, Ludwig-Maximilians University Munich (</w:t>
      </w:r>
      <w:hyperlink r:id="rId11">
        <w:r>
          <w:rPr>
            <w:rStyle w:val="InternetLink"/>
            <w:rFonts w:ascii="Liberation Serif" w:hAnsi="Liberation Serif"/>
            <w:lang w:val="es-ES"/>
          </w:rPr>
          <w:t>http://www.stat.uni-muenchen.de/sfb386/papers/dsp/paper399.ps</w:t>
        </w:r>
      </w:hyperlink>
      <w:r>
        <w:rPr>
          <w:rFonts w:ascii="Liberation Serif" w:hAnsi="Liberation Serif"/>
          <w:lang w:val="es-ES"/>
        </w:rPr>
        <w:t>)</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w:t>
      </w:r>
      <w:r>
        <w:rPr>
          <w:rFonts w:ascii="Liberation Serif" w:hAnsi="Liberation Serif"/>
          <w:lang w:val="es-ES"/>
        </w:rPr>
        <w:t>Hengl, T. (2006). Finding the right pixel size. Computers &amp; Geosciences, 32(9), 1283–1298. doi: 10.1016/j.cageo.2005.11.008</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Hengl, T., MacMillan, R.A., (2019). Predictive Soil Mapping with R. OpenGeoHub foundation, Wageningen, the Netherlands, 370 pages,</w:t>
      </w:r>
      <w:hyperlink r:id="rId12">
        <w:r>
          <w:rPr>
            <w:rStyle w:val="InternetLink"/>
            <w:rFonts w:ascii="Liberation Serif" w:hAnsi="Liberation Serif"/>
            <w:lang w:val="es-ES"/>
          </w:rPr>
          <w:t xml:space="preserve"> </w:t>
        </w:r>
      </w:hyperlink>
      <w:hyperlink r:id="rId13">
        <w:r>
          <w:rPr>
            <w:rStyle w:val="InternetLink"/>
            <w:rFonts w:ascii="Liberation Serif" w:hAnsi="Liberation Serif"/>
            <w:color w:val="1155CC"/>
            <w:lang w:val="es-ES"/>
          </w:rPr>
          <w:t>www.soilmapper.org</w:t>
        </w:r>
      </w:hyperlink>
      <w:r>
        <w:rPr>
          <w:rFonts w:ascii="Liberation Serif" w:hAnsi="Liberation Serif"/>
          <w:lang w:val="es-ES"/>
        </w:rPr>
        <w:t>, ISBN: 978-0-359-30635-0.</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Hengl, T., de Jesus, J. M., Heuvelink, G. B. M., Gonzalez, M. R., Kilibarda, M., Blagotić, A., ...Kempen, B. (2017). SoilGrids250m: Global gridded soil information based on machine learning. PLoS One, 12(2), e0169748. doi: 10.1371/journal.pone.0169748</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Heuvelink, G. B. M. (2018). Uncertainty and Uncertainty Propagation in Soil Mapping and Modelling. SpringerLink, 439–461. doi: 10.1007/978-3-319-63439-5_14</w:t>
      </w:r>
    </w:p>
    <w:p>
      <w:pPr>
        <w:pStyle w:val="Normal"/>
        <w:rPr/>
      </w:pPr>
      <w:r>
        <w:rPr>
          <w:rFonts w:ascii="Liberation Serif" w:hAnsi="Liberation Serif"/>
          <w:lang w:val="es-ES"/>
        </w:rPr>
        <w:t xml:space="preserve">Hijmans, R.  (2017). raster: Geographic Data Analysis and Modeling. R package version 2.6-7.  </w:t>
      </w:r>
      <w:hyperlink r:id="rId14">
        <w:r>
          <w:rPr>
            <w:rStyle w:val="InternetLink"/>
            <w:rFonts w:ascii="Liberation Serif" w:hAnsi="Liberation Serif"/>
            <w:color w:val="1155CC"/>
            <w:lang w:val="es-ES"/>
          </w:rPr>
          <w:t>https://CRAN.R-project.org/package=raster</w:t>
        </w:r>
      </w:hyperlink>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 xml:space="preserve">Instituto Nacional de Estadística, Geografía e Informática (INEGI) </w:t>
      </w:r>
      <w:r>
        <w:rPr>
          <w:rFonts w:ascii="Liberation Serif" w:hAnsi="Liberation Serif"/>
          <w:b w:val="false"/>
          <w:i w:val="false"/>
          <w:caps w:val="false"/>
          <w:smallCaps w:val="false"/>
          <w:strike w:val="false"/>
          <w:dstrike w:val="false"/>
          <w:color w:val="000000"/>
          <w:sz w:val="22"/>
          <w:u w:val="none"/>
          <w:effect w:val="none"/>
          <w:lang w:val="es-ES"/>
        </w:rPr>
        <w:t xml:space="preserve">Guia para la Interpretación Cartográfica, Edafologia escala 1:250 000 serie 2. Aguascalientes México, 2011, 32pp. </w:t>
      </w:r>
    </w:p>
    <w:p>
      <w:pPr>
        <w:pStyle w:val="Normal"/>
        <w:rPr/>
      </w:pPr>
      <w:hyperlink r:id="rId15">
        <w:r>
          <w:rPr>
            <w:rStyle w:val="InternetLink"/>
            <w:rFonts w:ascii="Liberation Serif" w:hAnsi="Liberation Serif"/>
            <w:lang w:val="es-ES"/>
          </w:rPr>
          <w:t>http://internet.contenidos.inegi.org.mx/contenidos/Productos/prod_serv/contenidos/espanol/bvinegi/productos/nueva_estruc/702825231606.pdf</w:t>
        </w:r>
      </w:hyperlink>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Instituto Nacional de Estadística, Geografía e Informática (INEGI) -Comisión Nacional para el Conocimiento y Uso de la Biodiversidad (CONABIO) - Instituto Nacional de Ecología (INE). (2008). 'Ecorregiones Terrestres de México'. Escala 1:1000000. México. De forma abreviada puede citarse así: INEGI, CONABIO e INE. 2008. 'Ecorregiones terrestres de México'. Escala 1:1000000. México.</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Jenny, H. (1941) Factors of Soil Formation A System of Quantitative Pedology. Dover Publications, New York, 281 p.</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Karunaratne, S., Bishop, T., Odeh, I., Baldock, J., &amp; Marchant, B. (2014). Estimating change in soil organic carbon using legacy data as the baseline: issues, approaches and lessons to learn. CSIRO PUBLISHING. doi: 10.1071/SR13081</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t>Kohavi, R. and John, G. H.: Wrappers for feature subset selection, Artificial Intelligence, 97(1–2), 273–324, doi:10.1016/s0004-3702(97)00043-x, 1997.</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w:t>
      </w:r>
      <w:r>
        <w:rPr>
          <w:rFonts w:ascii="Liberation Serif" w:hAnsi="Liberation Serif"/>
          <w:lang w:val="es-ES"/>
        </w:rPr>
        <w:t>Krasilnikov, P., M. C. Gutiérrez-Castorena, R. J. Ahrens, C. O. Cruz-Gaistardo, S. Sedov, and E. Solleiro-Rebolledo. 2013. The soils of Mexico. Springer. Dordrecht, Netherlands.</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 xml:space="preserve">Kuhn M. Contributions from Jed Wing, Steve Weston, Andre Williams,  Chris Keefer, Allan Engelhardt, Tony Cooper, Zachary Mayer, Brenton Kenkel, the R Core Team, Michael Benesty, Reynald Lescarbeau, Andrew Ziem, Luca Scrucca, Yuan Tang, Can Candan and Tyler Hunt. (2018). caret: Classification and Regression Training. R package version  6.0-80. </w:t>
      </w:r>
      <w:hyperlink r:id="rId16">
        <w:r>
          <w:rPr>
            <w:rStyle w:val="InternetLink"/>
            <w:rFonts w:ascii="Liberation Serif" w:hAnsi="Liberation Serif"/>
            <w:color w:val="1155CC"/>
            <w:lang w:val="es-ES"/>
          </w:rPr>
          <w:t>https://CRAN.R-project.org/package=caret</w:t>
        </w:r>
      </w:hyperlink>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t>Lamichhane, S., Kumar, L. and Wilson, B.: Digital soil mapping algorithms and covariates for soil organic carbon mapping and their implications: A review, Geoderma, 352, 395–413, doi:10.1016/j.geoderma.2019.05.031, 2019.</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Lagacherie, P., Arrouays, D., Bourennane, H., Gomez, C., Martin, M., &amp; Saby, N. P. A. (2019). How far can the uncertainty on a Digital Soil Map be known?: A numerical experiment using pseudo values of clay content obtained from Vis-SWIR hyperspectral imagery. Geoderma, 337, 1320–1328. doi: 10.1016/j.geoderma.2018.08.024</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Lal, R., Smith, P., Jungkunst, H. F., Mitsch, W. J., Lehmann, J., Nair, P. K. R., ...Ravindranath, N. H. (2018). The carbon sequestration potential of terrestrial ecosystems. Journal of Soil and Water Conservation, 73(6), 145A–152A. doi: 10.2489/jswc.73.6.145A</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Lajtha, K., V. L.Bailey, K. McFarlane, K. Paustian, D. Bachelet, R . Abramoff, D. Angers, S. A. Billings, D. Cerkowniak, Y. G. Dialynas, A. Finzi, N. H. F. French, S. Frey, N. P. Gurwick, J. Harden, J. M. F. Johnson, K. Johnson, J. Lehmann, S. Liu, B. McConkey, U. Mishra, S. Ollinger, D. Paré, F. Paz Pellat, D. deB. Richter, S. M. Schaeffer, J. Schimel, C. Shaw,J. Tang, K. Todd-Brown, C. Trettin, M. Waldrop, T. Whitman, and K. Wickland, 2018: Chapter 12: Soils. In Second State of the Carbon Cycle Report (SOCCR2): A Sustained Assessment Report [Cavallaro, N., G. Shrestha, R . Birdsey, M. A. Mayes, R . G. Najjar, S. C. Reed, P. Romero-Lankao, and Z. Zhu (eds.)]. U.S. Global Change Research Program,</w:t>
      </w:r>
    </w:p>
    <w:p>
      <w:pPr>
        <w:pStyle w:val="Normal"/>
        <w:rPr/>
      </w:pPr>
      <w:r>
        <w:rPr>
          <w:rFonts w:ascii="Liberation Serif" w:hAnsi="Liberation Serif"/>
          <w:lang w:val="es-ES"/>
        </w:rPr>
        <w:t xml:space="preserve">Washington, DC, USA, pp. 469-506, </w:t>
      </w:r>
      <w:hyperlink r:id="rId17">
        <w:r>
          <w:rPr>
            <w:rStyle w:val="InternetLink"/>
            <w:rFonts w:ascii="Liberation Serif" w:hAnsi="Liberation Serif"/>
            <w:color w:val="1155CC"/>
            <w:lang w:val="es-ES"/>
          </w:rPr>
          <w:t>https://doi.org/10.7930/SOCCR2.2018.Ch12</w:t>
        </w:r>
      </w:hyperlink>
      <w:hyperlink r:id="rId18">
        <w:r>
          <w:rPr>
            <w:rFonts w:ascii="Liberation Serif" w:hAnsi="Liberation Serif"/>
            <w:lang w:val="es-ES"/>
          </w:rPr>
          <w:t>.</w:t>
        </w:r>
      </w:hyperlink>
    </w:p>
    <w:p>
      <w:pPr>
        <w:pStyle w:val="Normal"/>
        <w:rPr>
          <w:rFonts w:ascii="Liberation Serif" w:hAnsi="Liberation Serif"/>
          <w:lang w:val="es-ES"/>
        </w:rPr>
      </w:pPr>
      <w:r>
        <w:rPr/>
      </w:r>
    </w:p>
    <w:p>
      <w:pPr>
        <w:pStyle w:val="Normal"/>
        <w:rPr/>
      </w:pPr>
      <w:r>
        <w:rPr>
          <w:rFonts w:ascii="Liberation Serif" w:hAnsi="Liberation Serif"/>
          <w:lang w:val="es-ES"/>
        </w:rPr>
        <w:t>Liaw A.and M. Wiener (2002). Classification and Regression by randomForest. R News 2(3), 18--22.</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Mayr, T., Rivas-Casado, M., Bellamy, P., Palmer, R., Zawadzka, J., &amp; Corstanje, R. (2010). Two Methods for Using Legacy Data in Digital Soil Mapping. SpringerLink, 191–202. doi: 10.1007/978-90-481-8863-5_16</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Malone, B.P., McBratney, A.B., Minasny, B., Laslett, G.M. (2009) Mapping continuous depth functions of soil carbon storage and available water capacity. Geoderma, 154(1-2): 138-152.</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McBratney, A. B., Mendonça Santos, M. L., &amp; Minasny, B. (2003). On digital soil mapping. Geoderma, 117(1), 3–52. doi: 10.1016/S0016-7061(03)00223-4</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 xml:space="preserve">Nelson, D.W., and L.E. Sommers (1982) Total carbon, organic carbon, and organic matter. p. 539-580. In A.L. Page et al. (ed.) Methods of soil Analysis. Part 2. 2nd ed. Agron.    </w:t>
        <w:tab/>
        <w:t>Monogr. 9. ASA and SSSA, Madison, WI.</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Bünemann, E. K., Bongiorno, G., Bai, Z., Creamer, R. E., De Deyn, G., de Goede, R., ...Brussaard, L. (2018). Soil quality – A critical review. Soil Biology and Biochemistry, 120, 105–125. doi: 10.1016/j.soilbio.2018.01.030</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Padarian, J., Minasny, B., &amp; McBratney, A. B. (2015). Using Google's cloud-based platform for digital soil mapping. Computers &amp; Geosciences, 83, 80–88. doi: 10.1016/j.cageo.2015.06.023</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 xml:space="preserve">Paz Pellat, F., Argumedo Espinoza, J., Cruz Gaistardo, C. O., Etchevers B., J. D., &amp; de Jong, B. (2016). Distribución espacial y temporal del carbono orgánico del suelo en los ecosistemas terrestres de México. Terra Latinoamericana, 34(3), 289–310. Retrieved from </w:t>
      </w:r>
      <w:hyperlink r:id="rId19">
        <w:r>
          <w:rPr>
            <w:rStyle w:val="InternetLink"/>
            <w:rFonts w:ascii="Liberation Serif" w:hAnsi="Liberation Serif"/>
            <w:lang w:val="es-ES"/>
          </w:rPr>
          <w:t>http://www.scielo.org.mx/scielo.php?script=sci_abstract&amp;pid=S0187-57792016000300289&amp;lng=es&amp;nrm=iso</w:t>
        </w:r>
      </w:hyperlink>
    </w:p>
    <w:p>
      <w:pPr>
        <w:pStyle w:val="Normal"/>
        <w:rPr>
          <w:rFonts w:ascii="Liberation Serif" w:hAnsi="Liberation Serif"/>
          <w:lang w:val="es-ES"/>
        </w:rPr>
      </w:pPr>
      <w:r>
        <w:rPr/>
      </w:r>
    </w:p>
    <w:p>
      <w:pPr>
        <w:pStyle w:val="Normal"/>
        <w:rPr/>
      </w:pPr>
      <w:r>
        <w:rPr>
          <w:rFonts w:ascii="Liberation Serif" w:hAnsi="Liberation Serif"/>
          <w:lang w:val="es-ES"/>
        </w:rPr>
        <w:t>Polley, E. C. and Mark: Super Learner In Prediction, Collection of Biostatistics Research Archive [online] Available from: https://biostats.bepress.com/ucbbiostat/paper266/ (Accessed 29 September 2019), 2011.</w:t>
        <w:tab/>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rPr>
      </w:pPr>
      <w:r>
        <w:rPr>
          <w:rFonts w:ascii="Liberation Serif" w:hAnsi="Liberation Serif"/>
          <w:lang w:val="es-ES"/>
        </w:rPr>
        <w:t>Poeplau, C., Vos, C., &amp; Don, A. (2017). Soil organic carbon stocks are systematically overestimated by misuse of the parameters bulk density and rock fragment content. SOIL, 3(1), 61–66. doi: 10.5194/soil-3-61-2017</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Powlson, D. S., Stirling, C. M., Thierfelder, C., White, R. P., &amp; Jat, M. L. (2016). Does conservation agriculture deliver climate change mitigation through soil carbon sequestration in tropical agro-ecosystems? Agriculture, Ecosystems &amp; Environment, 220, 164–174. doi: 10.1016/j.agee.2016.01.005</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 xml:space="preserve">R Core Team (2018). R: A language and environment for statistical computing. R Foundation for Statistical Computing, Vienna, Austria. URL </w:t>
      </w:r>
      <w:hyperlink r:id="rId20">
        <w:r>
          <w:rPr>
            <w:rStyle w:val="InternetLink"/>
            <w:rFonts w:ascii="Liberation Serif" w:hAnsi="Liberation Serif"/>
            <w:color w:val="1155CC"/>
            <w:lang w:val="es-ES"/>
          </w:rPr>
          <w:t>https://www.R-project.org/</w:t>
        </w:r>
      </w:hyperlink>
      <w:r>
        <w:rPr>
          <w:rFonts w:ascii="Liberation Serif" w:hAnsi="Liberation Serif"/>
          <w:lang w:val="es-ES"/>
        </w:rPr>
        <w:t>.</w:t>
      </w:r>
    </w:p>
    <w:p>
      <w:pPr>
        <w:pStyle w:val="Normal"/>
        <w:rPr>
          <w:rFonts w:ascii="Liberation Serif" w:hAnsi="Liberation Serif"/>
          <w:lang w:val="es-ES"/>
        </w:rPr>
      </w:pPr>
      <w:r>
        <w:rPr>
          <w:rFonts w:ascii="Liberation Serif" w:hAnsi="Liberation Serif"/>
          <w:lang w:val="es-ES"/>
        </w:rPr>
      </w:r>
    </w:p>
    <w:p>
      <w:pPr>
        <w:pStyle w:val="Normal"/>
        <w:rPr/>
      </w:pPr>
      <w:r>
        <w:rPr>
          <w:rFonts w:ascii="Liberation Serif" w:hAnsi="Liberation Serif"/>
          <w:lang w:val="es-ES"/>
        </w:rPr>
        <w:t xml:space="preserve">Reuter HI, Hengl T. Worldgrids—a public repository of global soil covariates. In: Miasny B, Malone BP, McBratney AB editors. Digital Soil Assessments and Beyond—Proceedings of the 5th Global Workshop on Digital Soil Mapping. Sydney: CRC Press; 2012. pp. 287–292. Available: </w:t>
      </w:r>
      <w:hyperlink r:id="rId21">
        <w:r>
          <w:rPr>
            <w:rStyle w:val="InternetLink"/>
            <w:rFonts w:ascii="Liberation Serif" w:hAnsi="Liberation Serif"/>
            <w:color w:val="1155CC"/>
            <w:lang w:val="es-ES"/>
          </w:rPr>
          <w:t>https://doi.org/10.1201/b12728-57</w:t>
        </w:r>
      </w:hyperlink>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Rossel, R. A. V., Webster, R., Bui, E. N., &amp; Baldock, J. A. (2014). Baseline map of organic carbon in Australian soil to support national carbon accounting and monitoring under climate change. Global Change Biology, 20(9), 2953–2970. doi: 10.1111/gcb.12569</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Saini, G. R. (1966). Organic Matter as a Measure of Bulk Density of Soil. Nature, 210(5042), 1295. doi: 10.1038/2101295a0</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Sanchez, P. A., Ahamed, S., Carré, F., Hartemink, A. E., Hempel, J., Huising, J., ...Zhang, G.-L. (2009). Digital Soil Map of the World. Science, 325(5941), 680–681. doi: 10.1126/science.1175084</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Shangguan, W., Hengl, T., de Jesus, J. M., Yuan, H., &amp; Dai, Y. (2017). Mapping the global depth to bedrock for land surface modeling. Journal of Advances in Modeling Earth Systems, 9(1), 65–88. doi: 10.1002/2016MS000686</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Stockmann, U., Adams, M. A., Crawford, J. W., Field, D. J., Henakaarchchi, N., Jenkins, M., ...Zimmermann, M. (2013). The knowns, known unknowns and unknowns of sequestration of soil organic carbon. Agriculture, Ecosystems &amp; Environment, 164, 80–99. doi: 10.1016/j.agee.2012.10.001</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Sulaeman, Y., Minasny, B., McBratney, A. B., Sarwani, M., &amp; Sutandi, A. (2013). Harmonizing legacy soil data for digital soil mapping in Indonesia. Geoderma, 192, 77–85. doi: 10.1016/j.geoderma.2012.08.005</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Thornthwaite, C. W. (1948). An Approach toward a Rational Classification of Climate. Geographical Review, 38(1), 55–94. doi: 10.2307/210739</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Tifafi, M., Guenet, B., &amp; Hatté, C. (2018). Large Differences in Global and Regional Total Soil Carbon Stock Estimates Based on SoilGrids, HWSD, and NCSCD: Intercomparison and Evaluation Based on Field Data From USA, England, Wales, and France. Global Biogeochemical Cycles, 32(1), 42–56. doi: 10.1002/2017GB005678</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van Gestel, N., Shi, Z., van Groenigen, K. J., Osenberg, C. W., Andresen, L. C., Dukes, J. S., ...Hungate, B. A. (2018). Predicting soil carbon loss with warming. Nature, 554(7693), E4. doi: 10.1038/nature25745</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Vargas, R., Alcaraz-Segura, D., Birdsey, R., Brunsell, N. A., Cruz-Gaistardo, C. O., de Jong, B., ...Toledo-Gutierrez, K. P. (2017). Enhancing interoperability to facilitate implementation of REDD+: case study of Mexico. Carbon Management, 8(1), 57–65. doi: 10.1080/17583004.2017.1285177</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Walsh, B., Ciais, P., Janssens, I. A., Peñuelas, J., Riahi, K., Rydzak, F., ...Obersteiner, M. (2017). Pathways for balancing CO2 emissions and sinks. Nature Communications, 8, 14856. doi: 10.1038/ncomms14856</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Wilson, M.F.J., O'Connell, B., Brown, C., Guinan, J.C., Grehan, A.J., 2007. Multiscale terrain analysis of multibeam bathymetry data for habitat mapping on the continental slope. Marine Geodesy 30: 3-35.</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s-ES"/>
        </w:rPr>
      </w:pPr>
      <w:r>
        <w:rPr>
          <w:rFonts w:ascii="Liberation Serif" w:hAnsi="Liberation Serif"/>
          <w:lang w:val="es-ES"/>
        </w:rPr>
        <w:t xml:space="preserve">Wright, M. N. &amp; Ziegler, A. (2017). ranger: A fast implementation of random forests for high dimensional data in C++ and R. J Stat Softw 77:1-17.  </w:t>
      </w:r>
      <w:hyperlink r:id="rId22">
        <w:r>
          <w:rPr>
            <w:rStyle w:val="InternetLink"/>
            <w:rFonts w:ascii="Liberation Serif" w:hAnsi="Liberation Serif"/>
            <w:lang w:val="es-ES"/>
          </w:rPr>
          <w:t>https://doi.org/10.18637/jss.v077.i01</w:t>
        </w:r>
      </w:hyperlink>
      <w:r>
        <w:rPr>
          <w:rFonts w:ascii="Liberation Serif" w:hAnsi="Liberation Serif"/>
          <w:lang w:val="es-ES"/>
        </w:rPr>
        <w:t>.</w:t>
      </w:r>
    </w:p>
    <w:p>
      <w:pPr>
        <w:pStyle w:val="Normal"/>
        <w:rPr>
          <w:rFonts w:ascii="Liberation Serif" w:hAnsi="Liberation Serif"/>
          <w:lang w:val="es-ES"/>
        </w:rPr>
      </w:pPr>
      <w:r>
        <w:rPr>
          <w:rFonts w:ascii="Liberation Serif" w:hAnsi="Liberation Serif"/>
          <w:lang w:val="es-ES"/>
        </w:rPr>
      </w:r>
    </w:p>
    <w:p>
      <w:pPr>
        <w:pStyle w:val="Normal"/>
        <w:rPr>
          <w:rFonts w:ascii="Liberation Serif" w:hAnsi="Liberation Serif"/>
          <w:lang w:val="en-US"/>
        </w:rPr>
      </w:pPr>
      <w:r>
        <w:rPr>
          <w:rFonts w:ascii="Liberation Serif" w:hAnsi="Liberation Serif"/>
          <w:lang w:val="es-ES"/>
        </w:rPr>
        <w:t>Yigini, Y., Olmedo, G.F., Reiter, S., Baritz, R., Viatkin, K. and Vargas, R. (eds). 2018. Soil Organic Carbon Mapping Cookbook 2nd edition. Rome, FAO. 220 pp.</w:t>
      </w:r>
    </w:p>
    <w:p>
      <w:pPr>
        <w:pStyle w:val="Normal"/>
        <w:rPr/>
      </w:pPr>
      <w:r>
        <w:rPr/>
      </w:r>
    </w:p>
    <w:sectPr>
      <w:footerReference w:type="default" r:id="rId23"/>
      <w:type w:val="nextPage"/>
      <w:pgSz w:w="12240" w:h="15840"/>
      <w:pgMar w:left="1440" w:right="1440" w:header="0" w:top="1440" w:footer="1440" w:bottom="1976" w:gutter="0"/>
      <w:lnNumType w:countBy="3" w:restart="continuous" w:distance="283"/>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Times New Roman">
    <w:charset w:val="01"/>
    <w:family w:val="roman"/>
    <w:pitch w:val="variable"/>
  </w:font>
  <w:font w:name="Liberation Sans">
    <w:altName w:val="Arial"/>
    <w:charset w:val="01"/>
    <w:family w:val="roman"/>
    <w:pitch w:val="variable"/>
  </w:font>
  <w:font w:name="Consolas">
    <w:charset w:val="01"/>
    <w:family w:val="swiss"/>
    <w:pitch w:val="fixed"/>
  </w:font>
  <w:font w:name="Times New Roman">
    <w:charset w:val="01"/>
    <w:family w:val="auto"/>
    <w:pitch w:val="default"/>
  </w:font>
  <w:font w:name="Roboto">
    <w:altName w:val="sans-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w:t>
    </w:r>
    <w:r>
      <w:fldChar w:fldCharType="end"/>
    </w:r>
  </w:p>
</w:ftr>
</file>

<file path=word/settings.xml><?xml version="1.0" encoding="utf-8"?>
<w:settings xmlns:w="http://schemas.openxmlformats.org/wordprocessingml/2006/main">
  <w:zoom w:percent="100"/>
  <w:defaultTabStop w:val="86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0"/>
        <w:szCs w:val="22"/>
        <w:lang w:val="es-ES" w:eastAsia="zh-CN" w:bidi="hi-IN"/>
      </w:rPr>
    </w:rPrDefault>
    <w:pPrDefault>
      <w:pPr/>
    </w:pPrDefault>
  </w:docDefaults>
  <w:style w:type="paragraph" w:styleId="Normal">
    <w:name w:val="Normal"/>
    <w:qFormat/>
    <w:pPr>
      <w:widowControl w:val="false"/>
      <w:overflowPunct w:val="true"/>
      <w:bidi w:val="0"/>
      <w:spacing w:lineRule="auto" w:line="276"/>
      <w:jc w:val="left"/>
    </w:pPr>
    <w:rPr>
      <w:rFonts w:ascii="Arial" w:hAnsi="Arial" w:eastAsia="Arial" w:cs="Arial"/>
      <w:color w:val="00000A"/>
      <w:sz w:val="22"/>
      <w:szCs w:val="22"/>
      <w:lang w:val="es-ES" w:eastAsia="zh-CN" w:bidi="hi-IN"/>
    </w:rPr>
  </w:style>
  <w:style w:type="paragraph" w:styleId="Heading1">
    <w:name w:val="Heading 1"/>
    <w:basedOn w:val="Heading"/>
    <w:next w:val="Normal"/>
    <w:qFormat/>
    <w:pPr>
      <w:keepLines/>
      <w:spacing w:lineRule="auto" w:line="240" w:before="400" w:after="120"/>
      <w:outlineLvl w:val="0"/>
    </w:pPr>
    <w:rPr>
      <w:rFonts w:ascii="Arial" w:hAnsi="Arial" w:eastAsia="Arial" w:cs="Arial"/>
      <w:sz w:val="40"/>
      <w:szCs w:val="40"/>
    </w:rPr>
  </w:style>
  <w:style w:type="paragraph" w:styleId="Heading2">
    <w:name w:val="Heading 2"/>
    <w:basedOn w:val="Heading"/>
    <w:next w:val="Normal"/>
    <w:qFormat/>
    <w:pPr>
      <w:keepLines/>
      <w:spacing w:lineRule="auto" w:line="240" w:before="360" w:after="120"/>
      <w:outlineLvl w:val="1"/>
    </w:pPr>
    <w:rPr>
      <w:rFonts w:ascii="Arial" w:hAnsi="Arial" w:eastAsia="Arial" w:cs="Arial"/>
      <w:sz w:val="32"/>
      <w:szCs w:val="32"/>
    </w:rPr>
  </w:style>
  <w:style w:type="paragraph" w:styleId="Heading3">
    <w:name w:val="Heading 3"/>
    <w:basedOn w:val="Heading"/>
    <w:next w:val="Normal"/>
    <w:qFormat/>
    <w:pPr>
      <w:keepLines/>
      <w:spacing w:lineRule="auto" w:line="240" w:before="320" w:after="80"/>
      <w:outlineLvl w:val="2"/>
    </w:pPr>
    <w:rPr>
      <w:rFonts w:ascii="Arial" w:hAnsi="Arial" w:eastAsia="Arial" w:cs="Arial"/>
      <w:color w:val="434343"/>
    </w:rPr>
  </w:style>
  <w:style w:type="paragraph" w:styleId="Heading4">
    <w:name w:val="Heading 4"/>
    <w:basedOn w:val="Heading"/>
    <w:next w:val="Normal"/>
    <w:qFormat/>
    <w:pPr>
      <w:keepLines/>
      <w:spacing w:lineRule="auto" w:line="240" w:before="280" w:after="80"/>
      <w:outlineLvl w:val="3"/>
    </w:pPr>
    <w:rPr>
      <w:rFonts w:ascii="Arial" w:hAnsi="Arial" w:eastAsia="Arial" w:cs="Arial"/>
      <w:color w:val="666666"/>
      <w:sz w:val="24"/>
      <w:szCs w:val="24"/>
    </w:rPr>
  </w:style>
  <w:style w:type="paragraph" w:styleId="Heading5">
    <w:name w:val="Heading 5"/>
    <w:basedOn w:val="Heading"/>
    <w:next w:val="Normal"/>
    <w:qFormat/>
    <w:pPr>
      <w:keepLines/>
      <w:spacing w:lineRule="auto" w:line="240" w:before="240" w:after="80"/>
      <w:outlineLvl w:val="4"/>
    </w:pPr>
    <w:rPr>
      <w:rFonts w:ascii="Arial" w:hAnsi="Arial" w:eastAsia="Arial" w:cs="Arial"/>
      <w:color w:val="666666"/>
      <w:sz w:val="22"/>
      <w:szCs w:val="22"/>
    </w:rPr>
  </w:style>
  <w:style w:type="paragraph" w:styleId="Heading6">
    <w:name w:val="Heading 6"/>
    <w:basedOn w:val="Heading"/>
    <w:next w:val="Normal"/>
    <w:qFormat/>
    <w:pPr>
      <w:keepLines/>
      <w:spacing w:lineRule="auto" w:line="240" w:before="240" w:after="80"/>
      <w:outlineLvl w:val="5"/>
    </w:pPr>
    <w:rPr>
      <w:rFonts w:ascii="Arial" w:hAnsi="Arial" w:eastAsia="Arial" w:cs="Arial"/>
      <w:i/>
      <w:color w:val="666666"/>
      <w:sz w:val="22"/>
      <w:szCs w:val="22"/>
    </w:rPr>
  </w:style>
  <w:style w:type="character" w:styleId="DefaultParagraphFont">
    <w:name w:val="Default Paragraph Font"/>
    <w:qFormat/>
    <w:rPr/>
  </w:style>
  <w:style w:type="character" w:styleId="InternetLink">
    <w:name w:val="Internet Link"/>
    <w:rPr>
      <w:color w:val="000080"/>
      <w:u w:val="single"/>
    </w:rPr>
  </w:style>
  <w:style w:type="character" w:styleId="LineNumbering">
    <w:name w:val="Line Numbering"/>
    <w:rPr/>
  </w:style>
  <w:style w:type="character" w:styleId="Linenumber">
    <w:name w:val="line number"/>
    <w:basedOn w:val="DefaultParagraphFont"/>
    <w:qFormat/>
    <w:rPr/>
  </w:style>
  <w:style w:type="character" w:styleId="TextodegloboCar">
    <w:name w:val="Texto de globo Car"/>
    <w:basedOn w:val="DefaultParagraphFont"/>
    <w:qFormat/>
    <w:rPr>
      <w:rFonts w:ascii="Times New Roman" w:hAnsi="Times New Roman" w:cs="Mangal"/>
      <w:color w:val="00000A"/>
      <w:sz w:val="18"/>
      <w:szCs w:val="16"/>
    </w:rPr>
  </w:style>
  <w:style w:type="character" w:styleId="Annotationreference">
    <w:name w:val="annotation reference"/>
    <w:basedOn w:val="DefaultParagraphFont"/>
    <w:qFormat/>
    <w:rPr>
      <w:sz w:val="16"/>
      <w:szCs w:val="16"/>
    </w:rPr>
  </w:style>
  <w:style w:type="character" w:styleId="TextocomentarioCar">
    <w:name w:val="Texto comentario Car"/>
    <w:basedOn w:val="DefaultParagraphFont"/>
    <w:qFormat/>
    <w:rPr>
      <w:rFonts w:cs="Mangal"/>
      <w:color w:val="00000A"/>
      <w:szCs w:val="18"/>
    </w:rPr>
  </w:style>
  <w:style w:type="character" w:styleId="AsuntodelcomentarioCar">
    <w:name w:val="Asunto del comentario Car"/>
    <w:basedOn w:val="TextocomentarioCar"/>
    <w:qFormat/>
    <w:rPr>
      <w:rFonts w:cs="Mangal"/>
      <w:b/>
      <w:bCs/>
      <w:color w:val="00000A"/>
      <w:szCs w:val="18"/>
    </w:rPr>
  </w:style>
  <w:style w:type="character" w:styleId="Emphasis">
    <w:name w:val="Emphasis"/>
    <w:qFormat/>
    <w:rPr>
      <w:i/>
      <w:iCs/>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AR PL SungtiL GB"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LOnormal">
    <w:name w:val="LO-normal"/>
    <w:qFormat/>
    <w:pPr>
      <w:widowControl/>
      <w:overflowPunct w:val="true"/>
      <w:bidi w:val="0"/>
      <w:jc w:val="left"/>
    </w:pPr>
    <w:rPr>
      <w:rFonts w:ascii="Arial" w:hAnsi="Arial" w:eastAsia="Arial" w:cs="Arial"/>
      <w:color w:val="00000A"/>
      <w:sz w:val="22"/>
      <w:szCs w:val="22"/>
      <w:lang w:val="es-ES" w:eastAsia="zh-CN" w:bidi="hi-IN"/>
    </w:rPr>
  </w:style>
  <w:style w:type="paragraph" w:styleId="Title">
    <w:name w:val="Title"/>
    <w:basedOn w:val="LOnormal"/>
    <w:next w:val="Normal"/>
    <w:qFormat/>
    <w:pPr>
      <w:keepNext/>
      <w:keepLines/>
      <w:spacing w:before="0" w:after="60"/>
    </w:pPr>
    <w:rPr>
      <w:sz w:val="52"/>
      <w:szCs w:val="52"/>
    </w:rPr>
  </w:style>
  <w:style w:type="paragraph" w:styleId="Subtitle">
    <w:name w:val="Subtitle"/>
    <w:basedOn w:val="LOnormal"/>
    <w:next w:val="Normal"/>
    <w:qFormat/>
    <w:pPr>
      <w:keepNext/>
      <w:keepLines/>
      <w:spacing w:before="0" w:after="320"/>
    </w:pPr>
    <w:rPr>
      <w:color w:val="666666"/>
      <w:sz w:val="30"/>
      <w:szCs w:val="30"/>
    </w:rPr>
  </w:style>
  <w:style w:type="paragraph" w:styleId="Header">
    <w:name w:val="Header"/>
    <w:basedOn w:val="Normal"/>
    <w:pPr>
      <w:suppressLineNumbers/>
    </w:pPr>
    <w:rPr/>
  </w:style>
  <w:style w:type="paragraph" w:styleId="Footer">
    <w:name w:val="Footer"/>
    <w:basedOn w:val="Normal"/>
    <w:pPr>
      <w:suppressLineNumbers/>
    </w:pPr>
    <w:rPr/>
  </w:style>
  <w:style w:type="paragraph" w:styleId="BalloonText">
    <w:name w:val="Balloon Text"/>
    <w:basedOn w:val="Normal"/>
    <w:qFormat/>
    <w:pPr>
      <w:spacing w:lineRule="auto" w:line="240"/>
    </w:pPr>
    <w:rPr>
      <w:rFonts w:ascii="Times New Roman" w:hAnsi="Times New Roman" w:cs="Mangal"/>
      <w:sz w:val="18"/>
      <w:szCs w:val="16"/>
    </w:rPr>
  </w:style>
  <w:style w:type="paragraph" w:styleId="Annotationtext">
    <w:name w:val="annotation text"/>
    <w:basedOn w:val="Normal"/>
    <w:qFormat/>
    <w:pPr>
      <w:spacing w:lineRule="auto" w:line="240"/>
    </w:pPr>
    <w:rPr>
      <w:rFonts w:cs="Mangal"/>
      <w:sz w:val="20"/>
      <w:szCs w:val="18"/>
    </w:rPr>
  </w:style>
  <w:style w:type="paragraph" w:styleId="Annotationsubject">
    <w:name w:val="annotation subject"/>
    <w:basedOn w:val="Annotationtext"/>
    <w:qFormat/>
    <w:pPr/>
    <w:rPr>
      <w:b/>
      <w:bCs/>
    </w:rPr>
  </w:style>
  <w:style w:type="paragraph" w:styleId="TableContents">
    <w:name w:val="Table Contents"/>
    <w:basedOn w:val="Normal"/>
    <w:qFormat/>
    <w:pPr/>
    <w:rPr/>
  </w:style>
  <w:style w:type="paragraph" w:styleId="FrameContents">
    <w:name w:val="Frame Contents"/>
    <w:basedOn w:val="Normal"/>
    <w:qFormat/>
    <w:pPr/>
    <w:rPr/>
  </w:style>
  <w:style w:type="paragraph" w:styleId="Consolas">
    <w:name w:val="Consolas"/>
    <w:basedOn w:val="Normal"/>
    <w:qFormat/>
    <w:pPr/>
    <w:rPr/>
  </w:style>
  <w:style w:type="paragraph" w:styleId="Code">
    <w:name w:val="code."/>
    <w:basedOn w:val="Consolas"/>
    <w:qFormat/>
    <w:pPr/>
    <w:rPr>
      <w:rFonts w:ascii="Consolas" w:hAnsi="Consolas"/>
    </w:rPr>
  </w:style>
  <w:style w:type="paragraph" w:styleId="SourceCode">
    <w:name w:val="Source Code"/>
    <w:basedOn w:val="Code"/>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hub.com/DSM-LAC/MEXICO/tree/master/soc_map_mx_90m_inegi_s2_bdSaini" TargetMode="External"/><Relationship Id="rId9" Type="http://schemas.openxmlformats.org/officeDocument/2006/relationships/hyperlink" Target="http://www.gadm.org/home" TargetMode="External"/><Relationship Id="rId10" Type="http://schemas.openxmlformats.org/officeDocument/2006/relationships/hyperlink" Target="http://www.gadm.org/" TargetMode="External"/><Relationship Id="rId11" Type="http://schemas.openxmlformats.org/officeDocument/2006/relationships/hyperlink" Target="http://www.stat.uni-muenchen.de/sfb386/papers/dsp/paper399.ps" TargetMode="External"/><Relationship Id="rId12" Type="http://schemas.openxmlformats.org/officeDocument/2006/relationships/hyperlink" Target="http://www.soilmapper.org/" TargetMode="External"/><Relationship Id="rId13" Type="http://schemas.openxmlformats.org/officeDocument/2006/relationships/hyperlink" Target="http://www.soilmapper.org/" TargetMode="External"/><Relationship Id="rId14" Type="http://schemas.openxmlformats.org/officeDocument/2006/relationships/hyperlink" Target="https://cran.r-project.org/package=raster" TargetMode="External"/><Relationship Id="rId15" Type="http://schemas.openxmlformats.org/officeDocument/2006/relationships/hyperlink" Target="http://internet.contenidos.inegi.org.mx/contenidos/Productos/prod_serv/contenidos/espanol/bvinegi/productos/nueva_estruc/702825231606.pdf" TargetMode="External"/><Relationship Id="rId16" Type="http://schemas.openxmlformats.org/officeDocument/2006/relationships/hyperlink" Target="https://cran.r-project.org/package=caret" TargetMode="External"/><Relationship Id="rId17" Type="http://schemas.openxmlformats.org/officeDocument/2006/relationships/hyperlink" Target="https://doi.org/10.7930/SOCCR2.2018.Ch12" TargetMode="External"/><Relationship Id="rId18" Type="http://schemas.openxmlformats.org/officeDocument/2006/relationships/hyperlink" Target="" TargetMode="External"/><Relationship Id="rId19" Type="http://schemas.openxmlformats.org/officeDocument/2006/relationships/hyperlink" Target="http://www.scielo.org.mx/scielo.php?script=sci_abstract&amp;pid=S0187-57792016000300289&amp;lng=es&amp;nrm=iso" TargetMode="External"/><Relationship Id="rId20" Type="http://schemas.openxmlformats.org/officeDocument/2006/relationships/hyperlink" Target="https://www.r-project.org/" TargetMode="External"/><Relationship Id="rId21" Type="http://schemas.openxmlformats.org/officeDocument/2006/relationships/hyperlink" Target="https://doi.org/10.1201/b12728-57" TargetMode="External"/><Relationship Id="rId22" Type="http://schemas.openxmlformats.org/officeDocument/2006/relationships/hyperlink" Target="https://doi.org/10.18637/jss.v077.i01"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219</TotalTime>
  <Application>LibreOffice/5.2.7.2$Linux_X86_64 LibreOffice_project/20m0$Build-2</Application>
  <Pages>27</Pages>
  <Words>10416</Words>
  <Characters>57743</Characters>
  <CharactersWithSpaces>67776</CharactersWithSpaces>
  <Paragraphs>500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2019-05-19T20:16:00Z</dcterms:created>
  <dc:creator/>
  <dc:description/>
  <dc:language>en-US</dc:language>
  <cp:lastModifiedBy/>
  <dcterms:modified xsi:type="dcterms:W3CDTF">2019-09-30T15:24:00Z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