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5abe423312d12a4574062f32f841a61147b38bb"/>
    <w:p>
      <w:pPr>
        <w:pStyle w:val="Heading1"/>
      </w:pPr>
      <w:r>
        <w:t xml:space="preserve">Deep Research Review of an MTHFR Gene Therapy Platform for Retinal and Neuropsychiatric Indications</w:t>
      </w:r>
    </w:p>
    <w:bookmarkStart w:id="24" w:name="Xdf32e29549e5b6eec655e710e02b232bacac1d6"/>
    <w:p>
      <w:pPr>
        <w:pStyle w:val="Heading2"/>
      </w:pPr>
      <w:r>
        <w:t xml:space="preserve">Scientific background on MTHFR structure, regulation, and why dimers matter</w:t>
      </w:r>
    </w:p>
    <w:p>
      <w:pPr>
        <w:pStyle w:val="FirstParagraph"/>
      </w:pPr>
      <w:r>
        <w:t xml:space="preserve">Human 5,10‑methylenetetrahydrofolate reductase (MTHFR; EC 1.5.1.20) is a flavoprotein enzyme that commits folate-derived one‑carbon units to the methionine/S‑adenosyl‑L‑methionine (SAM) cycle by catalyzing reduction of 5,10‑methylene‑THF (CH₂‑THF) to 5‑methyl‑THF (CH₃‑THF), using FAD as a cofactor and NADPH as an electron donor.</w:t>
      </w:r>
      <w:r>
        <w:t xml:space="preserve"> </w:t>
      </w:r>
      <w:hyperlink r:id="rId21">
        <w:r>
          <w:rPr>
            <w:rStyle w:val="Hyperlink"/>
          </w:rPr>
          <w:t xml:space="preserve">[1]</w:t>
        </w:r>
      </w:hyperlink>
      <w:r>
        <w:t xml:space="preserve"> </w:t>
      </w:r>
      <w:r>
        <w:t xml:space="preserve">This is the primary biochemical bridge between folate handling and downstream methylation potential (often approximated by the SAM:SAH ratio).</w:t>
      </w:r>
      <w:r>
        <w:t xml:space="preserve"> </w:t>
      </w:r>
      <w:hyperlink r:id="rId22">
        <w:r>
          <w:rPr>
            <w:rStyle w:val="Hyperlink"/>
          </w:rPr>
          <w:t xml:space="preserve">[2]</w:t>
        </w:r>
      </w:hyperlink>
    </w:p>
    <w:p>
      <w:pPr>
        <w:pStyle w:val="BodyText"/>
      </w:pPr>
      <w:r>
        <w:t xml:space="preserve">A central structural point supporting your platform concept is that</w:t>
      </w:r>
      <w:r>
        <w:t xml:space="preserve"> </w:t>
      </w:r>
      <w:r>
        <w:rPr>
          <w:i/>
          <w:iCs/>
        </w:rPr>
        <w:t xml:space="preserve">eukaryotic</w:t>
      </w:r>
      <w:r>
        <w:t xml:space="preserve"> </w:t>
      </w:r>
      <w:r>
        <w:t xml:space="preserve">MTHFR is not just a catalytic barrel: it is a multi‑domain, regulated, homodimeric enzyme. The first high‑resolution human structure (X‑ray) and subsequent cryo‑EM structures show:</w:t>
      </w:r>
      <w:r>
        <w:br/>
      </w:r>
      <w:r>
        <w:t xml:space="preserve">- a conserved catalytic TIM‑barrel domain that binds FAD and accommodates the folate substrate;</w:t>
      </w:r>
      <w:r>
        <w:br/>
      </w:r>
      <w:r>
        <w:t xml:space="preserve">- a eukaryote‑specific regulatory domain that binds SAM/SAH;</w:t>
      </w:r>
      <w:r>
        <w:br/>
      </w:r>
      <w:r>
        <w:t xml:space="preserve">- an inter‑domain linker that transduces allosteric regulation; and</w:t>
      </w:r>
      <w:r>
        <w:br/>
      </w:r>
      <w:r>
        <w:t xml:space="preserve">- dimerization that is dominated by the regulatory domain architecture and inter‑domain arrangement.</w:t>
      </w:r>
      <w:r>
        <w:t xml:space="preserve"> </w:t>
      </w:r>
      <w:hyperlink r:id="rId23">
        <w:r>
          <w:rPr>
            <w:rStyle w:val="Hyperlink"/>
          </w:rPr>
          <w:t xml:space="preserve">[3]</w:t>
        </w:r>
      </w:hyperlink>
    </w:p>
    <w:p>
      <w:pPr>
        <w:pStyle w:val="BodyText"/>
      </w:pPr>
      <w:r>
        <w:t xml:space="preserve">The 2018 human crystal structure (PDB 6FCX) is explicitly annotated as a homodimer (A2) and contains FAD, reinforcing that dimer modeling is physiologically relevant.</w:t>
      </w:r>
      <w:r>
        <w:t xml:space="preserve"> </w:t>
      </w:r>
      <w:hyperlink r:id="rId23">
        <w:r>
          <w:rPr>
            <w:rStyle w:val="Hyperlink"/>
          </w:rPr>
          <w:t xml:space="preserve">[4]</w:t>
        </w:r>
      </w:hyperlink>
      <w:r>
        <w:t xml:space="preserve"> </w:t>
      </w:r>
      <w:r>
        <w:t xml:space="preserve">A 2024 cryo‑EM study further clarified that SAM/SAH binding remodels the regulatory pocket and reorients the catalytic domain via linker motion, producing inhibited and dis‑inhibited conformational states and directly affecting access to the catalytic site and FAD-adjacent positioning (e.g., Tyr404 involvement described in the abstract).</w:t>
      </w:r>
      <w:r>
        <w:t xml:space="preserve"> </w:t>
      </w:r>
      <w:hyperlink r:id="rId22">
        <w:r>
          <w:rPr>
            <w:rStyle w:val="Hyperlink"/>
          </w:rPr>
          <w:t xml:space="preserve">[5]</w:t>
        </w:r>
      </w:hyperlink>
    </w:p>
    <w:bookmarkEnd w:id="24"/>
    <w:bookmarkStart w:id="38" w:name="Xfc3c4676d76054b4d3f0e7851817b51cae90d37"/>
    <w:p>
      <w:pPr>
        <w:pStyle w:val="Heading2"/>
      </w:pPr>
      <w:r>
        <w:t xml:space="preserve">What is known about C677T and A1298C from biochemistry, structure-function work, and clinical guidance</w:t>
      </w:r>
    </w:p>
    <w:bookmarkStart w:id="28" w:name="Xe1a018c03782458c87117eb32dc54de0c4bf197"/>
    <w:p>
      <w:pPr>
        <w:pStyle w:val="Heading3"/>
      </w:pPr>
      <w:r>
        <w:t xml:space="preserve">C677T (protein p.Ala222Val; rs1801133) is a validated “thermolabile / cofactor-labile” functional variant</w:t>
      </w:r>
    </w:p>
    <w:p>
      <w:pPr>
        <w:pStyle w:val="FirstParagraph"/>
      </w:pPr>
      <w:r>
        <w:t xml:space="preserve">The best-established functional common variant is C677T, which encodes p.Ala222Val in the catalytic domain and was originally described as a common mutation associated with reduced enzyme activity/thermolability and (context-dependent) hyperhomocysteinemia.</w:t>
      </w:r>
      <w:r>
        <w:t xml:space="preserve"> </w:t>
      </w:r>
      <w:hyperlink r:id="rId25">
        <w:r>
          <w:rPr>
            <w:rStyle w:val="Hyperlink"/>
          </w:rPr>
          <w:t xml:space="preserve">[6]</w:t>
        </w:r>
      </w:hyperlink>
      <w:r>
        <w:t xml:space="preserve"> </w:t>
      </w:r>
      <w:r>
        <w:t xml:space="preserve">Structural and biochemical work (including high‑resolution studies in bacterial models and follow‑on work in human enzyme systems) converges on a key mechanistic theme: the Ala→Val substitution increases the propensity for loss of the essential FAD cofactor and enzyme instability, and folate derivatives can stabilize the enzyme and protect against flavin loss/thermal inactivation.</w:t>
      </w:r>
      <w:r>
        <w:t xml:space="preserve"> </w:t>
      </w:r>
      <w:hyperlink r:id="rId26">
        <w:r>
          <w:rPr>
            <w:rStyle w:val="Hyperlink"/>
          </w:rPr>
          <w:t xml:space="preserve">[7]</w:t>
        </w:r>
      </w:hyperlink>
    </w:p>
    <w:p>
      <w:pPr>
        <w:pStyle w:val="BodyText"/>
      </w:pPr>
      <w:r>
        <w:t xml:space="preserve">This cofactor‑stability behavior is directly relevant to your platform’s emphasis on FAD-associated effects. It is also clinically meaningful in at least some contexts: riboflavin (vitamin B2; a precursor to FAD) status can modify the biochemical phenotype associated with the 677C&gt;T genotype (e.g., effects on total homocysteine), and targeted riboflavin supplementation has been reported to reduce blood pressure more effectively in hypertensive individuals with the 677TT genotype in a randomized design.</w:t>
      </w:r>
      <w:r>
        <w:t xml:space="preserve"> </w:t>
      </w:r>
      <w:hyperlink r:id="rId27">
        <w:r>
          <w:rPr>
            <w:rStyle w:val="Hyperlink"/>
          </w:rPr>
          <w:t xml:space="preserve">[8]</w:t>
        </w:r>
      </w:hyperlink>
    </w:p>
    <w:bookmarkEnd w:id="28"/>
    <w:bookmarkStart w:id="31" w:name="X61b163cdd4190ae7543b7a44617b7a25553b12a"/>
    <w:p>
      <w:pPr>
        <w:pStyle w:val="Heading3"/>
      </w:pPr>
      <w:r>
        <w:t xml:space="preserve">A1298C (protein p.Glu429Ala; rs1801131) has weaker and more context-dependent evidence for major metabolic disruption</w:t>
      </w:r>
    </w:p>
    <w:p>
      <w:pPr>
        <w:pStyle w:val="FirstParagraph"/>
      </w:pPr>
      <w:r>
        <w:t xml:space="preserve">A1298C encodes p.Glu429Ala and is often described as functionally milder than C677T with respect to plasma homocysteine in many cohorts, with some studies reporting no homocysteine elevation in A1298C homozygotes.</w:t>
      </w:r>
      <w:r>
        <w:t xml:space="preserve"> </w:t>
      </w:r>
      <w:hyperlink r:id="rId29">
        <w:r>
          <w:rPr>
            <w:rStyle w:val="Hyperlink"/>
          </w:rPr>
          <w:t xml:space="preserve">[9]</w:t>
        </w:r>
      </w:hyperlink>
      <w:r>
        <w:t xml:space="preserve"> </w:t>
      </w:r>
      <w:r>
        <w:t xml:space="preserve">This helps explain why the medical genetics and thrombosis communities tend to treat A1298C as</w:t>
      </w:r>
      <w:r>
        <w:t xml:space="preserve"> </w:t>
      </w:r>
      <w:r>
        <w:rPr>
          <w:i/>
          <w:iCs/>
        </w:rPr>
        <w:t xml:space="preserve">not</w:t>
      </w:r>
      <w:r>
        <w:t xml:space="preserve"> </w:t>
      </w:r>
      <w:r>
        <w:t xml:space="preserve">a stand‑alone driver of clinically actionable hyperhomocysteinemia in most people, especially where folate sufficiency is common.</w:t>
      </w:r>
      <w:r>
        <w:t xml:space="preserve"> </w:t>
      </w:r>
      <w:hyperlink r:id="rId30">
        <w:r>
          <w:rPr>
            <w:rStyle w:val="Hyperlink"/>
          </w:rPr>
          <w:t xml:space="preserve">[10]</w:t>
        </w:r>
      </w:hyperlink>
    </w:p>
    <w:bookmarkEnd w:id="31"/>
    <w:bookmarkStart w:id="33" w:name="X6c9c6d3ace1b3046b9f5e6924eb5278af4b8ec7"/>
    <w:p>
      <w:pPr>
        <w:pStyle w:val="Heading3"/>
      </w:pPr>
      <w:r>
        <w:t xml:space="preserve">Compound heterozygosity (one 677T allele + one 1298C allele) can reduce enzyme activity, but phenotype severity is variable</w:t>
      </w:r>
    </w:p>
    <w:p>
      <w:pPr>
        <w:pStyle w:val="FirstParagraph"/>
      </w:pPr>
      <w:r>
        <w:t xml:space="preserve">Several studies and reviews report that compound heterozygotes (677CT/1298AC) can show reduced MTHFR activity compared with single heterozygotes, sometimes approximating the biochemical profile of 677TT individuals, with reported activity values in the ~50–60% range in some summaries and specific enzyme activity comparisons in others.</w:t>
      </w:r>
      <w:r>
        <w:t xml:space="preserve"> </w:t>
      </w:r>
      <w:hyperlink r:id="rId32">
        <w:r>
          <w:rPr>
            <w:rStyle w:val="Hyperlink"/>
          </w:rPr>
          <w:t xml:space="preserve">[11]</w:t>
        </w:r>
      </w:hyperlink>
      <w:r>
        <w:t xml:space="preserve"> </w:t>
      </w:r>
      <w:r>
        <w:t xml:space="preserve">However, other work has found that “double heterozygotes” do not necessarily show significantly increased plasma homocysteine in every population and context, emphasizing gene–environment dependencies (folate status, riboflavin status, comorbidities, measurement context).</w:t>
      </w:r>
      <w:r>
        <w:t xml:space="preserve"> </w:t>
      </w:r>
      <w:hyperlink r:id="rId29">
        <w:r>
          <w:rPr>
            <w:rStyle w:val="Hyperlink"/>
          </w:rPr>
          <w:t xml:space="preserve">[12]</w:t>
        </w:r>
      </w:hyperlink>
    </w:p>
    <w:bookmarkEnd w:id="33"/>
    <w:bookmarkStart w:id="37" w:name="X703e2ae173a5430160bebcd07b3122fd27074ad"/>
    <w:p>
      <w:pPr>
        <w:pStyle w:val="Heading3"/>
      </w:pPr>
      <w:r>
        <w:t xml:space="preserve">Clinical guidance strongly differentiates “common polymorphisms” from rare severe MTHFR deficiency</w:t>
      </w:r>
    </w:p>
    <w:p>
      <w:pPr>
        <w:pStyle w:val="FirstParagraph"/>
      </w:pPr>
      <w:r>
        <w:t xml:space="preserve">A core translational reality is that most clinical controversies around “MTHFR” relate to</w:t>
      </w:r>
      <w:r>
        <w:t xml:space="preserve"> </w:t>
      </w:r>
      <w:r>
        <w:rPr>
          <w:b/>
          <w:bCs/>
        </w:rPr>
        <w:t xml:space="preserve">common polymorphisms</w:t>
      </w:r>
      <w:r>
        <w:t xml:space="preserve"> </w:t>
      </w:r>
      <w:r>
        <w:t xml:space="preserve">(C677T and A1298C), not</w:t>
      </w:r>
      <w:r>
        <w:t xml:space="preserve"> </w:t>
      </w:r>
      <w:r>
        <w:rPr>
          <w:b/>
          <w:bCs/>
        </w:rPr>
        <w:t xml:space="preserve">severe autosomal recessive MTHFR deficiency</w:t>
      </w:r>
      <w:r>
        <w:t xml:space="preserve"> </w:t>
      </w:r>
      <w:r>
        <w:t xml:space="preserve">(biallelic pathogenic variants causing homocystinuria/remethylation disorder).</w:t>
      </w:r>
    </w:p>
    <w:p>
      <w:pPr>
        <w:pStyle w:val="BodyText"/>
      </w:pPr>
      <w:r>
        <w:t xml:space="preserve">Professional guidance repeatedly concludes that testing C677T/A1298C polymorphisms has</w:t>
      </w:r>
      <w:r>
        <w:t xml:space="preserve"> </w:t>
      </w:r>
      <w:r>
        <w:rPr>
          <w:b/>
          <w:bCs/>
        </w:rPr>
        <w:t xml:space="preserve">minimal clinical utility</w:t>
      </w:r>
      <w:r>
        <w:t xml:space="preserve"> </w:t>
      </w:r>
      <w:r>
        <w:t xml:space="preserve">in routine thrombophilia or pregnancy-loss evaluations and should generally not be ordered for those purposes. This position appears in the American College of Medical Genetics and Genomics</w:t>
      </w:r>
      <w:hyperlink r:id="rId34">
        <w:r>
          <w:rPr>
            <w:rStyle w:val="Hyperlink"/>
          </w:rPr>
          <w:t xml:space="preserve">[13]</w:t>
        </w:r>
      </w:hyperlink>
      <w:r>
        <w:t xml:space="preserve"> </w:t>
      </w:r>
      <w:r>
        <w:t xml:space="preserve">practice guideline and later addendum/reclassification.</w:t>
      </w:r>
      <w:r>
        <w:t xml:space="preserve"> </w:t>
      </w:r>
      <w:hyperlink r:id="rId35">
        <w:r>
          <w:rPr>
            <w:rStyle w:val="Hyperlink"/>
          </w:rPr>
          <w:t xml:space="preserve">[14]</w:t>
        </w:r>
      </w:hyperlink>
      <w:r>
        <w:t xml:space="preserve"> </w:t>
      </w:r>
      <w:r>
        <w:t xml:space="preserve">Thrombosis experts have published a “call to action” arguing that these polymorphisms are not inherited thrombophilias and should be removed from thrombophilia panels.</w:t>
      </w:r>
      <w:r>
        <w:t xml:space="preserve"> </w:t>
      </w:r>
      <w:hyperlink r:id="rId30">
        <w:r>
          <w:rPr>
            <w:rStyle w:val="Hyperlink"/>
          </w:rPr>
          <w:t xml:space="preserve">[15]</w:t>
        </w:r>
      </w:hyperlink>
    </w:p>
    <w:p>
      <w:pPr>
        <w:pStyle w:val="BodyText"/>
      </w:pPr>
      <w:r>
        <w:t xml:space="preserve">Likewise, public health guidance emphasizes that people with an MTHFR variant can process folate including folic acid and that folic acid intake is more important for determining blood folate levels than genotype in many settings; folic acid remains the only form proven to prevent neural tube defects.</w:t>
      </w:r>
      <w:r>
        <w:t xml:space="preserve"> </w:t>
      </w:r>
      <w:hyperlink r:id="rId36">
        <w:r>
          <w:rPr>
            <w:rStyle w:val="Hyperlink"/>
          </w:rPr>
          <w:t xml:space="preserve">[16]</w:t>
        </w:r>
      </w:hyperlink>
    </w:p>
    <w:p>
      <w:pPr>
        <w:pStyle w:val="BodyText"/>
      </w:pPr>
      <w:r>
        <w:t xml:space="preserve">These guidance statements do</w:t>
      </w:r>
      <w:r>
        <w:t xml:space="preserve"> </w:t>
      </w:r>
      <w:r>
        <w:rPr>
          <w:b/>
          <w:bCs/>
        </w:rPr>
        <w:t xml:space="preserve">not</w:t>
      </w:r>
      <w:r>
        <w:t xml:space="preserve"> </w:t>
      </w:r>
      <w:r>
        <w:t xml:space="preserve">mean MTHFR variants “do nothing.” They mean that, at a population level, the common variants are typically not strong enough—nor the evidence consistent enough—to justify broad genetic testing or deterministic clinical conclusions in many common scenarios.</w:t>
      </w:r>
      <w:r>
        <w:t xml:space="preserve"> </w:t>
      </w:r>
      <w:hyperlink r:id="rId35">
        <w:r>
          <w:rPr>
            <w:rStyle w:val="Hyperlink"/>
          </w:rPr>
          <w:t xml:space="preserve">[17]</w:t>
        </w:r>
      </w:hyperlink>
      <w:r>
        <w:t xml:space="preserve"> </w:t>
      </w:r>
      <w:r>
        <w:t xml:space="preserve">This distinction is central when assessing whether “gene therapy” is proportionate for the common-variant cohort.</w:t>
      </w:r>
    </w:p>
    <w:bookmarkEnd w:id="37"/>
    <w:bookmarkEnd w:id="38"/>
    <w:bookmarkStart w:id="49" w:name="X8c2ff1b7b51805c17daaa1b5dff1febc5e18524"/>
    <w:p>
      <w:pPr>
        <w:pStyle w:val="Heading2"/>
      </w:pPr>
      <w:r>
        <w:t xml:space="preserve">Interpreting AlphaFold 3 and Boltz‑2 outputs for FAD/THF binding and dimer interfaces</w:t>
      </w:r>
    </w:p>
    <w:p>
      <w:pPr>
        <w:pStyle w:val="FirstParagraph"/>
      </w:pPr>
      <w:r>
        <w:t xml:space="preserve">Your platform (as described in the public repository) frames the work as computational structural analysis using AlphaFold 3 and Boltz‑2 to compare wild-type, single-variant, and compound heterozygous MTHFR states, with the hypothesis that the compound heterozygous dimer shows the weakest interaction profile across dimer interface and ligand-associated metrics.</w:t>
      </w:r>
      <w:r>
        <w:t xml:space="preserve"> </w:t>
      </w:r>
      <w:hyperlink r:id="rId39">
        <w:r>
          <w:rPr>
            <w:rStyle w:val="Hyperlink"/>
          </w:rPr>
          <w:t xml:space="preserve">[18]</w:t>
        </w:r>
      </w:hyperlink>
      <w:r>
        <w:t xml:space="preserve"> </w:t>
      </w:r>
      <w:r>
        <w:t xml:space="preserve">The scientific value of this approach depends heavily on correctly interpreting what AF3 and Boltz-2 metrics do—and do not—mean.</w:t>
      </w:r>
    </w:p>
    <w:bookmarkStart w:id="43" w:name="Xd607388fa0e73631784a160b204836919fab178"/>
    <w:p>
      <w:pPr>
        <w:pStyle w:val="Heading3"/>
      </w:pPr>
      <w:r>
        <w:t xml:space="preserve">What AF3 confidence scores measure (and what they don’t)</w:t>
      </w:r>
    </w:p>
    <w:p>
      <w:pPr>
        <w:pStyle w:val="FirstParagraph"/>
      </w:pPr>
      <w:r>
        <w:t xml:space="preserve">AlphaFold (including AF3 via AlphaFold Server) outputs confidence metrics such as pTM (global fold confidence) and ipTM (interface confidence). AlphaFold guidance indicates that ipTM values &gt;0.8 generally reflect confident interfaces, values &lt;0.6 suggest likely incorrect interfaces, and 0.6–0.8 is a gray zone.</w:t>
      </w:r>
      <w:r>
        <w:t xml:space="preserve"> </w:t>
      </w:r>
      <w:hyperlink r:id="rId40">
        <w:r>
          <w:rPr>
            <w:rStyle w:val="Hyperlink"/>
          </w:rPr>
          <w:t xml:space="preserve">[19]</w:t>
        </w:r>
      </w:hyperlink>
      <w:r>
        <w:t xml:space="preserve"> </w:t>
      </w:r>
      <w:r>
        <w:t xml:space="preserve">AF3 also supports</w:t>
      </w:r>
      <w:r>
        <w:t xml:space="preserve"> </w:t>
      </w:r>
      <w:r>
        <w:rPr>
          <w:i/>
          <w:iCs/>
        </w:rPr>
        <w:t xml:space="preserve">pairwise</w:t>
      </w:r>
      <w:r>
        <w:t xml:space="preserve"> </w:t>
      </w:r>
      <w:r>
        <w:t xml:space="preserve">ipTM between entities in a complex, which is relevant when treating a small molecule cofactor (like FAD) as an entity.</w:t>
      </w:r>
      <w:r>
        <w:t xml:space="preserve"> </w:t>
      </w:r>
      <w:hyperlink r:id="rId41">
        <w:r>
          <w:rPr>
            <w:rStyle w:val="Hyperlink"/>
          </w:rPr>
          <w:t xml:space="preserve">[20]</w:t>
        </w:r>
      </w:hyperlink>
    </w:p>
    <w:p>
      <w:pPr>
        <w:pStyle w:val="BodyText"/>
      </w:pPr>
      <w:r>
        <w:t xml:space="preserve">However, ipTM is a</w:t>
      </w:r>
      <w:r>
        <w:t xml:space="preserve"> </w:t>
      </w:r>
      <w:r>
        <w:rPr>
          <w:b/>
          <w:bCs/>
        </w:rPr>
        <w:t xml:space="preserve">confidence</w:t>
      </w:r>
      <w:r>
        <w:t xml:space="preserve"> </w:t>
      </w:r>
      <w:r>
        <w:t xml:space="preserve">measure about predicted relative positioning, not a binding free energy, KD, or enzymatic activity readout. Benchmarks and commentary warn against overinterpreting AlphaFold confidence scores as direct proxies for physical binding affinity, especially for protein–ligand systems.</w:t>
      </w:r>
      <w:r>
        <w:t xml:space="preserve"> </w:t>
      </w:r>
      <w:hyperlink r:id="rId42">
        <w:r>
          <w:rPr>
            <w:rStyle w:val="Hyperlink"/>
          </w:rPr>
          <w:t xml:space="preserve">[21]</w:t>
        </w:r>
      </w:hyperlink>
    </w:p>
    <w:p>
      <w:pPr>
        <w:pStyle w:val="BodyText"/>
      </w:pPr>
      <w:r>
        <w:rPr>
          <w:b/>
          <w:bCs/>
        </w:rPr>
        <w:t xml:space="preserve">Practical implication for your reported numbers:</w:t>
      </w:r>
      <w:r>
        <w:t xml:space="preserve"> </w:t>
      </w:r>
      <w:r>
        <w:t xml:space="preserve">differences such as “FAD ipTM 0.57 vs 0.53” may indicate the model is</w:t>
      </w:r>
      <w:r>
        <w:t xml:space="preserve"> </w:t>
      </w:r>
      <w:r>
        <w:rPr>
          <w:i/>
          <w:iCs/>
        </w:rPr>
        <w:t xml:space="preserve">less confident</w:t>
      </w:r>
      <w:r>
        <w:t xml:space="preserve"> </w:t>
      </w:r>
      <w:r>
        <w:t xml:space="preserve">about a particular ligand pose/interface, but that does not automatically translate to “X% reduced binding.” Moreover, if both values fall into the &lt;0.6 regime, AlphaFold’s own documentation would treat both as “likely failed/low confidence” interfaces, making fine distinctions between 0.57 and 0.53 particularly hazardous without orthogonal validation.</w:t>
      </w:r>
      <w:r>
        <w:t xml:space="preserve"> </w:t>
      </w:r>
      <w:hyperlink r:id="rId40">
        <w:r>
          <w:rPr>
            <w:rStyle w:val="Hyperlink"/>
          </w:rPr>
          <w:t xml:space="preserve">[22]</w:t>
        </w:r>
      </w:hyperlink>
    </w:p>
    <w:bookmarkEnd w:id="43"/>
    <w:bookmarkStart w:id="46" w:name="Xc5eb7fc3bf7912cb9e03cab112cbb7fc0236967"/>
    <w:p>
      <w:pPr>
        <w:pStyle w:val="Heading3"/>
      </w:pPr>
      <w:r>
        <w:t xml:space="preserve">What Boltz‑2 adds—and the current validation status</w:t>
      </w:r>
    </w:p>
    <w:p>
      <w:pPr>
        <w:pStyle w:val="FirstParagraph"/>
      </w:pPr>
      <w:r>
        <w:t xml:space="preserve">Boltz is presented as an open-source model family for biomolecular interaction prediction, and Boltz‑2 is described as extending structure prediction toward binding-affinity estimation.</w:t>
      </w:r>
      <w:r>
        <w:t xml:space="preserve"> </w:t>
      </w:r>
      <w:hyperlink r:id="rId44">
        <w:r>
          <w:rPr>
            <w:rStyle w:val="Hyperlink"/>
          </w:rPr>
          <w:t xml:space="preserve">[23]</w:t>
        </w:r>
      </w:hyperlink>
      <w:r>
        <w:t xml:space="preserve"> </w:t>
      </w:r>
      <w:r>
        <w:t xml:space="preserve">This is directionally aligned with your platform’s goal of comparing “binding” across genotypes.</w:t>
      </w:r>
    </w:p>
    <w:p>
      <w:pPr>
        <w:pStyle w:val="BodyText"/>
      </w:pPr>
      <w:r>
        <w:t xml:space="preserve">But the same general caution applies: any “ligand confidence” or predicted affinity-like outputs are model-derived and require experimental benchmarking in the specific biochemical system of interest. The broader literature on protein–ligand affinity prediction highlights persistent limitations in data quality, representation, and generalizability, even as models improve.</w:t>
      </w:r>
      <w:r>
        <w:t xml:space="preserve"> </w:t>
      </w:r>
      <w:hyperlink r:id="rId45">
        <w:r>
          <w:rPr>
            <w:rStyle w:val="Hyperlink"/>
          </w:rPr>
          <w:t xml:space="preserve">[24]</w:t>
        </w:r>
      </w:hyperlink>
    </w:p>
    <w:bookmarkEnd w:id="46"/>
    <w:bookmarkStart w:id="48" w:name="X9a0120fce47379c97a88d01019191a0f4dfc836"/>
    <w:p>
      <w:pPr>
        <w:pStyle w:val="Heading3"/>
      </w:pPr>
      <w:r>
        <w:t xml:space="preserve">Cross-checking against known experimental MTHFR structures</w:t>
      </w:r>
    </w:p>
    <w:p>
      <w:pPr>
        <w:pStyle w:val="FirstParagraph"/>
      </w:pPr>
      <w:r>
        <w:t xml:space="preserve">A major strength of working on MTHFR post‑2018 is the availability of experimental human structures for comparison:</w:t>
      </w:r>
      <w:r>
        <w:t xml:space="preserve"> </w:t>
      </w:r>
      <w:r>
        <w:t xml:space="preserve">- X‑ray structure PDB 6FCX (human MTHFR dimer with FAD)</w:t>
      </w:r>
      <w:r>
        <w:t xml:space="preserve"> </w:t>
      </w:r>
      <w:hyperlink r:id="rId23">
        <w:r>
          <w:rPr>
            <w:rStyle w:val="Hyperlink"/>
          </w:rPr>
          <w:t xml:space="preserve">[4]</w:t>
        </w:r>
      </w:hyperlink>
      <w:r>
        <w:br/>
      </w:r>
      <w:r>
        <w:t xml:space="preserve">- cryo‑EM structures capturing SAM/SAH regulated states and large conformational rearrangements (published 2024)</w:t>
      </w:r>
      <w:r>
        <w:t xml:space="preserve"> </w:t>
      </w:r>
      <w:hyperlink r:id="rId22">
        <w:r>
          <w:rPr>
            <w:rStyle w:val="Hyperlink"/>
          </w:rPr>
          <w:t xml:space="preserve">[5]</w:t>
        </w:r>
      </w:hyperlink>
    </w:p>
    <w:p>
      <w:pPr>
        <w:pStyle w:val="BodyText"/>
      </w:pPr>
      <w:r>
        <w:t xml:space="preserve">This matters because MTHFR is allosterically dynamic: conformational state, phosphorylation status, and SAM/SAH occupancy materially change domain positioning and substrate access.</w:t>
      </w:r>
      <w:r>
        <w:t xml:space="preserve"> </w:t>
      </w:r>
      <w:hyperlink r:id="rId22">
        <w:r>
          <w:rPr>
            <w:rStyle w:val="Hyperlink"/>
          </w:rPr>
          <w:t xml:space="preserve">[2]</w:t>
        </w:r>
      </w:hyperlink>
      <w:r>
        <w:t xml:space="preserve"> </w:t>
      </w:r>
      <w:r>
        <w:t xml:space="preserve">Any computational comparison that does not explicitly account for state (open/dis‑inhibited vs closed/inhibited) risks attributing “variant effects” to what is actually a “state selection” effect of the model. Recent work on co-folding models emphasizes that state selection can be a major determinant of whether predicted ligand poses are meaningful.</w:t>
      </w:r>
      <w:r>
        <w:t xml:space="preserve"> </w:t>
      </w:r>
      <w:hyperlink r:id="rId47">
        <w:r>
          <w:rPr>
            <w:rStyle w:val="Hyperlink"/>
          </w:rPr>
          <w:t xml:space="preserve">[25]</w:t>
        </w:r>
      </w:hyperlink>
    </w:p>
    <w:bookmarkEnd w:id="48"/>
    <w:bookmarkEnd w:id="49"/>
    <w:bookmarkStart w:id="59" w:name="X4e1cbb07c8c42b4ffafca2680081cb1836ac82b"/>
    <w:p>
      <w:pPr>
        <w:pStyle w:val="Heading2"/>
      </w:pPr>
      <w:r>
        <w:t xml:space="preserve">Evidence base for a retinal neurodegeneration hypothesis</w:t>
      </w:r>
    </w:p>
    <w:bookmarkStart w:id="52" w:name="X7967a3b00dcc3b829dc421242baa7ebc475f198"/>
    <w:p>
      <w:pPr>
        <w:pStyle w:val="Heading3"/>
      </w:pPr>
      <w:r>
        <w:t xml:space="preserve">Biological plausibility: homocysteine and retinal ganglion cell vulnerability</w:t>
      </w:r>
    </w:p>
    <w:p>
      <w:pPr>
        <w:pStyle w:val="FirstParagraph"/>
      </w:pPr>
      <w:r>
        <w:t xml:space="preserve">Retinal ganglion cell (RGC) dysfunction and loss underlie major blinding disorders (notably glaucoma), and RGC injury is a common endpoint for diverse retinal neurovascular stressors.</w:t>
      </w:r>
      <w:r>
        <w:t xml:space="preserve"> </w:t>
      </w:r>
      <w:hyperlink r:id="rId50">
        <w:r>
          <w:rPr>
            <w:rStyle w:val="Hyperlink"/>
          </w:rPr>
          <w:t xml:space="preserve">[26]</w:t>
        </w:r>
      </w:hyperlink>
      <w:r>
        <w:t xml:space="preserve"> </w:t>
      </w:r>
      <w:r>
        <w:t xml:space="preserve">Hyperhomocysteinemia (Hhcy) has been implicated as a contributor or biomarker in glaucoma and other retinal diseases, though causality is debated.</w:t>
      </w:r>
      <w:r>
        <w:t xml:space="preserve"> </w:t>
      </w:r>
      <w:hyperlink r:id="rId51">
        <w:r>
          <w:rPr>
            <w:rStyle w:val="Hyperlink"/>
          </w:rPr>
          <w:t xml:space="preserve">[27]</w:t>
        </w:r>
      </w:hyperlink>
    </w:p>
    <w:bookmarkEnd w:id="52"/>
    <w:bookmarkStart w:id="55" w:name="Xbecc9e56546c9f7a7040c54c49f3c97dfb64f18"/>
    <w:p>
      <w:pPr>
        <w:pStyle w:val="Heading3"/>
      </w:pPr>
      <w:r>
        <w:t xml:space="preserve">Strongest preclinical support: Mthfr+/- mice show RGC dysfunction, nerve fiber thinning, and retinal vascular leakage</w:t>
      </w:r>
    </w:p>
    <w:p>
      <w:pPr>
        <w:pStyle w:val="FirstParagraph"/>
      </w:pPr>
      <w:r>
        <w:t xml:space="preserve">A particularly relevant line of evidence for your platform is that</w:t>
      </w:r>
      <w:r>
        <w:t xml:space="preserve"> </w:t>
      </w:r>
      <w:r>
        <w:rPr>
          <w:b/>
          <w:bCs/>
        </w:rPr>
        <w:t xml:space="preserve">mild Mthfr deficiency in mice</w:t>
      </w:r>
      <w:r>
        <w:t xml:space="preserve"> </w:t>
      </w:r>
      <w:r>
        <w:t xml:space="preserve">can produce a measurable retinal phenotype consistent with neurovascular injury:</w:t>
      </w:r>
      <w:r>
        <w:t xml:space="preserve"> </w:t>
      </w:r>
      <w:r>
        <w:t xml:space="preserve">- reduced ganglion cell function (electroretinography changes),</w:t>
      </w:r>
      <w:r>
        <w:t xml:space="preserve"> </w:t>
      </w:r>
      <w:r>
        <w:t xml:space="preserve">- decreased nerve fiber layer thickness by OCT,</w:t>
      </w:r>
      <w:r>
        <w:t xml:space="preserve"> </w:t>
      </w:r>
      <w:r>
        <w:t xml:space="preserve">- increased retinal homocysteine,</w:t>
      </w:r>
      <w:r>
        <w:t xml:space="preserve"> </w:t>
      </w:r>
      <w:r>
        <w:t xml:space="preserve">- ~20% reduction of cells in the ganglion cell layer by ~24 weeks,</w:t>
      </w:r>
      <w:r>
        <w:t xml:space="preserve"> </w:t>
      </w:r>
      <w:r>
        <w:t xml:space="preserve">- progressive vascular leakage by fluorescein angiography.</w:t>
      </w:r>
      <w:r>
        <w:t xml:space="preserve"> </w:t>
      </w:r>
      <w:hyperlink r:id="rId53">
        <w:r>
          <w:rPr>
            <w:rStyle w:val="Hyperlink"/>
          </w:rPr>
          <w:t xml:space="preserve">[28]</w:t>
        </w:r>
      </w:hyperlink>
    </w:p>
    <w:p>
      <w:pPr>
        <w:pStyle w:val="BodyText"/>
      </w:pPr>
      <w:r>
        <w:t xml:space="preserve">This is unusually direct for the “MTHFR → retina” concept because it ties Mthfr genotype, homocysteine biochemistry, and retinal structure/function outcomes in one controlled model.</w:t>
      </w:r>
      <w:r>
        <w:t xml:space="preserve"> </w:t>
      </w:r>
      <w:hyperlink r:id="rId53">
        <w:r>
          <w:rPr>
            <w:rStyle w:val="Hyperlink"/>
          </w:rPr>
          <w:t xml:space="preserve">[29]</w:t>
        </w:r>
      </w:hyperlink>
      <w:r>
        <w:t xml:space="preserve"> </w:t>
      </w:r>
      <w:r>
        <w:t xml:space="preserve">Additional mechanistic work in hyperhomocysteinemia models supports oxidative stress–linked RGC death pathways (e.g., NRF2-linked mechanisms), reinforcing plausibility for a homocysteine-mediated stress axis.</w:t>
      </w:r>
      <w:r>
        <w:t xml:space="preserve"> </w:t>
      </w:r>
      <w:hyperlink r:id="rId54">
        <w:r>
          <w:rPr>
            <w:rStyle w:val="Hyperlink"/>
          </w:rPr>
          <w:t xml:space="preserve">[30]</w:t>
        </w:r>
      </w:hyperlink>
    </w:p>
    <w:bookmarkEnd w:id="55"/>
    <w:bookmarkStart w:id="56" w:name="X384d97020b53db561b486c7abbe3a7af3f1d0ec"/>
    <w:p>
      <w:pPr>
        <w:pStyle w:val="Heading3"/>
      </w:pPr>
      <w:r>
        <w:t xml:space="preserve">Human evidence is mixed and often indirect</w:t>
      </w:r>
    </w:p>
    <w:p>
      <w:pPr>
        <w:pStyle w:val="FirstParagraph"/>
      </w:pPr>
      <w:r>
        <w:t xml:space="preserve">Human studies linking MTHFR polymorphisms or homocysteine to glaucoma/retinal disease exist, but they vary by population, phenotype definition, folate status, and confounding risks (renal disease, nutrition, medications). Reviews emphasize both potential mechanisms and controversy.</w:t>
      </w:r>
      <w:r>
        <w:t xml:space="preserve"> </w:t>
      </w:r>
      <w:hyperlink r:id="rId51">
        <w:r>
          <w:rPr>
            <w:rStyle w:val="Hyperlink"/>
          </w:rPr>
          <w:t xml:space="preserve">[31]</w:t>
        </w:r>
      </w:hyperlink>
      <w:r>
        <w:t xml:space="preserve"> </w:t>
      </w:r>
      <w:r>
        <w:t xml:space="preserve">This mixed human evidence is one reason the clinical community has not converged on MTHFR polymorphism status as a primary actionable target for common retinal disease.</w:t>
      </w:r>
    </w:p>
    <w:bookmarkEnd w:id="56"/>
    <w:bookmarkStart w:id="58" w:name="Xffaecace1bcde07e5382acf52eb6803514e28dd"/>
    <w:p>
      <w:pPr>
        <w:pStyle w:val="Heading3"/>
      </w:pPr>
      <w:r>
        <w:t xml:space="preserve">A critical nuance: “betaine reversed blindness” evidence relates to rare severe MTHFR deficiency, not to C677T/A1298C</w:t>
      </w:r>
    </w:p>
    <w:p>
      <w:pPr>
        <w:pStyle w:val="FirstParagraph"/>
      </w:pPr>
      <w:r>
        <w:t xml:space="preserve">Your platform narrative cites dramatic vision recovery with methyl-donor therapy as supporting evidence. The strongest published case example is a late-onset</w:t>
      </w:r>
      <w:r>
        <w:t xml:space="preserve"> </w:t>
      </w:r>
      <w:r>
        <w:rPr>
          <w:b/>
          <w:bCs/>
        </w:rPr>
        <w:t xml:space="preserve">severe MTHFR deficiency</w:t>
      </w:r>
      <w:r>
        <w:t xml:space="preserve"> </w:t>
      </w:r>
      <w:r>
        <w:t xml:space="preserve">patient with complete loss of vision who improved rapidly and recovered vision substantially after initiating high-dose betaine plus supportive vitamins/methionine, alongside marked homocysteine reduction and MRI improvement.</w:t>
      </w:r>
      <w:r>
        <w:t xml:space="preserve"> </w:t>
      </w:r>
      <w:hyperlink r:id="rId57">
        <w:r>
          <w:rPr>
            <w:rStyle w:val="Hyperlink"/>
          </w:rPr>
          <w:t xml:space="preserve">[32]</w:t>
        </w:r>
      </w:hyperlink>
    </w:p>
    <w:p>
      <w:pPr>
        <w:pStyle w:val="BodyText"/>
      </w:pPr>
      <w:r>
        <w:t xml:space="preserve">This is compelling for</w:t>
      </w:r>
      <w:r>
        <w:t xml:space="preserve"> </w:t>
      </w:r>
      <w:r>
        <w:rPr>
          <w:b/>
          <w:bCs/>
        </w:rPr>
        <w:t xml:space="preserve">treatable metabolic remethylation disorders</w:t>
      </w:r>
      <w:r>
        <w:t xml:space="preserve">, but it is not direct evidence that common compound heterozygosity (C677T/A1298C) produces similar severity or that gene correction is necessary to reverse disease in that much larger population. The case underscores a potentially high-value, more classical “gene therapy for an inborn error” framing: severe biallelic MTHFR deficiency resembles other inherited metabolic diseases where gene replacement can be conceptually proportional.</w:t>
      </w:r>
      <w:r>
        <w:t xml:space="preserve"> </w:t>
      </w:r>
      <w:hyperlink r:id="rId57">
        <w:r>
          <w:rPr>
            <w:rStyle w:val="Hyperlink"/>
          </w:rPr>
          <w:t xml:space="preserve">[33]</w:t>
        </w:r>
      </w:hyperlink>
    </w:p>
    <w:bookmarkEnd w:id="58"/>
    <w:bookmarkEnd w:id="59"/>
    <w:bookmarkStart w:id="67" w:name="X28afcb5e6e8bb044ad11cf2b880f55eac3983fc"/>
    <w:p>
      <w:pPr>
        <w:pStyle w:val="Heading2"/>
      </w:pPr>
      <w:r>
        <w:t xml:space="preserve">Evidence base for neuropsychiatric hypotheses and the BH4-linked mechanism claim</w:t>
      </w:r>
    </w:p>
    <w:bookmarkStart w:id="61" w:name="X060731a0cb5a5b1a9a32821cfc886ab53d23d5b"/>
    <w:p>
      <w:pPr>
        <w:pStyle w:val="Heading3"/>
      </w:pPr>
      <w:r>
        <w:t xml:space="preserve">Association literature exists, but effect sizes and causality are not settled</w:t>
      </w:r>
    </w:p>
    <w:p>
      <w:pPr>
        <w:pStyle w:val="FirstParagraph"/>
      </w:pPr>
      <w:r>
        <w:t xml:space="preserve">There is a large literature associating MTHFR polymorphisms with neuropsychiatric disorders (depression, schizophrenia, bipolar disorder), and many reviews interpret this through one‑carbon metabolism, methylation capacity, and homocysteine/folate biology.</w:t>
      </w:r>
      <w:r>
        <w:t xml:space="preserve"> </w:t>
      </w:r>
      <w:hyperlink r:id="rId60">
        <w:r>
          <w:rPr>
            <w:rStyle w:val="Hyperlink"/>
          </w:rPr>
          <w:t xml:space="preserve">[34]</w:t>
        </w:r>
      </w:hyperlink>
      <w:r>
        <w:t xml:space="preserve"> </w:t>
      </w:r>
      <w:r>
        <w:t xml:space="preserve">The key limitation is that association signals are often small, heterogeneous by ancestry and nutritional environment, and prone to publication bias and confounding. This is one reason clinical utility of genotyping for broad psychiatric risk prediction remains limited.</w:t>
      </w:r>
    </w:p>
    <w:bookmarkEnd w:id="61"/>
    <w:bookmarkStart w:id="63" w:name="X47469bfe532eecdbd23a3a3c2cd40d26510854a"/>
    <w:p>
      <w:pPr>
        <w:pStyle w:val="Heading3"/>
      </w:pPr>
      <w:r>
        <w:t xml:space="preserve">Therapeutic signal exists upstream and downstream of MTHFR, but it does not uniquely validate gene correction</w:t>
      </w:r>
    </w:p>
    <w:p>
      <w:pPr>
        <w:pStyle w:val="FirstParagraph"/>
      </w:pPr>
      <w:r>
        <w:t xml:space="preserve">Adjunctive L‑methylfolate has shown benefit in at least some randomized studies of SSRI‑resistant major depression, particularly when stratifying by biomarkers/genotype in some analyses, suggesting that “improving one‑carbon input” can help a subset of patients.</w:t>
      </w:r>
      <w:r>
        <w:t xml:space="preserve"> </w:t>
      </w:r>
      <w:hyperlink r:id="rId62">
        <w:r>
          <w:rPr>
            <w:rStyle w:val="Hyperlink"/>
          </w:rPr>
          <w:t xml:space="preserve">[35]</w:t>
        </w:r>
      </w:hyperlink>
      <w:r>
        <w:t xml:space="preserve"> </w:t>
      </w:r>
      <w:r>
        <w:t xml:space="preserve">This supports the plausibility that folate pathway capacity can matter for neuropsychiatric outcomes, but it does not directly establish that correcting MTHFR DNA variants is necessary or sufficient, especially for common variants.</w:t>
      </w:r>
    </w:p>
    <w:bookmarkEnd w:id="63"/>
    <w:bookmarkStart w:id="66" w:name="X6b8a02e3cccce256db3fa66ccbddee7bac25c90"/>
    <w:p>
      <w:pPr>
        <w:pStyle w:val="Heading3"/>
      </w:pPr>
      <w:r>
        <w:t xml:space="preserve">BH4: biologically relevant, but the specific “A1298C impairs BH4 recycling” claim is not well established as a consensus mechanism</w:t>
      </w:r>
    </w:p>
    <w:p>
      <w:pPr>
        <w:pStyle w:val="FirstParagraph"/>
      </w:pPr>
      <w:r>
        <w:t xml:space="preserve">Tetrahydrobiopterin (BH4) is essential for aromatic amino acid hydroxylases that support monoamine neurotransmitter synthesis and for nitric oxide synthases; BH4 deficiency states can have neuropsychiatric and neurologic consequences.</w:t>
      </w:r>
      <w:r>
        <w:t xml:space="preserve"> </w:t>
      </w:r>
      <w:hyperlink r:id="rId64">
        <w:r>
          <w:rPr>
            <w:rStyle w:val="Hyperlink"/>
          </w:rPr>
          <w:t xml:space="preserve">[36]</w:t>
        </w:r>
      </w:hyperlink>
      <w:r>
        <w:t xml:space="preserve"> </w:t>
      </w:r>
      <w:r>
        <w:t xml:space="preserve">Folate derivatives (including 5‑MTHF) have been studied as modulators of endothelial function and nitric oxide pathways, partly through effects on BH4 bioavailability/oxidation balance in vascular contexts.</w:t>
      </w:r>
      <w:r>
        <w:t xml:space="preserve"> </w:t>
      </w:r>
      <w:hyperlink r:id="rId64">
        <w:r>
          <w:rPr>
            <w:rStyle w:val="Hyperlink"/>
          </w:rPr>
          <w:t xml:space="preserve">[37]</w:t>
        </w:r>
      </w:hyperlink>
    </w:p>
    <w:p>
      <w:pPr>
        <w:pStyle w:val="BodyText"/>
      </w:pPr>
      <w:r>
        <w:t xml:space="preserve">What is</w:t>
      </w:r>
      <w:r>
        <w:t xml:space="preserve"> </w:t>
      </w:r>
      <w:r>
        <w:rPr>
          <w:b/>
          <w:bCs/>
        </w:rPr>
        <w:t xml:space="preserve">less clear</w:t>
      </w:r>
      <w:r>
        <w:t xml:space="preserve"> </w:t>
      </w:r>
      <w:r>
        <w:t xml:space="preserve">is whether A1298C specifically and directly causes a clinically meaningful BH4 recycling defect in vivo in a way that robustly explains treatment-resistant psychiatric disease. Standard BH4 recycling pathways are usually discussed in terms of enzymes like dihydrofolate reductase (DHFR) and dihydropteridine reductase, and the MTHFR→BH4 link is more often presented as indirect (via folate availability, oxidative stress, methylation potential) rather than a single-variant direct “BH4 recycling enzyme defect.”</w:t>
      </w:r>
      <w:r>
        <w:t xml:space="preserve"> </w:t>
      </w:r>
      <w:hyperlink r:id="rId65">
        <w:r>
          <w:rPr>
            <w:rStyle w:val="Hyperlink"/>
          </w:rPr>
          <w:t xml:space="preserve">[38]</w:t>
        </w:r>
      </w:hyperlink>
    </w:p>
    <w:p>
      <w:pPr>
        <w:pStyle w:val="BodyText"/>
      </w:pPr>
      <w:r>
        <w:t xml:space="preserve">Therefore, within a research platform, BH4 language is best treated as a</w:t>
      </w:r>
      <w:r>
        <w:t xml:space="preserve"> </w:t>
      </w:r>
      <w:r>
        <w:rPr>
          <w:b/>
          <w:bCs/>
        </w:rPr>
        <w:t xml:space="preserve">testable hypothesis</w:t>
      </w:r>
      <w:r>
        <w:t xml:space="preserve"> </w:t>
      </w:r>
      <w:r>
        <w:t xml:space="preserve">rather than a concluded mechanism—especially if it becomes a primary justification for gene therapy in neuropsychiatry.</w:t>
      </w:r>
    </w:p>
    <w:bookmarkEnd w:id="66"/>
    <w:bookmarkEnd w:id="67"/>
    <w:bookmarkStart w:id="74" w:name="X8089765c591718f7b385bc6b95d9127be825924"/>
    <w:p>
      <w:pPr>
        <w:pStyle w:val="Heading2"/>
      </w:pPr>
      <w:r>
        <w:t xml:space="preserve">Therapeutic landscape and translational considerations for an MTHFR gene therapy platform</w:t>
      </w:r>
    </w:p>
    <w:bookmarkStart w:id="70" w:name="X0cc0f178a1f84897d48eeaa4362a4dc21a459cd"/>
    <w:p>
      <w:pPr>
        <w:pStyle w:val="Heading3"/>
      </w:pPr>
      <w:r>
        <w:t xml:space="preserve">Why retina is attractive for gene therapy generally</w:t>
      </w:r>
    </w:p>
    <w:p>
      <w:pPr>
        <w:pStyle w:val="FirstParagraph"/>
      </w:pPr>
      <w:r>
        <w:t xml:space="preserve">Ocular gene therapy is a mature delivery field relative to many organs because the eye is compartmentalized and accessible for local administration. AAV-based ocular gene therapy has a clinical precedent: the U.S. Food and Drug Administration</w:t>
      </w:r>
      <w:hyperlink r:id="rId64">
        <w:r>
          <w:rPr>
            <w:rStyle w:val="Hyperlink"/>
          </w:rPr>
          <w:t xml:space="preserve">[39]</w:t>
        </w:r>
      </w:hyperlink>
      <w:r>
        <w:t xml:space="preserve"> </w:t>
      </w:r>
      <w:r>
        <w:t xml:space="preserve">clinical review for voretigene neparvovec (Luxturna) documents efficacy and a defined subretinal dosing route for biallelic RPE65 retinal dystrophy.</w:t>
      </w:r>
      <w:r>
        <w:t xml:space="preserve"> </w:t>
      </w:r>
      <w:hyperlink r:id="rId68">
        <w:r>
          <w:rPr>
            <w:rStyle w:val="Hyperlink"/>
          </w:rPr>
          <w:t xml:space="preserve">[40]</w:t>
        </w:r>
      </w:hyperlink>
      <w:r>
        <w:t xml:space="preserve"> </w:t>
      </w:r>
      <w:r>
        <w:t xml:space="preserve">Reviews of retinal gene therapy emphasize multiple routes (subretinal, intravitreal, suprachoroidal), each with different cell targeting and immune tradeoffs; intravitreal delivery is often favored for inner retinal targets like ganglion cells but can have higher immune interaction risk than subretinal delivery.</w:t>
      </w:r>
      <w:r>
        <w:t xml:space="preserve"> </w:t>
      </w:r>
      <w:hyperlink r:id="rId69">
        <w:r>
          <w:rPr>
            <w:rStyle w:val="Hyperlink"/>
          </w:rPr>
          <w:t xml:space="preserve">[41]</w:t>
        </w:r>
      </w:hyperlink>
    </w:p>
    <w:bookmarkEnd w:id="70"/>
    <w:bookmarkStart w:id="72" w:name="X0710983f0388ea63ec620280fd1eaea5d0c0def"/>
    <w:p>
      <w:pPr>
        <w:pStyle w:val="Heading3"/>
      </w:pPr>
      <w:r>
        <w:t xml:space="preserve">Why MTHFR is not yet a mainstream gene-editing target</w:t>
      </w:r>
    </w:p>
    <w:p>
      <w:pPr>
        <w:pStyle w:val="FirstParagraph"/>
      </w:pPr>
      <w:r>
        <w:t xml:space="preserve">Even if an MTHFR variant contributes to multiple disease risks, it has not emerged as a primary gene-editing target for several practical reasons supported by the existing evidence landscape:</w:t>
      </w:r>
    </w:p>
    <w:p>
      <w:pPr>
        <w:pStyle w:val="BodyText"/>
      </w:pPr>
      <w:r>
        <w:t xml:space="preserve">First, the dominant clinical stance is that common MTHFR polymorphisms have limited stand‑alone clinical utility for routine workups, and their outcomes are often modifiable via nutrition and other factors.</w:t>
      </w:r>
      <w:r>
        <w:t xml:space="preserve"> </w:t>
      </w:r>
      <w:hyperlink r:id="rId35">
        <w:r>
          <w:rPr>
            <w:rStyle w:val="Hyperlink"/>
          </w:rPr>
          <w:t xml:space="preserve">[42]</w:t>
        </w:r>
      </w:hyperlink>
      <w:r>
        <w:t xml:space="preserve"> </w:t>
      </w:r>
      <w:r>
        <w:t xml:space="preserve">This immediately raises a proportionality question: gene therapy is typically reserved for severe, otherwise intractable diseases or clearly causal monogenic disorders.</w:t>
      </w:r>
    </w:p>
    <w:p>
      <w:pPr>
        <w:pStyle w:val="BodyText"/>
      </w:pPr>
      <w:r>
        <w:t xml:space="preserve">Second, “common-variant editing” is now being explored in other genes (notably PCSK9) as a proof of feasibility, but those programs also illustrate risk. For example, base editing programs targeting PCSK9 (e.g., VERVE‑102) aim at durable LDL‑C reduction in high‑risk cardiovascular populations, and there have been both promising early data and serious safety signals in related programs (e.g., VERVE‑101 enrollment pause reported).</w:t>
      </w:r>
      <w:r>
        <w:t xml:space="preserve"> </w:t>
      </w:r>
      <w:hyperlink r:id="rId34">
        <w:r>
          <w:rPr>
            <w:rStyle w:val="Hyperlink"/>
          </w:rPr>
          <w:t xml:space="preserve">[43]</w:t>
        </w:r>
      </w:hyperlink>
      <w:r>
        <w:t xml:space="preserve"> </w:t>
      </w:r>
      <w:r>
        <w:t xml:space="preserve">This suggests feasibility but also highlights that moving from “variant is common” to “edit the genome” requires an exceptionally strong risk–benefit story.</w:t>
      </w:r>
    </w:p>
    <w:p>
      <w:pPr>
        <w:pStyle w:val="BodyText"/>
      </w:pPr>
      <w:r>
        <w:t xml:space="preserve">Third, your claim that “no clinical trials target MTHFR” appears consistent with the pattern that ClinicalTrials.gov contains many studies</w:t>
      </w:r>
      <w:r>
        <w:t xml:space="preserve"> </w:t>
      </w:r>
      <w:r>
        <w:rPr>
          <w:i/>
          <w:iCs/>
        </w:rPr>
        <w:t xml:space="preserve">mentioning</w:t>
      </w:r>
      <w:r>
        <w:t xml:space="preserve"> </w:t>
      </w:r>
      <w:r>
        <w:t xml:space="preserve">or</w:t>
      </w:r>
      <w:r>
        <w:t xml:space="preserve"> </w:t>
      </w:r>
      <w:r>
        <w:rPr>
          <w:i/>
          <w:iCs/>
        </w:rPr>
        <w:t xml:space="preserve">genotyping</w:t>
      </w:r>
      <w:r>
        <w:t xml:space="preserve"> </w:t>
      </w:r>
      <w:r>
        <w:t xml:space="preserve">MTHFR, but gene editing trials targeting MTHFR are not readily surfaced in typical searches; meanwhile, independent trackers note on the order of hundreds of gene-editing trials across other targets.</w:t>
      </w:r>
      <w:r>
        <w:t xml:space="preserve"> </w:t>
      </w:r>
      <w:hyperlink r:id="rId71">
        <w:r>
          <w:rPr>
            <w:rStyle w:val="Hyperlink"/>
          </w:rPr>
          <w:t xml:space="preserve">[44]</w:t>
        </w:r>
      </w:hyperlink>
      <w:r>
        <w:t xml:space="preserve"> </w:t>
      </w:r>
      <w:r>
        <w:t xml:space="preserve">(A strict proof of absence is difficult, but the burden of evidence currently supports “not a mainstream clinical gene-editing target.”)</w:t>
      </w:r>
    </w:p>
    <w:bookmarkEnd w:id="72"/>
    <w:bookmarkStart w:id="73" w:name="Xa88afbf5d7f48ea8f04506764be4ae02dd89586"/>
    <w:p>
      <w:pPr>
        <w:pStyle w:val="Heading3"/>
      </w:pPr>
      <w:r>
        <w:t xml:space="preserve">Where the platform could be most scientifically consequential</w:t>
      </w:r>
    </w:p>
    <w:p>
      <w:pPr>
        <w:pStyle w:val="FirstParagraph"/>
      </w:pPr>
      <w:r>
        <w:t xml:space="preserve">From the current evidence base, the most defensible “high-impact” alignment for an MTHFR gene correction concept is not the huge population of common polymorphism carriers, but rather:</w:t>
      </w:r>
      <w:r>
        <w:t xml:space="preserve"> </w:t>
      </w:r>
      <w:r>
        <w:t xml:space="preserve">- rare severe MTHFR deficiency (biallelic pathogenic variants) with high morbidity and a clear metabolic mechanism, where dramatic treatment responses to metabolic therapy have been documented and where gene replacement is conceptually coherent with other inherited metabolic disease gene therapies;</w:t>
      </w:r>
      <w:r>
        <w:t xml:space="preserve"> </w:t>
      </w:r>
      <w:hyperlink r:id="rId57">
        <w:r>
          <w:rPr>
            <w:rStyle w:val="Hyperlink"/>
          </w:rPr>
          <w:t xml:space="preserve">[33]</w:t>
        </w:r>
      </w:hyperlink>
      <w:r>
        <w:br/>
      </w:r>
      <w:r>
        <w:t xml:space="preserve">- narrower, biomarker-defined subpopulations for retinal or neuropsychiatric disease in which MTHFR dysfunction is strongly linked to measurable biochemical or functional endpoints (e.g., elevated homocysteine with retinal biomarkers), analogous to the strong genotype→phenotype logic shown in Mthfr mouse retina models.</w:t>
      </w:r>
      <w:r>
        <w:t xml:space="preserve"> </w:t>
      </w:r>
      <w:hyperlink r:id="rId53">
        <w:r>
          <w:rPr>
            <w:rStyle w:val="Hyperlink"/>
          </w:rPr>
          <w:t xml:space="preserve">[28]</w:t>
        </w:r>
      </w:hyperlink>
    </w:p>
    <w:p>
      <w:pPr>
        <w:pStyle w:val="BodyText"/>
      </w:pPr>
      <w:r>
        <w:t xml:space="preserve">In this framing, your structural modeling work is most valuable if it helps specify</w:t>
      </w:r>
      <w:r>
        <w:t xml:space="preserve"> </w:t>
      </w:r>
      <w:r>
        <w:rPr>
          <w:i/>
          <w:iCs/>
        </w:rPr>
        <w:t xml:space="preserve">which molecular failure mode</w:t>
      </w:r>
      <w:r>
        <w:t xml:space="preserve"> </w:t>
      </w:r>
      <w:r>
        <w:t xml:space="preserve">dominates in different genetic states (cofactor instability vs altered allosteric inhibition vs dimer interface shifts vs state selection differences) and links those to experimentally measurable readouts that are already meaningful in retina/brain research. The existence of experimental human structures across regulatory states makes MTHFR unusually well suited for a rigorous “compute → test → refine” loop compared with many other metabolic enzymes.</w:t>
      </w:r>
      <w:r>
        <w:t xml:space="preserve"> </w:t>
      </w:r>
      <w:hyperlink r:id="rId22">
        <w:r>
          <w:rPr>
            <w:rStyle w:val="Hyperlink"/>
          </w:rPr>
          <w:t xml:space="preserve">[45]</w:t>
        </w:r>
      </w:hyperlink>
    </w:p>
    <w:bookmarkEnd w:id="73"/>
    <w:bookmarkEnd w:id="74"/>
    <w:bookmarkEnd w:id="75"/>
    <w:bookmarkEnd w:id="76"/>
    <w:p>
      <w:r>
        <w:pict>
          <v:rect style="width:0;height:1.5pt" o:hralign="center" o:hrstd="t" o:hr="t"/>
        </w:pict>
      </w:r>
    </w:p>
    <w:bookmarkStart w:id="77" w:name="citations"/>
    <w:p>
      <w:pPr>
        <w:pStyle w:val="FirstParagraph"/>
      </w:pPr>
      <w:hyperlink r:id="rId21">
        <w:r>
          <w:rPr>
            <w:rStyle w:val="Hyperlink"/>
          </w:rPr>
          <w:t xml:space="preserve">[1]</w:t>
        </w:r>
      </w:hyperlink>
      <w:r>
        <w:t xml:space="preserve"> </w:t>
      </w:r>
      <w:r>
        <w:t xml:space="preserve">https://pmc.ncbi.nlm.nih.gov/articles/PMC5995969/</w:t>
      </w:r>
    </w:p>
    <w:p>
      <w:pPr>
        <w:pStyle w:val="BodyText"/>
      </w:pPr>
      <w:hyperlink r:id="rId21">
        <w:r>
          <w:rPr>
            <w:rStyle w:val="Hyperlink"/>
          </w:rPr>
          <w:t xml:space="preserve">https://pmc.ncbi.nlm.nih.gov/articles/PMC5995969/</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[45]</w:t>
        </w:r>
      </w:hyperlink>
      <w:r>
        <w:t xml:space="preserve"> </w:t>
      </w:r>
      <w:r>
        <w:t xml:space="preserve">https://www.nature.com/articles/s41467-024-47174-y</w:t>
      </w:r>
    </w:p>
    <w:p>
      <w:pPr>
        <w:pStyle w:val="BodyText"/>
      </w:pPr>
      <w:hyperlink r:id="rId22">
        <w:r>
          <w:rPr>
            <w:rStyle w:val="Hyperlink"/>
          </w:rPr>
          <w:t xml:space="preserve">https://www.nature.com/articles/s41467-024-47174-y</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r>
        <w:t xml:space="preserve">https://www.rcsb.org/structure/6fcx</w:t>
      </w:r>
    </w:p>
    <w:p>
      <w:pPr>
        <w:pStyle w:val="BodyText"/>
      </w:pPr>
      <w:hyperlink r:id="rId23">
        <w:r>
          <w:rPr>
            <w:rStyle w:val="Hyperlink"/>
          </w:rPr>
          <w:t xml:space="preserve">https://www.rcsb.org/structure/6fcx</w:t>
        </w:r>
      </w:hyperlink>
    </w:p>
    <w:p>
      <w:pPr>
        <w:pStyle w:val="BodyText"/>
      </w:pPr>
      <w:hyperlink r:id="rId25">
        <w:r>
          <w:rPr>
            <w:rStyle w:val="Hyperlink"/>
          </w:rPr>
          <w:t xml:space="preserve">[6]</w:t>
        </w:r>
      </w:hyperlink>
      <w:r>
        <w:t xml:space="preserve"> </w:t>
      </w:r>
      <w:r>
        <w:t xml:space="preserve">https://pubmed.ncbi.nlm.nih.gov/7647779/</w:t>
      </w:r>
    </w:p>
    <w:p>
      <w:pPr>
        <w:pStyle w:val="BodyText"/>
      </w:pPr>
      <w:hyperlink r:id="rId25">
        <w:r>
          <w:rPr>
            <w:rStyle w:val="Hyperlink"/>
          </w:rPr>
          <w:t xml:space="preserve">https://pubmed.ncbi.nlm.nih.gov/7647779/</w:t>
        </w:r>
      </w:hyperlink>
    </w:p>
    <w:p>
      <w:pPr>
        <w:pStyle w:val="BodyText"/>
      </w:pPr>
      <w:hyperlink r:id="rId26">
        <w:r>
          <w:rPr>
            <w:rStyle w:val="Hyperlink"/>
          </w:rPr>
          <w:t xml:space="preserve">[7]</w:t>
        </w:r>
      </w:hyperlink>
      <w:r>
        <w:t xml:space="preserve"> </w:t>
      </w:r>
      <w:r>
        <w:t xml:space="preserve">https://pmc.ncbi.nlm.nih.gov/articles/PMC1868400/</w:t>
      </w:r>
    </w:p>
    <w:p>
      <w:pPr>
        <w:pStyle w:val="BodyText"/>
      </w:pPr>
      <w:hyperlink r:id="rId26">
        <w:r>
          <w:rPr>
            <w:rStyle w:val="Hyperlink"/>
          </w:rPr>
          <w:t xml:space="preserve">https://pmc.ncbi.nlm.nih.gov/articles/PMC1868400/</w:t>
        </w:r>
      </w:hyperlink>
    </w:p>
    <w:p>
      <w:pPr>
        <w:pStyle w:val="BodyText"/>
      </w:pPr>
      <w:hyperlink r:id="rId27">
        <w:r>
          <w:rPr>
            <w:rStyle w:val="Hyperlink"/>
          </w:rPr>
          <w:t xml:space="preserve">[8]</w:t>
        </w:r>
      </w:hyperlink>
      <w:r>
        <w:t xml:space="preserve"> </w:t>
      </w:r>
      <w:r>
        <w:t xml:space="preserve">https://pmc.ncbi.nlm.nih.gov/articles/PMC4235830/</w:t>
      </w:r>
    </w:p>
    <w:p>
      <w:pPr>
        <w:pStyle w:val="BodyText"/>
      </w:pPr>
      <w:hyperlink r:id="rId27">
        <w:r>
          <w:rPr>
            <w:rStyle w:val="Hyperlink"/>
          </w:rPr>
          <w:t xml:space="preserve">https://pmc.ncbi.nlm.nih.gov/articles/PMC4235830/</w:t>
        </w:r>
      </w:hyperlink>
    </w:p>
    <w:p>
      <w:pPr>
        <w:pStyle w:val="BodyText"/>
      </w:pPr>
      <w:hyperlink r:id="rId29">
        <w:r>
          <w:rPr>
            <w:rStyle w:val="Hyperlink"/>
          </w:rPr>
          <w:t xml:space="preserve">[9]</w:t>
        </w:r>
      </w:hyperlink>
      <w:r>
        <w:t xml:space="preserve"> </w:t>
      </w:r>
      <w:hyperlink r:id="rId29">
        <w:r>
          <w:rPr>
            <w:rStyle w:val="Hyperlink"/>
          </w:rPr>
          <w:t xml:space="preserve">[12]</w:t>
        </w:r>
      </w:hyperlink>
      <w:r>
        <w:t xml:space="preserve"> </w:t>
      </w:r>
      <w:r>
        <w:t xml:space="preserve">https://www.sciencedirect.com/science/article/pii/S0022316623021466</w:t>
      </w:r>
    </w:p>
    <w:p>
      <w:pPr>
        <w:pStyle w:val="BodyText"/>
      </w:pPr>
      <w:hyperlink r:id="rId29">
        <w:r>
          <w:rPr>
            <w:rStyle w:val="Hyperlink"/>
          </w:rPr>
          <w:t xml:space="preserve">https://www.sciencedirect.com/science/article/pii/S0022316623021466</w:t>
        </w:r>
      </w:hyperlink>
    </w:p>
    <w:p>
      <w:pPr>
        <w:pStyle w:val="BodyText"/>
      </w:pPr>
      <w:hyperlink r:id="rId30">
        <w:r>
          <w:rPr>
            <w:rStyle w:val="Hyperlink"/>
          </w:rPr>
          <w:t xml:space="preserve">[10]</w:t>
        </w:r>
      </w:hyperlink>
      <w:r>
        <w:t xml:space="preserve"> </w:t>
      </w:r>
      <w:hyperlink r:id="rId30">
        <w:r>
          <w:rPr>
            <w:rStyle w:val="Hyperlink"/>
          </w:rPr>
          <w:t xml:space="preserve">[15]</w:t>
        </w:r>
      </w:hyperlink>
      <w:r>
        <w:t xml:space="preserve"> </w:t>
      </w:r>
      <w:r>
        <w:t xml:space="preserve">A call to action: MTHFR polymorphisms should not be a part of ...</w:t>
      </w:r>
    </w:p>
    <w:p>
      <w:pPr>
        <w:pStyle w:val="BodyText"/>
      </w:pPr>
      <w:hyperlink r:id="rId30">
        <w:r>
          <w:rPr>
            <w:rStyle w:val="Hyperlink"/>
          </w:rPr>
          <w:t xml:space="preserve">https://pmc.ncbi.nlm.nih.gov/articles/PMC9175241/?utm_source=chatgpt.com</w:t>
        </w:r>
      </w:hyperlink>
    </w:p>
    <w:p>
      <w:pPr>
        <w:pStyle w:val="BodyText"/>
      </w:pPr>
      <w:hyperlink r:id="rId32">
        <w:r>
          <w:rPr>
            <w:rStyle w:val="Hyperlink"/>
          </w:rPr>
          <w:t xml:space="preserve">[11]</w:t>
        </w:r>
      </w:hyperlink>
      <w:r>
        <w:t xml:space="preserve"> </w:t>
      </w:r>
      <w:r>
        <w:t xml:space="preserve">https://pmc.ncbi.nlm.nih.gov/articles/PMC10987447/</w:t>
      </w:r>
    </w:p>
    <w:p>
      <w:pPr>
        <w:pStyle w:val="BodyText"/>
      </w:pPr>
      <w:hyperlink r:id="rId32">
        <w:r>
          <w:rPr>
            <w:rStyle w:val="Hyperlink"/>
          </w:rPr>
          <w:t xml:space="preserve">https://pmc.ncbi.nlm.nih.gov/articles/PMC10987447/</w:t>
        </w:r>
      </w:hyperlink>
    </w:p>
    <w:p>
      <w:pPr>
        <w:pStyle w:val="BodyText"/>
      </w:pPr>
      <w:hyperlink r:id="rId34">
        <w:r>
          <w:rPr>
            <w:rStyle w:val="Hyperlink"/>
          </w:rPr>
          <w:t xml:space="preserve">[13]</w:t>
        </w:r>
      </w:hyperlink>
      <w:r>
        <w:t xml:space="preserve"> </w:t>
      </w:r>
      <w:hyperlink r:id="rId34">
        <w:r>
          <w:rPr>
            <w:rStyle w:val="Hyperlink"/>
          </w:rPr>
          <w:t xml:space="preserve">[43]</w:t>
        </w:r>
      </w:hyperlink>
      <w:r>
        <w:t xml:space="preserve"> </w:t>
      </w:r>
      <w:r>
        <w:t xml:space="preserve">https://www.vervetx.com/our-programs/verve-102</w:t>
      </w:r>
    </w:p>
    <w:p>
      <w:pPr>
        <w:pStyle w:val="BodyText"/>
      </w:pPr>
      <w:hyperlink r:id="rId34">
        <w:r>
          <w:rPr>
            <w:rStyle w:val="Hyperlink"/>
          </w:rPr>
          <w:t xml:space="preserve">https://www.vervetx.com/our-programs/verve-102</w:t>
        </w:r>
      </w:hyperlink>
    </w:p>
    <w:p>
      <w:pPr>
        <w:pStyle w:val="BodyText"/>
      </w:pPr>
      <w:hyperlink r:id="rId35">
        <w:r>
          <w:rPr>
            <w:rStyle w:val="Hyperlink"/>
          </w:rPr>
          <w:t xml:space="preserve">[14]</w:t>
        </w:r>
      </w:hyperlink>
      <w:r>
        <w:t xml:space="preserve"> </w:t>
      </w:r>
      <w:hyperlink r:id="rId35">
        <w:r>
          <w:rPr>
            <w:rStyle w:val="Hyperlink"/>
          </w:rPr>
          <w:t xml:space="preserve">[17]</w:t>
        </w:r>
      </w:hyperlink>
      <w:r>
        <w:t xml:space="preserve"> </w:t>
      </w:r>
      <w:hyperlink r:id="rId35">
        <w:r>
          <w:rPr>
            <w:rStyle w:val="Hyperlink"/>
          </w:rPr>
          <w:t xml:space="preserve">[42]</w:t>
        </w:r>
      </w:hyperlink>
      <w:r>
        <w:t xml:space="preserve"> </w:t>
      </w:r>
      <w:r>
        <w:t xml:space="preserve">lack of evidence for MTHFR polymorphism testing</w:t>
      </w:r>
    </w:p>
    <w:p>
      <w:pPr>
        <w:pStyle w:val="BodyText"/>
      </w:pPr>
      <w:hyperlink r:id="rId35">
        <w:r>
          <w:rPr>
            <w:rStyle w:val="Hyperlink"/>
          </w:rPr>
          <w:t xml:space="preserve">https://www.acmg.net/docs/MTHFR_gim2012165a_Feb2013.pdf?platform=hootsuite&amp;utm_source=chatgpt.com</w:t>
        </w:r>
      </w:hyperlink>
    </w:p>
    <w:p>
      <w:pPr>
        <w:pStyle w:val="BodyText"/>
      </w:pPr>
      <w:hyperlink r:id="rId36">
        <w:r>
          <w:rPr>
            <w:rStyle w:val="Hyperlink"/>
          </w:rPr>
          <w:t xml:space="preserve">[16]</w:t>
        </w:r>
      </w:hyperlink>
      <w:r>
        <w:t xml:space="preserve"> </w:t>
      </w:r>
      <w:r>
        <w:t xml:space="preserve">https://www.cdc.gov/folic-acid/data-research/mthfr/index.html</w:t>
      </w:r>
    </w:p>
    <w:p>
      <w:pPr>
        <w:pStyle w:val="BodyText"/>
      </w:pPr>
      <w:hyperlink r:id="rId36">
        <w:r>
          <w:rPr>
            <w:rStyle w:val="Hyperlink"/>
          </w:rPr>
          <w:t xml:space="preserve">https://www.cdc.gov/folic-acid/data-research/mthfr/index.html</w:t>
        </w:r>
      </w:hyperlink>
    </w:p>
    <w:p>
      <w:pPr>
        <w:pStyle w:val="BodyText"/>
      </w:pPr>
      <w:hyperlink r:id="rId39">
        <w:r>
          <w:rPr>
            <w:rStyle w:val="Hyperlink"/>
          </w:rPr>
          <w:t xml:space="preserve">[18]</w:t>
        </w:r>
      </w:hyperlink>
      <w:r>
        <w:t xml:space="preserve"> </w:t>
      </w:r>
      <w:r>
        <w:t xml:space="preserve">https://github.com/DSMPromo/mthfr-gene-therapy-project</w:t>
      </w:r>
    </w:p>
    <w:p>
      <w:pPr>
        <w:pStyle w:val="BodyText"/>
      </w:pPr>
      <w:hyperlink r:id="rId39">
        <w:r>
          <w:rPr>
            <w:rStyle w:val="Hyperlink"/>
          </w:rPr>
          <w:t xml:space="preserve">https://github.com/DSMPromo/mthfr-gene-therapy-project</w:t>
        </w:r>
      </w:hyperlink>
    </w:p>
    <w:p>
      <w:pPr>
        <w:pStyle w:val="BodyText"/>
      </w:pPr>
      <w:hyperlink r:id="rId40">
        <w:r>
          <w:rPr>
            <w:rStyle w:val="Hyperlink"/>
          </w:rPr>
          <w:t xml:space="preserve">[19]</w:t>
        </w:r>
      </w:hyperlink>
      <w:r>
        <w:t xml:space="preserve"> </w:t>
      </w:r>
      <w:hyperlink r:id="rId40">
        <w:r>
          <w:rPr>
            <w:rStyle w:val="Hyperlink"/>
          </w:rPr>
          <w:t xml:space="preserve">[22]</w:t>
        </w:r>
      </w:hyperlink>
      <w:r>
        <w:t xml:space="preserve"> </w:t>
      </w:r>
      <w:r>
        <w:t xml:space="preserve">https://github.com/google-deepmind/alphafold3/blob/main/docs/output.md</w:t>
      </w:r>
    </w:p>
    <w:p>
      <w:pPr>
        <w:pStyle w:val="BodyText"/>
      </w:pPr>
      <w:hyperlink r:id="rId40">
        <w:r>
          <w:rPr>
            <w:rStyle w:val="Hyperlink"/>
          </w:rPr>
          <w:t xml:space="preserve">https://github.com/google-deepmind/alphafold3/blob/main/docs/output.md</w:t>
        </w:r>
      </w:hyperlink>
    </w:p>
    <w:p>
      <w:pPr>
        <w:pStyle w:val="BodyText"/>
      </w:pPr>
      <w:hyperlink r:id="rId41">
        <w:r>
          <w:rPr>
            <w:rStyle w:val="Hyperlink"/>
          </w:rPr>
          <w:t xml:space="preserve">[20]</w:t>
        </w:r>
      </w:hyperlink>
      <w:r>
        <w:t xml:space="preserve"> </w:t>
      </w:r>
      <w:r>
        <w:t xml:space="preserve">https://www.ebi.ac.uk/training/online/courses/alphafold/alphafold-3-and-alphafold-server/how-to-assess-the-quality-of-alphafold-3-predictions/</w:t>
      </w:r>
    </w:p>
    <w:p>
      <w:pPr>
        <w:pStyle w:val="BodyText"/>
      </w:pPr>
      <w:hyperlink r:id="rId41">
        <w:r>
          <w:rPr>
            <w:rStyle w:val="Hyperlink"/>
          </w:rPr>
          <w:t xml:space="preserve">https://www.ebi.ac.uk/training/online/courses/alphafold/alphafold-3-and-alphafold-server/how-to-assess-the-quality-of-alphafold-3-predictions/</w:t>
        </w:r>
      </w:hyperlink>
    </w:p>
    <w:p>
      <w:pPr>
        <w:pStyle w:val="BodyText"/>
      </w:pPr>
      <w:hyperlink r:id="rId42">
        <w:r>
          <w:rPr>
            <w:rStyle w:val="Hyperlink"/>
          </w:rPr>
          <w:t xml:space="preserve">[21]</w:t>
        </w:r>
      </w:hyperlink>
      <w:r>
        <w:t xml:space="preserve"> </w:t>
      </w:r>
      <w:r>
        <w:t xml:space="preserve">https://pmc.ncbi.nlm.nih.gov/articles/PMC11844409/</w:t>
      </w:r>
    </w:p>
    <w:p>
      <w:pPr>
        <w:pStyle w:val="BodyText"/>
      </w:pPr>
      <w:hyperlink r:id="rId42">
        <w:r>
          <w:rPr>
            <w:rStyle w:val="Hyperlink"/>
          </w:rPr>
          <w:t xml:space="preserve">https://pmc.ncbi.nlm.nih.gov/articles/PMC11844409/</w:t>
        </w:r>
      </w:hyperlink>
    </w:p>
    <w:p>
      <w:pPr>
        <w:pStyle w:val="BodyText"/>
      </w:pPr>
      <w:hyperlink r:id="rId44">
        <w:r>
          <w:rPr>
            <w:rStyle w:val="Hyperlink"/>
          </w:rPr>
          <w:t xml:space="preserve">[23]</w:t>
        </w:r>
      </w:hyperlink>
      <w:r>
        <w:t xml:space="preserve"> </w:t>
      </w:r>
      <w:r>
        <w:t xml:space="preserve">https://github.com/jwohlwend/boltz</w:t>
      </w:r>
    </w:p>
    <w:p>
      <w:pPr>
        <w:pStyle w:val="BodyText"/>
      </w:pPr>
      <w:hyperlink r:id="rId44">
        <w:r>
          <w:rPr>
            <w:rStyle w:val="Hyperlink"/>
          </w:rPr>
          <w:t xml:space="preserve">https://github.com/jwohlwend/boltz</w:t>
        </w:r>
      </w:hyperlink>
    </w:p>
    <w:p>
      <w:pPr>
        <w:pStyle w:val="BodyText"/>
      </w:pPr>
      <w:hyperlink r:id="rId45">
        <w:r>
          <w:rPr>
            <w:rStyle w:val="Hyperlink"/>
          </w:rPr>
          <w:t xml:space="preserve">[24]</w:t>
        </w:r>
      </w:hyperlink>
      <w:r>
        <w:t xml:space="preserve"> </w:t>
      </w:r>
      <w:r>
        <w:t xml:space="preserve">https://academic.oup.com/bib/article/25/2/bbae081/7620495</w:t>
      </w:r>
    </w:p>
    <w:p>
      <w:pPr>
        <w:pStyle w:val="BodyText"/>
      </w:pPr>
      <w:hyperlink r:id="rId45">
        <w:r>
          <w:rPr>
            <w:rStyle w:val="Hyperlink"/>
          </w:rPr>
          <w:t xml:space="preserve">https://academic.oup.com/bib/article/25/2/bbae081/7620495</w:t>
        </w:r>
      </w:hyperlink>
    </w:p>
    <w:p>
      <w:pPr>
        <w:pStyle w:val="BodyText"/>
      </w:pPr>
      <w:hyperlink r:id="rId47">
        <w:r>
          <w:rPr>
            <w:rStyle w:val="Hyperlink"/>
          </w:rPr>
          <w:t xml:space="preserve">[25]</w:t>
        </w:r>
      </w:hyperlink>
      <w:r>
        <w:t xml:space="preserve"> </w:t>
      </w:r>
      <w:r>
        <w:t xml:space="preserve">https://www.nature.com/articles/s41467-025-63947-5</w:t>
      </w:r>
    </w:p>
    <w:p>
      <w:pPr>
        <w:pStyle w:val="BodyText"/>
      </w:pPr>
      <w:hyperlink r:id="rId47">
        <w:r>
          <w:rPr>
            <w:rStyle w:val="Hyperlink"/>
          </w:rPr>
          <w:t xml:space="preserve">https://www.nature.com/articles/s41467-025-63947-5</w:t>
        </w:r>
      </w:hyperlink>
    </w:p>
    <w:p>
      <w:pPr>
        <w:pStyle w:val="BodyText"/>
      </w:pPr>
      <w:hyperlink r:id="rId50">
        <w:r>
          <w:rPr>
            <w:rStyle w:val="Hyperlink"/>
          </w:rPr>
          <w:t xml:space="preserve">[26]</w:t>
        </w:r>
      </w:hyperlink>
      <w:r>
        <w:t xml:space="preserve"> </w:t>
      </w:r>
      <w:r>
        <w:t xml:space="preserve">https://pmc.ncbi.nlm.nih.gov/articles/PMC5045805/</w:t>
      </w:r>
    </w:p>
    <w:p>
      <w:pPr>
        <w:pStyle w:val="BodyText"/>
      </w:pPr>
      <w:hyperlink r:id="rId50">
        <w:r>
          <w:rPr>
            <w:rStyle w:val="Hyperlink"/>
          </w:rPr>
          <w:t xml:space="preserve">https://pmc.ncbi.nlm.nih.gov/articles/PMC5045805/</w:t>
        </w:r>
      </w:hyperlink>
    </w:p>
    <w:p>
      <w:pPr>
        <w:pStyle w:val="BodyText"/>
      </w:pPr>
      <w:hyperlink r:id="rId51">
        <w:r>
          <w:rPr>
            <w:rStyle w:val="Hyperlink"/>
          </w:rPr>
          <w:t xml:space="preserve">[27]</w:t>
        </w:r>
      </w:hyperlink>
      <w:r>
        <w:t xml:space="preserve"> </w:t>
      </w:r>
      <w:hyperlink r:id="rId51">
        <w:r>
          <w:rPr>
            <w:rStyle w:val="Hyperlink"/>
          </w:rPr>
          <w:t xml:space="preserve">[31]</w:t>
        </w:r>
      </w:hyperlink>
      <w:r>
        <w:t xml:space="preserve"> </w:t>
      </w:r>
      <w:r>
        <w:t xml:space="preserve">https://www.mdpi.com/2218-273X/10/8/1119</w:t>
      </w:r>
    </w:p>
    <w:p>
      <w:pPr>
        <w:pStyle w:val="BodyText"/>
      </w:pPr>
      <w:hyperlink r:id="rId51">
        <w:r>
          <w:rPr>
            <w:rStyle w:val="Hyperlink"/>
          </w:rPr>
          <w:t xml:space="preserve">https://www.mdpi.com/2218-273X/10/8/1119</w:t>
        </w:r>
      </w:hyperlink>
    </w:p>
    <w:p>
      <w:pPr>
        <w:pStyle w:val="BodyText"/>
      </w:pPr>
      <w:hyperlink r:id="rId53">
        <w:r>
          <w:rPr>
            <w:rStyle w:val="Hyperlink"/>
          </w:rPr>
          <w:t xml:space="preserve">[28]</w:t>
        </w:r>
      </w:hyperlink>
      <w:r>
        <w:t xml:space="preserve"> </w:t>
      </w:r>
      <w:hyperlink r:id="rId53">
        <w:r>
          <w:rPr>
            <w:rStyle w:val="Hyperlink"/>
          </w:rPr>
          <w:t xml:space="preserve">[29]</w:t>
        </w:r>
      </w:hyperlink>
      <w:r>
        <w:t xml:space="preserve"> </w:t>
      </w:r>
      <w:r>
        <w:t xml:space="preserve">https://pubmed.ncbi.nlm.nih.gov/25766590/</w:t>
      </w:r>
    </w:p>
    <w:p>
      <w:pPr>
        <w:pStyle w:val="BodyText"/>
      </w:pPr>
      <w:hyperlink r:id="rId53">
        <w:r>
          <w:rPr>
            <w:rStyle w:val="Hyperlink"/>
          </w:rPr>
          <w:t xml:space="preserve">https://pubmed.ncbi.nlm.nih.gov/25766590/</w:t>
        </w:r>
      </w:hyperlink>
    </w:p>
    <w:p>
      <w:pPr>
        <w:pStyle w:val="BodyText"/>
      </w:pPr>
      <w:hyperlink r:id="rId54">
        <w:r>
          <w:rPr>
            <w:rStyle w:val="Hyperlink"/>
          </w:rPr>
          <w:t xml:space="preserve">[30]</w:t>
        </w:r>
      </w:hyperlink>
      <w:r>
        <w:t xml:space="preserve"> </w:t>
      </w:r>
      <w:r>
        <w:t xml:space="preserve">https://www.sciencedirect.com/science/article/pii/S2213231719303180</w:t>
      </w:r>
    </w:p>
    <w:p>
      <w:pPr>
        <w:pStyle w:val="BodyText"/>
      </w:pPr>
      <w:hyperlink r:id="rId54">
        <w:r>
          <w:rPr>
            <w:rStyle w:val="Hyperlink"/>
          </w:rPr>
          <w:t xml:space="preserve">https://www.sciencedirect.com/science/article/pii/S2213231719303180</w:t>
        </w:r>
      </w:hyperlink>
    </w:p>
    <w:p>
      <w:pPr>
        <w:pStyle w:val="BodyText"/>
      </w:pPr>
      <w:hyperlink r:id="rId57">
        <w:r>
          <w:rPr>
            <w:rStyle w:val="Hyperlink"/>
          </w:rPr>
          <w:t xml:space="preserve">[32]</w:t>
        </w:r>
      </w:hyperlink>
      <w:r>
        <w:t xml:space="preserve"> </w:t>
      </w:r>
      <w:hyperlink r:id="rId57">
        <w:r>
          <w:rPr>
            <w:rStyle w:val="Hyperlink"/>
          </w:rPr>
          <w:t xml:space="preserve">[33]</w:t>
        </w:r>
      </w:hyperlink>
      <w:r>
        <w:t xml:space="preserve"> </w:t>
      </w:r>
      <w:r>
        <w:t xml:space="preserve">https://pmc.ncbi.nlm.nih.gov/articles/PMC8940754/</w:t>
      </w:r>
    </w:p>
    <w:p>
      <w:pPr>
        <w:pStyle w:val="BodyText"/>
      </w:pPr>
      <w:hyperlink r:id="rId57">
        <w:r>
          <w:rPr>
            <w:rStyle w:val="Hyperlink"/>
          </w:rPr>
          <w:t xml:space="preserve">https://pmc.ncbi.nlm.nih.gov/articles/PMC8940754/</w:t>
        </w:r>
      </w:hyperlink>
    </w:p>
    <w:p>
      <w:pPr>
        <w:pStyle w:val="BodyText"/>
      </w:pPr>
      <w:hyperlink r:id="rId60">
        <w:r>
          <w:rPr>
            <w:rStyle w:val="Hyperlink"/>
          </w:rPr>
          <w:t xml:space="preserve">[34]</w:t>
        </w:r>
      </w:hyperlink>
      <w:r>
        <w:t xml:space="preserve"> </w:t>
      </w:r>
      <w:r>
        <w:t xml:space="preserve">https://www.nature.com/articles/s41398-018-0276-6</w:t>
      </w:r>
    </w:p>
    <w:p>
      <w:pPr>
        <w:pStyle w:val="BodyText"/>
      </w:pPr>
      <w:hyperlink r:id="rId60">
        <w:r>
          <w:rPr>
            <w:rStyle w:val="Hyperlink"/>
          </w:rPr>
          <w:t xml:space="preserve">https://www.nature.com/articles/s41398-018-0276-6</w:t>
        </w:r>
      </w:hyperlink>
    </w:p>
    <w:p>
      <w:pPr>
        <w:pStyle w:val="BodyText"/>
      </w:pPr>
      <w:hyperlink r:id="rId62">
        <w:r>
          <w:rPr>
            <w:rStyle w:val="Hyperlink"/>
          </w:rPr>
          <w:t xml:space="preserve">[35]</w:t>
        </w:r>
      </w:hyperlink>
      <w:r>
        <w:t xml:space="preserve"> </w:t>
      </w:r>
      <w:r>
        <w:t xml:space="preserve">https://www.spandidos-publications.com/10.3892/mmr.2014.2332</w:t>
      </w:r>
    </w:p>
    <w:p>
      <w:pPr>
        <w:pStyle w:val="BodyText"/>
      </w:pPr>
      <w:hyperlink r:id="rId62">
        <w:r>
          <w:rPr>
            <w:rStyle w:val="Hyperlink"/>
          </w:rPr>
          <w:t xml:space="preserve">https://www.spandidos-publications.com/10.3892/mmr.2014.2332</w:t>
        </w:r>
      </w:hyperlink>
    </w:p>
    <w:p>
      <w:pPr>
        <w:pStyle w:val="BodyText"/>
      </w:pPr>
      <w:hyperlink r:id="rId64">
        <w:r>
          <w:rPr>
            <w:rStyle w:val="Hyperlink"/>
          </w:rPr>
          <w:t xml:space="preserve">[36]</w:t>
        </w:r>
      </w:hyperlink>
      <w:r>
        <w:t xml:space="preserve"> </w:t>
      </w:r>
      <w:hyperlink r:id="rId64">
        <w:r>
          <w:rPr>
            <w:rStyle w:val="Hyperlink"/>
          </w:rPr>
          <w:t xml:space="preserve">[37]</w:t>
        </w:r>
      </w:hyperlink>
      <w:r>
        <w:t xml:space="preserve"> </w:t>
      </w:r>
      <w:hyperlink r:id="rId64">
        <w:r>
          <w:rPr>
            <w:rStyle w:val="Hyperlink"/>
          </w:rPr>
          <w:t xml:space="preserve">[39]</w:t>
        </w:r>
      </w:hyperlink>
      <w:r>
        <w:t xml:space="preserve"> </w:t>
      </w:r>
      <w:r>
        <w:t xml:space="preserve">https://www.mdpi.com/2076-3425/15/2/151</w:t>
      </w:r>
    </w:p>
    <w:p>
      <w:pPr>
        <w:pStyle w:val="BodyText"/>
      </w:pPr>
      <w:hyperlink r:id="rId64">
        <w:r>
          <w:rPr>
            <w:rStyle w:val="Hyperlink"/>
          </w:rPr>
          <w:t xml:space="preserve">https://www.mdpi.com/2076-3425/15/2/151</w:t>
        </w:r>
      </w:hyperlink>
    </w:p>
    <w:p>
      <w:pPr>
        <w:pStyle w:val="BodyText"/>
      </w:pPr>
      <w:hyperlink r:id="rId65">
        <w:r>
          <w:rPr>
            <w:rStyle w:val="Hyperlink"/>
          </w:rPr>
          <w:t xml:space="preserve">[38]</w:t>
        </w:r>
      </w:hyperlink>
      <w:r>
        <w:t xml:space="preserve"> </w:t>
      </w:r>
      <w:r>
        <w:t xml:space="preserve">https://www.sciencedirect.com/science/article/abs/pii/S0022395622003843</w:t>
      </w:r>
    </w:p>
    <w:p>
      <w:pPr>
        <w:pStyle w:val="BodyText"/>
      </w:pPr>
      <w:hyperlink r:id="rId65">
        <w:r>
          <w:rPr>
            <w:rStyle w:val="Hyperlink"/>
          </w:rPr>
          <w:t xml:space="preserve">https://www.sciencedirect.com/science/article/abs/pii/S0022395622003843</w:t>
        </w:r>
      </w:hyperlink>
    </w:p>
    <w:p>
      <w:pPr>
        <w:pStyle w:val="BodyText"/>
      </w:pPr>
      <w:hyperlink r:id="rId68">
        <w:r>
          <w:rPr>
            <w:rStyle w:val="Hyperlink"/>
          </w:rPr>
          <w:t xml:space="preserve">[40]</w:t>
        </w:r>
      </w:hyperlink>
      <w:r>
        <w:t xml:space="preserve"> </w:t>
      </w:r>
      <w:r>
        <w:t xml:space="preserve">https://www.fda.gov/files/vaccines%2C%20blood%20%26%20biologics/published/Clinical-Review--December-16--2017---LUXTURNA.pdf</w:t>
      </w:r>
    </w:p>
    <w:p>
      <w:pPr>
        <w:pStyle w:val="BodyText"/>
      </w:pPr>
      <w:hyperlink r:id="rId68">
        <w:r>
          <w:rPr>
            <w:rStyle w:val="Hyperlink"/>
          </w:rPr>
          <w:t xml:space="preserve">https://www.fda.gov/files/vaccines%2C%20blood%20%26%20biologics/published/Clinical-Review--December-16--2017---LUXTURNA.pdf</w:t>
        </w:r>
      </w:hyperlink>
    </w:p>
    <w:p>
      <w:pPr>
        <w:pStyle w:val="BodyText"/>
      </w:pPr>
      <w:hyperlink r:id="rId69">
        <w:r>
          <w:rPr>
            <w:rStyle w:val="Hyperlink"/>
          </w:rPr>
          <w:t xml:space="preserve">[41]</w:t>
        </w:r>
      </w:hyperlink>
      <w:r>
        <w:t xml:space="preserve"> </w:t>
      </w:r>
      <w:r>
        <w:t xml:space="preserve">https://pmc.ncbi.nlm.nih.gov/articles/PMC12561654/</w:t>
      </w:r>
    </w:p>
    <w:p>
      <w:pPr>
        <w:pStyle w:val="BodyText"/>
      </w:pPr>
      <w:hyperlink r:id="rId69">
        <w:r>
          <w:rPr>
            <w:rStyle w:val="Hyperlink"/>
          </w:rPr>
          <w:t xml:space="preserve">https://pmc.ncbi.nlm.nih.gov/articles/PMC12561654/</w:t>
        </w:r>
      </w:hyperlink>
    </w:p>
    <w:p>
      <w:pPr>
        <w:pStyle w:val="BodyText"/>
      </w:pPr>
      <w:hyperlink r:id="rId71">
        <w:r>
          <w:rPr>
            <w:rStyle w:val="Hyperlink"/>
          </w:rPr>
          <w:t xml:space="preserve">[44]</w:t>
        </w:r>
      </w:hyperlink>
      <w:r>
        <w:t xml:space="preserve"> </w:t>
      </w:r>
      <w:r>
        <w:t xml:space="preserve">https://clinicaltrials.gov/study/NCT04952324</w:t>
      </w:r>
    </w:p>
    <w:p>
      <w:pPr>
        <w:pStyle w:val="BodyText"/>
      </w:pPr>
      <w:hyperlink r:id="rId71">
        <w:r>
          <w:rPr>
            <w:rStyle w:val="Hyperlink"/>
          </w:rPr>
          <w:t xml:space="preserve">https://clinicaltrials.gov/study/NCT04952324</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academic.oup.com/bib/article/25/2/bbae081/7620495" TargetMode="External" /><Relationship Type="http://schemas.openxmlformats.org/officeDocument/2006/relationships/hyperlink" Id="rId71" Target="https://clinicaltrials.gov/study/NCT04952324" TargetMode="External" /><Relationship Type="http://schemas.openxmlformats.org/officeDocument/2006/relationships/hyperlink" Id="rId39" Target="https://github.com/DSMPromo/mthfr-gene-therapy-project" TargetMode="External" /><Relationship Type="http://schemas.openxmlformats.org/officeDocument/2006/relationships/hyperlink" Id="rId40" Target="https://github.com/google-deepmind/alphafold3/blob/main/docs/output.md" TargetMode="External" /><Relationship Type="http://schemas.openxmlformats.org/officeDocument/2006/relationships/hyperlink" Id="rId44" Target="https://github.com/jwohlwend/boltz" TargetMode="External" /><Relationship Type="http://schemas.openxmlformats.org/officeDocument/2006/relationships/hyperlink" Id="rId32" Target="https://pmc.ncbi.nlm.nih.gov/articles/PMC10987447/" TargetMode="External" /><Relationship Type="http://schemas.openxmlformats.org/officeDocument/2006/relationships/hyperlink" Id="rId42" Target="https://pmc.ncbi.nlm.nih.gov/articles/PMC11844409/" TargetMode="External" /><Relationship Type="http://schemas.openxmlformats.org/officeDocument/2006/relationships/hyperlink" Id="rId69" Target="https://pmc.ncbi.nlm.nih.gov/articles/PMC12561654/" TargetMode="External" /><Relationship Type="http://schemas.openxmlformats.org/officeDocument/2006/relationships/hyperlink" Id="rId26" Target="https://pmc.ncbi.nlm.nih.gov/articles/PMC1868400/" TargetMode="External" /><Relationship Type="http://schemas.openxmlformats.org/officeDocument/2006/relationships/hyperlink" Id="rId27" Target="https://pmc.ncbi.nlm.nih.gov/articles/PMC4235830/" TargetMode="External" /><Relationship Type="http://schemas.openxmlformats.org/officeDocument/2006/relationships/hyperlink" Id="rId50" Target="https://pmc.ncbi.nlm.nih.gov/articles/PMC5045805/" TargetMode="External" /><Relationship Type="http://schemas.openxmlformats.org/officeDocument/2006/relationships/hyperlink" Id="rId21" Target="https://pmc.ncbi.nlm.nih.gov/articles/PMC5995969/" TargetMode="External" /><Relationship Type="http://schemas.openxmlformats.org/officeDocument/2006/relationships/hyperlink" Id="rId57" Target="https://pmc.ncbi.nlm.nih.gov/articles/PMC8940754/" TargetMode="External" /><Relationship Type="http://schemas.openxmlformats.org/officeDocument/2006/relationships/hyperlink" Id="rId30" Target="https://pmc.ncbi.nlm.nih.gov/articles/PMC9175241/?utm_source=chatgpt.com" TargetMode="External" /><Relationship Type="http://schemas.openxmlformats.org/officeDocument/2006/relationships/hyperlink" Id="rId53" Target="https://pubmed.ncbi.nlm.nih.gov/25766590/" TargetMode="External" /><Relationship Type="http://schemas.openxmlformats.org/officeDocument/2006/relationships/hyperlink" Id="rId25" Target="https://pubmed.ncbi.nlm.nih.gov/7647779/" TargetMode="External" /><Relationship Type="http://schemas.openxmlformats.org/officeDocument/2006/relationships/hyperlink" Id="rId35" Target="https://www.acmg.net/docs/MTHFR_gim2012165a_Feb2013.pdf?platform=hootsuite&amp;utm_source=chatgpt.com" TargetMode="External" /><Relationship Type="http://schemas.openxmlformats.org/officeDocument/2006/relationships/hyperlink" Id="rId36" Target="https://www.cdc.gov/folic-acid/data-research/mthfr/index.html" TargetMode="External" /><Relationship Type="http://schemas.openxmlformats.org/officeDocument/2006/relationships/hyperlink" Id="rId41" Target="https://www.ebi.ac.uk/training/online/courses/alphafold/alphafold-3-and-alphafold-server/how-to-assess-the-quality-of-alphafold-3-predictions/" TargetMode="External" /><Relationship Type="http://schemas.openxmlformats.org/officeDocument/2006/relationships/hyperlink" Id="rId68" Target="https://www.fda.gov/files/vaccines%2C%20blood%20%26%20biologics/published/Clinical-Review--December-16--2017---LUXTURNA.pdf" TargetMode="External" /><Relationship Type="http://schemas.openxmlformats.org/officeDocument/2006/relationships/hyperlink" Id="rId64" Target="https://www.mdpi.com/2076-3425/15/2/151" TargetMode="External" /><Relationship Type="http://schemas.openxmlformats.org/officeDocument/2006/relationships/hyperlink" Id="rId51" Target="https://www.mdpi.com/2218-273X/10/8/1119" TargetMode="External" /><Relationship Type="http://schemas.openxmlformats.org/officeDocument/2006/relationships/hyperlink" Id="rId60" Target="https://www.nature.com/articles/s41398-018-0276-6" TargetMode="External" /><Relationship Type="http://schemas.openxmlformats.org/officeDocument/2006/relationships/hyperlink" Id="rId22" Target="https://www.nature.com/articles/s41467-024-47174-y" TargetMode="External" /><Relationship Type="http://schemas.openxmlformats.org/officeDocument/2006/relationships/hyperlink" Id="rId47" Target="https://www.nature.com/articles/s41467-025-63947-5" TargetMode="External" /><Relationship Type="http://schemas.openxmlformats.org/officeDocument/2006/relationships/hyperlink" Id="rId23" Target="https://www.rcsb.org/structure/6fcx" TargetMode="External" /><Relationship Type="http://schemas.openxmlformats.org/officeDocument/2006/relationships/hyperlink" Id="rId65" Target="https://www.sciencedirect.com/science/article/abs/pii/S0022395622003843" TargetMode="External" /><Relationship Type="http://schemas.openxmlformats.org/officeDocument/2006/relationships/hyperlink" Id="rId29" Target="https://www.sciencedirect.com/science/article/pii/S0022316623021466" TargetMode="External" /><Relationship Type="http://schemas.openxmlformats.org/officeDocument/2006/relationships/hyperlink" Id="rId54" Target="https://www.sciencedirect.com/science/article/pii/S2213231719303180" TargetMode="External" /><Relationship Type="http://schemas.openxmlformats.org/officeDocument/2006/relationships/hyperlink" Id="rId62" Target="https://www.spandidos-publications.com/10.3892/mmr.2014.2332" TargetMode="External" /><Relationship Type="http://schemas.openxmlformats.org/officeDocument/2006/relationships/hyperlink" Id="rId34" Target="https://www.vervetx.com/our-programs/verve-102" TargetMode="External" /></Relationships>
</file>

<file path=word/_rels/footnotes.xml.rels><?xml version="1.0" encoding="UTF-8"?><Relationships xmlns="http://schemas.openxmlformats.org/package/2006/relationships"><Relationship Type="http://schemas.openxmlformats.org/officeDocument/2006/relationships/hyperlink" Id="rId45" Target="https://academic.oup.com/bib/article/25/2/bbae081/7620495" TargetMode="External" /><Relationship Type="http://schemas.openxmlformats.org/officeDocument/2006/relationships/hyperlink" Id="rId71" Target="https://clinicaltrials.gov/study/NCT04952324" TargetMode="External" /><Relationship Type="http://schemas.openxmlformats.org/officeDocument/2006/relationships/hyperlink" Id="rId39" Target="https://github.com/DSMPromo/mthfr-gene-therapy-project" TargetMode="External" /><Relationship Type="http://schemas.openxmlformats.org/officeDocument/2006/relationships/hyperlink" Id="rId40" Target="https://github.com/google-deepmind/alphafold3/blob/main/docs/output.md" TargetMode="External" /><Relationship Type="http://schemas.openxmlformats.org/officeDocument/2006/relationships/hyperlink" Id="rId44" Target="https://github.com/jwohlwend/boltz" TargetMode="External" /><Relationship Type="http://schemas.openxmlformats.org/officeDocument/2006/relationships/hyperlink" Id="rId32" Target="https://pmc.ncbi.nlm.nih.gov/articles/PMC10987447/" TargetMode="External" /><Relationship Type="http://schemas.openxmlformats.org/officeDocument/2006/relationships/hyperlink" Id="rId42" Target="https://pmc.ncbi.nlm.nih.gov/articles/PMC11844409/" TargetMode="External" /><Relationship Type="http://schemas.openxmlformats.org/officeDocument/2006/relationships/hyperlink" Id="rId69" Target="https://pmc.ncbi.nlm.nih.gov/articles/PMC12561654/" TargetMode="External" /><Relationship Type="http://schemas.openxmlformats.org/officeDocument/2006/relationships/hyperlink" Id="rId26" Target="https://pmc.ncbi.nlm.nih.gov/articles/PMC1868400/" TargetMode="External" /><Relationship Type="http://schemas.openxmlformats.org/officeDocument/2006/relationships/hyperlink" Id="rId27" Target="https://pmc.ncbi.nlm.nih.gov/articles/PMC4235830/" TargetMode="External" /><Relationship Type="http://schemas.openxmlformats.org/officeDocument/2006/relationships/hyperlink" Id="rId50" Target="https://pmc.ncbi.nlm.nih.gov/articles/PMC5045805/" TargetMode="External" /><Relationship Type="http://schemas.openxmlformats.org/officeDocument/2006/relationships/hyperlink" Id="rId21" Target="https://pmc.ncbi.nlm.nih.gov/articles/PMC5995969/" TargetMode="External" /><Relationship Type="http://schemas.openxmlformats.org/officeDocument/2006/relationships/hyperlink" Id="rId57" Target="https://pmc.ncbi.nlm.nih.gov/articles/PMC8940754/" TargetMode="External" /><Relationship Type="http://schemas.openxmlformats.org/officeDocument/2006/relationships/hyperlink" Id="rId30" Target="https://pmc.ncbi.nlm.nih.gov/articles/PMC9175241/?utm_source=chatgpt.com" TargetMode="External" /><Relationship Type="http://schemas.openxmlformats.org/officeDocument/2006/relationships/hyperlink" Id="rId53" Target="https://pubmed.ncbi.nlm.nih.gov/25766590/" TargetMode="External" /><Relationship Type="http://schemas.openxmlformats.org/officeDocument/2006/relationships/hyperlink" Id="rId25" Target="https://pubmed.ncbi.nlm.nih.gov/7647779/" TargetMode="External" /><Relationship Type="http://schemas.openxmlformats.org/officeDocument/2006/relationships/hyperlink" Id="rId35" Target="https://www.acmg.net/docs/MTHFR_gim2012165a_Feb2013.pdf?platform=hootsuite&amp;utm_source=chatgpt.com" TargetMode="External" /><Relationship Type="http://schemas.openxmlformats.org/officeDocument/2006/relationships/hyperlink" Id="rId36" Target="https://www.cdc.gov/folic-acid/data-research/mthfr/index.html" TargetMode="External" /><Relationship Type="http://schemas.openxmlformats.org/officeDocument/2006/relationships/hyperlink" Id="rId41" Target="https://www.ebi.ac.uk/training/online/courses/alphafold/alphafold-3-and-alphafold-server/how-to-assess-the-quality-of-alphafold-3-predictions/" TargetMode="External" /><Relationship Type="http://schemas.openxmlformats.org/officeDocument/2006/relationships/hyperlink" Id="rId68" Target="https://www.fda.gov/files/vaccines%2C%20blood%20%26%20biologics/published/Clinical-Review--December-16--2017---LUXTURNA.pdf" TargetMode="External" /><Relationship Type="http://schemas.openxmlformats.org/officeDocument/2006/relationships/hyperlink" Id="rId64" Target="https://www.mdpi.com/2076-3425/15/2/151" TargetMode="External" /><Relationship Type="http://schemas.openxmlformats.org/officeDocument/2006/relationships/hyperlink" Id="rId51" Target="https://www.mdpi.com/2218-273X/10/8/1119" TargetMode="External" /><Relationship Type="http://schemas.openxmlformats.org/officeDocument/2006/relationships/hyperlink" Id="rId60" Target="https://www.nature.com/articles/s41398-018-0276-6" TargetMode="External" /><Relationship Type="http://schemas.openxmlformats.org/officeDocument/2006/relationships/hyperlink" Id="rId22" Target="https://www.nature.com/articles/s41467-024-47174-y" TargetMode="External" /><Relationship Type="http://schemas.openxmlformats.org/officeDocument/2006/relationships/hyperlink" Id="rId47" Target="https://www.nature.com/articles/s41467-025-63947-5" TargetMode="External" /><Relationship Type="http://schemas.openxmlformats.org/officeDocument/2006/relationships/hyperlink" Id="rId23" Target="https://www.rcsb.org/structure/6fcx" TargetMode="External" /><Relationship Type="http://schemas.openxmlformats.org/officeDocument/2006/relationships/hyperlink" Id="rId65" Target="https://www.sciencedirect.com/science/article/abs/pii/S0022395622003843" TargetMode="External" /><Relationship Type="http://schemas.openxmlformats.org/officeDocument/2006/relationships/hyperlink" Id="rId29" Target="https://www.sciencedirect.com/science/article/pii/S0022316623021466" TargetMode="External" /><Relationship Type="http://schemas.openxmlformats.org/officeDocument/2006/relationships/hyperlink" Id="rId54" Target="https://www.sciencedirect.com/science/article/pii/S2213231719303180" TargetMode="External" /><Relationship Type="http://schemas.openxmlformats.org/officeDocument/2006/relationships/hyperlink" Id="rId62" Target="https://www.spandidos-publications.com/10.3892/mmr.2014.2332" TargetMode="External" /><Relationship Type="http://schemas.openxmlformats.org/officeDocument/2006/relationships/hyperlink" Id="rId34" Target="https://www.vervetx.com/our-programs/verve-1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2026-03-26T01:19:10Z</dcterms:created>
  <dcterms:modified xsi:type="dcterms:W3CDTF">2026-03-26T01:19:10Z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