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Arial" w:cs="Arial" w:eastAsia="Arial" w:hAnsi="Arial"/>
          <w:b/>
          <w:bCs/>
          <w:color w:val="2E75B6"/>
          <w:spacing w:val="200"/>
          <w:sz w:val="20"/>
          <w:szCs w:val="20"/>
        </w:rPr>
        <w:t xml:space="preserve">THE DEFINITIVE MASTER DOCUMENT</w:t>
      </w:r>
    </w:p>
    <w:p>
      <w:pPr>
        <w:spacing w:after="60"/>
        <w:jc w:val="center"/>
      </w:pPr>
      <w:r>
        <w:rPr>
          <w:rFonts w:ascii="Arial" w:cs="Arial" w:eastAsia="Arial" w:hAnsi="Arial"/>
          <w:b/>
          <w:bCs/>
          <w:color w:val="1B3A5C"/>
          <w:sz w:val="44"/>
          <w:szCs w:val="44"/>
        </w:rPr>
        <w:t xml:space="preserve">MTHFR Gene Therapy Platform:</w:t>
      </w:r>
    </w:p>
    <w:p>
      <w:pPr>
        <w:spacing w:after="40"/>
        <w:jc w:val="center"/>
      </w:pPr>
      <w:r>
        <w:rPr>
          <w:rFonts w:ascii="Arial" w:cs="Arial" w:eastAsia="Arial" w:hAnsi="Arial"/>
          <w:b/>
          <w:bCs/>
          <w:color w:val="2E75B6"/>
          <w:sz w:val="38"/>
          <w:szCs w:val="38"/>
        </w:rPr>
        <w:t xml:space="preserve">One Gene, Five Disease Pathways,</w:t>
      </w:r>
    </w:p>
    <w:p>
      <w:pPr>
        <w:spacing w:after="160"/>
        <w:jc w:val="center"/>
      </w:pPr>
      <w:r>
        <w:rPr>
          <w:rFonts w:ascii="Arial" w:cs="Arial" w:eastAsia="Arial" w:hAnsi="Arial"/>
          <w:b/>
          <w:bCs/>
          <w:color w:val="2E75B6"/>
          <w:sz w:val="38"/>
          <w:szCs w:val="38"/>
        </w:rPr>
        <w:t xml:space="preserve">Billions of Lives</w:t>
      </w:r>
    </w:p>
    <w:p>
      <w:pPr>
        <w:pBdr>
          <w:bottom w:val="single" w:color="2E75B6" w:sz="4" w:space="8"/>
        </w:pBdr>
        <w:spacing w:after="160"/>
        <w:jc w:val="center"/>
      </w:pPr>
    </w:p>
    <w:p>
      <w:pPr>
        <w:spacing w:after="120"/>
        <w:jc w:val="center"/>
      </w:pPr>
      <w:r>
        <w:rPr>
          <w:rFonts w:ascii="Arial" w:cs="Arial" w:eastAsia="Arial" w:hAnsi="Arial"/>
          <w:i/>
          <w:iCs/>
          <w:color w:val="666666"/>
          <w:sz w:val="21"/>
          <w:szCs w:val="21"/>
        </w:rPr>
        <w:t xml:space="preserve">Complete Research Foundation, AlphaFold Protocol,
Protein Sequences, Analysis Workflow, and Collaboration Plan</w:t>
      </w:r>
    </w:p>
    <w:p>
      <w:pPr>
        <w:spacing w:after="400"/>
        <w:jc w:val="center"/>
      </w:pPr>
      <w:r>
        <w:rPr>
          <w:rFonts w:ascii="Arial" w:cs="Arial" w:eastAsia="Arial" w:hAnsi="Arial"/>
          <w:b/>
          <w:bCs/>
          <w:color w:val="D4760A"/>
          <w:sz w:val="22"/>
          <w:szCs w:val="22"/>
        </w:rPr>
        <w:t xml:space="preserve">Everything in One Place — Designed for Replication</w:t>
      </w:r>
    </w:p>
    <w:p>
      <w:pPr>
        <w:spacing w:after="200"/>
        <w:jc w:val="center"/>
      </w:pPr>
      <w:r>
        <w:rPr>
          <w:rFonts w:ascii="Arial" w:cs="Arial" w:eastAsia="Arial" w:hAnsi="Arial"/>
          <w:b/>
          <w:bCs/>
          <w:color w:val="1B3A5C"/>
          <w:sz w:val="22"/>
          <w:szCs w:val="22"/>
        </w:rPr>
        <w:t xml:space="preserve">Igor Mihaljko  |  CEO &amp; Founder, DSM.Promo  |  Chicago, IL</w:t>
      </w:r>
    </w:p>
    <w:p>
      <w:pPr>
        <w:jc w:val="center"/>
      </w:pPr>
      <w:r>
        <w:rPr>
          <w:rFonts w:ascii="Arial" w:cs="Arial" w:eastAsia="Arial" w:hAnsi="Arial"/>
          <w:b/>
          <w:bCs/>
          <w:color w:val="CC3333"/>
          <w:sz w:val="16"/>
          <w:szCs w:val="16"/>
        </w:rPr>
        <w:t xml:space="preserve">March 2026  |  Version 3.0  |  FOR RESEARCH AND EDUCATIONAL PURPOSES ONLY</w:t>
      </w:r>
    </w:p>
    <w:p>
      <w:pPr>
        <w:sectPr>
          <w:pgSz w:w="12240" w:h="15840" w:orient="portrait"/>
          <w:pgMar w:top="1440" w:right="1440" w:bottom="1440" w:left="1440" w:header="708" w:footer="708" w:gutter="0"/>
          <w:pgNumType/>
          <w:docGrid w:linePitch="360"/>
        </w:sectPr>
      </w:pPr>
    </w:p>
    <w:p>
      <w:pPr>
        <w:pStyle w:val="Heading1"/>
        <w:pBdr>
          <w:bottom w:val="single" w:color="2E75B6" w:sz="4" w:space="8"/>
        </w:pBdr>
        <w:spacing w:after="200" w:before="360"/>
      </w:pPr>
      <w:r>
        <w:rPr>
          <w:rFonts w:ascii="Arial" w:cs="Arial" w:eastAsia="Arial" w:hAnsi="Arial"/>
          <w:b/>
          <w:bCs/>
          <w:color w:val="1B3A5C"/>
          <w:sz w:val="32"/>
          <w:szCs w:val="32"/>
        </w:rPr>
        <w:t xml:space="preserve">Why Nobody Connected These Dots Until Now</w:t>
      </w:r>
    </w:p>
    <w:p>
      <w:pPr>
        <w:spacing w:after="150" w:line="312"/>
        <w:jc w:val="both"/>
      </w:pPr>
      <w:r>
        <w:rPr>
          <w:rFonts w:ascii="Arial" w:cs="Arial" w:eastAsia="Arial" w:hAnsi="Arial"/>
          <w:color w:val="333333"/>
          <w:sz w:val="22"/>
          <w:szCs w:val="22"/>
        </w:rPr>
        <w:t xml:space="preserve">Modern medicine is organized by organ system. Ophthalmologists treat eyes. Psychiatrists treat anxiety. Neurologists study autism. Cardiologists manage heart disease. Nutritionists advise on B-vitamins. Each specialist sees their piece of the puzzle, but nobody steps back to see that the same broken enzyme is feeding all five problems.</w:t>
      </w:r>
    </w:p>
    <w:p>
      <w:pPr>
        <w:spacing w:after="150" w:line="312"/>
        <w:jc w:val="both"/>
      </w:pPr>
      <w:r>
        <w:rPr>
          <w:rFonts w:ascii="Arial" w:cs="Arial" w:eastAsia="Arial" w:hAnsi="Arial"/>
          <w:color w:val="333333"/>
          <w:sz w:val="22"/>
          <w:szCs w:val="22"/>
        </w:rPr>
        <w:t xml:space="preserve">The MTHFR enzyme sits at the crossroads of folate metabolism, homocysteine regulation, methylation, neurotransmitter synthesis, and B-vitamin activation. When it malfunctions, it doesn’t cause one disease—it destabilizes five interconnected systems simultaneously. But because each consequence lands in a different medical specialty, the common root cause goes unrecognized.</w:t>
      </w:r>
    </w:p>
    <w:p>
      <w:pPr>
        <w:spacing w:after="150" w:line="312"/>
        <w:jc w:val="both"/>
      </w:pPr>
      <w:r>
        <w:rPr>
          <w:rFonts w:ascii="Arial" w:cs="Arial" w:eastAsia="Arial" w:hAnsi="Arial"/>
          <w:color w:val="333333"/>
          <w:sz w:val="22"/>
          <w:szCs w:val="22"/>
        </w:rPr>
        <w:t xml:space="preserve">Furthermore, the MTHFR variants are so common (up to 40% of the population carries at least one) that many clinicians dismiss them as benign polymorphisms rather than clinically actionable targets. The CDC itself states that MTHFR variants are generally not a reason to change treatment. This is because the standard of care focuses on supplementation (methylfolate, B12) rather than correction of the underlying genetic defect.</w:t>
      </w:r>
    </w:p>
    <w:p>
      <w:pPr>
        <w:spacing w:after="150" w:line="312"/>
        <w:jc w:val="both"/>
      </w:pPr>
      <w:r>
        <w:rPr>
          <w:rFonts w:ascii="Arial" w:cs="Arial" w:eastAsia="Arial" w:hAnsi="Arial"/>
          <w:color w:val="333333"/>
          <w:sz w:val="22"/>
          <w:szCs w:val="22"/>
        </w:rPr>
        <w:t xml:space="preserve">The arrival of CRISPR base editing changes the equation entirely. For the first time, we can envision correcting the root genetic cause with a one-time intervention—and in doing so, address all five downstream disease pathways simultaneously. That is the thesis of this document.</w:t>
      </w:r>
    </w:p>
    <w:p>
      <w:pPr>
        <w:pBdr>
          <w:left w:val="single" w:color="2D7D46" w:sz="12" w:space="8"/>
        </w:pBdr>
        <w:spacing w:after="120" w:before="120"/>
        <w:ind w:left="360" w:right="360"/>
      </w:pPr>
      <w:r>
        <w:rPr>
          <w:rFonts w:ascii="Arial" w:cs="Arial" w:eastAsia="Arial" w:hAnsi="Arial"/>
          <w:i/>
          <w:iCs/>
          <w:color w:val="1B3A5C"/>
          <w:sz w:val="21"/>
          <w:szCs w:val="21"/>
        </w:rPr>
        <w:t xml:space="preserve">This document connects the dots. Everything that follows—the science, the protein sequences, the AlphaFold modeling protocol, the analysis workflow, and the collaboration plan—is designed so that any researcher, anywhere in the world, can pick this up and replicate every step.</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1: The Science</w:t>
      </w:r>
    </w:p>
    <w:p>
      <w:pPr>
        <w:pStyle w:val="Heading2"/>
        <w:spacing w:after="160" w:before="280"/>
      </w:pPr>
      <w:r>
        <w:rPr>
          <w:rFonts w:ascii="Arial" w:cs="Arial" w:eastAsia="Arial" w:hAnsi="Arial"/>
          <w:b/>
          <w:bCs/>
          <w:color w:val="2E75B6"/>
          <w:sz w:val="26"/>
          <w:szCs w:val="26"/>
        </w:rPr>
        <w:t xml:space="preserve">1.1 The MTHFR Enzyme</w:t>
      </w:r>
    </w:p>
    <w:p>
      <w:pPr>
        <w:spacing w:after="150" w:line="312"/>
        <w:jc w:val="both"/>
      </w:pPr>
      <w:r>
        <w:rPr>
          <w:rFonts w:ascii="Arial" w:cs="Arial" w:eastAsia="Arial" w:hAnsi="Arial"/>
          <w:color w:val="333333"/>
          <w:sz w:val="22"/>
          <w:szCs w:val="22"/>
        </w:rPr>
        <w:t xml:space="preserve">MTHFR (methylenetetrahydrofolate reductase) is a FAD-dependent enzyme encoded on chromosome 1p36.22. It converts 5,10-methylenetetrahydrofolate to 5-methyltetrahydrofolate (5-MTHF)—the primary circulating form of folate and the methyl donor for remethylation of homocysteine to methionine.</w:t>
      </w:r>
    </w:p>
    <w:p>
      <w:pPr>
        <w:spacing w:after="150" w:line="312"/>
        <w:jc w:val="both"/>
      </w:pPr>
      <w:r>
        <w:rPr>
          <w:rFonts w:ascii="Arial" w:cs="Arial" w:eastAsia="Arial" w:hAnsi="Arial"/>
          <w:color w:val="333333"/>
          <w:sz w:val="22"/>
          <w:szCs w:val="22"/>
        </w:rPr>
        <w:t xml:space="preserve">Methionine is converted to S-adenosylmethionine (SAM), the universal methyl donor for over 200 reactions: DNA methylation, neurotransmitter synthesis (serotonin, dopamine, norepinephrine, GABA), myelin maintenance, hormone metabolism, and detoxification.</w:t>
      </w:r>
    </w:p>
    <w:p>
      <w:pPr>
        <w:spacing w:after="150" w:line="312"/>
        <w:jc w:val="both"/>
      </w:pPr>
      <w:r>
        <w:t>The enzyme functions as a homodimer. The crystal structure (PDB: 6FCX, 2.5Å resolution, Froese et al. 2018, Nature Communications) reveals a catalytic TIM-barrel domain (N-terminal, FAD binding) connected by a 25-amino-acid linker to a SAM-binding regulatory domain (C-terminal) that mediates dimerization and allosteric inhibition. In 2024, cryo-EM structures (PDB: 8QA5, 8QA6) revealed the mechanism of SAM-mediated allosteric inhibition through dual SAM binding and inter-domain conformational rearrangement, providing structural context for the A1298C variant's impact on the regulatory domain.</w:t>
      </w:r>
    </w:p>
    <w:p>
      <w:pPr>
        <w:pStyle w:val="Heading2"/>
        <w:spacing w:after="160" w:before="280"/>
      </w:pPr>
      <w:r>
        <w:rPr>
          <w:rFonts w:ascii="Arial" w:cs="Arial" w:eastAsia="Arial" w:hAnsi="Arial"/>
          <w:b/>
          <w:bCs/>
          <w:color w:val="2E75B6"/>
          <w:sz w:val="26"/>
          <w:szCs w:val="26"/>
        </w:rPr>
        <w:t xml:space="preserve">1.2 The Two Key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C677T (rs1801133)</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A1298C (rs1801131)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Amino acid change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Ala222Val (A→V at position 222)</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Glu429Ala (E→A at position 429)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Domain affected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Catalytic domain (FAD binding site)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Regulatory domain (SAM binding / BH4 pathway)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Enzyme activity loss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~35% per allele; ~70% in TT homozygotes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~30% per allele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Primary consequence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Destabilized FAD binding → thermolabile enzyme → low 5-MTHF → high homocysteine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Impaired BH4 recycling → reduced serotonin/dopamine synthesis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 allele frequency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 Latino, 24–40% European, 26–37% East Asian, ~6.6% African</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~25% European, varies by population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Compound heterozygous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DUAL HIT: catalytic dysfunction + regulatory dysfunction simultaneously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Same</w:t>
            </w:r>
          </w:p>
        </w:tc>
      </w:tr>
    </w:tbl>
    <w:p>
      <w:pPr>
        <w:spacing w:after="120"/>
      </w:pPr>
    </w:p>
    <w:p>
      <w:pPr>
        <w:pStyle w:val="Heading2"/>
        <w:spacing w:after="160" w:before="280"/>
      </w:pPr>
      <w:r>
        <w:rPr>
          <w:rFonts w:ascii="Arial" w:cs="Arial" w:eastAsia="Arial" w:hAnsi="Arial"/>
          <w:b/>
          <w:bCs/>
          <w:color w:val="2E75B6"/>
          <w:sz w:val="26"/>
          <w:szCs w:val="26"/>
        </w:rPr>
        <w:t xml:space="preserve">1.3 The Cascade: One Enzyme, Five Diseases</w:t>
      </w:r>
    </w:p>
    <w:p>
      <w:pPr>
        <w:spacing w:after="150" w:line="312"/>
        <w:jc w:val="both"/>
      </w:pPr>
      <w:r>
        <w:rPr>
          <w:rFonts w:ascii="Arial" w:cs="Arial" w:eastAsia="Arial" w:hAnsi="Arial"/>
          <w:color w:val="333333"/>
          <w:sz w:val="22"/>
          <w:szCs w:val="22"/>
        </w:rPr>
        <w:t xml:space="preserve">When MTHFR is impaired, five things happen simultaneously:</w:t>
      </w:r>
    </w:p>
    <w:p>
      <w:pPr>
        <w:pBdr>
          <w:left w:val="single" w:color="2E75B6" w:sz="12" w:space="8"/>
        </w:pBdr>
        <w:spacing w:after="120" w:before="120"/>
        <w:ind w:left="360" w:right="360"/>
      </w:pPr>
      <w:r>
        <w:rPr>
          <w:rFonts w:ascii="Arial" w:cs="Arial" w:eastAsia="Arial" w:hAnsi="Arial"/>
          <w:i/>
          <w:iCs/>
          <w:color w:val="1B3A5C"/>
          <w:sz w:val="21"/>
          <w:szCs w:val="21"/>
        </w:rPr>
        <w:t xml:space="preserve">1. HOMOCYSTEINE RISES → Damages blood vessels everywhere: retina, brain, heart, placenta. This drives vision loss (Target 1) and cardiovascular disease (Target 5).</w:t>
      </w:r>
    </w:p>
    <w:p>
      <w:pPr>
        <w:pBdr>
          <w:left w:val="single" w:color="2D7D46" w:sz="12" w:space="8"/>
        </w:pBdr>
        <w:spacing w:after="120" w:before="120"/>
        <w:ind w:left="360" w:right="360"/>
      </w:pPr>
      <w:r>
        <w:rPr>
          <w:rFonts w:ascii="Arial" w:cs="Arial" w:eastAsia="Arial" w:hAnsi="Arial"/>
          <w:i/>
          <w:iCs/>
          <w:color w:val="1B3A5C"/>
          <w:sz w:val="21"/>
          <w:szCs w:val="21"/>
        </w:rPr>
        <w:t xml:space="preserve">2. METHYLFOLATE DROPS → Less folate crosses the blood-brain barrier via Folate Receptor Alpha. Developing brains are starved of folate. This drives autism/CFD (Target 2).</w:t>
      </w:r>
    </w:p>
    <w:p>
      <w:pPr>
        <w:pBdr>
          <w:left w:val="single" w:color="6B3FA0" w:sz="12" w:space="8"/>
        </w:pBdr>
        <w:spacing w:after="120" w:before="120"/>
        <w:ind w:left="360" w:right="360"/>
      </w:pPr>
      <w:r>
        <w:rPr>
          <w:rFonts w:ascii="Arial" w:cs="Arial" w:eastAsia="Arial" w:hAnsi="Arial"/>
          <w:i/>
          <w:iCs/>
          <w:color w:val="1B3A5C"/>
          <w:sz w:val="21"/>
          <w:szCs w:val="21"/>
        </w:rPr>
        <w:t xml:space="preserve">3. SAMe PRODUCTION FALLS → Insufficient methylation for serotonin, dopamine, GABA, norepinephrine synthesis. Excess glutamate accumulates. This drives anxiety and depression (Target 3).</w:t>
      </w:r>
    </w:p>
    <w:p>
      <w:pPr>
        <w:pBdr>
          <w:left w:val="single" w:color="D4760A" w:sz="12" w:space="8"/>
        </w:pBdr>
        <w:spacing w:after="120" w:before="120"/>
        <w:ind w:left="360" w:right="360"/>
      </w:pPr>
      <w:r>
        <w:rPr>
          <w:rFonts w:ascii="Arial" w:cs="Arial" w:eastAsia="Arial" w:hAnsi="Arial"/>
          <w:i/>
          <w:iCs/>
          <w:color w:val="1B3A5C"/>
          <w:sz w:val="21"/>
          <w:szCs w:val="21"/>
        </w:rPr>
        <w:t xml:space="preserve">4. B-VITAMIN CONVERSION FAILS → B2 can’t regenerate FAD for the already-weak enzyme. B12 gets “trapped” in inactive form. B6 activation is impaired. This drives B-vitamin metabolism failure (Target 4).</w:t>
      </w:r>
    </w:p>
    <w:p>
      <w:pPr>
        <w:pBdr>
          <w:left w:val="single" w:color="CC3333" w:sz="12" w:space="8"/>
        </w:pBdr>
        <w:spacing w:after="120" w:before="120"/>
        <w:ind w:left="360" w:right="360"/>
      </w:pPr>
      <w:r>
        <w:rPr>
          <w:rFonts w:ascii="Arial" w:cs="Arial" w:eastAsia="Arial" w:hAnsi="Arial"/>
          <w:i/>
          <w:iCs/>
          <w:color w:val="1B3A5C"/>
          <w:sz w:val="21"/>
          <w:szCs w:val="21"/>
        </w:rPr>
        <w:t xml:space="preserve">5. DNA METHYLATION IS IMPAIRED → Gene expression is dysregulated globally, affecting every tissue. This amplifies all other targets and contributes to cancer risk.</w:t>
      </w:r>
    </w:p>
    <w:p>
      <w:r>
        <w:br w:type="page"/>
      </w:r>
    </w:p>
    <w:p>
      <w:pPr>
        <w:pStyle w:val="Heading2"/>
        <w:spacing w:after="160" w:before="280"/>
      </w:pPr>
      <w:r>
        <w:rPr>
          <w:rFonts w:ascii="Arial" w:cs="Arial" w:eastAsia="Arial" w:hAnsi="Arial"/>
          <w:b/>
          <w:bCs/>
          <w:color w:val="2E75B6"/>
          <w:sz w:val="26"/>
          <w:szCs w:val="26"/>
        </w:rPr>
        <w:t xml:space="preserve">1.4 Target 1: Vision Loss &amp; Retinal Neurodegeneration</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Elevated homocysteine damages retinal ganglion cells through oxidative stress, causing cell death independent of intraocular pressure. It also damages retinal vasculature, causing leakage and ischemia. MTHFR deficiency has been linked to: age-related macular degeneration (AMD), diabetic retinopathy, glaucoma (open-angle, exfoliation, pigmentary), retinal degeneration, branch/central retinal vein occlusion (BRVO/CRVO), and retinal artery occlusion.</w:t>
      </w:r>
    </w:p>
    <w:p>
      <w:pPr>
        <w:spacing w:after="120" w:before="200"/>
      </w:pPr>
      <w:r>
        <w:rPr>
          <w:rFonts w:ascii="Arial" w:cs="Arial" w:eastAsia="Arial" w:hAnsi="Arial"/>
          <w:b/>
          <w:bCs/>
          <w:color w:val="1B3A5C"/>
          <w:sz w:val="22"/>
          <w:szCs w:val="22"/>
        </w:rPr>
        <w:t xml:space="preserve">Key Evidence</w:t>
      </w:r>
    </w:p>
    <w:p>
      <w:pPr>
        <w:pStyle w:val="ListParagraph"/>
        <w:numPr>
          <w:ilvl w:val="0"/>
          <w:numId w:val="2"/>
        </w:numPr>
        <w:spacing w:after="80"/>
      </w:pPr>
      <w:r>
        <w:rPr>
          <w:rFonts w:ascii="Arial" w:cs="Arial" w:eastAsia="Arial" w:hAnsi="Arial"/>
          <w:color w:val="333333"/>
          <w:sz w:val="22"/>
          <w:szCs w:val="22"/>
        </w:rPr>
        <w:t xml:space="preserve">Mthfr+/− mice (Markand 2015, IOVS): 2x retinal homocysteine, ~20% ganglion cell loss, thinner NFL, vascular leakage, Müller cell activation by 24 weeks—WITHOUT elevated IOP</w:t>
      </w:r>
    </w:p>
    <w:p>
      <w:pPr>
        <w:pStyle w:val="ListParagraph"/>
        <w:numPr>
          <w:ilvl w:val="0"/>
          <w:numId w:val="2"/>
        </w:numPr>
        <w:spacing w:after="80"/>
      </w:pPr>
      <w:r>
        <w:rPr>
          <w:rFonts w:ascii="Arial" w:cs="Arial" w:eastAsia="Arial" w:hAnsi="Arial"/>
          <w:color w:val="333333"/>
          <w:sz w:val="22"/>
          <w:szCs w:val="22"/>
        </w:rPr>
        <w:t xml:space="preserve">MTHFR modifies CRB1-related retinopathies, worsening rd8 retinal phenotype (Markand 2015, Exp Eye Res)</w:t>
      </w:r>
    </w:p>
    <w:p>
      <w:pPr>
        <w:pStyle w:val="ListParagraph"/>
        <w:numPr>
          <w:ilvl w:val="0"/>
          <w:numId w:val="2"/>
        </w:numPr>
        <w:spacing w:after="80"/>
      </w:pPr>
      <w:r>
        <w:rPr>
          <w:rFonts w:ascii="Arial" w:cs="Arial" w:eastAsia="Arial" w:hAnsi="Arial"/>
          <w:color w:val="333333"/>
          <w:sz w:val="22"/>
          <w:szCs w:val="22"/>
        </w:rPr>
        <w:t xml:space="preserve">30-year-old woman with severe MTHFR deficiency: complete blindness within 8 weeks, near-complete recovery with betaine therapy in 6 weeks (Hergert 2022, J Neurology)</w:t>
      </w:r>
    </w:p>
    <w:p>
      <w:pPr>
        <w:pStyle w:val="ListParagraph"/>
        <w:numPr>
          <w:ilvl w:val="0"/>
          <w:numId w:val="2"/>
        </w:numPr>
        <w:spacing w:after="80"/>
      </w:pPr>
      <w:r>
        <w:rPr>
          <w:rFonts w:ascii="Arial" w:cs="Arial" w:eastAsia="Arial" w:hAnsi="Arial"/>
          <w:color w:val="333333"/>
          <w:sz w:val="22"/>
          <w:szCs w:val="22"/>
        </w:rPr>
        <w:t xml:space="preserve">Ocufolin medical food improved retinal perfusion AND visual acuity in diabetic retinopathy patients with MTHFR polymorphisms, with response varying by genotype (Liu 2023, Clin Ophthalmol)</w:t>
      </w:r>
    </w:p>
    <w:p>
      <w:pPr>
        <w:pStyle w:val="ListParagraph"/>
        <w:numPr>
          <w:ilvl w:val="0"/>
          <w:numId w:val="2"/>
        </w:numPr>
        <w:spacing w:after="80"/>
      </w:pPr>
      <w:r>
        <w:rPr>
          <w:rFonts w:ascii="Arial" w:cs="Arial" w:eastAsia="Arial" w:hAnsi="Arial"/>
          <w:color w:val="333333"/>
          <w:sz w:val="22"/>
          <w:szCs w:val="22"/>
        </w:rPr>
        <w:t xml:space="preserve">NRF2 knockout + Mthfr deficiency: dramatic retinal damage confirming oxidative stress mechanism</w:t>
      </w:r>
    </w:p>
    <w:p>
      <w:r>
        <w:br w:type="page"/>
      </w:r>
    </w:p>
    <w:p>
      <w:pPr>
        <w:pStyle w:val="Heading2"/>
        <w:spacing w:after="160" w:before="280"/>
      </w:pPr>
      <w:r>
        <w:rPr>
          <w:rFonts w:ascii="Arial" w:cs="Arial" w:eastAsia="Arial" w:hAnsi="Arial"/>
          <w:b/>
          <w:bCs/>
          <w:color w:val="2E75B6"/>
          <w:sz w:val="26"/>
          <w:szCs w:val="26"/>
        </w:rPr>
        <w:t xml:space="preserve">1.5 Target 2: Autism Spectrum Disorder &amp; Cerebral Folate Deficiency</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5-MTHF is the primary folate form that crosses the blood-brain barrier via Folate Receptor Alpha (FRα). When MTHFR variants reduce 5-MTHF production, brain folate drops below levels needed for DNA synthesis, methylation, and neurotransmitter production during critical developmental windows. This condition—Cerebral Folate Deficiency (CFD)—is associated with developmental regression, seizures, motor abnormalities, and autistic features. In some individuals, autoantibodies against FRα further block transport, compounding the deficiency.</w:t>
      </w:r>
    </w:p>
    <w:p>
      <w:pPr>
        <w:spacing w:after="120" w:before="200"/>
      </w:pPr>
      <w:r>
        <w:rPr>
          <w:rFonts w:ascii="Arial" w:cs="Arial" w:eastAsia="Arial" w:hAnsi="Arial"/>
          <w:b/>
          <w:bCs/>
          <w:color w:val="1B3A5C"/>
          <w:sz w:val="22"/>
          <w:szCs w:val="22"/>
        </w:rPr>
        <w:t xml:space="preserve">Key Evidence</w:t>
      </w:r>
    </w:p>
    <w:p>
      <w:pPr>
        <w:pStyle w:val="ListParagraph"/>
        <w:numPr>
          <w:ilvl w:val="0"/>
          <w:numId w:val="3"/>
        </w:numPr>
        <w:spacing w:after="80"/>
      </w:pPr>
      <w:r>
        <w:rPr>
          <w:rFonts w:ascii="Arial" w:cs="Arial" w:eastAsia="Arial" w:hAnsi="Arial"/>
          <w:color w:val="333333"/>
          <w:sz w:val="22"/>
          <w:szCs w:val="22"/>
        </w:rPr>
        <w:t xml:space="preserve">Meta-analysis of 15 studies (Pu 2020, BMC Pediatrics): C677T significantly associated with ASD across ALL five genetic models</w:t>
      </w:r>
    </w:p>
    <w:p>
      <w:pPr>
        <w:pStyle w:val="ListParagraph"/>
        <w:numPr>
          <w:ilvl w:val="0"/>
          <w:numId w:val="3"/>
        </w:numPr>
        <w:spacing w:after="80"/>
      </w:pPr>
      <w:r>
        <w:rPr>
          <w:rFonts w:ascii="Arial" w:cs="Arial" w:eastAsia="Arial" w:hAnsi="Arial"/>
          <w:color w:val="333333"/>
          <w:sz w:val="22"/>
          <w:szCs w:val="22"/>
        </w:rPr>
        <w:t xml:space="preserve">Chinese Han study (Guo 2012): 677TT genotype 2x more prevalent in autistic children (16.1% vs 8.6%, OR=2.04, p=0.03)</w:t>
      </w:r>
    </w:p>
    <w:p>
      <w:pPr>
        <w:pStyle w:val="ListParagraph"/>
        <w:numPr>
          <w:ilvl w:val="0"/>
          <w:numId w:val="3"/>
        </w:numPr>
        <w:spacing w:after="80"/>
      </w:pPr>
      <w:r>
        <w:rPr>
          <w:rFonts w:ascii="Arial" w:cs="Arial" w:eastAsia="Arial" w:hAnsi="Arial"/>
          <w:color w:val="333333"/>
          <w:sz w:val="22"/>
          <w:szCs w:val="22"/>
        </w:rPr>
        <w:t xml:space="preserve">Egyptian study: significant association between MTHFR C677T/A1298C and both severity and occurrence of autism</w:t>
      </w:r>
    </w:p>
    <w:p>
      <w:pPr>
        <w:pStyle w:val="ListParagraph"/>
        <w:numPr>
          <w:ilvl w:val="0"/>
          <w:numId w:val="3"/>
        </w:numPr>
        <w:spacing w:after="80"/>
      </w:pPr>
      <w:r>
        <w:rPr>
          <w:rFonts w:ascii="Arial" w:cs="Arial" w:eastAsia="Arial" w:hAnsi="Arial"/>
          <w:color w:val="333333"/>
          <w:sz w:val="22"/>
          <w:szCs w:val="22"/>
        </w:rPr>
        <w:t xml:space="preserve">Children with ASD consistently show elevated homocysteine and reduced methylation capacity</w:t>
      </w:r>
    </w:p>
    <w:p>
      <w:pPr>
        <w:pStyle w:val="ListParagraph"/>
        <w:numPr>
          <w:ilvl w:val="0"/>
          <w:numId w:val="3"/>
        </w:numPr>
        <w:spacing w:after="80"/>
      </w:pPr>
      <w:r>
        <w:rPr>
          <w:rFonts w:ascii="Arial" w:cs="Arial" w:eastAsia="Arial" w:hAnsi="Arial"/>
          <w:color w:val="333333"/>
          <w:sz w:val="22"/>
          <w:szCs w:val="22"/>
        </w:rPr>
        <w:t xml:space="preserve">Maternal folate supplementation before/during pregnancy reduces autism risk (Levine, 45,300 children)</w:t>
      </w:r>
    </w:p>
    <w:p>
      <w:pPr>
        <w:pStyle w:val="ListParagraph"/>
        <w:numPr>
          <w:ilvl w:val="0"/>
          <w:numId w:val="3"/>
        </w:numPr>
        <w:spacing w:after="80"/>
      </w:pPr>
      <w:r>
        <w:rPr>
          <w:rFonts w:ascii="Arial" w:cs="Arial" w:eastAsia="Arial" w:hAnsi="Arial"/>
          <w:color w:val="333333"/>
          <w:sz w:val="22"/>
          <w:szCs w:val="22"/>
        </w:rPr>
        <w:t xml:space="preserve">Dr. Richard Frye’s trials: folinic acid improved language/communication in ASD children with CFD</w:t>
      </w:r>
    </w:p>
    <w:p>
      <w:pPr>
        <w:pStyle w:val="ListParagraph"/>
        <w:numPr>
          <w:ilvl w:val="0"/>
          <w:numId w:val="3"/>
        </w:numPr>
        <w:spacing w:after="80"/>
      </w:pPr>
      <w:r>
        <w:rPr>
          <w:rFonts w:ascii="Arial" w:cs="Arial" w:eastAsia="Arial" w:hAnsi="Arial"/>
          <w:color w:val="333333"/>
          <w:sz w:val="22"/>
          <w:szCs w:val="22"/>
        </w:rPr>
        <w:t xml:space="preserve">Epigenetic disruption: reduced DNA methylation alters gene expression during neurodevelopment</w:t>
      </w:r>
    </w:p>
    <w:p>
      <w:r>
        <w:br w:type="page"/>
      </w:r>
    </w:p>
    <w:p>
      <w:pPr>
        <w:pStyle w:val="Heading2"/>
        <w:spacing w:after="160" w:before="280"/>
      </w:pPr>
      <w:r>
        <w:rPr>
          <w:rFonts w:ascii="Arial" w:cs="Arial" w:eastAsia="Arial" w:hAnsi="Arial"/>
          <w:b/>
          <w:bCs/>
          <w:color w:val="2E75B6"/>
          <w:sz w:val="26"/>
          <w:szCs w:val="26"/>
        </w:rPr>
        <w:t xml:space="preserve">1.6 Target 3: Anxiety, Depression &amp; Neuropsychiatric Disorders</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MTHFR impairment reduces SAMe production, which is required for synthesizing serotonin, dopamine, norepinephrine, and GABA. Simultaneously, the inhibitory neurotransmitter GABA drops while excitatory glutamate accumulates—creating a neurochemical environment of chronic overstimulation manifesting as anxiety, panic, insomnia, and racing thoughts.</w:t>
      </w:r>
    </w:p>
    <w:p>
      <w:pPr>
        <w:spacing w:after="150" w:line="312"/>
        <w:jc w:val="both"/>
      </w:pPr>
      <w:r>
        <w:rPr>
          <w:rFonts w:ascii="Arial" w:cs="Arial" w:eastAsia="Arial" w:hAnsi="Arial"/>
          <w:color w:val="333333"/>
          <w:sz w:val="22"/>
          <w:szCs w:val="22"/>
        </w:rPr>
        <w:t xml:space="preserve">The A1298C variant specifically impairs BH4 (tetrahydrobiopterin) recycling. BH4 is the cofactor for tryptophan hydroxylase (serotonin synthesis) and tyrosine hydroxylase (dopamine synthesis). Compound heterozygous individuals (C677T + A1298C) experience a dual hit: reduced folate/methylation (C677T) PLUS reduced neurotransmitter cofactor (A1298C).</w:t>
      </w:r>
    </w:p>
    <w:p>
      <w:pPr>
        <w:spacing w:after="120" w:before="200"/>
      </w:pPr>
      <w:r>
        <w:rPr>
          <w:rFonts w:ascii="Arial" w:cs="Arial" w:eastAsia="Arial" w:hAnsi="Arial"/>
          <w:b/>
          <w:bCs/>
          <w:color w:val="1B3A5C"/>
          <w:sz w:val="22"/>
          <w:szCs w:val="22"/>
        </w:rPr>
        <w:t xml:space="preserve">Key Evidence</w:t>
      </w:r>
    </w:p>
    <w:p>
      <w:pPr>
        <w:pStyle w:val="ListParagraph"/>
        <w:numPr>
          <w:ilvl w:val="0"/>
          <w:numId w:val="4"/>
        </w:numPr>
        <w:spacing w:after="80"/>
      </w:pPr>
      <w:r>
        <w:rPr>
          <w:rFonts w:ascii="Arial" w:cs="Arial" w:eastAsia="Arial" w:hAnsi="Arial"/>
          <w:color w:val="333333"/>
          <w:sz w:val="22"/>
          <w:szCs w:val="22"/>
        </w:rPr>
        <w:t xml:space="preserve">Translational Psychiatry review (Wan 2018): MTHFR polymorphism impacts schizophrenia, major depression, autism, bipolar disorder</w:t>
      </w:r>
    </w:p>
    <w:p>
      <w:pPr>
        <w:pStyle w:val="ListParagraph"/>
        <w:numPr>
          <w:ilvl w:val="0"/>
          <w:numId w:val="4"/>
        </w:numPr>
        <w:spacing w:after="80"/>
      </w:pPr>
      <w:r>
        <w:rPr>
          <w:rFonts w:ascii="Arial" w:cs="Arial" w:eastAsia="Arial" w:hAnsi="Arial"/>
          <w:color w:val="333333"/>
          <w:sz w:val="22"/>
          <w:szCs w:val="22"/>
        </w:rPr>
        <w:t xml:space="preserve">Published case report (Levin 2016, Integrative Medicine): 32-year-old compound heterozygous female (C677T + A1298C) with treatment-resistant anxiety—successfully treated with SAMe and methylated B vitamins</w:t>
      </w:r>
    </w:p>
    <w:p>
      <w:pPr>
        <w:pStyle w:val="ListParagraph"/>
        <w:numPr>
          <w:ilvl w:val="0"/>
          <w:numId w:val="4"/>
        </w:numPr>
        <w:spacing w:after="80"/>
      </w:pPr>
      <w:r>
        <w:rPr>
          <w:rFonts w:ascii="Arial" w:cs="Arial" w:eastAsia="Arial" w:hAnsi="Arial"/>
          <w:color w:val="333333"/>
          <w:sz w:val="22"/>
          <w:szCs w:val="22"/>
        </w:rPr>
        <w:t xml:space="preserve">MTHFR carriers with high Hcy show lower vitamin D, further impairing mood regulation</w:t>
      </w:r>
    </w:p>
    <w:p>
      <w:pPr>
        <w:pStyle w:val="ListParagraph"/>
        <w:numPr>
          <w:ilvl w:val="0"/>
          <w:numId w:val="4"/>
        </w:numPr>
        <w:spacing w:after="80"/>
      </w:pPr>
      <w:r>
        <w:rPr>
          <w:rFonts w:ascii="Arial" w:cs="Arial" w:eastAsia="Arial" w:hAnsi="Arial"/>
          <w:color w:val="333333"/>
          <w:sz w:val="22"/>
          <w:szCs w:val="22"/>
        </w:rPr>
        <w:t xml:space="preserve">Stress amplification loop: stress consumes methyl groups → depletes already-limited methylation → worsens anxiety → more stress. Gene correction would break this cycle permanently.</w:t>
      </w:r>
    </w:p>
    <w:p>
      <w:pPr>
        <w:pStyle w:val="Heading2"/>
        <w:spacing w:after="160" w:before="280"/>
      </w:pPr>
      <w:r>
        <w:rPr>
          <w:rFonts w:ascii="Arial" w:cs="Arial" w:eastAsia="Arial" w:hAnsi="Arial"/>
          <w:b/>
          <w:bCs/>
          <w:color w:val="2E75B6"/>
          <w:sz w:val="26"/>
          <w:szCs w:val="26"/>
        </w:rPr>
        <w:t xml:space="preserve">1.7 Target 4: B-Vitamin Metabolism Failure</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MTHFR doesn’t operate in isolation—it sits within a network of B-vitamin-dependent reactions. When it fails, the cascade spreads:</w:t>
      </w:r>
    </w:p>
    <w:p>
      <w:pPr>
        <w:pStyle w:val="ListParagraph"/>
        <w:numPr>
          <w:ilvl w:val="0"/>
          <w:numId w:val="5"/>
        </w:numPr>
        <w:spacing w:after="80"/>
      </w:pPr>
      <w:r>
        <w:rPr>
          <w:rFonts w:ascii="Arial" w:cs="Arial" w:eastAsia="Arial" w:hAnsi="Arial"/>
          <w:color w:val="333333"/>
          <w:sz w:val="22"/>
          <w:szCs w:val="22"/>
        </w:rPr>
        <w:t xml:space="preserve">B2 (Riboflavin): The C677T enzyme has reduced FAD (derived from B2) affinity. B2 deficiency further cripples the already-weak enzyme. Riboflavin supplementation lowers blood pressure in C677T hypertensives.</w:t>
      </w:r>
    </w:p>
    <w:p>
      <w:pPr>
        <w:pStyle w:val="ListParagraph"/>
        <w:numPr>
          <w:ilvl w:val="0"/>
          <w:numId w:val="5"/>
        </w:numPr>
        <w:spacing w:after="80"/>
      </w:pPr>
      <w:r>
        <w:rPr>
          <w:rFonts w:ascii="Arial" w:cs="Arial" w:eastAsia="Arial" w:hAnsi="Arial"/>
          <w:color w:val="333333"/>
          <w:sz w:val="22"/>
          <w:szCs w:val="22"/>
        </w:rPr>
        <w:t xml:space="preserve">B6 (Pyridoxine): Activation impaired when methylation is disrupted. Deficiency causes depression, neuropathy, irritability.</w:t>
      </w:r>
    </w:p>
    <w:p>
      <w:pPr>
        <w:pStyle w:val="ListParagraph"/>
        <w:numPr>
          <w:ilvl w:val="0"/>
          <w:numId w:val="5"/>
        </w:numPr>
        <w:spacing w:after="80"/>
      </w:pPr>
      <w:r>
        <w:rPr>
          <w:rFonts w:ascii="Arial" w:cs="Arial" w:eastAsia="Arial" w:hAnsi="Arial"/>
          <w:color w:val="333333"/>
          <w:sz w:val="22"/>
          <w:szCs w:val="22"/>
        </w:rPr>
        <w:t xml:space="preserve">B9 (Folate): DIRECT failure—cannot convert dietary folate to active 5-MTHF. The primary defect.</w:t>
      </w:r>
    </w:p>
    <w:p>
      <w:pPr>
        <w:pStyle w:val="ListParagraph"/>
        <w:numPr>
          <w:ilvl w:val="0"/>
          <w:numId w:val="5"/>
        </w:numPr>
        <w:spacing w:after="80"/>
      </w:pPr>
      <w:r>
        <w:rPr>
          <w:rFonts w:ascii="Arial" w:cs="Arial" w:eastAsia="Arial" w:hAnsi="Arial"/>
          <w:color w:val="333333"/>
          <w:sz w:val="22"/>
          <w:szCs w:val="22"/>
        </w:rPr>
        <w:t xml:space="preserve">B12 (Cobalamin): Gets “trapped” in inactive form because it needs 5-MTHF to participate in methionine synthase. Creates functional B12 deficiency even with normal blood levels—a diagnostic blind spot.</w:t>
      </w:r>
    </w:p>
    <w:p>
      <w:pPr>
        <w:pStyle w:val="Heading2"/>
        <w:spacing w:after="160" w:before="280"/>
      </w:pPr>
      <w:r>
        <w:rPr>
          <w:rFonts w:ascii="Arial" w:cs="Arial" w:eastAsia="Arial" w:hAnsi="Arial"/>
          <w:b/>
          <w:bCs/>
          <w:color w:val="2E75B6"/>
          <w:sz w:val="26"/>
          <w:szCs w:val="26"/>
        </w:rPr>
        <w:t xml:space="preserve">1.8 Target 5: Cardiovascular Disease</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Elevated homocysteine triggers endothelial dysfunction through oxidative damage. The same vascular injury occurring in the retina (Target 1) is happening throughout the body: coronary arteries (heart disease), cerebral vasculature (stroke), peripheral vessels (DVT), and placental vessels (pre-eclampsia, pregnancy complications). CVD is the world’s leading cause of death at 17.9 million deaths/year. The MTHFR C677T T-allele frequency correlates with cardiovascular mortality across populations.</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2: Author’s Genomic Profile — Living Proof-of-Concept</w:t>
      </w:r>
    </w:p>
    <w:p>
      <w:pPr>
        <w:spacing w:after="150" w:line="312"/>
        <w:jc w:val="both"/>
      </w:pPr>
      <w:r>
        <w:rPr>
          <w:rFonts w:ascii="Arial" w:cs="Arial" w:eastAsia="Arial" w:hAnsi="Arial"/>
          <w:color w:val="333333"/>
          <w:sz w:val="22"/>
          <w:szCs w:val="22"/>
        </w:rPr>
        <w:t xml:space="preserve">The following variants are confirmed from the author’s Genetic Genie (GenVue Discovery) Variant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200"/>
        <w:gridCol w:w="1100"/>
        <w:gridCol w:w="1560"/>
        <w:gridCol w:w="290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Gene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rsID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Zygosity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Classification</w:t>
            </w:r>
          </w:p>
        </w:tc>
        <w:tc>
          <w:tcPr>
            <w:tcW w:type="dxa" w:w="2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Targets Affected</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C677T (A222V)</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rs1801133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Clinically Significant</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All 5 targets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MTHFR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A1298C (E429A)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rs1801131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(TG)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Conflicting/Uncertain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Anxiety, neurotransmitters, B-vitamins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MTRR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I22M (c.66A&gt;G)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rs1801394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Likely Pathogenic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B12 metabolism, methylation</w:t>
            </w:r>
          </w:p>
        </w:tc>
      </w:tr>
    </w:tbl>
    <w:p>
      <w:pPr>
        <w:spacing w:after="120"/>
      </w:pPr>
    </w:p>
    <w:p>
      <w:pPr>
        <w:spacing w:after="150" w:line="312"/>
        <w:jc w:val="both"/>
      </w:pPr>
      <w:r>
        <w:t>This genomic profile shows compound heterozygous MTHFR status (C677T + A1298C) with a compounding MTRR variant affecting B12 metabolism. Together, these folate/methylation pathway variants drive the five disease targets described in this document.</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3: AlphaFold 3 Structural Modeling Protocol</w:t>
      </w:r>
    </w:p>
    <w:p>
      <w:pPr>
        <w:pStyle w:val="Heading2"/>
        <w:spacing w:after="160" w:before="280"/>
      </w:pPr>
      <w:r>
        <w:rPr>
          <w:rFonts w:ascii="Arial" w:cs="Arial" w:eastAsia="Arial" w:hAnsi="Arial"/>
          <w:b/>
          <w:bCs/>
          <w:color w:val="2E75B6"/>
          <w:sz w:val="26"/>
          <w:szCs w:val="26"/>
        </w:rPr>
        <w:t xml:space="preserve">3.1 What We’re Doing and Why</w:t>
      </w:r>
    </w:p>
    <w:p>
      <w:pPr>
        <w:spacing w:after="150" w:line="312"/>
        <w:jc w:val="both"/>
      </w:pPr>
      <w:r>
        <w:rPr>
          <w:rFonts w:ascii="Arial" w:cs="Arial" w:eastAsia="Arial" w:hAnsi="Arial"/>
          <w:color w:val="333333"/>
          <w:sz w:val="22"/>
          <w:szCs w:val="22"/>
        </w:rPr>
        <w:t xml:space="preserve">AlphaFold 3 (via AlphaFold Server) will predict the 3D structure of the MTHFR enzyme in its wild-type and variant forms, bound to its FAD cofactor. By comparing structures, we can visualize how the C677T and A1298C mutations destabilize the enzyme—providing molecular-level evidence for the white paper, investor presentations, and researcher outreach.</w:t>
      </w:r>
    </w:p>
    <w:p>
      <w:pPr>
        <w:spacing w:after="150" w:line="312"/>
        <w:jc w:val="both"/>
      </w:pPr>
      <w:r>
        <w:rPr>
          <w:rFonts w:ascii="Arial" w:cs="Arial" w:eastAsia="Arial" w:hAnsi="Arial"/>
          <w:color w:val="333333"/>
          <w:sz w:val="22"/>
          <w:szCs w:val="22"/>
        </w:rPr>
        <w:t xml:space="preserve">AlphaFold 3 can model protein + ligand (FAD) + substrate (folate) complexes in a single prediction, which the older AlphaFold 2 could not. Results come in 3–8 minutes per job. Each job produces 5 ranked structural predictions.</w:t>
      </w:r>
    </w:p>
    <w:p>
      <w:pPr>
        <w:pStyle w:val="Heading2"/>
        <w:spacing w:after="160" w:before="280"/>
      </w:pPr>
      <w:r>
        <w:rPr>
          <w:rFonts w:ascii="Arial" w:cs="Arial" w:eastAsia="Arial" w:hAnsi="Arial"/>
          <w:b/>
          <w:bCs/>
          <w:color w:val="2E75B6"/>
          <w:sz w:val="26"/>
          <w:szCs w:val="26"/>
        </w:rPr>
        <w:t xml:space="preserve">3.2 Prerequisites</w:t>
      </w:r>
    </w:p>
    <w:p>
      <w:pPr>
        <w:pStyle w:val="ListParagraph"/>
        <w:numPr>
          <w:ilvl w:val="0"/>
          <w:numId w:val="6"/>
        </w:numPr>
        <w:spacing w:after="80"/>
      </w:pPr>
      <w:r>
        <w:rPr>
          <w:rFonts w:ascii="Arial" w:cs="Arial" w:eastAsia="Arial" w:hAnsi="Arial"/>
          <w:color w:val="333333"/>
          <w:sz w:val="22"/>
          <w:szCs w:val="22"/>
        </w:rPr>
        <w:t xml:space="preserve">Google account (register free at alphafoldserver.com)</w:t>
      </w:r>
    </w:p>
    <w:p>
      <w:pPr>
        <w:pStyle w:val="ListParagraph"/>
        <w:numPr>
          <w:ilvl w:val="0"/>
          <w:numId w:val="6"/>
        </w:numPr>
        <w:spacing w:after="80"/>
      </w:pPr>
      <w:r>
        <w:rPr>
          <w:rFonts w:ascii="Arial" w:cs="Arial" w:eastAsia="Arial" w:hAnsi="Arial"/>
          <w:color w:val="333333"/>
          <w:sz w:val="22"/>
          <w:szCs w:val="22"/>
        </w:rPr>
        <w:t xml:space="preserve">Daily limit: 20 jobs/day (resets midnight BST)</w:t>
      </w:r>
    </w:p>
    <w:p>
      <w:pPr>
        <w:pStyle w:val="ListParagraph"/>
        <w:numPr>
          <w:ilvl w:val="0"/>
          <w:numId w:val="6"/>
        </w:numPr>
        <w:spacing w:after="80"/>
      </w:pPr>
      <w:r>
        <w:rPr>
          <w:rFonts w:ascii="Arial" w:cs="Arial" w:eastAsia="Arial" w:hAnsi="Arial"/>
          <w:color w:val="333333"/>
          <w:sz w:val="22"/>
          <w:szCs w:val="22"/>
        </w:rPr>
        <w:t xml:space="preserve">Install PyMOL (free educational version: pymol.org) or UCSF ChimeraX for viewing results</w:t>
      </w:r>
    </w:p>
    <w:p>
      <w:pPr>
        <w:pStyle w:val="ListParagraph"/>
        <w:numPr>
          <w:ilvl w:val="0"/>
          <w:numId w:val="6"/>
        </w:numPr>
        <w:spacing w:after="80"/>
      </w:pPr>
      <w:r>
        <w:rPr>
          <w:rFonts w:ascii="Arial" w:cs="Arial" w:eastAsia="Arial" w:hAnsi="Arial"/>
          <w:color w:val="333333"/>
          <w:sz w:val="22"/>
          <w:szCs w:val="22"/>
        </w:rPr>
        <w:t xml:space="preserve">Reference crystal structure: PDB 6FCX (human MTHFR homodimer, 2.5Å, Froese et al.)</w:t>
      </w:r>
    </w:p>
    <w:p>
      <w:pPr>
        <w:pStyle w:val="ListParagraph"/>
        <w:numPr>
          <w:ilvl w:val="0"/>
          <w:numId w:val="6"/>
        </w:numPr>
        <w:spacing w:after="80"/>
      </w:pPr>
      <w:r>
        <w:rPr>
          <w:rFonts w:ascii="Arial" w:cs="Arial" w:eastAsia="Arial" w:hAnsi="Arial"/>
          <w:color w:val="333333"/>
          <w:sz w:val="22"/>
          <w:szCs w:val="22"/>
        </w:rPr>
        <w:t xml:space="preserve">Token budget per job: 5,000 max (MTHFR dimer + FAD ≈ 1,350 tokens — well within limits)</w:t>
      </w:r>
    </w:p>
    <w:p>
      <w:pPr>
        <w:pStyle w:val="Heading2"/>
        <w:spacing w:after="160" w:before="280"/>
      </w:pPr>
      <w:r>
        <w:rPr>
          <w:rFonts w:ascii="Arial" w:cs="Arial" w:eastAsia="Arial" w:hAnsi="Arial"/>
          <w:b/>
          <w:bCs/>
          <w:color w:val="2E75B6"/>
          <w:sz w:val="26"/>
          <w:szCs w:val="26"/>
        </w:rPr>
        <w:t xml:space="preserve">3.3 Key Reference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UniProt ID</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P42898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Gene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MTHFR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Protein length</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656 amino acids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Quaternary structure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Homodimer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Cofactor</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FAD (flavin adenine dinucleotide)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CCD code for FAD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FAD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CCD code for folate substrate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THF or FOL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CCD code for SAM (allosteric inhibitor)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C677T mutation site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Position 222: Ala → Val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A1298C mutation site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Position 429: Glu → Ala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PDB reference structure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6FCX</w:t>
            </w:r>
          </w:p>
        </w:tc>
      </w:tr>
    </w:tbl>
    <w:p>
      <w:pPr>
        <w:spacing w:after="120"/>
      </w:pPr>
    </w:p>
    <w:p>
      <w:r>
        <w:br w:type="page"/>
      </w:r>
    </w:p>
    <w:p>
      <w:pPr>
        <w:pStyle w:val="Heading2"/>
        <w:spacing w:after="160" w:before="280"/>
      </w:pPr>
      <w:r>
        <w:rPr>
          <w:rFonts w:ascii="Arial" w:cs="Arial" w:eastAsia="Arial" w:hAnsi="Arial"/>
          <w:b/>
          <w:bCs/>
          <w:color w:val="2E75B6"/>
          <w:sz w:val="26"/>
          <w:szCs w:val="26"/>
        </w:rPr>
        <w:t xml:space="preserve">3.4 Complete Protein Sequences (FASTA Format)</w:t>
      </w:r>
    </w:p>
    <w:p>
      <w:pPr>
        <w:spacing w:after="150" w:line="312"/>
        <w:jc w:val="both"/>
      </w:pPr>
      <w:r>
        <w:rPr>
          <w:rFonts w:ascii="Arial" w:cs="Arial" w:eastAsia="Arial" w:hAnsi="Arial"/>
          <w:color w:val="333333"/>
          <w:sz w:val="22"/>
          <w:szCs w:val="22"/>
        </w:rPr>
        <w:t xml:space="preserve">Copy-paste these sequences EXACTLY into AlphaFold Server. Each sequence is 656 amino acids. Variant positions are annotated.</w:t>
      </w:r>
    </w:p>
    <w:p>
      <w:pPr>
        <w:spacing w:after="120" w:before="200"/>
      </w:pPr>
      <w:r>
        <w:rPr>
          <w:rFonts w:ascii="Arial" w:cs="Arial" w:eastAsia="Arial" w:hAnsi="Arial"/>
          <w:b/>
          <w:bCs/>
          <w:color w:val="1B3A5C"/>
          <w:sz w:val="22"/>
          <w:szCs w:val="22"/>
        </w:rPr>
        <w:t xml:space="preserve">SEQUENCE A: Wild-Type MTHFR (P42898)</w:t>
      </w:r>
    </w:p>
    <w:p>
      <w:pPr>
        <w:spacing w:after="150" w:line="312"/>
        <w:jc w:val="both"/>
      </w:pPr>
      <w:r>
        <w:rPr>
          <w:rFonts w:ascii="Arial" w:cs="Arial" w:eastAsia="Arial" w:hAnsi="Arial"/>
          <w:color w:val="333333"/>
          <w:sz w:val="22"/>
          <w:szCs w:val="22"/>
        </w:rPr>
        <w:t xml:space="preserve">Position 222 = A (Alanine) | Position 429 = E (Glutamate) | This is the normal, healthy enzyme.</w:t>
      </w:r>
    </w:p>
    <w:p>
      <w:pPr>
        <w:shd w:fill="F2F2F2" w:val="clear"/>
        <w:spacing w:after="20" w:before="80"/>
      </w:pPr>
      <w:r>
        <w:rPr>
          <w:rFonts w:ascii="Courier New" w:cs="Courier New" w:eastAsia="Courier New" w:hAnsi="Courier New"/>
          <w:b/>
          <w:bCs/>
          <w:color w:val="006600"/>
          <w:sz w:val="15"/>
          <w:szCs w:val="15"/>
        </w:rPr>
        <w:t xml:space="preserve">&gt;MTHFR_WILDTYPE | UniProt P42898 | 656aa | pos222=A, pos429=E</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NAIFFAQCTQFLDYLNFPQKTKKEIMDQIAFIHRPKVDDHFLEEFIDKLKIDKNNVDWLR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B: C677T Variant (Ala222Val)</w:t>
      </w:r>
    </w:p>
    <w:p>
      <w:pPr>
        <w:spacing w:after="150" w:line="312"/>
        <w:jc w:val="both"/>
      </w:pPr>
      <w:r>
        <w:rPr>
          <w:rFonts w:ascii="Arial" w:cs="Arial" w:eastAsia="Arial" w:hAnsi="Arial"/>
          <w:color w:val="333333"/>
          <w:sz w:val="22"/>
          <w:szCs w:val="22"/>
        </w:rPr>
        <w:t xml:space="preserve">Position 222 changed: A → V (Alanine to Valine). Destabilizes FAD cofactor binding in catalytic domain.</w:t>
      </w:r>
    </w:p>
    <w:p>
      <w:pPr>
        <w:shd w:fill="F2F2F2" w:val="clear"/>
        <w:spacing w:after="20" w:before="80"/>
      </w:pPr>
      <w:r>
        <w:rPr>
          <w:rFonts w:ascii="Courier New" w:cs="Courier New" w:eastAsia="Courier New" w:hAnsi="Courier New"/>
          <w:b/>
          <w:bCs/>
          <w:color w:val="006600"/>
          <w:sz w:val="15"/>
          <w:szCs w:val="15"/>
        </w:rPr>
        <w:t xml:space="preserve">&gt;MTHFR_C677T | A222V | pos222=V (MUTATED), pos429=E</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NAIFFAQCTQFLDYLNFPQKTKKEIMDQIAFIHRPKVDDHFLEEFIDKLKIDKNNVDWLR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C: A1298C Variant (Glu429Ala)</w:t>
      </w:r>
    </w:p>
    <w:p>
      <w:pPr>
        <w:spacing w:after="150" w:line="312"/>
        <w:jc w:val="both"/>
      </w:pPr>
      <w:r>
        <w:rPr>
          <w:rFonts w:ascii="Arial" w:cs="Arial" w:eastAsia="Arial" w:hAnsi="Arial"/>
          <w:color w:val="333333"/>
          <w:sz w:val="22"/>
          <w:szCs w:val="22"/>
        </w:rPr>
        <w:t xml:space="preserve">Position 429 changed: E → A (Glutamate to Alanine). Affects regulatory/SAM-binding domain and BH4 pathway.</w:t>
      </w:r>
    </w:p>
    <w:p>
      <w:pPr>
        <w:shd w:fill="F2F2F2" w:val="clear"/>
        <w:spacing w:after="20" w:before="80"/>
      </w:pPr>
      <w:r>
        <w:rPr>
          <w:rFonts w:ascii="Courier New" w:cs="Courier New" w:eastAsia="Courier New" w:hAnsi="Courier New"/>
          <w:b/>
          <w:bCs/>
          <w:color w:val="006600"/>
          <w:sz w:val="15"/>
          <w:szCs w:val="15"/>
        </w:rPr>
        <w:t xml:space="preserve">&gt;MTHFR_A1298C | E429A | pos222=A, pos429=A (MUTATED)</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NAIFFAQCAQFLDYLNFPQKTKKEIMDQIAFIHRPKVDDHFLEEFIDKLKIDKNNVDWLR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D: Compound Double-Mutant (A222V + E429A)</w:t>
      </w:r>
    </w:p>
    <w:p>
      <w:pPr>
        <w:spacing w:after="150" w:line="312"/>
        <w:jc w:val="both"/>
      </w:pPr>
      <w:r>
        <w:rPr>
          <w:rFonts w:ascii="Arial" w:cs="Arial" w:eastAsia="Arial" w:hAnsi="Arial"/>
          <w:color w:val="333333"/>
          <w:sz w:val="22"/>
          <w:szCs w:val="22"/>
        </w:rPr>
        <w:t xml:space="preserve">Both mutations in one chain. Use this with a wild-type chain to model the compound heterozygous dimer (the author’s actual genotype).</w:t>
      </w:r>
    </w:p>
    <w:p>
      <w:pPr>
        <w:shd w:fill="F2F2F2" w:val="clear"/>
        <w:spacing w:after="20" w:before="80"/>
      </w:pPr>
      <w:r>
        <w:rPr>
          <w:rFonts w:ascii="Courier New" w:cs="Courier New" w:eastAsia="Courier New" w:hAnsi="Courier New"/>
          <w:b/>
          <w:bCs/>
          <w:color w:val="006600"/>
          <w:sz w:val="15"/>
          <w:szCs w:val="15"/>
        </w:rPr>
        <w:t xml:space="preserve">&gt;MTHFR_COMPOUND | A222V+E429A | pos222=V, pos429=A (BOTH MUTATED)</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NAIFFAQCAQFLDYLNFPQKTKKEIMDQIAFIHRPKVDDHFLEEFIDKLKIDKNNVDWLR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r>
        <w:br w:type="page"/>
      </w:r>
    </w:p>
    <w:p>
      <w:pPr>
        <w:pStyle w:val="Heading2"/>
        <w:spacing w:after="160" w:before="280"/>
      </w:pPr>
      <w:r>
        <w:rPr>
          <w:rFonts w:ascii="Arial" w:cs="Arial" w:eastAsia="Arial" w:hAnsi="Arial"/>
          <w:b/>
          <w:bCs/>
          <w:color w:val="2E75B6"/>
          <w:sz w:val="26"/>
          <w:szCs w:val="26"/>
        </w:rPr>
        <w:t xml:space="preserve">3.5 AlphaFold Server Job Submission Plan</w:t>
      </w:r>
    </w:p>
    <w:p>
      <w:pPr>
        <w:spacing w:after="150" w:line="312"/>
        <w:jc w:val="both"/>
      </w:pPr>
      <w:r>
        <w:rPr>
          <w:rFonts w:ascii="Arial" w:cs="Arial" w:eastAsia="Arial" w:hAnsi="Arial"/>
          <w:color w:val="333333"/>
          <w:sz w:val="22"/>
          <w:szCs w:val="22"/>
        </w:rPr>
        <w:t xml:space="preserve">Submit in order. Each job uses 1 of your 20 daily quota. Seed set to “Auto” unless stated otherwise.</w:t>
      </w:r>
    </w:p>
    <w:p>
      <w:pPr>
        <w:spacing w:after="120" w:before="200"/>
      </w:pPr>
      <w:r>
        <w:rPr>
          <w:rFonts w:ascii="Arial" w:cs="Arial" w:eastAsia="Arial" w:hAnsi="Arial"/>
          <w:b/>
          <w:bCs/>
          <w:color w:val="1B3A5C"/>
          <w:sz w:val="22"/>
          <w:szCs w:val="22"/>
        </w:rPr>
        <w:t xml:space="preserve">DAY 1 — Core Comparisons (6 jobs)</w:t>
      </w:r>
    </w:p>
    <w:p>
      <w:pPr>
        <w:spacing w:after="150" w:line="312"/>
        <w:jc w:val="both"/>
      </w:pPr>
      <w:r>
        <w:rPr>
          <w:rFonts w:ascii="Arial" w:cs="Arial" w:eastAsia="Arial" w:hAnsi="Arial"/>
          <w:b/>
          <w:bCs/>
          <w:color w:val="2E75B6"/>
          <w:sz w:val="22"/>
          <w:szCs w:val="22"/>
        </w:rPr>
        <w:t xml:space="preserve">JOB 1: Wild-Type Monomer + FAD</w:t>
      </w:r>
    </w:p>
    <w:p>
      <w:pPr>
        <w:pStyle w:val="ListParagraph"/>
        <w:numPr>
          <w:ilvl w:val="0"/>
          <w:numId w:val="7"/>
        </w:numPr>
        <w:spacing w:after="80"/>
      </w:pPr>
      <w:r>
        <w:rPr>
          <w:rFonts w:ascii="Arial" w:cs="Arial" w:eastAsia="Arial" w:hAnsi="Arial"/>
          <w:color w:val="333333"/>
          <w:sz w:val="22"/>
          <w:szCs w:val="22"/>
        </w:rPr>
        <w:t xml:space="preserve">Entity 1: Protein → paste SEQUENCE A (wild-type), Copies = 1</w:t>
      </w:r>
    </w:p>
    <w:p>
      <w:pPr>
        <w:pStyle w:val="ListParagraph"/>
        <w:numPr>
          <w:ilvl w:val="0"/>
          <w:numId w:val="7"/>
        </w:numPr>
        <w:spacing w:after="80"/>
      </w:pPr>
      <w:r>
        <w:rPr>
          <w:rFonts w:ascii="Arial" w:cs="Arial" w:eastAsia="Arial" w:hAnsi="Arial"/>
          <w:color w:val="333333"/>
          <w:sz w:val="22"/>
          <w:szCs w:val="22"/>
        </w:rPr>
        <w:t xml:space="preserve">Entity 2: Ligand → select “FAD” from dropdown, Copies = 1</w:t>
      </w:r>
    </w:p>
    <w:p>
      <w:pPr>
        <w:pStyle w:val="ListParagraph"/>
        <w:numPr>
          <w:ilvl w:val="0"/>
          <w:numId w:val="7"/>
        </w:numPr>
        <w:spacing w:after="80"/>
      </w:pPr>
      <w:r>
        <w:rPr>
          <w:rFonts w:ascii="Arial" w:cs="Arial" w:eastAsia="Arial" w:hAnsi="Arial"/>
          <w:color w:val="333333"/>
          <w:sz w:val="22"/>
          <w:szCs w:val="22"/>
        </w:rPr>
        <w:t xml:space="preserve">Purpose: Baseline single-chain structure with cofactor</w:t>
      </w:r>
    </w:p>
    <w:p>
      <w:pPr>
        <w:spacing w:after="150" w:line="312"/>
        <w:jc w:val="both"/>
      </w:pPr>
      <w:r>
        <w:rPr>
          <w:rFonts w:ascii="Arial" w:cs="Arial" w:eastAsia="Arial" w:hAnsi="Arial"/>
          <w:b/>
          <w:bCs/>
          <w:color w:val="2E75B6"/>
          <w:sz w:val="22"/>
          <w:szCs w:val="22"/>
        </w:rPr>
        <w:t xml:space="preserve">JOB 2: Wild-Type Homodimer + FAD</w:t>
      </w:r>
    </w:p>
    <w:p>
      <w:pPr>
        <w:pStyle w:val="ListParagraph"/>
        <w:numPr>
          <w:ilvl w:val="0"/>
          <w:numId w:val="8"/>
        </w:numPr>
        <w:spacing w:after="80"/>
      </w:pPr>
      <w:r>
        <w:rPr>
          <w:rFonts w:ascii="Arial" w:cs="Arial" w:eastAsia="Arial" w:hAnsi="Arial"/>
          <w:color w:val="333333"/>
          <w:sz w:val="22"/>
          <w:szCs w:val="22"/>
        </w:rPr>
        <w:t xml:space="preserve">Entity 1: Protein → paste SEQUENCE A, Copies = 2</w:t>
      </w:r>
    </w:p>
    <w:p>
      <w:pPr>
        <w:pStyle w:val="ListParagraph"/>
        <w:numPr>
          <w:ilvl w:val="0"/>
          <w:numId w:val="8"/>
        </w:numPr>
        <w:spacing w:after="80"/>
      </w:pPr>
      <w:r>
        <w:rPr>
          <w:rFonts w:ascii="Arial" w:cs="Arial" w:eastAsia="Arial" w:hAnsi="Arial"/>
          <w:color w:val="333333"/>
          <w:sz w:val="22"/>
          <w:szCs w:val="22"/>
        </w:rPr>
        <w:t xml:space="preserve">Entity 2: Ligand → “FAD”, Copies = 2</w:t>
      </w:r>
    </w:p>
    <w:p>
      <w:pPr>
        <w:pStyle w:val="ListParagraph"/>
        <w:numPr>
          <w:ilvl w:val="0"/>
          <w:numId w:val="8"/>
        </w:numPr>
        <w:spacing w:after="80"/>
      </w:pPr>
      <w:r>
        <w:rPr>
          <w:rFonts w:ascii="Arial" w:cs="Arial" w:eastAsia="Arial" w:hAnsi="Arial"/>
          <w:color w:val="333333"/>
          <w:sz w:val="22"/>
          <w:szCs w:val="22"/>
        </w:rPr>
        <w:t xml:space="preserve">Purpose: Native functional dimer (how the enzyme works in vivo)</w:t>
      </w:r>
    </w:p>
    <w:p>
      <w:pPr>
        <w:spacing w:after="150" w:line="312"/>
        <w:jc w:val="both"/>
      </w:pPr>
      <w:r>
        <w:rPr>
          <w:rFonts w:ascii="Arial" w:cs="Arial" w:eastAsia="Arial" w:hAnsi="Arial"/>
          <w:b/>
          <w:bCs/>
          <w:color w:val="2E75B6"/>
          <w:sz w:val="22"/>
          <w:szCs w:val="22"/>
        </w:rPr>
        <w:t xml:space="preserve">JOB 3: C677T Variant Monomer + FAD</w:t>
      </w:r>
    </w:p>
    <w:p>
      <w:pPr>
        <w:pStyle w:val="ListParagraph"/>
        <w:numPr>
          <w:ilvl w:val="0"/>
          <w:numId w:val="9"/>
        </w:numPr>
        <w:spacing w:after="80"/>
      </w:pPr>
      <w:r>
        <w:rPr>
          <w:rFonts w:ascii="Arial" w:cs="Arial" w:eastAsia="Arial" w:hAnsi="Arial"/>
          <w:color w:val="333333"/>
          <w:sz w:val="22"/>
          <w:szCs w:val="22"/>
        </w:rPr>
        <w:t xml:space="preserve">Entity 1: Protein → paste SEQUENCE B (C677T), Copies = 1</w:t>
      </w:r>
    </w:p>
    <w:p>
      <w:pPr>
        <w:pStyle w:val="ListParagraph"/>
        <w:numPr>
          <w:ilvl w:val="0"/>
          <w:numId w:val="9"/>
        </w:numPr>
        <w:spacing w:after="80"/>
      </w:pPr>
      <w:r>
        <w:rPr>
          <w:rFonts w:ascii="Arial" w:cs="Arial" w:eastAsia="Arial" w:hAnsi="Arial"/>
          <w:color w:val="333333"/>
          <w:sz w:val="22"/>
          <w:szCs w:val="22"/>
        </w:rPr>
        <w:t xml:space="preserve">Entity 2: Ligand → “FAD”, Copies = 1</w:t>
      </w:r>
    </w:p>
    <w:p>
      <w:pPr>
        <w:pStyle w:val="ListParagraph"/>
        <w:numPr>
          <w:ilvl w:val="0"/>
          <w:numId w:val="9"/>
        </w:numPr>
        <w:spacing w:after="80"/>
      </w:pPr>
      <w:r>
        <w:rPr>
          <w:rFonts w:ascii="Arial" w:cs="Arial" w:eastAsia="Arial" w:hAnsi="Arial"/>
          <w:color w:val="333333"/>
          <w:sz w:val="22"/>
          <w:szCs w:val="22"/>
        </w:rPr>
        <w:t xml:space="preserve">Purpose: Visualize how A222V destabilizes FAD binding</w:t>
      </w:r>
    </w:p>
    <w:p>
      <w:pPr>
        <w:spacing w:after="150" w:line="312"/>
        <w:jc w:val="both"/>
      </w:pPr>
      <w:r>
        <w:rPr>
          <w:rFonts w:ascii="Arial" w:cs="Arial" w:eastAsia="Arial" w:hAnsi="Arial"/>
          <w:b/>
          <w:bCs/>
          <w:color w:val="2E75B6"/>
          <w:sz w:val="22"/>
          <w:szCs w:val="22"/>
        </w:rPr>
        <w:t xml:space="preserve">JOB 4: C677T Homodimer + FAD (TT genotype)</w:t>
      </w:r>
    </w:p>
    <w:p>
      <w:pPr>
        <w:pStyle w:val="ListParagraph"/>
        <w:numPr>
          <w:ilvl w:val="0"/>
          <w:numId w:val="10"/>
        </w:numPr>
        <w:spacing w:after="80"/>
      </w:pPr>
      <w:r>
        <w:rPr>
          <w:rFonts w:ascii="Arial" w:cs="Arial" w:eastAsia="Arial" w:hAnsi="Arial"/>
          <w:color w:val="333333"/>
          <w:sz w:val="22"/>
          <w:szCs w:val="22"/>
        </w:rPr>
        <w:t xml:space="preserve">Entity 1: Protein → paste SEQUENCE B, Copies = 2</w:t>
      </w:r>
    </w:p>
    <w:p>
      <w:pPr>
        <w:pStyle w:val="ListParagraph"/>
        <w:numPr>
          <w:ilvl w:val="0"/>
          <w:numId w:val="10"/>
        </w:numPr>
        <w:spacing w:after="80"/>
      </w:pPr>
      <w:r>
        <w:rPr>
          <w:rFonts w:ascii="Arial" w:cs="Arial" w:eastAsia="Arial" w:hAnsi="Arial"/>
          <w:color w:val="333333"/>
          <w:sz w:val="22"/>
          <w:szCs w:val="22"/>
        </w:rPr>
        <w:t xml:space="preserve">Entity 2: Ligand → “FAD”, Copies = 2</w:t>
      </w:r>
    </w:p>
    <w:p>
      <w:pPr>
        <w:pStyle w:val="ListParagraph"/>
        <w:numPr>
          <w:ilvl w:val="0"/>
          <w:numId w:val="10"/>
        </w:numPr>
        <w:spacing w:after="80"/>
      </w:pPr>
      <w:r>
        <w:rPr>
          <w:rFonts w:ascii="Arial" w:cs="Arial" w:eastAsia="Arial" w:hAnsi="Arial"/>
          <w:color w:val="333333"/>
          <w:sz w:val="22"/>
          <w:szCs w:val="22"/>
        </w:rPr>
        <w:t xml:space="preserve">Purpose: Models homozygous TT individuals (most severe)</w:t>
      </w:r>
    </w:p>
    <w:p>
      <w:pPr>
        <w:spacing w:after="150" w:line="312"/>
        <w:jc w:val="both"/>
      </w:pPr>
      <w:r>
        <w:rPr>
          <w:rFonts w:ascii="Arial" w:cs="Arial" w:eastAsia="Arial" w:hAnsi="Arial"/>
          <w:b/>
          <w:bCs/>
          <w:color w:val="2E75B6"/>
          <w:sz w:val="22"/>
          <w:szCs w:val="22"/>
        </w:rPr>
        <w:t xml:space="preserve">JOB 5: A1298C Variant Monomer + FAD</w:t>
      </w:r>
    </w:p>
    <w:p>
      <w:pPr>
        <w:pStyle w:val="ListParagraph"/>
        <w:numPr>
          <w:ilvl w:val="0"/>
          <w:numId w:val="11"/>
        </w:numPr>
        <w:spacing w:after="80"/>
      </w:pPr>
      <w:r>
        <w:rPr>
          <w:rFonts w:ascii="Arial" w:cs="Arial" w:eastAsia="Arial" w:hAnsi="Arial"/>
          <w:color w:val="333333"/>
          <w:sz w:val="22"/>
          <w:szCs w:val="22"/>
        </w:rPr>
        <w:t xml:space="preserve">Entity 1: Protein → paste SEQUENCE C (A1298C), Copies = 1</w:t>
      </w:r>
    </w:p>
    <w:p>
      <w:pPr>
        <w:pStyle w:val="ListParagraph"/>
        <w:numPr>
          <w:ilvl w:val="0"/>
          <w:numId w:val="11"/>
        </w:numPr>
        <w:spacing w:after="80"/>
      </w:pPr>
      <w:r>
        <w:rPr>
          <w:rFonts w:ascii="Arial" w:cs="Arial" w:eastAsia="Arial" w:hAnsi="Arial"/>
          <w:color w:val="333333"/>
          <w:sz w:val="22"/>
          <w:szCs w:val="22"/>
        </w:rPr>
        <w:t xml:space="preserve">Entity 2: Ligand → “FAD”, Copies = 1</w:t>
      </w:r>
    </w:p>
    <w:p>
      <w:pPr>
        <w:pStyle w:val="ListParagraph"/>
        <w:numPr>
          <w:ilvl w:val="0"/>
          <w:numId w:val="11"/>
        </w:numPr>
        <w:spacing w:after="80"/>
      </w:pPr>
      <w:r>
        <w:rPr>
          <w:rFonts w:ascii="Arial" w:cs="Arial" w:eastAsia="Arial" w:hAnsi="Arial"/>
          <w:color w:val="333333"/>
          <w:sz w:val="22"/>
          <w:szCs w:val="22"/>
        </w:rPr>
        <w:t xml:space="preserve">Purpose: Visualize E429A effect on regulatory domain</w:t>
      </w:r>
    </w:p>
    <w:p>
      <w:pPr>
        <w:spacing w:after="150" w:line="312"/>
        <w:jc w:val="both"/>
      </w:pPr>
      <w:r>
        <w:rPr>
          <w:rFonts w:ascii="Arial" w:cs="Arial" w:eastAsia="Arial" w:hAnsi="Arial"/>
          <w:b/>
          <w:bCs/>
          <w:color w:val="2D7D46"/>
          <w:sz w:val="22"/>
          <w:szCs w:val="22"/>
        </w:rPr>
        <w:t xml:space="preserve">JOB 6: COMPOUND HETEROZYGOUS DIMER — YOUR GENOTYPE</w:t>
      </w:r>
    </w:p>
    <w:p>
      <w:pPr>
        <w:pStyle w:val="ListParagraph"/>
        <w:numPr>
          <w:ilvl w:val="0"/>
          <w:numId w:val="12"/>
        </w:numPr>
        <w:spacing w:after="80"/>
      </w:pPr>
      <w:r>
        <w:rPr>
          <w:rFonts w:ascii="Arial" w:cs="Arial" w:eastAsia="Arial" w:hAnsi="Arial"/>
          <w:color w:val="333333"/>
          <w:sz w:val="22"/>
          <w:szCs w:val="22"/>
        </w:rPr>
        <w:t xml:space="preserve">Entity 1: Protein → paste SEQUENCE D (compound mutant), Copies = 1</w:t>
      </w:r>
    </w:p>
    <w:p>
      <w:pPr>
        <w:pStyle w:val="ListParagraph"/>
        <w:numPr>
          <w:ilvl w:val="0"/>
          <w:numId w:val="12"/>
        </w:numPr>
        <w:spacing w:after="80"/>
      </w:pPr>
      <w:r>
        <w:rPr>
          <w:rFonts w:ascii="Arial" w:cs="Arial" w:eastAsia="Arial" w:hAnsi="Arial"/>
          <w:color w:val="333333"/>
          <w:sz w:val="22"/>
          <w:szCs w:val="22"/>
        </w:rPr>
        <w:t xml:space="preserve">Entity 2: Protein → paste SEQUENCE A (wild-type), Copies = 1</w:t>
      </w:r>
    </w:p>
    <w:p>
      <w:pPr>
        <w:pStyle w:val="ListParagraph"/>
        <w:numPr>
          <w:ilvl w:val="0"/>
          <w:numId w:val="12"/>
        </w:numPr>
        <w:spacing w:after="80"/>
      </w:pPr>
      <w:r>
        <w:rPr>
          <w:rFonts w:ascii="Arial" w:cs="Arial" w:eastAsia="Arial" w:hAnsi="Arial"/>
          <w:color w:val="333333"/>
          <w:sz w:val="22"/>
          <w:szCs w:val="22"/>
        </w:rPr>
        <w:t xml:space="preserve">Entity 3: Ligand → “FAD”, Copies = 2</w:t>
      </w:r>
    </w:p>
    <w:p>
      <w:pPr>
        <w:pStyle w:val="ListParagraph"/>
        <w:numPr>
          <w:ilvl w:val="0"/>
          <w:numId w:val="12"/>
        </w:numPr>
        <w:spacing w:after="80"/>
      </w:pPr>
      <w:r>
        <w:rPr>
          <w:rFonts w:ascii="Arial" w:cs="Arial" w:eastAsia="Arial" w:hAnsi="Arial"/>
          <w:color w:val="333333"/>
          <w:sz w:val="22"/>
          <w:szCs w:val="22"/>
        </w:rPr>
        <w:t xml:space="preserve">Purpose: THIS MODELS YOUR ACTUAL ENZYME. One mutant chain + one WT chain as a heterodimer.</w:t>
      </w:r>
    </w:p>
    <w:p>
      <w:pPr>
        <w:spacing w:after="120" w:before="200"/>
      </w:pPr>
      <w:r>
        <w:rPr>
          <w:rFonts w:ascii="Arial" w:cs="Arial" w:eastAsia="Arial" w:hAnsi="Arial"/>
          <w:b/>
          <w:bCs/>
          <w:color w:val="1B3A5C"/>
          <w:sz w:val="22"/>
          <w:szCs w:val="22"/>
        </w:rPr>
        <w:t xml:space="preserve">DAY 2 — Replication Seeds (6 jobs)</w:t>
      </w:r>
    </w:p>
    <w:p>
      <w:pPr>
        <w:spacing w:after="150" w:line="312"/>
        <w:jc w:val="both"/>
      </w:pPr>
      <w:r>
        <w:rPr>
          <w:rFonts w:ascii="Arial" w:cs="Arial" w:eastAsia="Arial" w:hAnsi="Arial"/>
          <w:color w:val="333333"/>
          <w:sz w:val="22"/>
          <w:szCs w:val="22"/>
        </w:rPr>
        <w:t xml:space="preserve">Clone Jobs 1–6 using “Clone and reuse” button. Keep seed on “Auto.” This gives you 2 independent predictions per configuration. Pick the highest-ranked model (by ranking_score) from each pair.</w:t>
      </w:r>
    </w:p>
    <w:p>
      <w:pPr>
        <w:spacing w:after="120" w:before="200"/>
      </w:pPr>
      <w:r>
        <w:rPr>
          <w:rFonts w:ascii="Arial" w:cs="Arial" w:eastAsia="Arial" w:hAnsi="Arial"/>
          <w:b/>
          <w:bCs/>
          <w:color w:val="1B3A5C"/>
          <w:sz w:val="22"/>
          <w:szCs w:val="22"/>
        </w:rPr>
        <w:t xml:space="preserve">DAY 3 — Substrate &amp; Inhibitor Binding (4 jobs)</w:t>
      </w:r>
    </w:p>
    <w:p>
      <w:pPr>
        <w:spacing w:after="150" w:line="312"/>
        <w:jc w:val="both"/>
      </w:pPr>
      <w:r>
        <w:rPr>
          <w:rFonts w:ascii="Arial" w:cs="Arial" w:eastAsia="Arial" w:hAnsi="Arial"/>
          <w:b/>
          <w:bCs/>
          <w:color w:val="2E75B6"/>
          <w:sz w:val="22"/>
          <w:szCs w:val="22"/>
        </w:rPr>
        <w:t xml:space="preserve">JOB 13: WT Dimer + FAD + Folate Substrate</w:t>
      </w:r>
    </w:p>
    <w:p>
      <w:pPr>
        <w:pStyle w:val="ListParagraph"/>
        <w:numPr>
          <w:ilvl w:val="0"/>
          <w:numId w:val="13"/>
        </w:numPr>
        <w:spacing w:after="80"/>
      </w:pPr>
      <w:r>
        <w:rPr>
          <w:rFonts w:ascii="Arial" w:cs="Arial" w:eastAsia="Arial" w:hAnsi="Arial"/>
          <w:color w:val="333333"/>
          <w:sz w:val="22"/>
          <w:szCs w:val="22"/>
        </w:rPr>
        <w:t xml:space="preserve">Same as Job 2, add Entity: Ligand → “THF” (tetrahydrofolate), Copies = 2</w:t>
      </w:r>
    </w:p>
    <w:p>
      <w:pPr>
        <w:spacing w:after="150" w:line="312"/>
        <w:jc w:val="both"/>
      </w:pPr>
      <w:r>
        <w:rPr>
          <w:rFonts w:ascii="Arial" w:cs="Arial" w:eastAsia="Arial" w:hAnsi="Arial"/>
          <w:b/>
          <w:bCs/>
          <w:color w:val="2E75B6"/>
          <w:sz w:val="22"/>
          <w:szCs w:val="22"/>
        </w:rPr>
        <w:t xml:space="preserve">JOB 14: C677T Dimer + FAD + Folate Substrate</w:t>
      </w:r>
    </w:p>
    <w:p>
      <w:pPr>
        <w:pStyle w:val="ListParagraph"/>
        <w:numPr>
          <w:ilvl w:val="0"/>
          <w:numId w:val="14"/>
        </w:numPr>
        <w:spacing w:after="80"/>
      </w:pPr>
      <w:r>
        <w:rPr>
          <w:rFonts w:ascii="Arial" w:cs="Arial" w:eastAsia="Arial" w:hAnsi="Arial"/>
          <w:color w:val="333333"/>
          <w:sz w:val="22"/>
          <w:szCs w:val="22"/>
        </w:rPr>
        <w:t xml:space="preserve">Same as Job 4, add “THF”, Copies = 2</w:t>
      </w:r>
    </w:p>
    <w:p>
      <w:pPr>
        <w:spacing w:after="150" w:line="312"/>
        <w:jc w:val="both"/>
      </w:pPr>
      <w:r>
        <w:rPr>
          <w:rFonts w:ascii="Arial" w:cs="Arial" w:eastAsia="Arial" w:hAnsi="Arial"/>
          <w:b/>
          <w:bCs/>
          <w:color w:val="2D7D46"/>
          <w:sz w:val="22"/>
          <w:szCs w:val="22"/>
        </w:rPr>
        <w:t xml:space="preserve">JOB 15: Compound Dimer + FAD + Folate</w:t>
      </w:r>
    </w:p>
    <w:p>
      <w:pPr>
        <w:pStyle w:val="ListParagraph"/>
        <w:numPr>
          <w:ilvl w:val="0"/>
          <w:numId w:val="15"/>
        </w:numPr>
        <w:spacing w:after="80"/>
      </w:pPr>
      <w:r>
        <w:rPr>
          <w:rFonts w:ascii="Arial" w:cs="Arial" w:eastAsia="Arial" w:hAnsi="Arial"/>
          <w:color w:val="333333"/>
          <w:sz w:val="22"/>
          <w:szCs w:val="22"/>
        </w:rPr>
        <w:t xml:space="preserve">Same as Job 6, add “THF”, Copies = 2</w:t>
      </w:r>
    </w:p>
    <w:p>
      <w:pPr>
        <w:spacing w:after="150" w:line="312"/>
        <w:jc w:val="both"/>
      </w:pPr>
      <w:r>
        <w:rPr>
          <w:rFonts w:ascii="Arial" w:cs="Arial" w:eastAsia="Arial" w:hAnsi="Arial"/>
          <w:b/>
          <w:bCs/>
          <w:color w:val="2E75B6"/>
          <w:sz w:val="22"/>
          <w:szCs w:val="22"/>
        </w:rPr>
        <w:t xml:space="preserve">JOB 16: WT Dimer + FAD + SAM (allosteric inhibitor)</w:t>
      </w:r>
    </w:p>
    <w:p>
      <w:pPr>
        <w:pStyle w:val="ListParagraph"/>
        <w:numPr>
          <w:ilvl w:val="0"/>
          <w:numId w:val="16"/>
        </w:numPr>
        <w:spacing w:after="80"/>
      </w:pPr>
      <w:r>
        <w:rPr>
          <w:rFonts w:ascii="Arial" w:cs="Arial" w:eastAsia="Arial" w:hAnsi="Arial"/>
          <w:color w:val="333333"/>
          <w:sz w:val="22"/>
          <w:szCs w:val="22"/>
        </w:rPr>
        <w:t xml:space="preserve">Same as Job 2, add Entity: Ligand → “SAM”, Copies = 2</w:t>
      </w:r>
    </w:p>
    <w:p>
      <w:pPr>
        <w:pStyle w:val="ListParagraph"/>
        <w:numPr>
          <w:ilvl w:val="0"/>
          <w:numId w:val="16"/>
        </w:numPr>
        <w:spacing w:after="80"/>
      </w:pPr>
      <w:r>
        <w:rPr>
          <w:rFonts w:ascii="Arial" w:cs="Arial" w:eastAsia="Arial" w:hAnsi="Arial"/>
          <w:color w:val="333333"/>
          <w:sz w:val="22"/>
          <w:szCs w:val="22"/>
        </w:rPr>
        <w:t xml:space="preserve">Purpose: Model allosteric regulation by SAM</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4: Analysis Workflow</w:t>
      </w:r>
    </w:p>
    <w:p>
      <w:pPr>
        <w:pStyle w:val="Heading2"/>
        <w:spacing w:after="160" w:before="280"/>
      </w:pPr>
      <w:r>
        <w:rPr>
          <w:rFonts w:ascii="Arial" w:cs="Arial" w:eastAsia="Arial" w:hAnsi="Arial"/>
          <w:b/>
          <w:bCs/>
          <w:color w:val="2E75B6"/>
          <w:sz w:val="26"/>
          <w:szCs w:val="26"/>
        </w:rPr>
        <w:t xml:space="preserve">4.1 Download and Organize</w:t>
      </w:r>
    </w:p>
    <w:p>
      <w:pPr>
        <w:pStyle w:val="ListParagraph"/>
        <w:numPr>
          <w:ilvl w:val="0"/>
          <w:numId w:val="17"/>
        </w:numPr>
        <w:spacing w:after="80"/>
      </w:pPr>
      <w:r>
        <w:rPr>
          <w:rFonts w:ascii="Arial" w:cs="Arial" w:eastAsia="Arial" w:hAnsi="Arial"/>
          <w:color w:val="333333"/>
          <w:sz w:val="22"/>
          <w:szCs w:val="22"/>
        </w:rPr>
        <w:t xml:space="preserve">Click each completed job in AlphaFold Server History</w:t>
      </w:r>
    </w:p>
    <w:p>
      <w:pPr>
        <w:pStyle w:val="ListParagraph"/>
        <w:numPr>
          <w:ilvl w:val="0"/>
          <w:numId w:val="17"/>
        </w:numPr>
        <w:spacing w:after="80"/>
      </w:pPr>
      <w:r>
        <w:rPr>
          <w:rFonts w:ascii="Arial" w:cs="Arial" w:eastAsia="Arial" w:hAnsi="Arial"/>
          <w:color w:val="333333"/>
          <w:sz w:val="22"/>
          <w:szCs w:val="22"/>
        </w:rPr>
        <w:t xml:space="preserve">Click “Download” to get ZIP file</w:t>
      </w:r>
    </w:p>
    <w:p>
      <w:pPr>
        <w:pStyle w:val="ListParagraph"/>
        <w:numPr>
          <w:ilvl w:val="0"/>
          <w:numId w:val="17"/>
        </w:numPr>
        <w:spacing w:after="80"/>
      </w:pPr>
      <w:r>
        <w:rPr>
          <w:rFonts w:ascii="Arial" w:cs="Arial" w:eastAsia="Arial" w:hAnsi="Arial"/>
          <w:color w:val="333333"/>
          <w:sz w:val="22"/>
          <w:szCs w:val="22"/>
        </w:rPr>
        <w:t xml:space="preserve">Create folder: /MTHFR_Project/Job01_WT_mono/, Job02_WT_dimer/, etc.</w:t>
      </w:r>
    </w:p>
    <w:p>
      <w:pPr>
        <w:pStyle w:val="ListParagraph"/>
        <w:numPr>
          <w:ilvl w:val="0"/>
          <w:numId w:val="17"/>
        </w:numPr>
        <w:spacing w:after="80"/>
      </w:pPr>
      <w:r>
        <w:rPr>
          <w:rFonts w:ascii="Arial" w:cs="Arial" w:eastAsia="Arial" w:hAnsi="Arial"/>
          <w:color w:val="333333"/>
          <w:sz w:val="22"/>
          <w:szCs w:val="22"/>
        </w:rPr>
        <w:t xml:space="preserve">Extract each ZIP. Contents: 5 .cif files (structures ranked 0–4), 5 summary JSON, 5 full_data JSON, 1 job_request JSON</w:t>
      </w:r>
    </w:p>
    <w:p>
      <w:pPr>
        <w:pStyle w:val="Heading2"/>
        <w:spacing w:after="160" w:before="280"/>
      </w:pPr>
      <w:r>
        <w:rPr>
          <w:rFonts w:ascii="Arial" w:cs="Arial" w:eastAsia="Arial" w:hAnsi="Arial"/>
          <w:b/>
          <w:bCs/>
          <w:color w:val="2E75B6"/>
          <w:sz w:val="26"/>
          <w:szCs w:val="26"/>
        </w:rPr>
        <w:t xml:space="preserve">4.2 Metrics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Measures</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to Look For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pTM</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Overall structure accuracy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Should be &gt;0.7. Compare WT vs variants.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ipTM</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Interface accuracy (protein-FAD)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LOWER in variants = weaker cofactor binding. This is your KEY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chain_iptm</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Per-chain FAD confidence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The FAD chain’s score directly measures binding confidence.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pLDDT at pos 222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Local confidence at C677T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Compare WT (Ala) vs C677T (Val) atom-level confidence.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pLDDT at pos 429</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Local confidence at A1298C site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Compare WT (Glu) vs A1298C (Ala).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PAE plot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Relative position confidence map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Blue = confident. Look for changes at FAD-protein interface.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ranking_score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Combined quality metric</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Use to pick best model from each pair of replicate runs.</w:t>
            </w:r>
          </w:p>
        </w:tc>
      </w:tr>
    </w:tbl>
    <w:p>
      <w:pPr>
        <w:spacing w:after="120"/>
      </w:pPr>
    </w:p>
    <w:p>
      <w:pPr>
        <w:pStyle w:val="Heading2"/>
        <w:spacing w:after="160" w:before="280"/>
      </w:pPr>
      <w:r>
        <w:rPr>
          <w:rFonts w:ascii="Arial" w:cs="Arial" w:eastAsia="Arial" w:hAnsi="Arial"/>
          <w:b/>
          <w:bCs/>
          <w:color w:val="2E75B6"/>
          <w:sz w:val="26"/>
          <w:szCs w:val="26"/>
        </w:rPr>
        <w:t xml:space="preserve">4.3 PyMOL Visualization — Step by Step</w:t>
      </w:r>
    </w:p>
    <w:p>
      <w:pPr>
        <w:pStyle w:val="ListParagraph"/>
        <w:numPr>
          <w:ilvl w:val="0"/>
          <w:numId w:val="18"/>
        </w:numPr>
        <w:spacing w:after="80"/>
      </w:pPr>
      <w:r>
        <w:rPr>
          <w:rFonts w:ascii="Arial" w:cs="Arial" w:eastAsia="Arial" w:hAnsi="Arial"/>
          <w:color w:val="333333"/>
          <w:sz w:val="22"/>
          <w:szCs w:val="22"/>
        </w:rPr>
        <w:t xml:space="preserve">Open PyMOL. File → Open → select fold_*_model_0.cif (rank 0 = best)</w:t>
      </w:r>
    </w:p>
    <w:p>
      <w:pPr>
        <w:pStyle w:val="ListParagraph"/>
        <w:numPr>
          <w:ilvl w:val="0"/>
          <w:numId w:val="18"/>
        </w:numPr>
        <w:spacing w:after="80"/>
      </w:pPr>
      <w:r>
        <w:rPr>
          <w:rFonts w:ascii="Arial" w:cs="Arial" w:eastAsia="Arial" w:hAnsi="Arial"/>
          <w:color w:val="333333"/>
          <w:sz w:val="22"/>
          <w:szCs w:val="22"/>
        </w:rPr>
        <w:t xml:space="preserve">Color by confidence: spectrum b, minimum=0, maximum=100</w:t>
      </w:r>
    </w:p>
    <w:p>
      <w:pPr>
        <w:pStyle w:val="ListParagraph"/>
        <w:numPr>
          <w:ilvl w:val="0"/>
          <w:numId w:val="18"/>
        </w:numPr>
        <w:spacing w:after="80"/>
      </w:pPr>
      <w:r>
        <w:rPr>
          <w:rFonts w:ascii="Arial" w:cs="Arial" w:eastAsia="Arial" w:hAnsi="Arial"/>
          <w:color w:val="333333"/>
          <w:sz w:val="22"/>
          <w:szCs w:val="22"/>
        </w:rPr>
        <w:t xml:space="preserve">Zoom to position 222: select resi 222 then cmd: zoom sele</w:t>
      </w:r>
    </w:p>
    <w:p>
      <w:pPr>
        <w:pStyle w:val="ListParagraph"/>
        <w:numPr>
          <w:ilvl w:val="0"/>
          <w:numId w:val="18"/>
        </w:numPr>
        <w:spacing w:after="80"/>
      </w:pPr>
      <w:r>
        <w:rPr>
          <w:rFonts w:ascii="Arial" w:cs="Arial" w:eastAsia="Arial" w:hAnsi="Arial"/>
          <w:color w:val="333333"/>
          <w:sz w:val="22"/>
          <w:szCs w:val="22"/>
        </w:rPr>
        <w:t xml:space="preserve">Show sticks for residue + FAD: show sticks, resi 222 or resn FAD</w:t>
      </w:r>
    </w:p>
    <w:p>
      <w:pPr>
        <w:pStyle w:val="ListParagraph"/>
        <w:numPr>
          <w:ilvl w:val="0"/>
          <w:numId w:val="18"/>
        </w:numPr>
        <w:spacing w:after="80"/>
      </w:pPr>
      <w:r>
        <w:rPr>
          <w:rFonts w:ascii="Arial" w:cs="Arial" w:eastAsia="Arial" w:hAnsi="Arial"/>
          <w:color w:val="333333"/>
          <w:sz w:val="22"/>
          <w:szCs w:val="22"/>
        </w:rPr>
        <w:t xml:space="preserve">Measure distance: Wizard → Measurement → click atoms to measure FAD-to-residue distances</w:t>
      </w:r>
    </w:p>
    <w:p>
      <w:pPr>
        <w:pStyle w:val="ListParagraph"/>
        <w:numPr>
          <w:ilvl w:val="0"/>
          <w:numId w:val="18"/>
        </w:numPr>
        <w:spacing w:after="80"/>
      </w:pPr>
      <w:r>
        <w:rPr>
          <w:rFonts w:ascii="Arial" w:cs="Arial" w:eastAsia="Arial" w:hAnsi="Arial"/>
          <w:color w:val="333333"/>
          <w:sz w:val="22"/>
          <w:szCs w:val="22"/>
        </w:rPr>
        <w:t xml:space="preserve">Screenshot: ray 2400, 1800 then png filename.png</w:t>
      </w:r>
    </w:p>
    <w:p>
      <w:pPr>
        <w:pStyle w:val="ListParagraph"/>
        <w:numPr>
          <w:ilvl w:val="0"/>
          <w:numId w:val="18"/>
        </w:numPr>
        <w:spacing w:after="80"/>
      </w:pPr>
      <w:r>
        <w:rPr>
          <w:rFonts w:ascii="Arial" w:cs="Arial" w:eastAsia="Arial" w:hAnsi="Arial"/>
          <w:color w:val="333333"/>
          <w:sz w:val="22"/>
          <w:szCs w:val="22"/>
        </w:rPr>
        <w:t xml:space="preserve">Superimpose WT and variant: load both, then: align C677T_model, WT_model</w:t>
      </w:r>
    </w:p>
    <w:p>
      <w:pPr>
        <w:pStyle w:val="ListParagraph"/>
        <w:numPr>
          <w:ilvl w:val="0"/>
          <w:numId w:val="18"/>
        </w:numPr>
        <w:spacing w:after="80"/>
      </w:pPr>
      <w:r>
        <w:rPr>
          <w:rFonts w:ascii="Arial" w:cs="Arial" w:eastAsia="Arial" w:hAnsi="Arial"/>
          <w:color w:val="333333"/>
          <w:sz w:val="22"/>
          <w:szCs w:val="22"/>
        </w:rPr>
        <w:t xml:space="preserve">Create side-by-side figures for all comparisons</w:t>
      </w:r>
    </w:p>
    <w:p>
      <w:pPr>
        <w:pStyle w:val="Heading2"/>
        <w:spacing w:after="160" w:before="280"/>
      </w:pPr>
      <w:r>
        <w:rPr>
          <w:rFonts w:ascii="Arial" w:cs="Arial" w:eastAsia="Arial" w:hAnsi="Arial"/>
          <w:b/>
          <w:bCs/>
          <w:color w:val="2E75B6"/>
          <w:sz w:val="26"/>
          <w:szCs w:val="26"/>
        </w:rPr>
        <w:t xml:space="preserve">4.4 What to Document for Publication / Pitch</w:t>
      </w:r>
    </w:p>
    <w:p>
      <w:pPr>
        <w:pStyle w:val="ListParagraph"/>
        <w:numPr>
          <w:ilvl w:val="0"/>
          <w:numId w:val="19"/>
        </w:numPr>
        <w:spacing w:after="80"/>
      </w:pPr>
      <w:r>
        <w:rPr>
          <w:rFonts w:ascii="Arial" w:cs="Arial" w:eastAsia="Arial" w:hAnsi="Arial"/>
          <w:color w:val="333333"/>
          <w:sz w:val="22"/>
          <w:szCs w:val="22"/>
        </w:rPr>
        <w:t xml:space="preserve">Table of pTM, ipTM, chain_iptm scores for ALL 16 jobs</w:t>
      </w:r>
    </w:p>
    <w:p>
      <w:pPr>
        <w:pStyle w:val="ListParagraph"/>
        <w:numPr>
          <w:ilvl w:val="0"/>
          <w:numId w:val="19"/>
        </w:numPr>
        <w:spacing w:after="80"/>
      </w:pPr>
      <w:r>
        <w:rPr>
          <w:rFonts w:ascii="Arial" w:cs="Arial" w:eastAsia="Arial" w:hAnsi="Arial"/>
          <w:color w:val="333333"/>
          <w:sz w:val="22"/>
          <w:szCs w:val="22"/>
        </w:rPr>
        <w:t xml:space="preserve">Side-by-side PyMOL images: position 222 (WT vs C677T)</w:t>
      </w:r>
    </w:p>
    <w:p>
      <w:pPr>
        <w:pStyle w:val="ListParagraph"/>
        <w:numPr>
          <w:ilvl w:val="0"/>
          <w:numId w:val="19"/>
        </w:numPr>
        <w:spacing w:after="80"/>
      </w:pPr>
      <w:r>
        <w:rPr>
          <w:rFonts w:ascii="Arial" w:cs="Arial" w:eastAsia="Arial" w:hAnsi="Arial"/>
          <w:color w:val="333333"/>
          <w:sz w:val="22"/>
          <w:szCs w:val="22"/>
        </w:rPr>
        <w:t xml:space="preserve">Side-by-side PyMOL images: position 429 (WT vs A1298C)</w:t>
      </w:r>
    </w:p>
    <w:p>
      <w:pPr>
        <w:pStyle w:val="ListParagraph"/>
        <w:numPr>
          <w:ilvl w:val="0"/>
          <w:numId w:val="19"/>
        </w:numPr>
        <w:spacing w:after="80"/>
      </w:pPr>
      <w:r>
        <w:rPr>
          <w:rFonts w:ascii="Arial" w:cs="Arial" w:eastAsia="Arial" w:hAnsi="Arial"/>
          <w:color w:val="333333"/>
          <w:sz w:val="22"/>
          <w:szCs w:val="22"/>
        </w:rPr>
        <w:t xml:space="preserve">PAE plot comparisons showing FAD interface changes</w:t>
      </w:r>
    </w:p>
    <w:p>
      <w:pPr>
        <w:pStyle w:val="ListParagraph"/>
        <w:numPr>
          <w:ilvl w:val="0"/>
          <w:numId w:val="19"/>
        </w:numPr>
        <w:spacing w:after="80"/>
      </w:pPr>
      <w:r>
        <w:rPr>
          <w:rFonts w:ascii="Arial" w:cs="Arial" w:eastAsia="Arial" w:hAnsi="Arial"/>
          <w:color w:val="333333"/>
          <w:sz w:val="22"/>
          <w:szCs w:val="22"/>
        </w:rPr>
        <w:t xml:space="preserve">FAD-to-protein distance measurements at active site</w:t>
      </w:r>
    </w:p>
    <w:p>
      <w:pPr>
        <w:pStyle w:val="ListParagraph"/>
        <w:numPr>
          <w:ilvl w:val="0"/>
          <w:numId w:val="19"/>
        </w:numPr>
        <w:spacing w:after="80"/>
      </w:pPr>
      <w:r>
        <w:rPr>
          <w:rFonts w:ascii="Arial" w:cs="Arial" w:eastAsia="Arial" w:hAnsi="Arial"/>
          <w:color w:val="333333"/>
          <w:sz w:val="22"/>
          <w:szCs w:val="22"/>
        </w:rPr>
        <w:t xml:space="preserve">Written finding: “The C677T variant showed [X] reduction in ipTM at the FAD interface, consistent with known thermolability.”</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5: Researcher Outreach &amp; Collaboration Plan</w:t>
      </w:r>
    </w:p>
    <w:p>
      <w:pPr>
        <w:pStyle w:val="Heading2"/>
        <w:spacing w:after="160" w:before="280"/>
      </w:pPr>
      <w:r>
        <w:rPr>
          <w:rFonts w:ascii="Arial" w:cs="Arial" w:eastAsia="Arial" w:hAnsi="Arial"/>
          <w:b/>
          <w:bCs/>
          <w:color w:val="2E75B6"/>
          <w:sz w:val="26"/>
          <w:szCs w:val="26"/>
        </w:rPr>
        <w:t xml:space="preserve">5.1 Target Researchers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60"/>
        <w:gridCol w:w="3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Researcher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Institution</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Expertise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#1 Priority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Sylvia Smith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Augusta University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 + retinal degeneration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Published the Mthfr+/− mouse retina papers. THE world expert on your exact thesis.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 Richard Frye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Phoenix Children’s Hospital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Folate metabolism + ASD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Leading autism/CFD researcher. Clinical folinic acid trials in ASD children.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D. Sean Froese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 of Zurich</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 crystal structure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Solved PDB 6FCX. Can validate AlphaFold predictions against experimental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 Kiran Musunuru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 of Pennsylvania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CRISPR base editing in vivo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Pioneer of LNP-delivered base editing. Connected to FDA framework.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David Liu</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Broad Institute / Harvard</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Invented base editors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Created the ABE/CBE technology this project would use.</w:t>
            </w:r>
          </w:p>
        </w:tc>
      </w:tr>
    </w:tbl>
    <w:p>
      <w:pPr>
        <w:spacing w:after="120"/>
      </w:pPr>
    </w:p>
    <w:p>
      <w:pPr>
        <w:pStyle w:val="Heading2"/>
        <w:spacing w:after="160" w:before="280"/>
      </w:pPr>
      <w:r>
        <w:rPr>
          <w:rFonts w:ascii="Arial" w:cs="Arial" w:eastAsia="Arial" w:hAnsi="Arial"/>
          <w:b/>
          <w:bCs/>
          <w:color w:val="2E75B6"/>
          <w:sz w:val="26"/>
          <w:szCs w:val="26"/>
        </w:rPr>
        <w:t xml:space="preserve">5.2 What to Send</w:t>
      </w:r>
    </w:p>
    <w:p>
      <w:pPr>
        <w:pStyle w:val="ListParagraph"/>
        <w:numPr>
          <w:ilvl w:val="0"/>
          <w:numId w:val="20"/>
        </w:numPr>
        <w:spacing w:after="80"/>
      </w:pPr>
      <w:r>
        <w:rPr>
          <w:rFonts w:ascii="Arial" w:cs="Arial" w:eastAsia="Arial" w:hAnsi="Arial"/>
          <w:color w:val="333333"/>
          <w:sz w:val="22"/>
          <w:szCs w:val="22"/>
        </w:rPr>
        <w:t xml:space="preserve">This document (the Definitive Master Document)</w:t>
      </w:r>
    </w:p>
    <w:p>
      <w:pPr>
        <w:pStyle w:val="ListParagraph"/>
        <w:numPr>
          <w:ilvl w:val="0"/>
          <w:numId w:val="20"/>
        </w:numPr>
        <w:spacing w:after="80"/>
      </w:pPr>
      <w:r>
        <w:rPr>
          <w:rFonts w:ascii="Arial" w:cs="Arial" w:eastAsia="Arial" w:hAnsi="Arial"/>
          <w:color w:val="333333"/>
          <w:sz w:val="22"/>
          <w:szCs w:val="22"/>
        </w:rPr>
        <w:t xml:space="preserve">AlphaFold structural comparison figures (PNG exports from PyMOL)</w:t>
      </w:r>
    </w:p>
    <w:p>
      <w:pPr>
        <w:pStyle w:val="ListParagraph"/>
        <w:numPr>
          <w:ilvl w:val="0"/>
          <w:numId w:val="20"/>
        </w:numPr>
        <w:spacing w:after="80"/>
      </w:pPr>
      <w:r>
        <w:rPr>
          <w:rFonts w:ascii="Arial" w:cs="Arial" w:eastAsia="Arial" w:hAnsi="Arial"/>
          <w:color w:val="333333"/>
          <w:sz w:val="22"/>
          <w:szCs w:val="22"/>
        </w:rPr>
        <w:t xml:space="preserve">A 1-page executive summary of the commercial opportunity</w:t>
      </w:r>
    </w:p>
    <w:p>
      <w:pPr>
        <w:pStyle w:val="ListParagraph"/>
        <w:numPr>
          <w:ilvl w:val="0"/>
          <w:numId w:val="20"/>
        </w:numPr>
        <w:spacing w:after="80"/>
      </w:pPr>
      <w:r>
        <w:rPr>
          <w:rFonts w:ascii="Arial" w:cs="Arial" w:eastAsia="Arial" w:hAnsi="Arial"/>
          <w:color w:val="333333"/>
          <w:sz w:val="22"/>
          <w:szCs w:val="22"/>
        </w:rPr>
        <w:t xml:space="preserve">Your Genetic Genie variant report (as supporting personal evidence)</w:t>
      </w:r>
    </w:p>
    <w:p>
      <w:pPr>
        <w:pStyle w:val="Heading2"/>
        <w:spacing w:after="160" w:before="280"/>
      </w:pPr>
      <w:r>
        <w:rPr>
          <w:rFonts w:ascii="Arial" w:cs="Arial" w:eastAsia="Arial" w:hAnsi="Arial"/>
          <w:b/>
          <w:bCs/>
          <w:color w:val="2E75B6"/>
          <w:sz w:val="26"/>
          <w:szCs w:val="26"/>
        </w:rPr>
        <w:t xml:space="preserve">5.3 Email Template</w:t>
      </w:r>
    </w:p>
    <w:p>
      <w:pPr>
        <w:pBdr>
          <w:left w:val="single" w:color="2E75B6" w:sz="12" w:space="8"/>
        </w:pBdr>
        <w:spacing w:after="120" w:before="120"/>
        <w:ind w:left="360" w:right="360"/>
      </w:pPr>
      <w:r>
        <w:rPr>
          <w:rFonts w:ascii="Arial" w:cs="Arial" w:eastAsia="Arial" w:hAnsi="Arial"/>
          <w:i/>
          <w:iCs/>
          <w:color w:val="1B3A5C"/>
          <w:sz w:val="21"/>
          <w:szCs w:val="21"/>
        </w:rPr>
        <w:t xml:space="preserve">Subject: Collaboration Inquiry — MTHFR Base Editing Platform for Retinal Neurodegeneration &amp; Cerebral Folate Deficiency
Dear Dr. [Name],
I am writing to propose a research collaboration targeting MTHFR polymorphisms (C677T/A1298C) as a unified therapeutic platform. Building on your published work [cite specific paper], I have conducted AlphaFold 3 structural modeling comparing wild-type and variant MTHFR enzyme complexes with FAD, identifying structural evidence for [brief finding].
My research connects five disease pathways—retinal neurodegeneration, autism/cerebral folate deficiency, anxiety/depression, B-vitamin metabolism failure, and cardiovascular disease—to a single correctable genetic root cause. As a compound heterozygous carrier (C677T + A1298C), I bring both a personal proof-of-concept and a comprehensive research thesis.
I have prepared a detailed research document with protein sequences, structural data, and a step-by-step replication protocol. I am seeking a research partner with wet-lab capabilities to validate predictions and advance toward preclinical base editor testing.
Would you be open to a 15-minute call?
Best regards,
Igor Mihaljko
CEO &amp; Founder, DSM.Promo
Chicago, IL</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6: Proposed Therapeutic Approach</w:t>
      </w:r>
    </w:p>
    <w:p>
      <w:pPr>
        <w:pStyle w:val="Heading2"/>
        <w:spacing w:after="160" w:before="280"/>
      </w:pPr>
      <w:r>
        <w:rPr>
          <w:rFonts w:ascii="Arial" w:cs="Arial" w:eastAsia="Arial" w:hAnsi="Arial"/>
          <w:b/>
          <w:bCs/>
          <w:color w:val="2E75B6"/>
          <w:sz w:val="26"/>
          <w:szCs w:val="26"/>
        </w:rPr>
        <w:t xml:space="preserve">6.1 CRISPR Adenine Base Editing</w:t>
      </w:r>
    </w:p>
    <w:p>
      <w:pPr>
        <w:spacing w:after="150" w:line="312"/>
        <w:jc w:val="both"/>
      </w:pPr>
      <w:r>
        <w:rPr>
          <w:rFonts w:ascii="Arial" w:cs="Arial" w:eastAsia="Arial" w:hAnsi="Arial"/>
          <w:color w:val="333333"/>
          <w:sz w:val="22"/>
          <w:szCs w:val="22"/>
        </w:rPr>
        <w:t xml:space="preserve">Both C677T (c.665C&gt;T → correctable by ABE: T→C on coding strand) and A1298C (c.1286A&gt;C → correctable by CBE) are single-nucleotide changes amenable to base editing without double-strand breaks. Beam Therapeutics demonstrated ~90% correction in AATD clinical trials using LNP-delivered base editors. The February 2026 FDA guidance creates an accelerated pathway for such therapies.</w:t>
      </w:r>
    </w:p>
    <w:p>
      <w:pPr>
        <w:pStyle w:val="Heading2"/>
        <w:spacing w:after="160" w:before="280"/>
      </w:pPr>
      <w:r>
        <w:rPr>
          <w:rFonts w:ascii="Arial" w:cs="Arial" w:eastAsia="Arial" w:hAnsi="Arial"/>
          <w:b/>
          <w:bCs/>
          <w:color w:val="2E75B6"/>
          <w:sz w:val="26"/>
          <w:szCs w:val="26"/>
        </w:rPr>
        <w:t xml:space="preserve">6.2 Delivery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120"/>
        <w:gridCol w:w="156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 Tissue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Disease Targets Addressed</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Precedent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IV LNP (hepatic)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Liver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CVD (Hcy reduction), B-vitamin processing, systemic methylation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Intellia NTLA-2001, CRISPR CTX310/320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Intravitreal injection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Retina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Vision loss, retinal neurodegeneration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Luxturna (AAV), EDIT-101</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CNS-targeted LNP</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Brain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Autism/CFD, anxiety/depression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Emerging—requires BBB-crossing LNP</w:t>
            </w:r>
          </w:p>
        </w:tc>
      </w:tr>
    </w:tbl>
    <w:p>
      <w:pPr>
        <w:spacing w:after="120"/>
      </w:pPr>
    </w:p>
    <w:p>
      <w:pPr>
        <w:pStyle w:val="Heading2"/>
        <w:spacing w:after="160" w:before="280"/>
      </w:pPr>
      <w:r>
        <w:rPr>
          <w:rFonts w:ascii="Arial" w:cs="Arial" w:eastAsia="Arial" w:hAnsi="Arial"/>
          <w:b/>
          <w:bCs/>
          <w:color w:val="2E75B6"/>
          <w:sz w:val="26"/>
          <w:szCs w:val="26"/>
        </w:rPr>
        <w:t xml:space="preserve">6.3 Market Opportunity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Disease Target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Affected Population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Combined Market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Vision Loss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200–500M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Autism / CFD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78M+ globally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Anxiety &amp; Depression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100–200M MTHFR-linked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B-Vitamin Failure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1.5–2B carriers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Cardiovascular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50–100M Hcy-attributable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TOTAL PLATFORM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1.5–2+ billion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$120B+ combined</w:t>
            </w:r>
          </w:p>
        </w:tc>
      </w:tr>
    </w:tbl>
    <w:p>
      <w:pPr>
        <w:spacing w:after="120"/>
      </w:pP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References</w:t>
      </w:r>
    </w:p>
    <w:p>
      <w:pPr>
        <w:spacing w:after="50"/>
      </w:pPr>
      <w:r>
        <w:rPr>
          <w:rFonts w:ascii="Arial" w:cs="Arial" w:eastAsia="Arial" w:hAnsi="Arial"/>
          <w:color w:val="333333"/>
          <w:sz w:val="19"/>
          <w:szCs w:val="19"/>
        </w:rPr>
        <w:t xml:space="preserve">1. Markand S, et al. (2015). IOVS, 56(4):2684–2695. [Mthfr+/− mouse retinal phenotype]</w:t>
      </w:r>
    </w:p>
    <w:p>
      <w:pPr>
        <w:spacing w:after="50"/>
      </w:pPr>
      <w:r>
        <w:rPr>
          <w:rFonts w:ascii="Arial" w:cs="Arial" w:eastAsia="Arial" w:hAnsi="Arial"/>
          <w:color w:val="333333"/>
          <w:sz w:val="19"/>
          <w:szCs w:val="19"/>
        </w:rPr>
        <w:t xml:space="preserve">2. Markand S, et al. (2015). Exp Eye Res, 145:1–10. [Mthfr modifies rd8 retinopathy]</w:t>
      </w:r>
    </w:p>
    <w:p>
      <w:pPr>
        <w:spacing w:after="50"/>
      </w:pPr>
      <w:r>
        <w:rPr>
          <w:rFonts w:ascii="Arial" w:cs="Arial" w:eastAsia="Arial" w:hAnsi="Arial"/>
          <w:color w:val="333333"/>
          <w:sz w:val="19"/>
          <w:szCs w:val="19"/>
        </w:rPr>
        <w:t xml:space="preserve">3. Hergert RM, et al. (2022). J Neurology, 269:4571–4577. [MTHFR deficiency vision loss reversal]</w:t>
      </w:r>
    </w:p>
    <w:p>
      <w:pPr>
        <w:spacing w:after="50"/>
      </w:pPr>
      <w:r>
        <w:rPr>
          <w:rFonts w:ascii="Arial" w:cs="Arial" w:eastAsia="Arial" w:hAnsi="Arial"/>
          <w:color w:val="333333"/>
          <w:sz w:val="19"/>
          <w:szCs w:val="19"/>
        </w:rPr>
        <w:t xml:space="preserve">4. Liu Z, et al. (2023). Clin Ophthalmol, 17:1035–1043. [Ocufolin retinal perfusion by MTHFR genotype]</w:t>
      </w:r>
    </w:p>
    <w:p>
      <w:pPr>
        <w:spacing w:after="50"/>
      </w:pPr>
      <w:r>
        <w:rPr>
          <w:rFonts w:ascii="Arial" w:cs="Arial" w:eastAsia="Arial" w:hAnsi="Arial"/>
          <w:color w:val="333333"/>
          <w:sz w:val="19"/>
          <w:szCs w:val="19"/>
        </w:rPr>
        <w:t xml:space="preserve">5. Pu D, et al. (2020). BMC Pediatrics, 20:471. [MTHFR-ASD meta-analysis, 15 studies]</w:t>
      </w:r>
    </w:p>
    <w:p>
      <w:pPr>
        <w:spacing w:after="50"/>
      </w:pPr>
      <w:r>
        <w:rPr>
          <w:rFonts w:ascii="Arial" w:cs="Arial" w:eastAsia="Arial" w:hAnsi="Arial"/>
          <w:color w:val="333333"/>
          <w:sz w:val="19"/>
          <w:szCs w:val="19"/>
        </w:rPr>
        <w:t xml:space="preserve">6. Guo T, et al. (2012). Mol Biol Rep. [MTHFR C677T autism Chinese Han, OR=2.04]</w:t>
      </w:r>
    </w:p>
    <w:p>
      <w:pPr>
        <w:spacing w:after="50"/>
      </w:pPr>
      <w:r>
        <w:rPr>
          <w:rFonts w:ascii="Arial" w:cs="Arial" w:eastAsia="Arial" w:hAnsi="Arial"/>
          <w:color w:val="333333"/>
          <w:sz w:val="19"/>
          <w:szCs w:val="19"/>
        </w:rPr>
        <w:t xml:space="preserve">7. Wan L, et al. (2018). Transl Psychiatry, 8:242. [MTHFR and psychiatric diseases review]</w:t>
      </w:r>
    </w:p>
    <w:p>
      <w:pPr>
        <w:spacing w:after="50"/>
      </w:pPr>
      <w:r>
        <w:rPr>
          <w:rFonts w:ascii="Arial" w:cs="Arial" w:eastAsia="Arial" w:hAnsi="Arial"/>
          <w:color w:val="333333"/>
          <w:sz w:val="19"/>
          <w:szCs w:val="19"/>
        </w:rPr>
        <w:t xml:space="preserve">8. Levin BL &amp; Varga E. (2016). Integr Med, 15(2):48–52. [Compound het anxiety + SAMe treatment]</w:t>
      </w:r>
    </w:p>
    <w:p>
      <w:pPr>
        <w:spacing w:after="50"/>
      </w:pPr>
      <w:r>
        <w:t>9. Froese DS, et al. (2018). Nat Commun, 15:793–800. [Human MTHFR structure, PDB 6FCX]</w:t>
      </w:r>
    </w:p>
    <w:p/>
    <w:p>
      <w:r>
        <w:t>ADDITIONAL REFERENCES (added March 2026):</w:t>
      </w:r>
    </w:p>
    <w:p/>
    <w:p>
      <w:r>
        <w:t>8. Pejchal R, Campbell E, Guenther BD, et al. (2006). Structural Perturbations in the Ala→Val Polymorphism of Methylenetetrahydrofolate Reductase: How Binding of Folates May Protect against Inactivation. Biochemistry, 45(15):4808-4818. — Shows helix α5 displacement in A222V variant disrupts FAD-interacting residues Asn168, Arg171, Lys172.</w:t>
      </w:r>
    </w:p>
    <w:p/>
    <w:p>
      <w:r>
        <w:t>9. Froese DS, et al. (2024). Dynamic inter-domain transformations mediate the allosteric regulation of human 5,10-methylenetetrahydrofolate reductase. Nat Commun. PDB: 8QA5 (MTHFR+SAH dis-inhibited state), 8QA6 (MTHFR+SAM inhibited state). — Cryo-EM structures revealing dual SAM binding reorients catalytic domain and blocks substrate access. CRITICAL for understanding A1298C variant effects on regulatory domain.</w:t>
      </w:r>
    </w:p>
    <w:p/>
    <w:p>
      <w:r>
        <w:t>10. Frye RE, Slattery J, Delhey L, et al. (2018). Folinic acid improves verbal communication in children with autism and language impairment: a randomized double-blind placebo-controlled trial. Mol Psychiatry, 23:631-636. — Direct evidence that restoring folate pathway improves ASD symptoms.</w:t>
      </w:r>
    </w:p>
    <w:p/>
    <w:p>
      <w:r>
        <w:t>11. Abramson J, Adler J, Dunbar J, et al. (2024). Accurate structure prediction of biomolecular interactions with AlphaFold 3. Nature, 630:493-500. — The AlphaFold 3 methodology used in this project for protein-ligand complex prediction.</w:t>
      </w:r>
    </w:p>
    <w:p/>
    <w:p>
      <w:r>
        <w:t>12. McNulty H, Dowey LRC, Strain JJ, et al. (2006). Riboflavin lowers homocysteine in individuals homozygous for the MTHFR 677C→T polymorphism. Circulation, 113(1):74-80. — Clinical evidence that riboflavin (B2) supplementation can partially compensate for C677T FAD binding deficiency.</w:t>
      </w:r>
    </w:p>
    <w:p/>
    <w:p>
      <w:r>
        <w:t>13. Jiang H, Liu Z, Townsend JH, Wang J. (2023). Effects of MTHFR Polymorphisms on Retinal Tissue Perfusion in Mild Diabetic Retinopathy Patients Receiving Ocufolin. Clin Ophthalmol, 17:1035-1043. — Retinal perfusion improvement varies by MTHFR subtype; compound C677T/A1298C carriers showed significant improvement.</w:t>
      </w:r>
    </w:p>
    <w:p>
      <w:pPr>
        <w:spacing w:after="50"/>
      </w:pPr>
      <w:r>
        <w:rPr>
          <w:rFonts w:ascii="Arial" w:cs="Arial" w:eastAsia="Arial" w:hAnsi="Arial"/>
          <w:color w:val="333333"/>
          <w:sz w:val="19"/>
          <w:szCs w:val="19"/>
        </w:rPr>
        <w:t xml:space="preserve">10. Schneider JA, et al. (1998). Am J Hum Genet, 62:1258–1260. [Worldwide MTHFR distribution]</w:t>
      </w:r>
    </w:p>
    <w:p>
      <w:pPr>
        <w:spacing w:after="50"/>
      </w:pPr>
      <w:r>
        <w:rPr>
          <w:rFonts w:ascii="Arial" w:cs="Arial" w:eastAsia="Arial" w:hAnsi="Arial"/>
          <w:color w:val="333333"/>
          <w:sz w:val="19"/>
          <w:szCs w:val="19"/>
        </w:rPr>
        <w:t xml:space="preserve">11. Liew SC &amp; Gupta ED. (2015). Eur J Med Genet, 58(1):1–10. [MTHFR C677T epidemiology review]</w:t>
      </w:r>
    </w:p>
    <w:p>
      <w:pPr>
        <w:spacing w:after="50"/>
      </w:pPr>
      <w:r>
        <w:rPr>
          <w:rFonts w:ascii="Arial" w:cs="Arial" w:eastAsia="Arial" w:hAnsi="Arial"/>
          <w:color w:val="333333"/>
          <w:sz w:val="19"/>
          <w:szCs w:val="19"/>
        </w:rPr>
        <w:t xml:space="preserve">12. Abramson J, et al. (2024). Nature, 630:493–500. [AlphaFold 3]</w:t>
      </w:r>
    </w:p>
    <w:p>
      <w:pPr>
        <w:spacing w:after="50"/>
      </w:pPr>
      <w:r>
        <w:rPr>
          <w:rFonts w:ascii="Arial" w:cs="Arial" w:eastAsia="Arial" w:hAnsi="Arial"/>
          <w:color w:val="333333"/>
          <w:sz w:val="19"/>
          <w:szCs w:val="19"/>
        </w:rPr>
        <w:t xml:space="preserve">13. FDA. (Feb 2026). Accelerated framework for gene therapies targeting rare diseases.</w:t>
      </w:r>
    </w:p>
    <w:p>
      <w:pPr>
        <w:spacing w:after="50"/>
      </w:pPr>
      <w:r>
        <w:rPr>
          <w:rFonts w:ascii="Arial" w:cs="Arial" w:eastAsia="Arial" w:hAnsi="Arial"/>
          <w:color w:val="333333"/>
          <w:sz w:val="19"/>
          <w:szCs w:val="19"/>
        </w:rPr>
        <w:t xml:space="preserve">14. Ponti G, et al. (2021). J Clin Lab Anal, 35:e23798. [MTHFR-COVID correlation]</w:t>
      </w:r>
    </w:p>
    <w:p>
      <w:pPr>
        <w:spacing w:after="120"/>
      </w:pPr>
    </w:p>
    <w:p>
      <w:pPr>
        <w:pBdr>
          <w:top w:val="single" w:color="CC3333" w:sz="2" w:space="8"/>
        </w:pBdr>
        <w:spacing w:after="80" w:before="300"/>
      </w:pPr>
      <w:r>
        <w:rPr>
          <w:rFonts w:ascii="Arial" w:cs="Arial" w:eastAsia="Arial" w:hAnsi="Arial"/>
          <w:b/>
          <w:bCs/>
          <w:color w:val="CC3333"/>
          <w:sz w:val="20"/>
          <w:szCs w:val="20"/>
        </w:rPr>
        <w:t xml:space="preserve">DISCLAIMER</w:t>
      </w:r>
    </w:p>
    <w:p>
      <w:pPr>
        <w:spacing w:after="150" w:line="312"/>
        <w:jc w:val="both"/>
      </w:pPr>
      <w:r>
        <w:rPr>
          <w:rFonts w:ascii="Arial" w:cs="Arial" w:eastAsia="Arial" w:hAnsi="Arial"/>
          <w:color w:val="333333"/>
          <w:sz w:val="22"/>
          <w:szCs w:val="22"/>
        </w:rPr>
        <w:t xml:space="preserve">This document is for research and educational purposes only. It does not constitute medical advice, diagnosis, or treatment. The author is not a licensed medical professional or clinical researcher. All therapeutic concepts are speculative and require extensive validation. Genetic data are from consumer genomic services and require professional confirmation. AlphaFold predictions are computational models. MTHFR-disease associations represent published correlations; causation is not definitively established in all cases. AlphaFold Server is for non-commercial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5"/>
        <w:szCs w:val="15"/>
      </w:rPr>
      <w:t xml:space="preserve">MTHFR Unified Platform  |  Definitive Master Document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5"/>
    <w:lvlOverride w:ilvl="0">
      <w:startOverride w:val="1"/>
    </w:lvlOverride>
  </w:num>
  <w:num w:numId="18">
    <w:abstractNumId w:val="7"/>
    <w:lvlOverride w:ilvl="0">
      <w:startOverride w:val="1"/>
    </w:lvlOverride>
  </w:num>
  <w:num w:numId="19">
    <w:abstractNumId w:val="32"/>
    <w:lvlOverride w:ilvl="0">
      <w:startOverride w:val="1"/>
    </w:lvlOverride>
  </w:num>
  <w:num w:numId="20">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2026-03-25T09:08:05.392Z</dcterms:created>
  <dcterms:modified xsi:type="dcterms:W3CDTF">2026-03-25T09:08:05.393Z</dcterms:modified>
</cp:coreProperties>
</file>

<file path=docProps/custom.xml><?xml version="1.0" encoding="utf-8"?>
<Properties xmlns="http://schemas.openxmlformats.org/officeDocument/2006/custom-properties" xmlns:vt="http://schemas.openxmlformats.org/officeDocument/2006/docPropsVTypes"/>
</file>