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cs="Tahoma" w:asciiTheme="minorHAnsi" w:hAnsiTheme="minorHAnsi"/>
          <w:b/>
          <w:b/>
          <w:bCs/>
          <w:color w:val="002060"/>
          <w:lang w:val="el-GR"/>
        </w:rPr>
      </w:pPr>
      <w:r>
        <w:rPr>
          <w:rFonts w:cs="Tahoma" w:ascii="Calibri" w:hAnsi="Calibri"/>
          <w:b/>
          <w:bCs/>
          <w:color w:val="002060"/>
          <w:lang w:val="el-GR"/>
        </w:rPr>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7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7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restart"/>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continue"/>
            <w:tcBorders/>
            <w:shd w:color="auto" w:fill="D9D9D9" w:themeFill="background1" w:themeFillShade="d9" w:val="clear"/>
            <w:tcMar>
              <w:left w:w="73"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14173" w:type="dxa"/>
            <w:gridSpan w:val="2"/>
            <w:tcBorders/>
            <w:shd w:color="auto" w:fill="FFFFFF" w:themeFill="background1" w:val="clear"/>
            <w:tcMar>
              <w:left w:w="7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7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7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450"/>
        <w:gridCol w:w="2167"/>
        <w:gridCol w:w="1619"/>
        <w:gridCol w:w="1704"/>
        <w:gridCol w:w="2798"/>
        <w:gridCol w:w="1434"/>
        <w:gridCol w:w="1350"/>
        <w:gridCol w:w="1349"/>
        <w:gridCol w:w="4"/>
        <w:gridCol w:w="1297"/>
      </w:tblGrid>
      <w:tr>
        <w:trPr/>
        <w:tc>
          <w:tcPr>
            <w:tcW w:w="12875" w:type="dxa"/>
            <w:gridSpan w:val="9"/>
            <w:tcBorders/>
            <w:shd w:color="auto" w:fill="1F497D" w:themeFill="text2" w:val="clear"/>
            <w:tcMar>
              <w:left w:w="73"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7" w:type="dxa"/>
            <w:tcBorders/>
            <w:shd w:color="auto" w:fill="1F497D" w:themeFill="text2" w:val="clear"/>
            <w:tcMar>
              <w:left w:w="73"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19"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4"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49"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301" w:type="dxa"/>
            <w:gridSpan w:val="2"/>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7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33" w:type="dxa"/>
        <w:tblCellMar>
          <w:top w:w="0" w:type="dxa"/>
          <w:left w:w="73"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7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From quiescence to unrest : 20 years of satellite geodetic measurements at Santorini volcano, Greece,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Deformation studies in the Gulf of Patras, Western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73"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 xml:space="preserve">Ο Ελληνικός χώρος αποτελεί μία από τις πιο τεκτονικά ενεργές περιοχές στον κόσμο. Πλήθος βίαιων και μη τεκτονικών, γεωφυσικών αλλά και </w:t>
            </w:r>
            <w:r>
              <w:rPr>
                <w:rFonts w:eastAsia="Times New Roman" w:cs="Times New Roman" w:ascii="Calibri" w:hAnsi="Calibri" w:asciiTheme="minorHAnsi" w:hAnsiTheme="minorHAnsi"/>
                <w:szCs w:val="20"/>
                <w:lang w:val="el-GR" w:eastAsia="el-GR"/>
              </w:rPr>
              <w:t>ηφαιστειακών</w:t>
            </w:r>
            <w:r>
              <w:rPr>
                <w:rFonts w:eastAsia="Times New Roman" w:cs="Times New Roman" w:ascii="Calibri" w:hAnsi="Calibri" w:asciiTheme="minorHAnsi" w:hAnsiTheme="minorHAnsi"/>
                <w:szCs w:val="20"/>
                <w:lang w:val="el-GR" w:eastAsia="el-GR"/>
              </w:rPr>
              <w:t xml:space="preserve"> διεργασιών λαμβάνουν χώρα με μεγάλη συχνότητα στη χώρα μας.</w:t>
              <w:br/>
              <w:t xml:space="preserve">Οι σύγχρονες </w:t>
            </w:r>
            <w:r>
              <w:rPr>
                <w:rFonts w:eastAsia="Times New Roman" w:cs="Times New Roman" w:ascii="Calibri" w:hAnsi="Calibri" w:asciiTheme="minorHAnsi" w:hAnsiTheme="minorHAnsi"/>
                <w:szCs w:val="20"/>
                <w:lang w:val="el-GR" w:eastAsia="el-GR"/>
              </w:rPr>
              <w:t>εξελίξεις</w:t>
            </w:r>
            <w:r>
              <w:rPr>
                <w:rFonts w:eastAsia="Times New Roman" w:cs="Times New Roman" w:ascii="Calibri" w:hAnsi="Calibri" w:asciiTheme="minorHAnsi" w:hAnsiTheme="minorHAnsi"/>
                <w:szCs w:val="20"/>
                <w:lang w:val="el-GR" w:eastAsia="el-GR"/>
              </w:rPr>
              <w:t xml:space="preserve">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w:t>
            </w:r>
            <w:r>
              <w:rPr>
                <w:rFonts w:eastAsia="Times New Roman" w:cs="Times New Roman" w:ascii="Calibri" w:hAnsi="Calibri" w:asciiTheme="minorHAnsi" w:hAnsiTheme="minorHAnsi"/>
                <w:szCs w:val="20"/>
                <w:lang w:val="el-GR" w:eastAsia="el-GR"/>
              </w:rPr>
              <w:t>γης.</w:t>
            </w:r>
            <w:r>
              <w:rPr>
                <w:rFonts w:eastAsia="Times New Roman" w:cs="Times New Roman" w:ascii="Calibri" w:hAnsi="Calibri" w:asciiTheme="minorHAnsi" w:hAnsiTheme="minorHAnsi"/>
                <w:szCs w:val="20"/>
                <w:lang w:val="el-GR" w:eastAsia="el-GR"/>
              </w:rPr>
              <w:t xml:space="preserve">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w:t>
            </w:r>
            <w:r>
              <w:rPr>
                <w:rFonts w:eastAsia="Times New Roman" w:cs="Times New Roman" w:ascii="Calibri" w:hAnsi="Calibri" w:asciiTheme="minorHAnsi" w:hAnsiTheme="minorHAnsi"/>
                <w:szCs w:val="20"/>
                <w:lang w:val="el-GR" w:eastAsia="el-GR"/>
              </w:rPr>
              <w:t>ηφαιστειακή</w:t>
            </w:r>
            <w:r>
              <w:rPr>
                <w:rFonts w:eastAsia="Times New Roman" w:cs="Times New Roman" w:ascii="Calibri" w:hAnsi="Calibri" w:asciiTheme="minorHAnsi" w:hAnsiTheme="minorHAnsi"/>
                <w:szCs w:val="20"/>
                <w:lang w:val="el-GR" w:eastAsia="el-GR"/>
              </w:rPr>
              <w:t xml:space="preserve"> δραστηριότητα. Τα τελευταία </w:t>
            </w:r>
            <w:r>
              <w:rPr>
                <w:rFonts w:eastAsia="Times New Roman" w:cs="Times New Roman" w:ascii="Calibri" w:hAnsi="Calibri" w:asciiTheme="minorHAnsi" w:hAnsiTheme="minorHAnsi"/>
                <w:szCs w:val="20"/>
                <w:lang w:val="el-GR" w:eastAsia="el-GR"/>
              </w:rPr>
              <w:t>χρόνια</w:t>
            </w:r>
            <w:r>
              <w:rPr>
                <w:rFonts w:eastAsia="Times New Roman" w:cs="Times New Roman" w:ascii="Calibri" w:hAnsi="Calibri" w:asciiTheme="minorHAnsi" w:hAnsiTheme="minorHAnsi"/>
                <w:szCs w:val="20"/>
                <w:lang w:val="el-GR" w:eastAsia="el-GR"/>
              </w:rPr>
              <w:t xml:space="preserve">, η αύξηση (και στην Ελλάδα) μόνιμων σταθμών καταγραφής GNSS, </w:t>
            </w:r>
            <w:r>
              <w:rPr>
                <w:rFonts w:eastAsia="Times New Roman" w:cs="Times New Roman" w:ascii="Calibri" w:hAnsi="Calibri" w:asciiTheme="minorHAnsi" w:hAnsiTheme="minorHAnsi"/>
                <w:szCs w:val="20"/>
                <w:lang w:val="el-GR" w:eastAsia="el-GR"/>
              </w:rPr>
              <w:t>επιτρέπει</w:t>
            </w:r>
            <w:r>
              <w:rPr>
                <w:rFonts w:eastAsia="Times New Roman" w:cs="Times New Roman" w:ascii="Calibri" w:hAnsi="Calibri" w:asciiTheme="minorHAnsi" w:hAnsiTheme="minorHAnsi"/>
                <w:szCs w:val="20"/>
                <w:lang w:val="el-GR" w:eastAsia="el-GR"/>
              </w:rPr>
              <w:t xml:space="preserve"> την περαιτέρω ανάπτυξη του επιστημονικού αυτού κλάδου, και προσφέρει σημαντικά αποτελέσματα.</w:t>
              <w:br/>
              <w:t xml:space="preserve">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w:t>
            </w:r>
            <w:r>
              <w:rPr>
                <w:rFonts w:eastAsia="Times New Roman" w:cs="Times New Roman" w:ascii="Calibri" w:hAnsi="Calibri" w:asciiTheme="minorHAnsi" w:hAnsiTheme="minorHAnsi"/>
                <w:szCs w:val="20"/>
                <w:lang w:val="el-GR" w:eastAsia="el-GR"/>
              </w:rPr>
              <w:t>πλαίσιο</w:t>
            </w:r>
            <w:r>
              <w:rPr>
                <w:rFonts w:eastAsia="Times New Roman" w:cs="Times New Roman" w:ascii="Calibri" w:hAnsi="Calibri" w:asciiTheme="minorHAnsi" w:hAnsiTheme="minorHAnsi"/>
                <w:szCs w:val="20"/>
                <w:lang w:val="el-GR" w:eastAsia="el-GR"/>
              </w:rPr>
              <w:t xml:space="preserve">,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w:t>
            </w:r>
            <w:r>
              <w:rPr>
                <w:rFonts w:eastAsia="Times New Roman" w:cs="Times New Roman" w:ascii="Calibri" w:hAnsi="Calibri" w:asciiTheme="minorHAnsi" w:hAnsiTheme="minorHAnsi"/>
                <w:szCs w:val="20"/>
                <w:lang w:val="el-GR" w:eastAsia="el-GR"/>
              </w:rPr>
              <w:t>αποτελέσματα</w:t>
            </w:r>
            <w:r>
              <w:rPr>
                <w:rFonts w:eastAsia="Times New Roman" w:cs="Times New Roman" w:ascii="Calibri" w:hAnsi="Calibri" w:asciiTheme="minorHAnsi" w:hAnsiTheme="minorHAnsi"/>
                <w:szCs w:val="20"/>
                <w:lang w:val="el-GR" w:eastAsia="el-GR"/>
              </w:rPr>
              <w:t xml:space="preserve"> και θα </w:t>
            </w:r>
            <w:r>
              <w:rPr>
                <w:rFonts w:eastAsia="Times New Roman" w:cs="Times New Roman" w:ascii="Calibri" w:hAnsi="Calibri" w:asciiTheme="minorHAnsi" w:hAnsiTheme="minorHAnsi"/>
                <w:szCs w:val="20"/>
                <w:lang w:val="el-GR" w:eastAsia="el-GR"/>
              </w:rPr>
              <w:t>ανανεώνονται</w:t>
            </w:r>
            <w:r>
              <w:rPr>
                <w:rFonts w:eastAsia="Times New Roman" w:cs="Times New Roman" w:ascii="Calibri" w:hAnsi="Calibri" w:asciiTheme="minorHAnsi" w:hAnsiTheme="minorHAnsi"/>
                <w:szCs w:val="20"/>
                <w:lang w:val="el-GR" w:eastAsia="el-GR"/>
              </w:rPr>
              <w:t xml:space="preserve"> αμέσως μετά το πέρας της επεξεργασίας. Με τον τρόπο αυτό, τα αποτελέσματα θα είναι προσπελάσιμα από όλη την </w:t>
            </w:r>
            <w:r>
              <w:rPr>
                <w:rFonts w:eastAsia="Times New Roman" w:cs="Times New Roman" w:ascii="Calibri" w:hAnsi="Calibri" w:asciiTheme="minorHAnsi" w:hAnsiTheme="minorHAnsi"/>
                <w:szCs w:val="20"/>
                <w:lang w:val="el-GR" w:eastAsia="el-GR"/>
              </w:rPr>
              <w:t>επιστημονική</w:t>
            </w:r>
            <w:r>
              <w:rPr>
                <w:rFonts w:eastAsia="Times New Roman" w:cs="Times New Roman" w:ascii="Calibri" w:hAnsi="Calibri" w:asciiTheme="minorHAnsi" w:hAnsiTheme="minorHAnsi"/>
                <w:szCs w:val="20"/>
                <w:lang w:val="el-GR" w:eastAsia="el-GR"/>
              </w:rPr>
              <w:t xml:space="preserve">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w:t>
            </w:r>
            <w:r>
              <w:rPr>
                <w:rFonts w:eastAsia="Times New Roman" w:cs="Times New Roman" w:ascii="Calibri" w:hAnsi="Calibri" w:asciiTheme="minorHAnsi" w:hAnsiTheme="minorHAnsi"/>
                <w:szCs w:val="20"/>
                <w:lang w:val="el-GR" w:eastAsia="el-GR"/>
              </w:rPr>
              <w:t>Ηφαιστειολογία</w:t>
            </w:r>
            <w:r>
              <w:rPr>
                <w:rFonts w:eastAsia="Times New Roman" w:cs="Times New Roman" w:ascii="Calibri" w:hAnsi="Calibri" w:asciiTheme="minorHAnsi" w:hAnsiTheme="minorHAnsi"/>
                <w:szCs w:val="20"/>
                <w:lang w:val="el-GR" w:eastAsia="el-GR"/>
              </w:rPr>
              <w:t>,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η συστηματική, σε σχεδόν πραγματικό χρόνο παρακολούθηση της ατμοσφαιρας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xml:space="preserve">* ανίχνευση και μελέτη </w:t>
            </w:r>
            <w:r>
              <w:rPr>
                <w:rFonts w:eastAsia="Times New Roman" w:cs="Times New Roman" w:ascii="Calibri" w:hAnsi="Calibri" w:asciiTheme="minorHAnsi" w:hAnsiTheme="minorHAnsi"/>
                <w:szCs w:val="20"/>
                <w:lang w:val="el-GR" w:eastAsia="el-GR"/>
              </w:rPr>
              <w:t>σημάτων</w:t>
            </w:r>
            <w:r>
              <w:rPr>
                <w:rFonts w:eastAsia="Times New Roman" w:cs="Times New Roman" w:ascii="Calibri" w:hAnsi="Calibri" w:asciiTheme="minorHAnsi" w:hAnsiTheme="minorHAnsi"/>
                <w:szCs w:val="20"/>
                <w:lang w:val="el-GR" w:eastAsia="el-GR"/>
              </w:rPr>
              <w:t xml:space="preserve"> </w:t>
            </w:r>
            <w:r>
              <w:rPr>
                <w:rFonts w:eastAsia="Times New Roman" w:cs="Times New Roman" w:ascii="Calibri" w:hAnsi="Calibri" w:asciiTheme="minorHAnsi" w:hAnsiTheme="minorHAnsi"/>
                <w:szCs w:val="20"/>
                <w:lang w:val="el-GR" w:eastAsia="el-GR"/>
              </w:rPr>
              <w:t>πριν</w:t>
            </w:r>
            <w:r>
              <w:rPr>
                <w:rFonts w:eastAsia="Times New Roman" w:cs="Times New Roman" w:ascii="Calibri" w:hAnsi="Calibri" w:asciiTheme="minorHAnsi" w:hAnsiTheme="minorHAnsi"/>
                <w:szCs w:val="20"/>
                <w:lang w:val="el-GR" w:eastAsia="el-GR"/>
              </w:rPr>
              <w:t>,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xml:space="preserve">* προετοιμασία και </w:t>
            </w:r>
            <w:r>
              <w:rPr>
                <w:rFonts w:eastAsia="Times New Roman" w:cs="Times New Roman" w:ascii="Calibri" w:hAnsi="Calibri" w:asciiTheme="minorHAnsi" w:hAnsiTheme="minorHAnsi"/>
                <w:szCs w:val="20"/>
                <w:lang w:val="el-GR" w:eastAsia="el-GR"/>
              </w:rPr>
              <w:t>διερεύνηση</w:t>
            </w:r>
            <w:r>
              <w:rPr>
                <w:rFonts w:eastAsia="Times New Roman" w:cs="Times New Roman" w:ascii="Calibri" w:hAnsi="Calibri" w:asciiTheme="minorHAnsi" w:hAnsiTheme="minorHAnsi"/>
                <w:szCs w:val="20"/>
                <w:lang w:val="el-GR" w:eastAsia="el-GR"/>
              </w:rPr>
              <w:t xml:space="preserve"> δυνατοτήτων για την μετέπειτα δημιουργία ένος συστήματος </w:t>
            </w:r>
            <w:r>
              <w:rPr>
                <w:rFonts w:eastAsia="Times New Roman" w:cs="Times New Roman" w:ascii="Calibri" w:hAnsi="Calibri" w:asciiTheme="minorHAnsi" w:hAnsiTheme="minorHAnsi"/>
                <w:szCs w:val="20"/>
                <w:lang w:val="el-GR" w:eastAsia="el-GR"/>
              </w:rPr>
              <w:t>προειδοποίησης</w:t>
            </w:r>
            <w:r>
              <w:rPr>
                <w:rFonts w:eastAsia="Times New Roman" w:cs="Times New Roman" w:ascii="Calibri" w:hAnsi="Calibri" w:asciiTheme="minorHAnsi" w:hAnsiTheme="minorHAnsi"/>
                <w:szCs w:val="20"/>
                <w:lang w:val="el-GR" w:eastAsia="el-GR"/>
              </w:rPr>
              <w:t xml:space="preserve"> (early warning system)</w:t>
              <w:br/>
              <w:t xml:space="preserve">Η παρούσα ερευνητική πρόταση δύναται να προσφέρει σημαντικά πλεονεκτήματα τόσο στην επιστημονική και </w:t>
            </w:r>
            <w:r>
              <w:rPr>
                <w:rFonts w:eastAsia="Times New Roman" w:cs="Times New Roman" w:ascii="Calibri" w:hAnsi="Calibri" w:asciiTheme="minorHAnsi" w:hAnsiTheme="minorHAnsi"/>
                <w:szCs w:val="20"/>
                <w:lang w:val="el-GR" w:eastAsia="el-GR"/>
              </w:rPr>
              <w:t>ακαδημαϊκή</w:t>
            </w:r>
            <w:r>
              <w:rPr>
                <w:rFonts w:eastAsia="Times New Roman" w:cs="Times New Roman" w:ascii="Calibri" w:hAnsi="Calibri" w:asciiTheme="minorHAnsi" w:hAnsiTheme="minorHAnsi"/>
                <w:szCs w:val="20"/>
                <w:lang w:val="el-GR" w:eastAsia="el-GR"/>
              </w:rPr>
              <w:t xml:space="preserve">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w:t>
            </w:r>
            <w:r>
              <w:rPr>
                <w:rFonts w:eastAsia="Times New Roman" w:cs="Times New Roman" w:ascii="Calibri" w:hAnsi="Calibri" w:asciiTheme="minorHAnsi" w:hAnsiTheme="minorHAnsi"/>
                <w:szCs w:val="20"/>
                <w:lang w:val="el-GR" w:eastAsia="el-GR"/>
              </w:rPr>
              <w:t>σύγχρονο</w:t>
            </w:r>
            <w:r>
              <w:rPr>
                <w:rFonts w:eastAsia="Times New Roman" w:cs="Times New Roman" w:ascii="Calibri" w:hAnsi="Calibri" w:asciiTheme="minorHAnsi" w:hAnsiTheme="minorHAnsi"/>
                <w:szCs w:val="20"/>
                <w:lang w:val="el-GR" w:eastAsia="el-GR"/>
              </w:rPr>
              <w:t>,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bookmarkStart w:id="3" w:name="__DdeLink__1693_1402200670"/>
            <w:bookmarkEnd w:id="3"/>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73" w:type="dxa"/>
            </w:tcMar>
          </w:tcPr>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Εισαγωγή</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ελληνικός χώρος, τεκτονικό πλαίσιο, ηφαίστεια, σεισμοί, κτλ....</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Δορυφορική γεωδαισία και GNSS. Συμβολή στα παραπάνω, σύγχρονες εξελίξεις</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Ερευνητικά Ερωτήματα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διερεύνηση/αποσαφήνιση ελληνικού τεκτονικού, ηφαιστειακού κτλ υποβάθρου</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όρια GNSS και αλγορίθμων, ακρίβειες, χρήση για πρόληψη (early warning systems), παρακολούθηση, ατμοσφαιρα</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Εννοιολογικό Πλαίσιο</w:t>
            </w:r>
          </w:p>
          <w:p>
            <w:pPr>
              <w:pStyle w:val="Normal"/>
              <w:numPr>
                <w:ilvl w:val="0"/>
                <w:numId w:val="10"/>
              </w:numPr>
              <w:spacing w:lineRule="auto" w:line="240" w:before="60" w:after="0"/>
              <w:rPr>
                <w:rFonts w:ascii="Calibri" w:hAnsi="Calibri" w:eastAsia="Times New Roman" w:cs="Times New Roman" w:asciiTheme="minorHAnsi" w:hAnsiTheme="minorHAnsi"/>
                <w:sz w:val="18"/>
                <w:szCs w:val="20"/>
                <w:lang w:val="el-GR" w:eastAsia="el-GR"/>
              </w:rPr>
            </w:pPr>
            <w:r>
              <w:rPr>
                <w:i w:val="false"/>
                <w:iCs w:val="false"/>
              </w:rPr>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Μεθοδολογία</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επιλογή σταθμών</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download δεδομένων</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επεξεργασία</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παράμετροι</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χρονοσειρές</w:t>
            </w:r>
          </w:p>
          <w:p>
            <w:pPr>
              <w:pStyle w:val="Normal"/>
              <w:numPr>
                <w:ilvl w:val="0"/>
                <w:numId w:val="7"/>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ιστοσελίδα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Καινοτομία της Ερευνητικής Πρότασης</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 Θεωρητική ή/και Εφαρμοσμένη Επιστημονική Γνώση</w:t>
            </w:r>
          </w:p>
          <w:p>
            <w:pPr>
              <w:pStyle w:val="Normal"/>
              <w:numPr>
                <w:ilvl w:val="0"/>
                <w:numId w:val="9"/>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σε Γεωλογία, Ηφαιστειολογία, ατμοσφαιρικά</w:t>
            </w:r>
          </w:p>
          <w:p>
            <w:pPr>
              <w:pStyle w:val="Normal"/>
              <w:numPr>
                <w:ilvl w:val="0"/>
                <w:numId w:val="9"/>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κατανόηση του ελληνικού υποβάθρου</w:t>
            </w:r>
          </w:p>
          <w:p>
            <w:pPr>
              <w:pStyle w:val="Normal"/>
              <w:numPr>
                <w:ilvl w:val="0"/>
                <w:numId w:val="9"/>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γεωδαισία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 xml:space="preserve">[συμπληρώστε εδώ]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73"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73"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73"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73"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73"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4"/>
        <w:gridCol w:w="686"/>
        <w:gridCol w:w="3"/>
        <w:gridCol w:w="751"/>
        <w:gridCol w:w="329"/>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2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1280" cy="174625"/>
              <wp:effectExtent l="0" t="0" r="0" b="0"/>
              <wp:wrapSquare wrapText="largest"/>
              <wp:docPr id="1" name="Frame1"/>
              <a:graphic xmlns:a="http://schemas.openxmlformats.org/drawingml/2006/main">
                <a:graphicData uri="http://schemas.microsoft.com/office/word/2010/wordprocessingShape">
                  <wps:wsp>
                    <wps:cNvSpPr/>
                    <wps:spPr>
                      <a:xfrm>
                        <a:off x="0" y="0"/>
                        <a:ext cx="8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5pt;margin-top:0.05pt;width:6.3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1280" cy="174625"/>
              <wp:effectExtent l="0" t="0" r="0" b="0"/>
              <wp:wrapSquare wrapText="largest"/>
              <wp:docPr id="5" name="Image1"/>
              <a:graphic xmlns:a="http://schemas.openxmlformats.org/drawingml/2006/main">
                <a:graphicData uri="http://schemas.microsoft.com/office/word/2010/wordprocessingShape">
                  <wps:wsp>
                    <wps:cNvSpPr/>
                    <wps:spPr>
                      <a:xfrm>
                        <a:off x="0" y="0"/>
                        <a:ext cx="8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Image1" stroked="f" style="position:absolute;margin-left:345.75pt;margin-top:0.05pt;width:6.3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81280" cy="349885"/>
              <wp:effectExtent l="0" t="0" r="0" b="0"/>
              <wp:wrapSquare wrapText="largest"/>
              <wp:docPr id="10" name="Image2"/>
              <a:graphic xmlns:a="http://schemas.openxmlformats.org/drawingml/2006/main">
                <a:graphicData uri="http://schemas.microsoft.com/office/word/2010/wordprocessingShape">
                  <wps:wsp>
                    <wps:cNvSpPr/>
                    <wps:spPr>
                      <a:xfrm>
                        <a:off x="0" y="0"/>
                        <a:ext cx="8064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19</w:t>
                          </w:r>
                          <w:r>
                            <w:fldChar w:fldCharType="end"/>
                          </w:r>
                        </w:p>
                      </w:txbxContent>
                    </wps:txbx>
                    <wps:bodyPr lIns="0" rIns="0" tIns="0" bIns="0">
                      <a:spAutoFit/>
                    </wps:bodyPr>
                  </wps:wsp>
                </a:graphicData>
              </a:graphic>
            </wp:anchor>
          </w:drawing>
        </mc:Choice>
        <mc:Fallback>
          <w:pict>
            <v:rect id="shape_0" ID="Image2" stroked="f" style="position:absolute;margin-left:204.45pt;margin-top:0.05pt;width:6.3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Application>LibreOffice/5.2.5.1$Linux_X86_64 LibreOffice_project/20$Build-1</Application>
  <Pages>20</Pages>
  <Words>4342</Words>
  <Characters>28027</Characters>
  <CharactersWithSpaces>32342</CharactersWithSpaces>
  <Paragraphs>582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2017-02-06T10:48:39Z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