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footer8.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1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28797"/>
            <w:bookmarkStart w:id="1" w:name="_Toc448828577"/>
            <w:bookmarkStart w:id="2" w:name="_Toc445930535"/>
            <w:bookmarkStart w:id="3" w:name="_Toc443645004"/>
            <w:bookmarkStart w:id="4" w:name="_Toc448834151"/>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8834152"/>
            <w:bookmarkStart w:id="6" w:name="_Toc448828798"/>
            <w:bookmarkStart w:id="7" w:name="_Toc448828578"/>
            <w:bookmarkStart w:id="8" w:name="_Toc445930536"/>
            <w:bookmarkStart w:id="9" w:name="_Toc443645005"/>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8834153"/>
            <w:bookmarkStart w:id="11" w:name="_Toc448828799"/>
            <w:bookmarkStart w:id="12" w:name="_Toc44882857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8834154"/>
            <w:bookmarkStart w:id="16" w:name="_Toc448828800"/>
            <w:bookmarkStart w:id="17" w:name="_Toc448828580"/>
            <w:bookmarkStart w:id="18" w:name="_Toc445930538"/>
            <w:bookmarkStart w:id="19" w:name="_Toc443645007"/>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footerReference w:type="default" r:id="rId6"/>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
      <w:bookmarkStart w:id="21" w:name="_Toc448834156_Copy_1"/>
      <w:bookmarkStart w:id="22" w:name="_Toc448834156"/>
      <w:bookmarkStart w:id="23" w:name="_Toc448834156_Copy_1"/>
      <w:bookmarkEnd w:id="22"/>
      <w:bookmarkEnd w:id="23"/>
    </w:p>
    <w:p>
      <w:pPr>
        <w:pStyle w:val="Normal"/>
        <w:ind w:left="0" w:right="0" w:hanging="0"/>
        <w:jc w:val="center"/>
        <w:rPr>
          <w:rFonts w:ascii="Arial" w:hAnsi="Arial" w:cs="Arial"/>
          <w:b/>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9"/>
          <w:headerReference w:type="default" r:id="rId10"/>
          <w:headerReference w:type="first" r:id="rId11"/>
          <w:footerReference w:type="default" r:id="rId12"/>
          <w:footerReference w:type="first" r:id="rId13"/>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data/photos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Through the synergy with these institutes, NTUA will be able to:</w:t>
      </w:r>
    </w:p>
    <w:p>
      <w:pPr>
        <w:pStyle w:val="Normal"/>
        <w:widowControl/>
        <w:numPr>
          <w:ilvl w:val="0"/>
          <w:numId w:val="17"/>
        </w:numPr>
        <w:spacing w:before="0" w:after="200"/>
        <w:jc w:val="both"/>
        <w:rPr/>
      </w:pPr>
      <w:r>
        <w:rPr/>
        <w:t>Significantly enhance its research capacity, both in terms of technical knowledge, skills and toolsets (e.g. software tools) as well as in terms of research project submission/claiming and management.</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thus severely enhancing its international prestige. Such strategic networking (established via ACRONYM)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International DORIS Service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 xml:space="preserve">GFZ will act as the SLR node, since it has a longstanding contribution in the technique, evident by its involvement in the International Laser Ranging Service (ILRS) as an Analysis Center. </w:t>
      </w:r>
    </w:p>
    <w:p>
      <w:pPr>
        <w:pStyle w:val="Normal"/>
        <w:spacing w:before="0" w:after="200"/>
        <w:ind w:right="0" w:hanging="0"/>
        <w:jc w:val="both"/>
        <w:rPr/>
      </w:pPr>
      <w:r>
        <w:rPr/>
        <w:t>OSO/Chalmers will act as the VLBI knowledge node. OSO hosts one of the few VLBI sites in Europe and is a prominent member of the International VLBI Service for Geodesy and Astrometry.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knowledge and expertise transfer will expand beyond technical matters, to include coaching on research proposal preparation/writing, submission and management (WP2).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ind w:left="0" w:right="0" w:hanging="0"/>
        <w:jc w:val="both"/>
        <w:rPr>
          <w:b/>
          <w:b/>
          <w:bCs/>
        </w:rPr>
      </w:pPr>
      <w:r>
        <w:rPr>
          <w:b/>
          <w:bCs/>
        </w:rPr>
        <w:t>1</w:t>
      </w:r>
      <w:r>
        <w:rPr>
          <w:b/>
          <w:bCs/>
          <w:shd w:fill="FFFF00" w:val="clear"/>
        </w:rPr>
        <w:t>.2.2 Coordination and Support Measures</w:t>
      </w:r>
    </w:p>
    <w:p>
      <w:pPr>
        <w:pStyle w:val="Normal"/>
        <w:spacing w:before="0" w:after="200"/>
        <w:ind w:left="0" w:right="0" w:hanging="0"/>
        <w:jc w:val="both"/>
        <w:rPr/>
      </w:pPr>
      <w:r>
        <w:rPr>
          <w:b w:val="false"/>
          <w:bCs w:val="false"/>
        </w:rPr>
        <w:t xml:space="preserve">The coordination and management of ACRONYM will be performed via a dedicated Work Package (WP1) undertaken by the host institute. </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(on a technical level).</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 xml:space="preserve">Establish a network of top-class collaborators and boost involvement in high-esteem consortia. </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Increase funding capabilities and resources for research (project claiming).</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
                <w:bCs/>
                <w:color w:val="00B0F0"/>
              </w:rPr>
            </w:pPr>
            <w:r>
              <w:rPr>
                <w:b/>
                <w:bCs/>
                <w:color w:val="00B0F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Young Scientists and Engineers</w:t>
            </w:r>
            <w:r>
              <w:rPr>
                <w:i w:val="false"/>
                <w:iCs w:val="false"/>
                <w:color w:val="000000"/>
                <w:lang w:val="en-GB"/>
              </w:rPr>
              <w:t xml:space="preserve"> in the wider field of Geoscienses.</w:t>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val="false"/>
                <w:b w:val="false"/>
                <w:bCs w:val="false"/>
              </w:rPr>
            </w:pPr>
            <w:r>
              <w:rPr/>
            </w:r>
          </w:p>
          <w:p>
            <w:pPr>
              <w:pStyle w:val="Normal"/>
              <w:widowControl w:val="false"/>
              <w:tabs>
                <w:tab w:val="clear" w:pos="720"/>
              </w:tabs>
              <w:ind w:left="0" w:right="0" w:hanging="0"/>
              <w:rPr>
                <w:b w:val="false"/>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Creation of a highly experienced and skilled task force in the host institute.</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Establishment of a task force in the host institute, with extended networking capabilities and international reach (in a European and international level).</w:t>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b/>
                <w:bCs/>
                <w:i w:val="false"/>
                <w:iCs w:val="false"/>
                <w:color w:val="000000"/>
                <w:lang w:val="en-GB"/>
              </w:rPr>
              <w:t>Scientific:</w:t>
            </w:r>
            <w:r>
              <w:rPr>
                <w:i w:val="false"/>
                <w:iCs w:val="false"/>
                <w:color w:val="000000"/>
                <w:lang w:val="en-GB"/>
              </w:rPr>
              <w:t xml:space="preserve"> Sustainable synergies with prestigious, top-level institutes and consortia. </w:t>
            </w:r>
            <w:r>
              <w:rPr>
                <w:i w:val="false"/>
                <w:iCs w:val="false"/>
                <w:color w:val="000000"/>
                <w:lang w:val="en-GB"/>
              </w:rPr>
              <w:t>Establish and secure the host institute’s role as a key player in the field of Space Geodesy in the long run.</w:t>
            </w:r>
          </w:p>
          <w:p>
            <w:pPr>
              <w:pStyle w:val="Normal"/>
              <w:widowControl w:val="false"/>
              <w:tabs>
                <w:tab w:val="clear" w:pos="720"/>
              </w:tabs>
              <w:ind w:left="0" w:right="0" w:hanging="0"/>
              <w:rPr>
                <w:lang w:val="en-GB"/>
              </w:rPr>
            </w:pPr>
            <w:r>
              <w:rPr>
                <w:color w:val="00B0F0"/>
                <w:lang w:val="en-GB"/>
              </w:rPr>
            </w:r>
          </w:p>
        </w:tc>
      </w:tr>
    </w:tbl>
    <w:p>
      <w:pPr>
        <w:pStyle w:val="Normal"/>
        <w:widowControl w:val="false"/>
        <w:ind w:left="0" w:right="0" w:hanging="0"/>
        <w:rPr>
          <w:lang w:val="en-GB"/>
        </w:rPr>
      </w:pPr>
      <w:r>
        <w:rPr>
          <w:lang w:val="en-GB"/>
        </w:rPr>
      </w:r>
    </w:p>
    <w:p>
      <w:pPr>
        <w:sectPr>
          <w:headerReference w:type="even" r:id="rId14"/>
          <w:headerReference w:type="default" r:id="rId15"/>
          <w:headerReference w:type="first" r:id="rId16"/>
          <w:footerReference w:type="default" r:id="rId17"/>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and coordination. Capacity building is split into two Working Packages, each with its own focus and goals; WP2 targets the establishment of networking channels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6479540" cy="4783455"/>
                <wp:effectExtent l="0" t="0" r="0" b="0"/>
                <wp:wrapSquare wrapText="bothSides"/>
                <wp:docPr id="12"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8"/>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9"/>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0"/>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research institutions. Through these channels, the expert nodes will introduce the host institute to their respective fields of expertise, and lay the groundwork and work-schedule for research capacity building.</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pPr>
            <w:r>
              <w:rP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pPr>
            <w:r>
              <w:rPr>
                <w:lang w:val="en-GB"/>
              </w:rPr>
              <w:t xml:space="preserve"> </w:t>
            </w:r>
            <w:r>
              <w:rP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pPr>
            <w:r>
              <w:rP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pPr>
            <w:r>
              <w:rPr>
                <w:lang w:val="en-GB"/>
              </w:rPr>
              <w:t xml:space="preserve"> </w:t>
            </w:r>
            <w:r>
              <w:rP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pPr>
            <w:r>
              <w:rPr>
                <w:lang w:val="en-GB"/>
              </w:rPr>
              <w:t xml:space="preserve"> </w:t>
            </w:r>
            <w:r>
              <w:rP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(online) means through which this force will maintain a long-term sound communication, at least for the duration of ACRONYM. The expert partners will introduce the DORIS technique to their peers in the host institute via online webinars and one short term encounter of all three involved partners. This encounter will be hosted by IPGP and will include the schooling of the host’s personnel in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sound communication, at least for the duration of ACRONYM. The expert partner will introduce the SLR technique to its peers in the host institute via online webinars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at least for the duration of ACRONYM. The expert partner will introduce the VLBI technique to its peers in the host institute via online webinars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Management Capacity (M1-M24); Lead CLS</w:t>
            </w:r>
          </w:p>
          <w:p>
            <w:pPr>
              <w:pStyle w:val="Normal"/>
              <w:widowControl w:val="false"/>
              <w:tabs>
                <w:tab w:val="clear" w:pos="720"/>
              </w:tabs>
              <w:spacing w:before="60" w:after="60"/>
              <w:ind w:left="0" w:right="0" w:hanging="0"/>
              <w:jc w:val="both"/>
              <w:rPr/>
            </w:pPr>
            <w:r>
              <w:rPr>
                <w:lang w:val="en-GB"/>
              </w:rPr>
              <w:t>The consortium partners (CLS, IPGP, GFZ and OSO) will transfer technical knowledge, know-how and expertise to NTUA, concerning the writing and submitting of research proposals, as well as the efficient administration of research intensive scientific projects.</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close to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Since both DORIS and SLR processing is tailored to the specifics of each observed space vehicle, the consortium will hand pick a minimum of three satellites, with payload capacity for both techniques, for the software development. Design principles though will conform to extensibility, so that NTUA will be later able to incorporate more satellites (for each technique) on its own, with minimal cost.</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The software will be specifically targeted towards precise orbit determination and estimation of geodetic parameters. All involved partners will assist the host institute in reaching this goal, via individual contributions in their respective areas of expertise.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NTUA will adhere to a free and open-source policy for all software tools to be built within the framework of this WP. Software implementation will be carried out on the public domain via dedicated repositories (hosted e.g. on [gitlab](https://about.gitlab.com/) so at to enable a rigorous development platform for the consortium parties and easy progress monitoring (including the Commission).</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schooling,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dissemination of scientific output and results gained throughout the coarse of ACRONYM. The consortium will adhere to an open-science policy, sharing scientific outcome with all interested parties. To allow for efficient sharing, both among the consortium partners and with the scientific  community in general, a dedicated web site will be created granting open access and browsing of the project's intermediate progress/outcome.</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Th host institute will design and implement a dedicated web site for the project, assisting partner networking capabilities and efficiency as well as dissemination of ACRONYM outcomes and results and in general outreach material.</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a seminar to take place in Greece, for the presentation of ACRONYM, dissemination of its scientific output and results and promote innovation in the field of Space Geodesy, Orbit Determination and Space Studies in general. The expert partners will introduce and present novelties and current and future trends and applications that can have an effect in the related market. The seminar will be open and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and at least one scientific publication submitted to an international conference. The scientific papers to be published will be open-access.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2"/>
        <w:gridCol w:w="709"/>
        <w:gridCol w:w="1046"/>
        <w:gridCol w:w="1125"/>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Software toolbox for the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0" allowOverlap="1" relativeHeight="81">
                      <wp:simplePos x="0" y="0"/>
                      <wp:positionH relativeFrom="column">
                        <wp:posOffset>-537845</wp:posOffset>
                      </wp:positionH>
                      <wp:positionV relativeFrom="paragraph">
                        <wp:posOffset>3850640</wp:posOffset>
                      </wp:positionV>
                      <wp:extent cx="7560310" cy="991235"/>
                      <wp:effectExtent l="0" t="0" r="0" b="0"/>
                      <wp:wrapNone/>
                      <wp:docPr id="17"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b/>
          <w:lang w:val="en-GB"/>
        </w:rPr>
      </w:pPr>
      <w:r>
        <w:rPr>
          <w:b/>
          <w:lang w:val="en-GB"/>
        </w:rPr>
      </w:r>
    </w:p>
    <w:p>
      <w:pPr>
        <w:pStyle w:val="Normal"/>
        <w:spacing w:before="0" w:after="240"/>
        <w:ind w:left="0" w:right="0" w:hanging="0"/>
        <w:jc w:val="both"/>
        <w:rPr>
          <w:b/>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1"/>
          <w:headerReference w:type="default" r:id="rId22"/>
          <w:headerReference w:type="first" r:id="rId23"/>
          <w:footerReference w:type="default" r:id="rId24"/>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5"/>
          <w:footerReference w:type="default" r:id="rId26"/>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53"/>
        <w:gridCol w:w="2257"/>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5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19"/>
        <w:gridCol w:w="2418"/>
        <w:gridCol w:w="3828"/>
      </w:tblGrid>
      <w:tr>
        <w:trPr/>
        <w:tc>
          <w:tcPr>
            <w:tcW w:w="38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2"/>
        <w:gridCol w:w="1475"/>
        <w:gridCol w:w="1467"/>
        <w:gridCol w:w="1460"/>
        <w:gridCol w:w="3120"/>
      </w:tblGrid>
      <w:tr>
        <w:trPr/>
        <w:tc>
          <w:tcPr>
            <w:tcW w:w="2402"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7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6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40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40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27"/>
      <w:footerReference w:type="default" r:id="rId28"/>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1">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2">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9">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6">
              <wp:simplePos x="0" y="0"/>
              <wp:positionH relativeFrom="column">
                <wp:posOffset>2869565</wp:posOffset>
              </wp:positionH>
              <wp:positionV relativeFrom="paragraph">
                <wp:posOffset>10391775</wp:posOffset>
              </wp:positionV>
              <wp:extent cx="842010" cy="287655"/>
              <wp:effectExtent l="0" t="635" r="0" b="0"/>
              <wp:wrapNone/>
              <wp:docPr id="9"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6">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51">
              <wp:simplePos x="0" y="0"/>
              <wp:positionH relativeFrom="column">
                <wp:posOffset>0</wp:posOffset>
              </wp:positionH>
              <wp:positionV relativeFrom="paragraph">
                <wp:posOffset>635</wp:posOffset>
              </wp:positionV>
              <wp:extent cx="6616700" cy="267335"/>
              <wp:effectExtent l="5080" t="5715" r="5080" b="4445"/>
              <wp:wrapNone/>
              <wp:docPr id="19"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25">
              <wp:simplePos x="0" y="0"/>
              <wp:positionH relativeFrom="column">
                <wp:posOffset>0</wp:posOffset>
              </wp:positionH>
              <wp:positionV relativeFrom="paragraph">
                <wp:posOffset>635</wp:posOffset>
              </wp:positionV>
              <wp:extent cx="6616700" cy="267335"/>
              <wp:effectExtent l="5080" t="5715" r="5080" b="4445"/>
              <wp:wrapNone/>
              <wp:docPr id="21"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13">
              <wp:simplePos x="0" y="0"/>
              <wp:positionH relativeFrom="column">
                <wp:posOffset>0</wp:posOffset>
              </wp:positionH>
              <wp:positionV relativeFrom="paragraph">
                <wp:posOffset>635</wp:posOffset>
              </wp:positionV>
              <wp:extent cx="6616700" cy="267335"/>
              <wp:effectExtent l="5080" t="5715" r="5080" b="4445"/>
              <wp:wrapNone/>
              <wp:docPr id="23"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3.pn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header" Target="header13.xml"/><Relationship Id="rId28" Type="http://schemas.openxmlformats.org/officeDocument/2006/relationships/footer" Target="footer8.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1618</TotalTime>
  <Application>LibreOffice/7.4.6.2$Linux_X86_64 LibreOffice_project/40$Build-2</Application>
  <AppVersion>15.0000</AppVersion>
  <Pages>39</Pages>
  <Words>10405</Words>
  <Characters>59683</Characters>
  <CharactersWithSpaces>69430</CharactersWithSpaces>
  <Paragraphs>748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2023-07-06T14:11:16Z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