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6.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media/image3.png" ContentType="image/png"/>
  <Override PartName="/word/media/image4.png" ContentType="image/png"/>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footer8.xml" ContentType="application/vnd.openxmlformats-officedocument.wordprocessingml.footer+xml"/>
  <Override PartName="/word/header13.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header1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ind w:left="0" w:right="0" w:hanging="0"/>
        <w:rPr>
          <w:lang w:val="en-GB"/>
        </w:rPr>
      </w:pPr>
      <w:r>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pPr>
      <w:r>
        <w:rPr/>
        <w:drawing>
          <wp:inline distT="0" distB="0" distL="0" distR="0">
            <wp:extent cx="3200400" cy="21386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0400" cy="2138680"/>
                    </a:xfrm>
                    <a:prstGeom prst="rect">
                      <a:avLst/>
                    </a:prstGeom>
                  </pic:spPr>
                </pic:pic>
              </a:graphicData>
            </a:graphic>
          </wp:inline>
        </w:drawing>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ind w:left="0" w:right="0" w:hanging="0"/>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ind w:left="0" w:right="0" w:hanging="0"/>
        <w:jc w:val="center"/>
        <w:rPr>
          <w:lang w:val="en-GB"/>
        </w:rPr>
      </w:pPr>
      <w:r>
        <w:rPr>
          <w:rFonts w:ascii="EC Square Sans Pro Medium" w:hAnsi="EC Square Sans Pro Medium"/>
          <w:b/>
          <w:bCs/>
          <w:sz w:val="48"/>
          <w:szCs w:val="48"/>
          <w:lang w:val="en-GB"/>
        </w:rPr>
        <w:t>Horizon Europe Programme</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48"/>
          <w:szCs w:val="48"/>
          <w:lang w:val="en-GB"/>
        </w:rPr>
        <w:t>Specific Application Form (HE CSA)</w:t>
      </w:r>
    </w:p>
    <w:p>
      <w:pPr>
        <w:pStyle w:val="Normal"/>
        <w:ind w:left="0" w:right="0" w:hanging="0"/>
        <w:jc w:val="center"/>
        <w:rPr>
          <w:lang w:val="en-GB"/>
        </w:rPr>
      </w:pPr>
      <w:r>
        <w:rPr>
          <w:rFonts w:ascii="EC Square Sans Pro Light" w:hAnsi="EC Square Sans Pro Light"/>
          <w:b/>
          <w:bCs/>
          <w:sz w:val="48"/>
          <w:szCs w:val="48"/>
          <w:lang w:val="en-GB"/>
        </w:rPr>
        <w:t>HORIZON-WIDERA-2023-ACCESS-02</w:t>
        <w:br/>
      </w:r>
    </w:p>
    <w:p>
      <w:pPr>
        <w:pStyle w:val="Normal"/>
        <w:ind w:left="0" w:right="0" w:hanging="0"/>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ind w:left="0" w:right="0" w:hanging="0"/>
        <w:jc w:val="center"/>
        <w:rPr>
          <w:lang w:val="en-GB"/>
        </w:rPr>
      </w:pPr>
      <w:r>
        <w:rPr>
          <w:rFonts w:ascii="EC Square Sans Pro Light" w:hAnsi="EC Square Sans Pro Light"/>
          <w:b/>
          <w:bCs/>
          <w:sz w:val="32"/>
          <w:szCs w:val="32"/>
          <w:lang w:val="en-GB"/>
        </w:rPr>
        <w:t xml:space="preserve">Project proposal – Technical description (Part B) </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fmt="decimal"/>
          <w:formProt w:val="false"/>
          <w:textDirection w:val="lrTb"/>
          <w:docGrid w:type="default" w:linePitch="100" w:charSpace="8396"/>
        </w:sectPr>
        <w:pStyle w:val="Normal"/>
        <w:spacing w:before="11" w:after="0"/>
        <w:ind w:left="0" w:right="0" w:hanging="0"/>
        <w:jc w:val="center"/>
        <w:rPr>
          <w:lang w:val="en-GB"/>
        </w:rPr>
      </w:pPr>
      <w:r>
        <w:rPr>
          <w:rFonts w:ascii="EC Square Sans Pro Light" w:hAnsi="EC Square Sans Pro Light"/>
          <w:b/>
          <w:bCs/>
          <w:sz w:val="28"/>
          <w:szCs w:val="28"/>
          <w:lang w:val="en-GB"/>
        </w:rPr>
        <w:t>14 February 2023</w:t>
      </w:r>
    </w:p>
    <w:p>
      <w:pPr>
        <w:pStyle w:val="Normal"/>
        <w:ind w:left="0" w:right="0" w:hanging="0"/>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right="0"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ind w:left="0" w:right="0" w:hanging="0"/>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ind w:left="0" w:right="0" w:hanging="0"/>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ind w:left="0" w:right="0" w:hanging="0"/>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tbl>
      <w:tblPr>
        <w:tblW w:w="9139" w:type="dxa"/>
        <w:jc w:val="center"/>
        <w:tblInd w:w="0" w:type="dxa"/>
        <w:tblLayout w:type="fixed"/>
        <w:tblCellMar>
          <w:top w:w="0" w:type="dxa"/>
          <w:left w:w="108" w:type="dxa"/>
          <w:bottom w:w="0" w:type="dxa"/>
          <w:right w:w="108" w:type="dxa"/>
        </w:tblCellMar>
      </w:tblPr>
      <w:tblGrid>
        <w:gridCol w:w="1072"/>
        <w:gridCol w:w="1560"/>
        <w:gridCol w:w="6507"/>
      </w:tblGrid>
      <w:tr>
        <w:trPr/>
        <w:tc>
          <w:tcPr>
            <w:tcW w:w="9139"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before="120" w:after="60"/>
              <w:ind w:left="0" w:right="0" w:hanging="0"/>
              <w:jc w:val="center"/>
              <w:rPr>
                <w:lang w:val="en-GB"/>
              </w:rPr>
            </w:pPr>
            <w:bookmarkStart w:id="0" w:name="_Toc448834151"/>
            <w:bookmarkStart w:id="1" w:name="_Toc448828797"/>
            <w:bookmarkStart w:id="2" w:name="_Toc448828577"/>
            <w:bookmarkStart w:id="3" w:name="_Toc445930535"/>
            <w:bookmarkStart w:id="4" w:name="_Toc443645004"/>
            <w:r>
              <w:rPr>
                <w:b/>
                <w:bCs/>
                <w:iCs/>
                <w:szCs w:val="20"/>
                <w:lang w:val="en-GB"/>
              </w:rPr>
              <w:t>HISTORY OF CHANGES</w:t>
            </w:r>
            <w:bookmarkEnd w:id="0"/>
            <w:bookmarkEnd w:id="1"/>
            <w:bookmarkEnd w:id="2"/>
            <w:bookmarkEnd w:id="3"/>
            <w:bookmarkEnd w:id="4"/>
          </w:p>
        </w:tc>
      </w:tr>
      <w:tr>
        <w:trPr/>
        <w:tc>
          <w:tcPr>
            <w:tcW w:w="107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5" w:name="_Toc443645005"/>
            <w:bookmarkStart w:id="6" w:name="_Toc445930536"/>
            <w:bookmarkStart w:id="7" w:name="_Toc448828578"/>
            <w:bookmarkStart w:id="8" w:name="_Toc448828798"/>
            <w:bookmarkStart w:id="9" w:name="_Toc448834152"/>
            <w:r>
              <w:rPr>
                <w:b/>
                <w:bCs/>
                <w:iCs/>
                <w:szCs w:val="20"/>
                <w:lang w:val="en-GB"/>
              </w:rPr>
              <w:t>Version</w:t>
            </w:r>
            <w:bookmarkEnd w:id="5"/>
            <w:bookmarkEnd w:id="6"/>
            <w:bookmarkEnd w:id="7"/>
            <w:bookmarkEnd w:id="8"/>
            <w:bookmarkEnd w:id="9"/>
          </w:p>
        </w:tc>
        <w:tc>
          <w:tcPr>
            <w:tcW w:w="1560"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0" w:name="_Toc448834153"/>
            <w:bookmarkStart w:id="11" w:name="_Toc448828799"/>
            <w:bookmarkStart w:id="12" w:name="_Toc448828579"/>
            <w:bookmarkStart w:id="13" w:name="_Toc445930537"/>
            <w:bookmarkStart w:id="14" w:name="_Toc443645006"/>
            <w:r>
              <w:rPr>
                <w:b/>
                <w:bCs/>
                <w:iCs/>
                <w:szCs w:val="20"/>
                <w:lang w:val="en-GB"/>
              </w:rPr>
              <w:t>Publication date</w:t>
            </w:r>
            <w:bookmarkEnd w:id="10"/>
            <w:bookmarkEnd w:id="11"/>
            <w:bookmarkEnd w:id="12"/>
            <w:bookmarkEnd w:id="13"/>
            <w:bookmarkEnd w:id="14"/>
          </w:p>
        </w:tc>
        <w:tc>
          <w:tcPr>
            <w:tcW w:w="6507"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5" w:name="_Toc448834154"/>
            <w:bookmarkStart w:id="16" w:name="_Toc443645007"/>
            <w:bookmarkStart w:id="17" w:name="_Toc445930538"/>
            <w:bookmarkStart w:id="18" w:name="_Toc448828580"/>
            <w:bookmarkStart w:id="19" w:name="_Toc448828800"/>
            <w:r>
              <w:rPr>
                <w:b/>
                <w:bCs/>
                <w:iCs/>
                <w:szCs w:val="20"/>
                <w:lang w:val="en-GB"/>
              </w:rPr>
              <w:t>Changes</w:t>
            </w:r>
            <w:bookmarkEnd w:id="15"/>
            <w:bookmarkEnd w:id="16"/>
            <w:bookmarkEnd w:id="17"/>
            <w:bookmarkEnd w:id="18"/>
            <w:bookmarkEnd w:id="19"/>
          </w:p>
        </w:tc>
      </w:tr>
      <w:tr>
        <w:trPr/>
        <w:tc>
          <w:tcPr>
            <w:tcW w:w="1072" w:type="dxa"/>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s>
              <w:spacing w:before="60" w:after="60"/>
              <w:ind w:left="0" w:right="0" w:hanging="0"/>
              <w:jc w:val="center"/>
              <w:rPr>
                <w:lang w:val="en-GB"/>
              </w:rPr>
            </w:pPr>
            <w:r>
              <w:rPr>
                <w:sz w:val="18"/>
                <w:szCs w:val="18"/>
                <w:lang w:val="en-GB"/>
              </w:rPr>
              <w:t>1.0</w:t>
            </w:r>
          </w:p>
        </w:tc>
        <w:tc>
          <w:tcPr>
            <w:tcW w:w="1560"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tabs>
                <w:tab w:val="clear" w:pos="720"/>
              </w:tabs>
              <w:spacing w:before="60" w:after="60"/>
              <w:ind w:left="0" w:right="0" w:hanging="0"/>
              <w:jc w:val="center"/>
              <w:rPr>
                <w:lang w:val="en-GB"/>
              </w:rPr>
            </w:pPr>
            <w:r>
              <w:rPr>
                <w:sz w:val="18"/>
                <w:szCs w:val="18"/>
                <w:lang w:val="en-GB"/>
              </w:rPr>
              <w:t>14.02.2023</w:t>
            </w:r>
          </w:p>
        </w:tc>
        <w:tc>
          <w:tcPr>
            <w:tcW w:w="6507"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tabs>
                <w:tab w:val="clear" w:pos="720"/>
              </w:tabs>
              <w:spacing w:before="60" w:after="60"/>
              <w:ind w:left="318" w:right="0" w:hanging="284"/>
              <w:jc w:val="both"/>
              <w:rPr>
                <w:lang w:val="en-GB"/>
              </w:rPr>
            </w:pPr>
            <w:r>
              <w:rPr>
                <w:sz w:val="18"/>
                <w:szCs w:val="18"/>
                <w:lang w:val="en-GB"/>
              </w:rPr>
              <w:t>Initial version</w:t>
            </w:r>
          </w:p>
        </w:tc>
      </w:tr>
    </w:tbl>
    <w:p>
      <w:pPr>
        <w:pStyle w:val="Normal"/>
        <w:widowControl w:val="false"/>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sectPr>
          <w:headerReference w:type="default" r:id="rId5"/>
          <w:footerReference w:type="default" r:id="rId6"/>
          <w:type w:val="nextPage"/>
          <w:pgSz w:w="11906" w:h="16838"/>
          <w:pgMar w:left="851" w:right="851" w:gutter="0" w:header="720" w:top="851" w:footer="720" w:bottom="1066"/>
          <w:pgNumType w:start="1" w:fmt="decimal"/>
          <w:formProt w:val="false"/>
          <w:textDirection w:val="lrTb"/>
          <w:docGrid w:type="default" w:linePitch="100" w:charSpace="8396"/>
        </w:sect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rPr>
          <w:lang w:val="en-GB"/>
        </w:rPr>
      </w:pPr>
      <w:r>
        <w:rPr>
          <w:lang w:val="en-GB"/>
        </w:rPr>
      </w:r>
      <w:bookmarkStart w:id="20" w:name="_Toc448834156"/>
      <w:bookmarkStart w:id="21" w:name="_Toc448834156_Copy_1"/>
      <w:bookmarkStart w:id="22" w:name="_Toc448834156"/>
      <w:bookmarkStart w:id="23" w:name="_Toc448834156_Copy_1"/>
      <w:bookmarkEnd w:id="22"/>
      <w:bookmarkEnd w:id="23"/>
    </w:p>
    <w:p>
      <w:pPr>
        <w:pStyle w:val="Normal"/>
        <w:ind w:left="0" w:right="0" w:hanging="0"/>
        <w:jc w:val="center"/>
        <w:rPr>
          <w:rFonts w:ascii="Arial" w:hAnsi="Arial" w:cs="Arial"/>
          <w:b/>
          <w:b/>
          <w:sz w:val="20"/>
          <w:szCs w:val="20"/>
          <w:u w:val="single"/>
        </w:rPr>
      </w:pPr>
      <w:r>
        <w:rPr>
          <w:rFonts w:cs="Arial" w:ascii="Arial" w:hAnsi="Arial"/>
          <w:b/>
          <w:sz w:val="20"/>
          <w:szCs w:val="20"/>
          <w:u w:val="single"/>
        </w:rPr>
      </w:r>
    </w:p>
    <w:p>
      <w:pPr>
        <w:pStyle w:val="Normal"/>
        <w:ind w:left="0" w:right="0" w:hanging="0"/>
        <w:jc w:val="center"/>
        <w:rPr>
          <w:lang w:val="en-GB"/>
        </w:rPr>
      </w:pPr>
      <w:r>
        <w:rPr>
          <w:b/>
          <w:sz w:val="40"/>
          <w:szCs w:val="40"/>
          <w:lang w:val="en-GB"/>
        </w:rPr>
        <w:t>Proposal template Part B: technical description</w:t>
      </w:r>
    </w:p>
    <w:p>
      <w:pPr>
        <w:pStyle w:val="Normal"/>
        <w:ind w:left="0" w:right="0" w:hanging="0"/>
        <w:jc w:val="center"/>
        <w:rPr>
          <w:lang w:val="en-GB"/>
        </w:rPr>
      </w:pPr>
      <w:r>
        <w:rPr>
          <w:b/>
          <w:i/>
          <w:lang w:val="en-GB"/>
        </w:rPr>
        <w:t>(for full proposals: single stage submission procedure and 2</w:t>
      </w:r>
      <w:r>
        <w:rPr>
          <w:b/>
          <w:i/>
          <w:vertAlign w:val="superscript"/>
          <w:lang w:val="en-GB"/>
        </w:rPr>
        <w:t>nd</w:t>
      </w:r>
      <w:r>
        <w:rPr>
          <w:b/>
          <w:i/>
          <w:lang w:val="en-GB"/>
        </w:rPr>
        <w:t xml:space="preserve"> stage of a two-stage submission procedure)</w:t>
      </w:r>
    </w:p>
    <w:p>
      <w:pPr>
        <w:pStyle w:val="Normal"/>
        <w:ind w:left="0" w:right="0" w:hanging="0"/>
        <w:jc w:val="both"/>
        <w:rPr>
          <w:lang w:val="en-GB"/>
        </w:rPr>
      </w:pPr>
      <w:r>
        <w:rPr>
          <w:lang w:val="en-GB"/>
        </w:rPr>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template is to be used in a single-stage submission procedure or at the 2</w:t>
      </w:r>
      <w:r>
        <w:rPr>
          <w:rFonts w:ascii="Times New Roman" w:hAnsi="Times New Roman"/>
          <w:vertAlign w:val="superscript"/>
          <w:lang w:val="en-GB"/>
        </w:rPr>
        <w:t>nd</w:t>
      </w:r>
      <w:r>
        <w:rPr>
          <w:rFonts w:ascii="Times New Roman" w:hAnsi="Times New Roman"/>
          <w:lang w:val="en-GB"/>
        </w:rPr>
        <w:t xml:space="preserve"> stage of a two-stage submission procedure.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be aware that proposals will be evaluated as they were submitted, rather than on their potential if certain changes were to be made. This means that only proposals that successfully address all the required aspects will have a chance of being funded. There will be no possibility for significant changes to content, budget and consortium composition during grant preparation.</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165100" cy="165100"/>
                    </a:xfrm>
                    <a:prstGeom prst="rect">
                      <a:avLst/>
                    </a:prstGeom>
                  </pic:spPr>
                </pic:pic>
              </a:graphicData>
            </a:graphic>
          </wp:inline>
        </w:drawing>
      </w:r>
      <w:r>
        <w:rPr>
          <w:rFonts w:ascii="Times New Roman" w:hAnsi="Times New Roman"/>
          <w:b/>
          <w:lang w:val="en-GB"/>
        </w:rPr>
        <w:t xml:space="preserve"> </w:t>
      </w:r>
      <w:r>
        <w:rPr>
          <w:rFonts w:ascii="Times New Roman" w:hAnsi="Times New Roman"/>
          <w:b/>
          <w:lang w:val="en-GB"/>
        </w:rPr>
        <w:t>Page limit</w:t>
      </w:r>
      <w:r>
        <w:rPr>
          <w:rFonts w:ascii="Times New Roman" w:hAnsi="Times New Roman"/>
          <w:lang w:val="en-GB"/>
        </w:rPr>
        <w:t xml:space="preserve">: </w:t>
      </w:r>
      <w:r>
        <w:rPr>
          <w:rFonts w:ascii="Times New Roman" w:hAnsi="Times New Roman"/>
          <w:u w:val="single"/>
          <w:lang w:val="en-GB"/>
        </w:rPr>
        <w:t>The title, list of participants and sections 1, 2 and 3, together, should not be longer than 30 pages. For topics using lump sum funding, the limit is 33 pages</w:t>
      </w:r>
      <w:r>
        <w:rPr>
          <w:rFonts w:ascii="Times New Roman" w:hAnsi="Times New Roman"/>
          <w:lang w:val="en-GB"/>
        </w:rPr>
        <w:t xml:space="preserve"> All tables, figures, references and any other element pertaining to these sections must be included as an integral part of these sections and are thus counted against this page limit. The number of pages included in each section of this template is only </w:t>
      </w:r>
      <w:r>
        <w:rPr>
          <w:rFonts w:ascii="Times New Roman" w:hAnsi="Times New Roman"/>
          <w:b/>
          <w:lang w:val="en-GB"/>
        </w:rPr>
        <w:t>indicative.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page limit will be applied automatically. </w:t>
      </w:r>
      <w:r>
        <w:rPr>
          <w:rFonts w:ascii="Times New Roman" w:hAnsi="Times New Roman"/>
          <w:b/>
          <w:lang w:val="en-GB"/>
        </w:rPr>
        <w:t>At the end of the document you can see the structure of the actual proposal that you need to submit, please remove all instruction pages that are watermarked.</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If you attempt to upload a proposal longer than the specified limit before the deadline, you will receive an automatic warning and will be advised to shorten and re-upload the proposal. After the deadline, excess pages (in over-long proposals/applications) will be automatically made invisible, and will not be taken into consideration by the experts. The proposal is a self-contained document.  Experts will be instructed to ignore hyperlinks to information that is specifically designed to expand the proposal, thus circumventing the page limit.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do not consider the page limit as a target! It is in your interest to keep your text as concise as possible, since experts rarely view unnecessarily long proposals in a positive light.</w:t>
      </w:r>
      <w:r>
        <w:rPr/>
        <w:t xml:space="preserve">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165100" cy="165100"/>
                    </a:xfrm>
                    <a:prstGeom prst="rect">
                      <a:avLst/>
                    </a:prstGeom>
                  </pic:spPr>
                </pic:pic>
              </a:graphicData>
            </a:graphic>
          </wp:inline>
        </w:drawing>
      </w:r>
      <w:r>
        <w:rPr>
          <w:rFonts w:ascii="Times New Roman" w:hAnsi="Times New Roman"/>
          <w:lang w:val="en-GB"/>
        </w:rPr>
        <w:t xml:space="preserve"> </w:t>
      </w:r>
      <w:r>
        <w:rPr>
          <w:rFonts w:ascii="Times New Roman" w:hAnsi="Times New Roman"/>
          <w:lang w:val="en-GB"/>
        </w:rPr>
        <w:t xml:space="preserve">The following formatting conditions apply.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reference font for the body text of proposals is Times New Roman (Windows platforms), Times/Times New Roman (Apple platforms) or Nimbus Roman No. 9 L (Linux distributions).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use of a different font for the body text is not advised and is subject to the cumulative conditions that the font is legible and that its use does not significantly shorten the representation of the proposal in number of pages compared to using the reference font (for example with a view to bypass the page limit).</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minimum font size allowed is 11 points. Standard character spacing and a minimum of single line spacing is to be used. This applies to the body text, including text in tables.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Text elements other than the body text, such as headers, foot/end notes, captions, formula's, may deviate, but must be legible.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page size is A4, and all margins (top, bottom, left, right) should be at least 15 mm (not including any footers or headers).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document is tagged. Be careful not to delete the tags; they are needed for processing.</w:t>
      </w:r>
    </w:p>
    <w:p>
      <w:pPr>
        <w:pStyle w:val="Normal"/>
        <w:spacing w:before="0" w:after="200"/>
        <w:ind w:left="0" w:right="0" w:hanging="0"/>
        <w:rPr>
          <w:b/>
          <w:b/>
          <w:lang w:val="en-GB"/>
        </w:rPr>
      </w:pPr>
      <w:r>
        <w:rPr>
          <w:b/>
          <w:lang w:val="en-GB"/>
        </w:rPr>
      </w:r>
    </w:p>
    <w:tbl>
      <w:tblPr>
        <w:tblW w:w="10313" w:type="dxa"/>
        <w:jc w:val="left"/>
        <w:tblInd w:w="-114" w:type="dxa"/>
        <w:tblLayout w:type="fixed"/>
        <w:tblCellMar>
          <w:top w:w="0" w:type="dxa"/>
          <w:left w:w="108" w:type="dxa"/>
          <w:bottom w:w="0" w:type="dxa"/>
          <w:right w:w="108" w:type="dxa"/>
        </w:tblCellMar>
      </w:tblPr>
      <w:tblGrid>
        <w:gridCol w:w="1263"/>
        <w:gridCol w:w="9049"/>
      </w:tblGrid>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center"/>
              <w:rPr/>
            </w:pPr>
            <w:r>
              <w:rPr>
                <w:b/>
                <w:bCs/>
              </w:rPr>
              <w:t>DEFINITIONS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Critical risk</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critical risk is a plausible event or issue that could have a high adverse impact on the ability of the project to achieve its objectives.</w:t>
            </w:r>
          </w:p>
          <w:p>
            <w:pPr>
              <w:pStyle w:val="Normal"/>
              <w:widowControl w:val="false"/>
              <w:tabs>
                <w:tab w:val="clear" w:pos="720"/>
              </w:tabs>
              <w:spacing w:before="0" w:after="200"/>
              <w:ind w:left="0" w:right="0" w:hanging="0"/>
              <w:jc w:val="both"/>
              <w:rPr/>
            </w:pPr>
            <w:r>
              <w:rPr>
                <w:bCs/>
              </w:rPr>
              <w:t>Level of likelihood to occur (Low/medium/high): The likelihood is the estimated probability that the risk will materialise even after taking account of the mitigating measures put in place.</w:t>
            </w:r>
          </w:p>
          <w:p>
            <w:pPr>
              <w:pStyle w:val="Normal"/>
              <w:widowControl w:val="false"/>
              <w:tabs>
                <w:tab w:val="clear" w:pos="720"/>
              </w:tabs>
              <w:spacing w:before="0" w:after="200"/>
              <w:ind w:left="0" w:right="0" w:hanging="0"/>
              <w:jc w:val="both"/>
              <w:rPr>
                <w:lang w:val="en-GB"/>
              </w:rPr>
            </w:pPr>
            <w:r>
              <w:rPr>
                <w:bCs/>
                <w:lang w:val="en-GB"/>
              </w:rPr>
              <w:t>Level of severity (Low/medium/high): The relative seriousness of the risk and the significance of its effect.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Deliverable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report that is sent to the Commission or Agency providing information to ensure effective monitoring of the project. There are different types of deliverables (e.g. a report on specific activities or results, data management plans, ethics or security requirements).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Impacts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Wider long term effects on society (including the environment), the economy and science, enabled by the outcomes of R&amp;I investments (long term). It refers to the specific contribution of the project to the work programme expected impacts described in the destination. Impacts generally occur some time after the end of the project.</w:t>
            </w:r>
          </w:p>
          <w:p>
            <w:pPr>
              <w:pStyle w:val="Normal"/>
              <w:widowControl w:val="false"/>
              <w:tabs>
                <w:tab w:val="clear" w:pos="720"/>
              </w:tabs>
              <w:spacing w:before="0" w:after="200"/>
              <w:ind w:left="0" w:right="0" w:hanging="0"/>
              <w:jc w:val="both"/>
              <w:rPr/>
            </w:pPr>
            <w:r>
              <w:rPr>
                <w:bCs/>
              </w:rPr>
              <w:t xml:space="preserve">Example: </w:t>
            </w:r>
            <w:r>
              <w:rPr>
                <w:bCs/>
                <w:i/>
              </w:rPr>
              <w:t xml:space="preserve">The deployment of the advanced forecasting system enables each airport to </w:t>
            </w:r>
            <w:r>
              <w:rPr>
                <w:bCs/>
                <w:i/>
                <w:iCs/>
              </w:rPr>
              <w:t>increase maximum passenger capacity by 15% and passenger average throughput by 10%, leading to a 28% reduction in infrastructure expansion costs.</w:t>
            </w:r>
          </w:p>
        </w:tc>
      </w:tr>
      <w:tr>
        <w:trPr>
          <w:trHeight w:val="142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Milestone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107" w:hanging="0"/>
              <w:jc w:val="both"/>
              <w:rPr/>
            </w:pPr>
            <w:r>
              <w:rPr>
                <w:bCs/>
              </w:rPr>
              <w:t>Control points in the project that help to chart progress. Milestones may correspond to the achievement of a key result, allowing the next phase of the work to begin. They may also be needed at intermediary points so that, if problems have arisen, corrective measures can be taken. A milestone may be a critical decision point in the project where, for example, the consortium must decide which of several technologies to adopt for further development.</w:t>
            </w:r>
            <w:r>
              <w:rPr>
                <w:b/>
              </w:rPr>
              <w:t xml:space="preserve"> </w:t>
            </w:r>
            <w:r>
              <w:rPr>
                <w:bCs/>
              </w:rPr>
              <w:t>The achievement of a milestone should be verifiable.</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Objectives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goals of the work performed within the project, in terms of its research and innovation content. This will be translated into the project’s results. These may range from tackling specific research questions, demonstrating the feasibility of an innovation, sharing knowledge among stakeholders on specific issues. The nature of the objectives will depend on the type of action, and the scope of the topic.</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Outcomes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expected effects, over the medium term, of projects supported under a given topic.  The results of a project should contribute to these outcomes, fostered in particular by the dissemination and exploitation measures. This may include the uptake, diffusion, deployment, and/or use of the project’s results by direct target groups. Outcomes generally occur shortly after the end of the project.</w:t>
            </w:r>
          </w:p>
          <w:p>
            <w:pPr>
              <w:pStyle w:val="Normal"/>
              <w:widowControl w:val="false"/>
              <w:tabs>
                <w:tab w:val="clear" w:pos="720"/>
              </w:tabs>
              <w:spacing w:before="0" w:after="200"/>
              <w:ind w:left="0" w:right="0" w:hanging="0"/>
              <w:jc w:val="both"/>
              <w:rPr/>
            </w:pPr>
            <w:r>
              <w:rPr>
                <w:bCs/>
              </w:rPr>
              <w:t xml:space="preserve">Example:  </w:t>
            </w:r>
            <w:r>
              <w:rPr>
                <w:i/>
              </w:rPr>
              <w:t>9 European airports adopt the advanced forecasting system demonstrated during the project.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Pathway to impact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Logical steps towards the achievement of the expected impacts of the project over time, in particular beyond the duration of a project. A pathway begins with the projects’ results, to their dissemination, exploitation and communication, contributing to the expected outcomes in the work programme topic, and ultimately to the wider scientific, economic and societal impacts of the work programme destination.</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Research output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Results generated by the action to which access can be given in the form of scientific publications, data or other engineered outcomes and processes such as software, algorithms, protocols and electronic notebooks.</w:t>
            </w:r>
          </w:p>
        </w:tc>
      </w:tr>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ntions, scientific works, etc.) are ‘Intellectual Property’, which may, if appropriate, be protected by formal Intellectual Property Rights.</w:t>
            </w:r>
          </w:p>
          <w:p>
            <w:pPr>
              <w:pStyle w:val="Normal"/>
              <w:widowControl w:val="false"/>
              <w:tabs>
                <w:tab w:val="clear" w:pos="720"/>
              </w:tabs>
              <w:spacing w:before="0" w:after="200"/>
              <w:ind w:left="0" w:right="0" w:hanging="0"/>
              <w:jc w:val="both"/>
              <w:rPr/>
            </w:pPr>
            <w:r>
              <w:rPr>
                <w:bCs/>
              </w:rPr>
              <w:t xml:space="preserve">Example: </w:t>
            </w:r>
            <w:r>
              <w:rPr>
                <w:i/>
                <w:lang w:val="en-GB"/>
              </w:rPr>
              <w:t>Successful large-scale demonstrator: trial with 3 airports of an advanced forecasting system for proactive airport passenger flow management.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Technology Readiness Level</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See Work Programme General Annexes B</w:t>
            </w:r>
          </w:p>
        </w:tc>
      </w:tr>
    </w:tbl>
    <w:p>
      <w:pPr>
        <w:sectPr>
          <w:headerReference w:type="even" r:id="rId9"/>
          <w:headerReference w:type="default" r:id="rId10"/>
          <w:headerReference w:type="first" r:id="rId11"/>
          <w:footerReference w:type="default" r:id="rId12"/>
          <w:footerReference w:type="first" r:id="rId13"/>
          <w:type w:val="nextPage"/>
          <w:pgSz w:w="11906" w:h="16838"/>
          <w:pgMar w:left="1134" w:right="1134" w:gutter="0" w:header="720" w:top="1134" w:footer="720" w:bottom="1134"/>
          <w:pgNumType w:fmt="decimal"/>
          <w:formProt w:val="false"/>
          <w:titlePg/>
          <w:textDirection w:val="lrTb"/>
          <w:docGrid w:type="default" w:linePitch="100" w:charSpace="8396"/>
        </w:sectPr>
      </w:pPr>
    </w:p>
    <w:p>
      <w:pPr>
        <w:pStyle w:val="Normal"/>
        <w:widowControl w:val="false"/>
        <w:spacing w:before="0" w:after="120"/>
        <w:ind w:left="0" w:right="0" w:hanging="0"/>
        <w:jc w:val="both"/>
        <w:rPr>
          <w:i/>
          <w:i/>
        </w:rPr>
      </w:pPr>
      <w:r>
        <w:rPr>
          <w:i/>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b/>
          <w:smallCaps/>
          <w:sz w:val="28"/>
          <w:szCs w:val="28"/>
          <w:lang w:val="en-GB"/>
        </w:rPr>
        <w:t>NTUA Space Geodesy Centre of excellence</w:t>
      </w:r>
    </w:p>
    <w:p>
      <w:pPr>
        <w:pStyle w:val="Tags"/>
        <w:bidi w:val="0"/>
        <w:spacing w:before="0" w:after="0"/>
        <w:ind w:left="0" w:right="0" w:hanging="0"/>
        <w:rPr>
          <w:lang w:val="en-US"/>
        </w:rPr>
      </w:pPr>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p>
    <w:p>
      <w:pPr>
        <w:pStyle w:val="Normal"/>
        <w:spacing w:before="0" w:after="200"/>
        <w:ind w:left="0" w:right="0" w:hanging="0"/>
        <w:jc w:val="both"/>
        <w:rPr>
          <w:lang w:val="en-GB"/>
        </w:rPr>
      </w:pPr>
      <w:r>
        <w:rPr>
          <w:b/>
          <w:lang w:val="en-GB"/>
        </w:rPr>
        <w:t xml:space="preserve">List of participants </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lang w:val="en-GB"/>
              </w:rPr>
              <w:t>1 NTUA</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2 CLS</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3 IPGP</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4 GFZ</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5 OSO</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bl>
    <w:p>
      <w:pPr>
        <w:pStyle w:val="Normal"/>
        <w:widowControl w:val="false"/>
        <w:spacing w:lineRule="atLeast" w:line="360" w:before="0" w:after="240"/>
        <w:ind w:left="426" w:right="0" w:hanging="0"/>
        <w:rPr/>
      </w:pPr>
      <w:r>
        <w:rPr>
          <w:sz w:val="20"/>
          <w:szCs w:val="20"/>
        </w:rPr>
        <w:t xml:space="preserve">* </w:t>
      </w:r>
      <w:r>
        <w:rPr>
          <w:sz w:val="20"/>
          <w:szCs w:val="20"/>
          <w:lang w:val="en-GB"/>
        </w:rPr>
        <w:t xml:space="preserve">Please use the same participant numbering and name as that used in the administrative proposal forms. </w:t>
      </w:r>
    </w:p>
    <w:p>
      <w:pPr>
        <w:pStyle w:val="ListParagraph"/>
        <w:widowControl/>
        <w:bidi w:val="0"/>
        <w:spacing w:lineRule="auto" w:line="252" w:before="0" w:after="200"/>
        <w:ind w:left="360" w:right="0" w:hanging="0"/>
        <w:contextualSpacing/>
        <w:jc w:val="both"/>
        <w:rPr>
          <w:lang w:val="en-GB"/>
        </w:rPr>
      </w:pPr>
      <w:r>
        <w:rPr>
          <w:lang w:val="en-GB"/>
        </w:rPr>
      </w:r>
      <w:r>
        <w:br w:type="page"/>
      </w:r>
    </w:p>
    <w:p>
      <w:pPr>
        <w:pStyle w:val="Normal"/>
        <w:spacing w:before="0" w:after="200"/>
        <w:ind w:left="0" w:right="0" w:hanging="0"/>
        <w:jc w:val="both"/>
        <w:rPr>
          <w:lang w:val="en-GB"/>
        </w:rPr>
      </w:pPr>
      <w:r>
        <w:rPr>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fr-BE"/>
        </w:rPr>
      </w:pPr>
      <w:r>
        <w:rPr>
          <w:b/>
          <w:lang w:val="fr-BE"/>
        </w:rPr>
        <w:t>1.1</w:t>
        <w:tab/>
        <w:t xml:space="preserve">Objectives </w:t>
      </w:r>
      <w:r>
        <w:rPr>
          <w:rFonts w:cs="Arial"/>
          <w:color w:val="B5B5B5"/>
          <w:sz w:val="18"/>
          <w:szCs w:val="16"/>
        </w:rPr>
        <w:t>#@PRJ-OBJ-PO@#</w:t>
      </w:r>
      <w:r>
        <w:rPr>
          <w:i/>
          <w:lang w:val="fr-BE"/>
        </w:rPr>
        <w:t xml:space="preserve"> </w:t>
      </w:r>
    </w:p>
    <w:p>
      <w:pPr>
        <w:pStyle w:val="Normal"/>
        <w:widowControl/>
        <w:spacing w:before="0" w:after="200"/>
        <w:ind w:right="0" w:hanging="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and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ind w:right="0" w:hanging="0"/>
        <w:jc w:val="both"/>
        <w:rPr/>
      </w:pPr>
      <w:r>
        <w:rPr/>
        <w:t>Space Geodesy is an ever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accurate observations and models for the Earth’s rotation and orientation as well as spatial reference frames of the utmost quality.</w:t>
      </w:r>
    </w:p>
    <w:p>
      <w:pPr>
        <w:pStyle w:val="Normal"/>
        <w:widowControl/>
        <w:spacing w:before="0" w:after="200"/>
        <w:ind w:right="0" w:hanging="0"/>
        <w:jc w:val="both"/>
        <w:rPr/>
      </w:pPr>
      <w:r>
        <w:rPr/>
        <w:t>The ever-increasing number of earth orbiting satellite missions accompanied with an ever increasing need for improved accuracy demanded by a series of applications (e.g. climate change studies), have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evident of the exciting future and renovated importance and expectations of the field.</w:t>
      </w:r>
    </w:p>
    <w:p>
      <w:pPr>
        <w:pStyle w:val="Normal"/>
        <w:widowControl/>
        <w:spacing w:before="0" w:after="200"/>
        <w:ind w:right="0" w:hanging="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ind w:right="0" w:hanging="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data/photos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w:t>
      </w:r>
    </w:p>
    <w:p>
      <w:pPr>
        <w:pStyle w:val="Normal"/>
        <w:widowControl/>
        <w:spacing w:before="0" w:after="200"/>
        <w:ind w:right="0" w:hanging="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ind w:right="0" w:hanging="0"/>
        <w:jc w:val="both"/>
        <w:rPr/>
      </w:pPr>
      <w:r>
        <w:rPr/>
        <w:t>Consortium partners (other than the host), are hand-picked prestigious internationally leading experts in a series of Space Geodetic techniques. Through the synergy with these institutes, NTUA will be able to:</w:t>
      </w:r>
    </w:p>
    <w:p>
      <w:pPr>
        <w:pStyle w:val="Normal"/>
        <w:widowControl/>
        <w:numPr>
          <w:ilvl w:val="0"/>
          <w:numId w:val="17"/>
        </w:numPr>
        <w:spacing w:before="0" w:after="200"/>
        <w:jc w:val="both"/>
        <w:rPr/>
      </w:pPr>
      <w:r>
        <w:rPr/>
        <w:t>Significantly enhance its research capacity, both in terms of technical knowledge, skills and toolsets (e.g. software tools) as well as in terms of research project submission/claiming and management.</w:t>
      </w:r>
    </w:p>
    <w:p>
      <w:pPr>
        <w:pStyle w:val="Normal"/>
        <w:widowControl/>
        <w:numPr>
          <w:ilvl w:val="0"/>
          <w:numId w:val="1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17"/>
        </w:numPr>
        <w:spacing w:before="0" w:after="200"/>
        <w:jc w:val="both"/>
        <w:rPr/>
      </w:pPr>
      <w:r>
        <w:rPr/>
        <w:t>Create a network of international collaborators, get involved in high-calibre international consortia and establish synergies with distinguished research institutions, thus severely enhancing its international prestige. Such strategic networking (established via ACRONYM) will assist NTUA in maintaining a long-term role as a center of excellence in Space Geodesy, and a long-term involvement in the research frontiers of the field.</w:t>
      </w:r>
    </w:p>
    <w:p>
      <w:pPr>
        <w:pStyle w:val="Normal"/>
        <w:widowControl/>
        <w:numPr>
          <w:ilvl w:val="0"/>
          <w:numId w:val="16"/>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16"/>
        </w:numPr>
        <w:spacing w:before="0" w:after="200"/>
        <w:jc w:val="both"/>
        <w:rPr/>
      </w:pPr>
      <w:r>
        <w:rPr/>
        <w:t>Enhance the host's capacity in partnership-building, preparation and carrying out of research proposals funded by national authorities, the European Commission (EC) and the European Space Agency (ESA)</w:t>
      </w:r>
    </w:p>
    <w:p>
      <w:pPr>
        <w:pStyle w:val="Normal"/>
        <w:spacing w:before="0" w:after="200"/>
        <w:ind w:left="720" w:right="0" w:hanging="0"/>
        <w:jc w:val="both"/>
        <w:rPr/>
      </w:pPr>
      <w:r>
        <w:rPr>
          <w:rFonts w:cs="Calibri"/>
          <w:color w:val="B5B5B5"/>
          <w:sz w:val="18"/>
          <w:szCs w:val="16"/>
        </w:rPr>
        <w:t>#§PRJ-OBJ-PO§#</w:t>
      </w:r>
    </w:p>
    <w:p>
      <w:pPr>
        <w:pStyle w:val="Normal"/>
        <w:spacing w:before="0" w:after="200"/>
        <w:ind w:left="0" w:right="0" w:hanging="0"/>
        <w:jc w:val="both"/>
        <w:rPr>
          <w:lang w:val="en-GB"/>
        </w:rPr>
      </w:pPr>
      <w:r>
        <w:rPr>
          <w:b/>
          <w:lang w:val="en-GB"/>
        </w:rPr>
        <w:t>1.2</w:t>
        <w:tab/>
        <w:t xml:space="preserve">Coordination and/or support measures and methodology  </w:t>
      </w:r>
      <w:r>
        <w:rPr>
          <w:rFonts w:cs="Arial"/>
          <w:color w:val="B5B5B5"/>
          <w:sz w:val="18"/>
          <w:szCs w:val="18"/>
        </w:rPr>
        <w:t>#@</w:t>
      </w:r>
      <w:r>
        <w:rPr>
          <w:rFonts w:cs="Calibri"/>
          <w:color w:val="B5B5B5"/>
          <w:sz w:val="18"/>
          <w:szCs w:val="16"/>
        </w:rPr>
        <w:t>CON-MET-CM</w:t>
      </w:r>
      <w:r>
        <w:rPr>
          <w:rFonts w:cs="Arial"/>
          <w:color w:val="B5B5B5"/>
          <w:sz w:val="18"/>
          <w:szCs w:val="18"/>
        </w:rPr>
        <w:t>@#</w:t>
      </w:r>
      <w:r>
        <w:rPr>
          <w:rFonts w:cs="Calibri"/>
          <w:color w:val="B5B5B5"/>
          <w:sz w:val="18"/>
          <w:szCs w:val="16"/>
        </w:rPr>
        <w:t xml:space="preserve"> </w:t>
      </w:r>
      <w:r>
        <w:rPr>
          <w:rFonts w:cs="Arial"/>
          <w:color w:val="B5B5B5"/>
          <w:sz w:val="18"/>
          <w:szCs w:val="18"/>
        </w:rPr>
        <w:t>#@</w:t>
      </w:r>
      <w:r>
        <w:rPr>
          <w:rFonts w:cs="Calibri"/>
          <w:color w:val="B5B5B5"/>
          <w:sz w:val="18"/>
          <w:szCs w:val="16"/>
        </w:rPr>
        <w:t>COM-PLE-CP</w:t>
      </w:r>
      <w:r>
        <w:rPr>
          <w:rFonts w:cs="Arial"/>
          <w:color w:val="B5B5B5"/>
          <w:sz w:val="18"/>
          <w:szCs w:val="18"/>
        </w:rPr>
        <w:t>@#</w:t>
      </w:r>
      <w:r>
        <w:rPr>
          <w:i/>
          <w:lang w:val="en-GB"/>
        </w:rPr>
        <w:t xml:space="preserve"> </w:t>
      </w:r>
    </w:p>
    <w:p>
      <w:pPr>
        <w:pStyle w:val="Normal"/>
        <w:spacing w:before="0" w:after="200"/>
        <w:ind w:right="0" w:hanging="0"/>
        <w:jc w:val="both"/>
        <w:rPr/>
      </w:pPr>
      <w:r>
        <w:rPr/>
        <w:t xml:space="preserve">Modern Space Geodesy input is based on four fundamental observational pillars, namely Global Navigation Satellite Systems (GNSS), Doppler Orbitography and Radiopositioning Integrated by Satellite (DORIS), Satellite Laser Ranging (SLR) and Very Long Baseline Interferometry (VLBI). These four techniques provide the crucial dataset to study the Earth system and in turn provide the prerequisite products for a wide range of space-based applications and study fields. </w:t>
      </w:r>
    </w:p>
    <w:p>
      <w:pPr>
        <w:pStyle w:val="Normal"/>
        <w:spacing w:before="0" w:after="200"/>
        <w:ind w:right="0" w:hanging="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ind w:right="0" w:hanging="0"/>
        <w:jc w:val="both"/>
        <w:rPr/>
      </w:pPr>
      <w:r>
        <w:rPr/>
        <w:t>Within the framework of ACRONYM, synergies are proposed with leading experts in the techniques of DORIS, SLR and VLBI with the aim of closing the knowledge and technological gap and thus significantly strengthening NTUA's academic and research capacity and potential. Each member of the consortium will act as a knowledge transfer node for one of the techniques involved.</w:t>
      </w:r>
    </w:p>
    <w:p>
      <w:pPr>
        <w:pStyle w:val="Normal"/>
        <w:spacing w:before="0" w:after="200"/>
        <w:ind w:right="0" w:hanging="0"/>
        <w:jc w:val="both"/>
        <w:rPr/>
      </w:pPr>
      <w:r>
        <w:rPr/>
        <w:t>IGN and CLS will act as the DORIS expertise nodes. Both institutes are leading experts in the field, heavily involved in the technique since its introduction. Their role and contribution is underpinned by their status as Analysis Centers, and involvement in the International DORIS Service (IDS). The two institutes will take up the task of transferring relevant knowledge to NTUA.</w:t>
      </w:r>
    </w:p>
    <w:p>
      <w:pPr>
        <w:pStyle w:val="Normal"/>
        <w:spacing w:before="0" w:after="200"/>
        <w:ind w:right="0" w:hanging="0"/>
        <w:jc w:val="both"/>
        <w:rPr/>
      </w:pPr>
      <w:r>
        <w:rPr/>
        <w:t>NTUA has, in recent years, started an effort to take up the technique and build a software package to process DORIS data. The assistance of IGN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ind w:right="0" w:hanging="0"/>
        <w:jc w:val="both"/>
        <w:rPr/>
      </w:pPr>
      <w:r>
        <w:rPr/>
        <w:t xml:space="preserve">Despite SLR's prominent role in Space Geodesy, NTUA's involvement in the technique has been minimum in the last few decades. Besides core geodetic results (e.g. Earth Orientation Parameters)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ind w:right="0" w:hanging="0"/>
        <w:jc w:val="both"/>
        <w:rPr/>
      </w:pPr>
      <w:r>
        <w:rPr/>
        <w:t xml:space="preserve">GFZ will act as the SLR node, since it has a longstanding contribution in the technique, evident by its involvement in the International Laser Ranging Service (ILRS) as an Analysis Center. </w:t>
      </w:r>
    </w:p>
    <w:p>
      <w:pPr>
        <w:pStyle w:val="Normal"/>
        <w:spacing w:before="0" w:after="200"/>
        <w:ind w:right="0" w:hanging="0"/>
        <w:jc w:val="both"/>
        <w:rPr/>
      </w:pPr>
      <w:r>
        <w:rPr/>
        <w:t>OSO/Chalmers will act as the VLBI knowledge node. OSO hosts one of the few VLBI sites in Europe and is a prominent member of the International VLBI Service for Geodesy and Astrometry. OSO will undertake the task of transferring technique-specific knowledge and expertise to the host institute.</w:t>
      </w:r>
    </w:p>
    <w:p>
      <w:pPr>
        <w:pStyle w:val="Normal"/>
        <w:spacing w:before="0" w:after="200"/>
        <w:ind w:right="0" w:hanging="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ind w:right="0" w:hanging="0"/>
        <w:jc w:val="both"/>
        <w:rPr/>
      </w:pPr>
      <w:r>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ind w:right="0" w:hanging="0"/>
        <w:jc w:val="both"/>
        <w:rPr/>
      </w:pPr>
      <w:r>
        <w:rPr/>
        <w:t>To further allow for potent capacity building, the twining partners will decide on and draw up a work plan for the second phase of capacity building, to be implemented in WP3. The target here will be the severe strengthening of NTUA’s research capacity via the designing and building of a space geodetic software tools-box,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thus adopting a “hands-on” approach.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ind w:right="0" w:hanging="0"/>
        <w:jc w:val="both"/>
        <w:rPr/>
      </w:pPr>
      <w:r>
        <w:rPr/>
        <w:t>This second phase of capacity building, will also include dedicated webinars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ind w:right="0" w:hanging="0"/>
        <w:jc w:val="both"/>
        <w:rPr/>
      </w:pPr>
      <w:r>
        <w:rPr>
          <w:shd w:fill="auto" w:val="clear"/>
        </w:rPr>
        <w:t>In order to further enhance NTUA’</w:t>
      </w:r>
      <w:r>
        <w:rPr/>
        <w:t>s research capacity, knowledge and expertise transfer will expand beyond technical matters, to include coaching on research proposal preparation/writing, submission and management (WP2).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ind w:right="0" w:hanging="0"/>
        <w:jc w:val="both"/>
        <w:rPr/>
      </w:pPr>
      <w:r>
        <w:rPr/>
        <w:t>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Further strengthening of the host’s networking activities and prominence will be seeked through the consortium’s presence in at least three international conferences, where outcomes of ACRONYM will be presented. If possible, the host will 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ind w:left="0" w:right="0" w:hanging="0"/>
        <w:jc w:val="both"/>
        <w:rPr>
          <w:lang w:val="en-GB"/>
        </w:rPr>
      </w:pPr>
      <w:r>
        <w:rPr>
          <w:b/>
          <w:lang w:val="en-GB"/>
        </w:rPr>
        <w:t>1.2.1</w:t>
        <w:tab/>
        <w:t>Open Science</w:t>
      </w:r>
    </w:p>
    <w:p>
      <w:pPr>
        <w:pStyle w:val="Normal"/>
        <w:spacing w:before="0" w:after="200"/>
        <w:ind w:left="0" w:right="0" w:hanging="0"/>
        <w:jc w:val="both"/>
        <w:rPr/>
      </w:pPr>
      <w:r>
        <w:rPr>
          <w:b w:val="false"/>
          <w:bCs w:val="false"/>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ind w:left="0" w:right="0" w:hanging="0"/>
        <w:jc w:val="both"/>
        <w:rPr/>
      </w:pPr>
      <w:r>
        <w:rPr>
          <w:b w:val="false"/>
          <w:bCs w:val="false"/>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ind w:left="0" w:right="0" w:hanging="0"/>
        <w:jc w:val="both"/>
        <w:rPr>
          <w:b/>
          <w:b/>
          <w:bCs/>
        </w:rPr>
      </w:pPr>
      <w:r>
        <w:rPr>
          <w:b/>
          <w:bCs/>
        </w:rPr>
        <w:t>1</w:t>
      </w:r>
      <w:r>
        <w:rPr>
          <w:b/>
          <w:bCs/>
          <w:shd w:fill="FFFF00" w:val="clear"/>
        </w:rPr>
        <w:t>.2.2 Coordination and Support Measures</w:t>
      </w:r>
    </w:p>
    <w:p>
      <w:pPr>
        <w:pStyle w:val="Normal"/>
        <w:spacing w:before="0" w:after="200"/>
        <w:ind w:left="0" w:right="0" w:hanging="0"/>
        <w:jc w:val="both"/>
        <w:rPr/>
      </w:pPr>
      <w:r>
        <w:rPr>
          <w:b w:val="false"/>
          <w:bCs w:val="false"/>
        </w:rPr>
        <w:t xml:space="preserve">The coordination and management of ACRONYM will be performed via a dedicated Work Package (WP1) undertaken by the host institute. </w:t>
      </w:r>
    </w:p>
    <w:p>
      <w:pPr>
        <w:pStyle w:val="Normal"/>
        <w:spacing w:lineRule="auto" w:line="240" w:beforeAutospacing="1" w:after="200"/>
        <w:ind w:left="0" w:right="0" w:hanging="0"/>
        <w:jc w:val="both"/>
        <w:rPr/>
      </w:pPr>
      <w:r>
        <w:rPr>
          <w:rFonts w:cs="Arial"/>
          <w:color w:val="B5B5B5"/>
          <w:sz w:val="18"/>
          <w:szCs w:val="16"/>
        </w:rPr>
        <w:t>#§</w:t>
      </w:r>
      <w:r>
        <w:rPr>
          <w:rFonts w:cs="Calibri"/>
          <w:color w:val="B5B5B5"/>
          <w:sz w:val="18"/>
          <w:szCs w:val="16"/>
        </w:rPr>
        <w:t>CON-MET-CM</w:t>
      </w:r>
      <w:r>
        <w:rPr>
          <w:rFonts w:cs="Arial"/>
          <w:color w:val="B5B5B5"/>
          <w:sz w:val="18"/>
          <w:szCs w:val="16"/>
        </w:rPr>
        <w:t>§#</w:t>
      </w:r>
      <w:r>
        <w:rPr>
          <w:rFonts w:cs="Calibri"/>
          <w:color w:val="B5B5B5"/>
          <w:sz w:val="18"/>
          <w:szCs w:val="16"/>
        </w:rPr>
        <w:t xml:space="preserve"> </w:t>
      </w:r>
      <w:r>
        <w:rPr>
          <w:rFonts w:cs="Arial"/>
          <w:color w:val="B5B5B5"/>
          <w:sz w:val="18"/>
          <w:szCs w:val="16"/>
        </w:rPr>
        <w:t>#§</w:t>
      </w:r>
      <w:r>
        <w:rPr>
          <w:rFonts w:cs="Calibri"/>
          <w:color w:val="B5B5B5"/>
          <w:sz w:val="18"/>
          <w:szCs w:val="16"/>
        </w:rPr>
        <w:t>COM-PLE-CP</w:t>
      </w:r>
      <w:r>
        <w:rPr>
          <w:rFonts w:cs="Arial"/>
          <w:color w:val="B5B5B5"/>
          <w:sz w:val="18"/>
          <w:szCs w:val="16"/>
        </w:rPr>
        <w:t>§#</w:t>
      </w:r>
    </w:p>
    <w:p>
      <w:pPr>
        <w:pStyle w:val="Normal"/>
        <w:spacing w:before="0" w:after="200"/>
        <w:ind w:left="0" w:right="0" w:hanging="0"/>
        <w:jc w:val="both"/>
        <w:rPr>
          <w:lang w:val="en-GB"/>
        </w:rPr>
      </w:pPr>
      <w:r>
        <w:rPr>
          <w:b/>
          <w:bCs/>
          <w:lang w:val="en-GB"/>
        </w:rPr>
        <w:t>2.</w:t>
        <w:tab/>
        <w:t xml:space="preserve">Impact </w:t>
      </w:r>
      <w:r>
        <w:rPr>
          <w:rFonts w:cs="Arial"/>
          <w:color w:val="B5B5B5"/>
          <w:sz w:val="18"/>
          <w:szCs w:val="18"/>
        </w:rPr>
        <w:t>#@IMP-ACT-IA@#</w:t>
      </w:r>
    </w:p>
    <w:tbl>
      <w:tblPr>
        <w:tblW w:w="8885" w:type="dxa"/>
        <w:jc w:val="left"/>
        <w:tblInd w:w="243" w:type="dxa"/>
        <w:tblLayout w:type="fixed"/>
        <w:tblCellMar>
          <w:top w:w="0" w:type="dxa"/>
          <w:left w:w="108" w:type="dxa"/>
          <w:bottom w:w="0" w:type="dxa"/>
          <w:right w:w="108" w:type="dxa"/>
        </w:tblCellMar>
      </w:tblPr>
      <w:tblGrid>
        <w:gridCol w:w="8885"/>
      </w:tblGrid>
      <w:tr>
        <w:trPr>
          <w:trHeight w:val="2390" w:hRule="atLeast"/>
        </w:trPr>
        <w:tc>
          <w:tcPr>
            <w:tcW w:w="88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120"/>
              <w:ind w:left="0" w:right="0" w:hanging="0"/>
              <w:rPr/>
            </w:pPr>
            <w:r>
              <w:rPr>
                <w:b/>
                <w:bCs/>
                <w:i/>
                <w:iCs/>
              </w:rPr>
              <w:t>Impact – aspects to be taken into account.</w:t>
            </w:r>
          </w:p>
          <w:p>
            <w:pPr>
              <w:pStyle w:val="ListParagraph"/>
              <w:widowControl w:val="false"/>
              <w:numPr>
                <w:ilvl w:val="0"/>
                <w:numId w:val="8"/>
              </w:numPr>
              <w:tabs>
                <w:tab w:val="clear" w:pos="720"/>
              </w:tabs>
              <w:bidi w:val="0"/>
              <w:spacing w:before="0" w:after="120"/>
              <w:ind w:left="720" w:right="0" w:hanging="360"/>
              <w:contextualSpacing/>
              <w:jc w:val="both"/>
              <w:rPr/>
            </w:pPr>
            <w:r>
              <w:rPr/>
              <w:t>Credibility of the pathways to achieve the expected outcomes and impacts specified in the work programme, and the likely scale and significance of the contributions due to the project.</w:t>
            </w:r>
          </w:p>
          <w:p>
            <w:pPr>
              <w:pStyle w:val="ListParagraph"/>
              <w:widowControl w:val="false"/>
              <w:numPr>
                <w:ilvl w:val="0"/>
                <w:numId w:val="8"/>
              </w:numPr>
              <w:tabs>
                <w:tab w:val="clear" w:pos="720"/>
              </w:tabs>
              <w:bidi w:val="0"/>
              <w:spacing w:before="0" w:after="120"/>
              <w:ind w:left="720" w:right="0" w:hanging="360"/>
              <w:contextualSpacing/>
              <w:jc w:val="both"/>
              <w:rPr/>
            </w:pPr>
            <w:r>
              <w:rPr/>
              <w:t>Suitability and quality of the measures to maximise expected outcomes and impacts, as set out in the dissemination and exploitation plan, including communication activities.</w:t>
            </w:r>
          </w:p>
        </w:tc>
      </w:tr>
    </w:tbl>
    <w:p>
      <w:pPr>
        <w:pStyle w:val="Normal"/>
        <w:widowControl w:val="false"/>
        <w:spacing w:before="240" w:after="200"/>
        <w:ind w:left="0" w:right="0" w:hanging="0"/>
        <w:jc w:val="both"/>
        <w:rPr/>
      </w:pPr>
      <w:r>
        <w:rPr>
          <w:i/>
        </w:rPr>
        <w:t xml:space="preserve">The results of your project should make a contribution to the expected outcomes set out for the work programme topic over the medium term, and to the wider expected impacts set out in the ‘destination’ over the longer term. </w:t>
      </w:r>
    </w:p>
    <w:p>
      <w:pPr>
        <w:pStyle w:val="Normal"/>
        <w:spacing w:before="240" w:after="200"/>
        <w:ind w:left="0" w:right="0" w:hanging="0"/>
        <w:jc w:val="both"/>
        <w:rPr/>
      </w:pPr>
      <w:r>
        <w:rPr>
          <w:i/>
        </w:rPr>
        <w:t>In this section you should show how  your project could contribute to the outcomes and impacts described in the work programme, the likely scale and significance of this contribution, and the measures to maximise these impacts.</w:t>
      </w:r>
      <w:r>
        <w:rPr>
          <w:b/>
          <w:lang w:val="en-GB"/>
        </w:rPr>
        <w:tab/>
        <w:tab/>
      </w:r>
    </w:p>
    <w:p>
      <w:pPr>
        <w:pStyle w:val="Normal"/>
        <w:spacing w:before="0" w:after="200"/>
        <w:ind w:left="709" w:right="0" w:hanging="709"/>
        <w:jc w:val="both"/>
        <w:rPr>
          <w:lang w:val="en-GB"/>
        </w:rPr>
      </w:pPr>
      <w:r>
        <w:rPr>
          <w:b/>
          <w:lang w:val="en-GB"/>
        </w:rPr>
        <w:t>2.1</w:t>
        <w:tab/>
        <w:tab/>
        <w:t xml:space="preserve">Project’s pathways towards impact </w:t>
      </w:r>
      <w:r>
        <w:rPr>
          <w:i/>
          <w:lang w:val="en-GB"/>
        </w:rPr>
        <w:t>[e.g. 4 pages]</w:t>
      </w:r>
    </w:p>
    <w:p>
      <w:pPr>
        <w:pStyle w:val="ListParagraph"/>
        <w:numPr>
          <w:ilvl w:val="0"/>
          <w:numId w:val="5"/>
        </w:numPr>
        <w:bidi w:val="0"/>
        <w:spacing w:before="0" w:after="200"/>
        <w:ind w:left="726" w:right="0" w:hanging="357"/>
        <w:jc w:val="both"/>
        <w:rPr>
          <w:lang w:val="en-GB"/>
        </w:rPr>
      </w:pPr>
      <w:r>
        <w:rPr>
          <w:lang w:val="en-GB"/>
        </w:rPr>
        <w:t xml:space="preserve">Provide a </w:t>
      </w:r>
      <w:r>
        <w:rPr>
          <w:b/>
          <w:lang w:val="en-GB"/>
        </w:rPr>
        <w:t>narrative</w:t>
      </w:r>
      <w:r>
        <w:rPr>
          <w:lang w:val="en-GB"/>
        </w:rPr>
        <w:t xml:space="preserve"> explaining how the project’s results are expected to make a difference in terms of impact, beyond the immediate scope and duration of the project. The narrative should include the components below, tailored to your project. </w:t>
      </w:r>
    </w:p>
    <w:p>
      <w:pPr>
        <w:pStyle w:val="ListParagraph"/>
        <w:numPr>
          <w:ilvl w:val="0"/>
          <w:numId w:val="10"/>
        </w:numPr>
        <w:bidi w:val="0"/>
        <w:spacing w:before="0" w:after="200"/>
        <w:ind w:left="1080" w:right="0" w:hanging="360"/>
        <w:jc w:val="both"/>
        <w:rPr>
          <w:lang w:val="en-GB"/>
        </w:rPr>
      </w:pPr>
      <w:r>
        <w:rPr>
          <w:lang w:val="en-GB"/>
        </w:rPr>
        <w:t xml:space="preserve">Describe the unique contribution your project results would make towards (1) the </w:t>
      </w:r>
      <w:r>
        <w:rPr>
          <w:b/>
        </w:rPr>
        <w:t>outcomes</w:t>
      </w:r>
      <w:r>
        <w:rPr/>
        <w:t xml:space="preserve"> specified in this topic, and (2) the </w:t>
      </w:r>
      <w:r>
        <w:rPr>
          <w:b/>
        </w:rPr>
        <w:t>wider impacts</w:t>
      </w:r>
      <w:r>
        <w:rPr/>
        <w:t xml:space="preserve">, in the longer term, specified in the respective destinations in the work programme.   </w:t>
      </w:r>
    </w:p>
    <w:p>
      <w:pPr>
        <w:pStyle w:val="ListParagraph"/>
        <w:numPr>
          <w:ilvl w:val="0"/>
          <w:numId w:val="4"/>
        </w:numPr>
        <w:bidi w:val="0"/>
        <w:spacing w:lineRule="auto" w:line="240" w:before="0" w:after="200"/>
        <w:ind w:left="1417" w:right="0" w:hanging="357"/>
        <w:jc w:val="both"/>
        <w:rPr/>
      </w:pPr>
      <w:r>
        <w:rPr>
          <w:i/>
        </w:rPr>
        <w:t xml:space="preserve">Be specific, referring to the effects of your project, and not R&amp;I in general in this field. </w:t>
      </w:r>
    </w:p>
    <w:p>
      <w:pPr>
        <w:pStyle w:val="ListParagraph"/>
        <w:numPr>
          <w:ilvl w:val="0"/>
          <w:numId w:val="4"/>
        </w:numPr>
        <w:bidi w:val="0"/>
        <w:spacing w:lineRule="auto" w:line="240" w:before="0" w:after="200"/>
        <w:ind w:left="1417" w:right="0" w:hanging="357"/>
        <w:jc w:val="both"/>
        <w:rPr/>
      </w:pPr>
      <w:r>
        <w:rPr>
          <w:i/>
        </w:rPr>
        <w:t>State the target groups that would benefit. Even if target groups are mentioned in general terms in the work programme, you should be specific here, breaking target groups into particular interest groups or segments of society relevant to this project.</w:t>
      </w:r>
    </w:p>
    <w:p>
      <w:pPr>
        <w:pStyle w:val="ListParagraph"/>
        <w:numPr>
          <w:ilvl w:val="0"/>
          <w:numId w:val="4"/>
        </w:numPr>
        <w:bidi w:val="0"/>
        <w:spacing w:lineRule="auto" w:line="240" w:before="0" w:after="200"/>
        <w:ind w:left="1417" w:right="0" w:hanging="357"/>
        <w:jc w:val="both"/>
        <w:rPr/>
      </w:pPr>
      <w:r>
        <w:rPr>
          <w:i/>
        </w:rPr>
        <w:t>The outcomes and impacts of your project may be:</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Scientific, e.g. contributing to specific scientific advances, across and within disciplines, creating new knowledge, reinforcing scientific equipment and instruments,  computing systems (i.e. research infrastructures);</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 xml:space="preserve">Economic/technological, e.g. bringing new products, services, business processes to the market, increasing efficiency, decreasing costs, increasing profits, contributing to standards’ setting,  etc. </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Societal , e.g. decreasing CO</w:t>
      </w:r>
      <w:r>
        <w:rPr>
          <w:i/>
          <w:vertAlign w:val="subscript"/>
        </w:rPr>
        <w:t>2</w:t>
      </w:r>
      <w:r>
        <w:rPr>
          <w:i/>
        </w:rPr>
        <w:t xml:space="preserve"> emissions, decreasing avoidable mortality, improving policies and decision making, raising consumer awareness.</w:t>
      </w:r>
    </w:p>
    <w:p>
      <w:pPr>
        <w:pStyle w:val="ListParagraph"/>
        <w:bidi w:val="0"/>
        <w:spacing w:lineRule="auto" w:line="240" w:before="0" w:after="200"/>
        <w:ind w:left="1418" w:right="0" w:hanging="0"/>
        <w:jc w:val="both"/>
        <w:rPr/>
      </w:pPr>
      <w:r>
        <w:rPr>
          <w:i/>
        </w:rPr>
        <w:t>Only include such outcomes and impacts where your project would make a significant and direct contribution. Avoid describing very tenuous links to wider impacts. However, include any potential negative environmental outcome or impact of the project. Where relevant, explain how the potential harm can be managed.</w:t>
      </w:r>
    </w:p>
    <w:p>
      <w:pPr>
        <w:pStyle w:val="ListParagraph"/>
        <w:numPr>
          <w:ilvl w:val="0"/>
          <w:numId w:val="10"/>
        </w:numPr>
        <w:shd w:fill="FFFFFF"/>
        <w:bidi w:val="0"/>
        <w:spacing w:lineRule="auto" w:line="240" w:before="0" w:after="200"/>
        <w:ind w:left="1060" w:right="0" w:hanging="360"/>
        <w:jc w:val="both"/>
        <w:rPr>
          <w:lang w:val="en-GB"/>
        </w:rPr>
      </w:pPr>
      <w:r>
        <w:rPr>
          <w:lang w:val="en-GB"/>
        </w:rPr>
        <w:t>Give an indication of the scale and significance of the project’s contribution to the expected outcomes and impacts, should the project be successful.  Provide quantified estimates where possible and meaningful.</w:t>
      </w:r>
    </w:p>
    <w:p>
      <w:pPr>
        <w:pStyle w:val="Normal"/>
        <w:numPr>
          <w:ilvl w:val="0"/>
          <w:numId w:val="9"/>
        </w:numPr>
        <w:spacing w:beforeAutospacing="1" w:after="200"/>
        <w:ind w:left="1417" w:right="0" w:hanging="357"/>
        <w:jc w:val="both"/>
        <w:rPr>
          <w:lang w:val="en-GB"/>
        </w:rPr>
      </w:pPr>
      <w:r>
        <w:rPr>
          <w:lang w:val="en-GB"/>
        </w:rPr>
        <w:t>‘</w:t>
      </w:r>
      <w:r>
        <w:rPr>
          <w:i/>
          <w:u w:val="single"/>
          <w:lang w:val="en-GB"/>
        </w:rPr>
        <w:t>Scale’</w:t>
      </w:r>
      <w:r>
        <w:rPr>
          <w:i/>
          <w:lang w:val="en-GB"/>
        </w:rPr>
        <w:t xml:space="preserve"> refers to how widespread the outcomes and impacts are likely to be. For example, in terms of the size of the target group, or the proportion of that group, that should benefit over time; </w:t>
      </w:r>
      <w:r>
        <w:rPr>
          <w:i/>
          <w:u w:val="single"/>
          <w:lang w:val="en-GB"/>
        </w:rPr>
        <w:t>‘Significance’</w:t>
      </w:r>
      <w:r>
        <w:rPr>
          <w:i/>
          <w:lang w:val="en-GB"/>
        </w:rPr>
        <w:t xml:space="preserve"> refers to the importance, or value, of those benefits. For example, number of additional healthy life years; efficiency savings in energy supply.</w:t>
      </w:r>
    </w:p>
    <w:p>
      <w:pPr>
        <w:pStyle w:val="Normal"/>
        <w:numPr>
          <w:ilvl w:val="0"/>
          <w:numId w:val="3"/>
        </w:numPr>
        <w:spacing w:beforeAutospacing="1" w:after="200"/>
        <w:ind w:left="1417" w:right="0" w:hanging="357"/>
        <w:jc w:val="both"/>
        <w:rPr>
          <w:lang w:val="en-GB"/>
        </w:rPr>
      </w:pPr>
      <w:r>
        <w:rPr>
          <w:i/>
          <w:lang w:val="en-GB"/>
        </w:rPr>
        <w:t>Explain your baselines, benchmarks and assumptions used for those estimates.</w:t>
      </w:r>
      <w:r>
        <w:rPr>
          <w:i/>
          <w:iCs/>
          <w:lang w:val="en-GB"/>
        </w:rPr>
        <w:t xml:space="preserve"> Wherever possible, quantify your estimation of the effects that you expect from your project. Explain assumptions that you make, referring for example to any </w:t>
      </w:r>
      <w:r>
        <w:rPr>
          <w:i/>
          <w:iCs/>
        </w:rPr>
        <w:t>relevant studies or statistics. Where appropriate, try to use only one methodology for calculating your estimates: not different methodologies for each partner, region or country (the extrapolation should preferably be prepared by one partner).</w:t>
      </w:r>
    </w:p>
    <w:p>
      <w:pPr>
        <w:pStyle w:val="Normal"/>
        <w:numPr>
          <w:ilvl w:val="0"/>
          <w:numId w:val="3"/>
        </w:numPr>
        <w:spacing w:before="0" w:after="200"/>
        <w:ind w:left="1417" w:right="0" w:hanging="357"/>
        <w:jc w:val="both"/>
        <w:rPr/>
      </w:pPr>
      <w:r>
        <w:rPr>
          <w:i/>
          <w:iCs/>
        </w:rPr>
        <w:t>Your estimate must relate to this project only - the effect of other initiatives should not be taken into account.</w:t>
      </w:r>
    </w:p>
    <w:p>
      <w:pPr>
        <w:pStyle w:val="ListParagraph"/>
        <w:numPr>
          <w:ilvl w:val="0"/>
          <w:numId w:val="10"/>
        </w:numPr>
        <w:bidi w:val="0"/>
        <w:spacing w:before="0" w:after="200"/>
        <w:ind w:left="1080" w:right="0" w:hanging="360"/>
        <w:jc w:val="both"/>
        <w:rPr/>
      </w:pPr>
      <w:r>
        <w:rPr/>
        <w:t>Describe any</w:t>
      </w:r>
      <w:r>
        <w:rPr>
          <w:lang w:val="en-GB"/>
        </w:rPr>
        <w:t xml:space="preserve"> requirements and potential barriers - arising from factors beyond the scope and duration of the project - that may determine whether the desired outcomes and impacts are achieved. These may include, for example, </w:t>
      </w:r>
      <w:r>
        <w:rPr>
          <w:lang w:val="en-IE"/>
        </w:rPr>
        <w:t>other R&amp;I work within and beyond Horizon Europe; regulatory environment; targeted markets; user behaviour. Indicate if these factors might evolve over time. Describe any</w:t>
      </w:r>
      <w:r>
        <w:rPr>
          <w:lang w:val="en-GB"/>
        </w:rPr>
        <w:t xml:space="preserve"> mitigating measures you propose, within or beyond your project, that could be needed should your assumptions prove to be wrong, or to address identified barriers. </w:t>
      </w:r>
    </w:p>
    <w:p>
      <w:pPr>
        <w:pStyle w:val="ListParagraph"/>
        <w:numPr>
          <w:ilvl w:val="0"/>
          <w:numId w:val="4"/>
        </w:numPr>
        <w:bidi w:val="0"/>
        <w:spacing w:lineRule="auto" w:line="240" w:before="0" w:after="200"/>
        <w:ind w:left="1417" w:right="0" w:hanging="357"/>
        <w:jc w:val="both"/>
        <w:rPr/>
      </w:pPr>
      <w:r>
        <w:rPr>
          <w:i/>
        </w:rPr>
        <w:t>Note that this does not include the critical risks inherent to the management of the project itself , which should be described below under ‘Implementation’.</w:t>
      </w:r>
    </w:p>
    <w:p>
      <w:pPr>
        <w:pStyle w:val="Normal"/>
        <w:spacing w:before="0" w:after="200"/>
        <w:ind w:left="709" w:right="0" w:hanging="709"/>
        <w:jc w:val="both"/>
        <w:rPr>
          <w:lang w:val="en-GB"/>
        </w:rPr>
      </w:pPr>
      <w:r>
        <w:rPr>
          <w:b/>
          <w:lang w:val="en-GB"/>
        </w:rPr>
        <w:t>2.2</w:t>
        <w:tab/>
        <w:t>Measures to maximise impact -</w:t>
      </w:r>
      <w:r>
        <w:rPr>
          <w:b/>
        </w:rPr>
        <w:t xml:space="preserve"> Dissemination, exploitation and communication </w:t>
      </w:r>
      <w:r>
        <w:rPr>
          <w:rFonts w:cs="Arial"/>
          <w:color w:val="B5B5B5"/>
          <w:sz w:val="18"/>
          <w:szCs w:val="16"/>
        </w:rPr>
        <w:t>#@COM-DIS-VIS-CDV@#</w:t>
      </w:r>
      <w:r>
        <w:rPr>
          <w:i/>
          <w:lang w:val="en-GB"/>
        </w:rPr>
        <w:t xml:space="preserve"> [e.g. 5 pages, including section 2.3]</w:t>
      </w:r>
    </w:p>
    <w:p>
      <w:pPr>
        <w:pStyle w:val="Normal"/>
        <w:widowControl/>
        <w:numPr>
          <w:ilvl w:val="0"/>
          <w:numId w:val="7"/>
        </w:numPr>
        <w:shd w:fill="FFFFFF"/>
        <w:spacing w:lineRule="auto" w:line="240" w:before="0" w:after="200"/>
        <w:ind w:left="726" w:right="0" w:hanging="357"/>
        <w:jc w:val="both"/>
        <w:rPr>
          <w:lang w:val="en-GB"/>
        </w:rPr>
      </w:pPr>
      <w:r>
        <w:rPr>
          <w:lang w:val="en-GB"/>
        </w:rPr>
        <w:t>Describe the planned measures to maximise the impact of your project by providing a first version of your ‘</w:t>
      </w:r>
      <w:r>
        <w:rPr>
          <w:u w:val="single"/>
          <w:lang w:val="en-GB"/>
        </w:rPr>
        <w:t>plan for the dissemination and exploitation including communication activities’</w:t>
      </w:r>
      <w:r>
        <w:rPr>
          <w:lang w:val="en-GB"/>
        </w:rPr>
        <w:t xml:space="preserve">. Describe the dissemination, exploitation and communication measures that are planned, and the target group(s) addressed (e.g. scientific community, end users, financial actors, public at large). </w:t>
      </w:r>
    </w:p>
    <w:p>
      <w:pPr>
        <w:pStyle w:val="ListParagraph"/>
        <w:widowControl/>
        <w:numPr>
          <w:ilvl w:val="0"/>
          <w:numId w:val="6"/>
        </w:numPr>
        <w:bidi w:val="0"/>
        <w:spacing w:lineRule="auto" w:line="240" w:before="0" w:after="200"/>
        <w:ind w:left="1417" w:right="0" w:hanging="357"/>
        <w:jc w:val="both"/>
        <w:rPr>
          <w:lang w:val="en-GB"/>
        </w:rPr>
      </w:pPr>
      <w:r>
        <w:rPr>
          <w:i/>
          <w:iCs/>
          <w:lang w:val="en-GB"/>
        </w:rPr>
        <w:t xml:space="preserve">Please remember that this plan is an admissibility condition, unless the work programme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 </w:t>
      </w:r>
    </w:p>
    <w:p>
      <w:pPr>
        <w:pStyle w:val="ListParagraph"/>
        <w:widowControl/>
        <w:numPr>
          <w:ilvl w:val="0"/>
          <w:numId w:val="6"/>
        </w:numPr>
        <w:bidi w:val="0"/>
        <w:spacing w:lineRule="auto" w:line="240" w:before="0" w:after="200"/>
        <w:ind w:left="1417" w:right="0" w:hanging="357"/>
        <w:jc w:val="both"/>
        <w:rPr>
          <w:lang w:val="en-GB"/>
        </w:rPr>
      </w:pPr>
      <w:r>
        <w:rPr>
          <w:i/>
          <w:u w:val="single"/>
          <w:lang w:val="en-GB"/>
        </w:rPr>
        <w:t>Communication</w:t>
      </w:r>
      <w:r>
        <w:rPr>
          <w:rStyle w:val="FootnoteAnchor"/>
          <w:i/>
          <w:vertAlign w:val="superscript"/>
          <w:lang w:val="en-GB"/>
        </w:rPr>
        <w:footnoteReference w:id="2"/>
      </w:r>
      <w:r>
        <w:rPr>
          <w:i/>
          <w:vertAlign w:val="superscript"/>
          <w:lang w:val="en-GB"/>
        </w:rPr>
        <w:t>,</w:t>
      </w:r>
      <w:r>
        <w:rPr>
          <w:i/>
          <w:lang w:val="en-GB"/>
        </w:rPr>
        <w:t xml:space="preserve"> measures should promote the project throughout the full lifespan of the project. The aim is to inform and reach out to society and show the activities performed, and the use and the benefits the project will have for citizens. </w:t>
      </w:r>
      <w:r>
        <w:rPr>
          <w:i/>
          <w:iCs/>
          <w:lang w:val="en-GB"/>
        </w:rPr>
        <w:t>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pPr>
        <w:pStyle w:val="ListParagraph"/>
        <w:widowControl/>
        <w:numPr>
          <w:ilvl w:val="0"/>
          <w:numId w:val="6"/>
        </w:numPr>
        <w:bidi w:val="0"/>
        <w:spacing w:lineRule="auto" w:line="240" w:before="0" w:after="200"/>
        <w:ind w:left="1417" w:right="0" w:hanging="357"/>
        <w:jc w:val="both"/>
        <w:rPr>
          <w:lang w:val="en-GB"/>
        </w:rPr>
      </w:pPr>
      <w:r>
        <w:rPr>
          <w:i/>
          <w:iCs/>
          <w:lang w:val="en-GB"/>
        </w:rPr>
        <w:t>All measures should be proportionate to the scale of the project, and should contain concrete actions to be implemented both during and after the end of the project, e.g. standardisation activities. Your plan should give due consideration to the possible follow-up of your project, once it is finished. In the justification, explain why each measure chosen is best suited to reach the target group addressed. Where relevant, and for innovation actions, in particular, describe the measures for a plausible path to commercialise the innovations.</w:t>
      </w:r>
    </w:p>
    <w:p>
      <w:pPr>
        <w:pStyle w:val="ListParagraph"/>
        <w:widowControl/>
        <w:numPr>
          <w:ilvl w:val="0"/>
          <w:numId w:val="6"/>
        </w:numPr>
        <w:bidi w:val="0"/>
        <w:spacing w:lineRule="auto" w:line="240" w:before="0" w:after="200"/>
        <w:ind w:left="1417" w:right="0" w:hanging="357"/>
        <w:jc w:val="both"/>
        <w:rPr>
          <w:lang w:val="en-GB"/>
        </w:rPr>
      </w:pPr>
      <w:r>
        <w:rPr>
          <w:i/>
          <w:iCs/>
          <w:lang w:val="en-GB"/>
        </w:rPr>
        <w:t>If exploitation is expected primarily in non-associated third countries, justify by explaining how that exploitation is still in the Union’s interest.</w:t>
      </w:r>
    </w:p>
    <w:p>
      <w:pPr>
        <w:pStyle w:val="ListParagraph"/>
        <w:widowControl/>
        <w:numPr>
          <w:ilvl w:val="0"/>
          <w:numId w:val="6"/>
        </w:numPr>
        <w:tabs>
          <w:tab w:val="clear" w:pos="720"/>
          <w:tab w:val="left" w:pos="1353" w:leader="none"/>
        </w:tabs>
        <w:bidi w:val="0"/>
        <w:spacing w:lineRule="auto" w:line="240" w:before="0" w:after="200"/>
        <w:ind w:left="1353" w:right="0" w:hanging="360"/>
        <w:jc w:val="both"/>
        <w:rPr>
          <w:lang w:val="en-GB"/>
        </w:rPr>
      </w:pPr>
      <w:r>
        <w:rPr>
          <w:i/>
          <w:iCs/>
          <w:lang w:val="en-GB"/>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pPr>
        <w:pStyle w:val="ListParagraph"/>
        <w:shd w:fill="FFFFFF"/>
        <w:bidi w:val="0"/>
        <w:ind w:left="2880" w:right="0" w:hanging="0"/>
        <w:jc w:val="both"/>
        <w:rPr>
          <w:i/>
          <w:i/>
          <w:lang w:val="en-GB"/>
        </w:rPr>
      </w:pPr>
      <w:r>
        <w:rPr>
          <w:i/>
          <w:lang w:val="en-GB"/>
        </w:rPr>
      </w:r>
    </w:p>
    <w:p>
      <w:pPr>
        <w:pStyle w:val="ListParagraph"/>
        <w:numPr>
          <w:ilvl w:val="0"/>
          <w:numId w:val="2"/>
        </w:numPr>
        <w:bidi w:val="0"/>
        <w:spacing w:before="0" w:after="200"/>
        <w:ind w:left="726" w:right="0" w:hanging="357"/>
        <w:jc w:val="both"/>
        <w:rPr>
          <w:lang w:val="en-GB"/>
        </w:rPr>
      </w:pPr>
      <w:r>
        <w:rPr>
          <w:lang w:val="en-GB"/>
        </w:rPr>
        <w:t>Outline your strategy for the management of intellectual property, foreseen protection measures, , such as patents, design rights, copyrights, trade secrets, etc., and how these would be used to support exploitation.</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will need an appropriate consortium agreement to manage (amongst other things) the ownership and access to key knowledge (IPR, research data etc.). Where relevant, these will allow you, collectively and individually, to pursue market opportunities arising from the project.</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must indicate the owner(s) of the results (results ownership list) in the final periodic report.</w:t>
      </w:r>
    </w:p>
    <w:p>
      <w:pPr>
        <w:pStyle w:val="ListParagraph"/>
        <w:bidi w:val="0"/>
        <w:spacing w:lineRule="auto" w:line="480" w:before="0" w:after="200"/>
        <w:ind w:left="0" w:right="0" w:hanging="0"/>
        <w:contextualSpacing/>
        <w:jc w:val="both"/>
        <w:rPr/>
      </w:pPr>
      <w:r>
        <w:rPr>
          <w:rFonts w:cs="Arial"/>
          <w:color w:val="B5B5B5"/>
          <w:sz w:val="18"/>
          <w:szCs w:val="16"/>
        </w:rPr>
        <w:t>#§COM-DIS-VIS-CDV§#</w:t>
      </w:r>
    </w:p>
    <w:p>
      <w:pPr>
        <w:pStyle w:val="Normal"/>
        <w:rPr/>
      </w:pPr>
      <w:r>
        <w:rPr>
          <w:b/>
          <w:lang w:val="en-GB"/>
        </w:rPr>
        <w:t xml:space="preserve">2.3 Summary </w:t>
      </w:r>
    </w:p>
    <w:p>
      <w:pPr>
        <w:pStyle w:val="Normal"/>
        <w:ind w:left="0" w:right="0" w:hanging="0"/>
        <w:rPr>
          <w:lang w:val="en-GB"/>
        </w:rPr>
      </w:pPr>
      <w:r>
        <w:rPr>
          <w:sz w:val="24"/>
          <w:szCs w:val="24"/>
          <w:lang w:val="en-GB"/>
        </w:rPr>
        <w:t>Provide a summary of this section by presenting in the canvas below the key elements of your project impact pathway and of the measures to maximise its impact.</w:t>
      </w:r>
    </w:p>
    <w:p>
      <w:pPr>
        <w:pStyle w:val="Normal"/>
        <w:ind w:left="0" w:right="0" w:hanging="0"/>
        <w:rPr>
          <w:sz w:val="24"/>
          <w:szCs w:val="24"/>
          <w:lang w:val="en-GB"/>
        </w:rPr>
      </w:pPr>
      <w:r>
        <w:rPr>
          <w:sz w:val="24"/>
          <w:szCs w:val="24"/>
          <w:lang w:val="en-GB"/>
        </w:rPr>
      </w:r>
    </w:p>
    <w:p>
      <w:pPr>
        <w:pStyle w:val="Normal"/>
        <w:ind w:left="0" w:right="0" w:hanging="0"/>
        <w:rPr/>
      </w:pPr>
      <w:r>
        <w:rPr>
          <w:b/>
          <w:color w:val="00B0F0"/>
          <w:sz w:val="28"/>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SPECIFIC NEEDS</w:t>
            </w:r>
          </w:p>
        </w:tc>
      </w:tr>
      <w:tr>
        <w:trPr>
          <w:trHeight w:val="3493"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i/>
                <w:color w:val="000000"/>
                <w:lang w:val="en-GB"/>
              </w:rPr>
              <w:t>Enhance host institute’s</w:t>
            </w:r>
            <w:r>
              <w:rPr>
                <w:b w:val="false"/>
                <w:bCs w:val="false"/>
                <w:i/>
                <w:color w:val="000000"/>
                <w:lang w:val="en-GB"/>
              </w:rPr>
              <w:t xml:space="preserve"> research and project administration capacity in </w:t>
            </w:r>
            <w:r>
              <w:rPr>
                <w:i/>
                <w:color w:val="000000"/>
                <w:lang w:val="en-GB"/>
              </w:rPr>
              <w:t>the fast growing field of Space Geodesy.</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i/>
                <w:color w:val="000000"/>
                <w:lang w:val="en-GB"/>
              </w:rPr>
              <w:t>Strengthen host institute’s prestige, networking and involvement in prominent international consortia.</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color w:val="000000"/>
              </w:rPr>
            </w:pPr>
            <w:r>
              <w:rPr>
                <w:i/>
                <w:color w:val="000000"/>
                <w:lang w:val="en-GB"/>
              </w:rPr>
              <w:t>Establish and secure the host institute’s role as a key player in the field of Space Geodesy in the long run.</w:t>
            </w:r>
          </w:p>
          <w:p>
            <w:pPr>
              <w:pStyle w:val="Normal"/>
              <w:widowControl w:val="false"/>
              <w:tabs>
                <w:tab w:val="clear" w:pos="720"/>
              </w:tabs>
              <w:ind w:left="0" w:right="0" w:hanging="0"/>
              <w:rPr>
                <w:i/>
                <w:i/>
                <w:lang w:val="en-GB"/>
              </w:rPr>
            </w:pPr>
            <w:r>
              <w:rPr>
                <w:i/>
                <w:lang w:val="en-GB"/>
              </w:rPr>
            </w:r>
          </w:p>
          <w:p>
            <w:pPr>
              <w:pStyle w:val="Normal"/>
              <w:widowControl w:val="false"/>
              <w:tabs>
                <w:tab w:val="clear" w:pos="720"/>
              </w:tabs>
              <w:ind w:left="0" w:right="0" w:hanging="0"/>
              <w:rPr>
                <w:color w:val="000000"/>
              </w:rPr>
            </w:pPr>
            <w:r>
              <w:rPr>
                <w:i/>
                <w:color w:val="000000"/>
                <w:lang w:val="en-GB"/>
              </w:rPr>
              <w:t>Establish an illustrious centre of excellence for Space Geodesy  in Greece, attracting talented young researchers and promoting innovation.</w:t>
            </w:r>
          </w:p>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vanish/>
        </w:rPr>
      </w:pPr>
      <w:r>
        <w:rPr>
          <w:vanish/>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D &amp; E &amp; C MEASURES</w:t>
            </w:r>
          </w:p>
        </w:tc>
      </w:tr>
      <w:tr>
        <w:trPr>
          <w:trHeight w:val="3492"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DORIS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lang w:val="en-GB"/>
              </w:rPr>
            </w:pPr>
            <w:r>
              <w:rPr>
                <w:b/>
                <w:lang w:val="en-GB"/>
              </w:rPr>
              <w:t xml:space="preserve">Communication towards </w:t>
            </w:r>
            <w:r>
              <w:rPr>
                <w:b/>
                <w:bCs/>
                <w:color w:val="000000"/>
                <w:lang w:val="en-GB"/>
              </w:rPr>
              <w:t>the scientific community and Space Industry</w:t>
            </w:r>
            <w:r>
              <w:rPr>
                <w:b/>
                <w:color w:val="000000"/>
                <w:lang w:val="en-GB"/>
              </w:rPr>
              <w:t xml:space="preserve">: </w:t>
            </w:r>
            <w:r>
              <w:rPr>
                <w:b w:val="false"/>
                <w:bCs w:val="false"/>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b/>
          <w:b/>
          <w:color w:val="00B0F0"/>
        </w:rPr>
      </w:pPr>
      <w:r>
        <w:rPr>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EXPECTED RESULTS</w:t>
            </w:r>
          </w:p>
        </w:tc>
      </w:tr>
      <w:tr>
        <w:trPr>
          <w:trHeight w:val="34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b/>
                <w:bCs/>
                <w:color w:val="00B0F0"/>
              </w:rPr>
            </w:pPr>
            <w:r>
              <w:rPr/>
            </w:r>
          </w:p>
          <w:p>
            <w:pPr>
              <w:pStyle w:val="Normal"/>
              <w:widowControl w:val="false"/>
              <w:tabs>
                <w:tab w:val="clear" w:pos="720"/>
              </w:tabs>
              <w:ind w:left="0" w:right="0" w:hanging="0"/>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tabs>
                <w:tab w:val="clear" w:pos="720"/>
              </w:tabs>
              <w:ind w:left="0" w:right="0" w:hanging="0"/>
              <w:rPr/>
            </w:pPr>
            <w:r>
              <w:rPr>
                <w:color w:val="000000"/>
              </w:rPr>
            </w:r>
          </w:p>
          <w:p>
            <w:pPr>
              <w:pStyle w:val="Normal"/>
              <w:widowControl w:val="false"/>
              <w:tabs>
                <w:tab w:val="clear" w:pos="720"/>
              </w:tabs>
              <w:ind w:left="0" w:right="0" w:hanging="0"/>
              <w:rPr>
                <w:color w:val="000000"/>
              </w:rPr>
            </w:pPr>
            <w:r>
              <w:rPr>
                <w:b/>
                <w:color w:val="000000"/>
                <w:lang w:val="en-GB"/>
              </w:rPr>
              <w:t xml:space="preserve">Successful large-scale demonstrator: </w:t>
            </w:r>
            <w:r>
              <w:rPr>
                <w:b w:val="false"/>
                <w:bCs w:val="false"/>
                <w:color w:val="000000"/>
                <w:lang w:val="en-GB"/>
              </w:rPr>
              <w:t>Trial with 3 satellite missions of POD and precise  positioning using DORIS data.</w:t>
            </w:r>
          </w:p>
          <w:p>
            <w:pPr>
              <w:pStyle w:val="Normal"/>
              <w:widowControl w:val="false"/>
              <w:tabs>
                <w:tab w:val="clear" w:pos="720"/>
              </w:tabs>
              <w:ind w:left="0" w:right="0" w:hanging="0"/>
              <w:rPr>
                <w:b w:val="false"/>
                <w:b w:val="false"/>
                <w:bCs w:val="false"/>
                <w:lang w:val="en-GB"/>
              </w:rPr>
            </w:pPr>
            <w:r>
              <w:rPr>
                <w:color w:val="000000"/>
              </w:rPr>
            </w:r>
          </w:p>
          <w:p>
            <w:pPr>
              <w:pStyle w:val="Normal"/>
              <w:widowControl w:val="false"/>
              <w:tabs>
                <w:tab w:val="clear" w:pos="720"/>
              </w:tabs>
              <w:ind w:left="0" w:right="0" w:hanging="0"/>
              <w:rPr>
                <w:color w:val="000000"/>
              </w:rPr>
            </w:pPr>
            <w:r>
              <w:rPr>
                <w:b/>
                <w:bCs w:val="false"/>
                <w:color w:val="000000"/>
                <w:lang w:val="en-GB"/>
              </w:rPr>
              <w:t xml:space="preserve">Successful large-scale demonstrator: </w:t>
            </w:r>
            <w:r>
              <w:rPr>
                <w:b w:val="false"/>
                <w:bCs w:val="false"/>
                <w:color w:val="000000"/>
                <w:lang w:val="en-GB"/>
              </w:rPr>
              <w:t>Trial with 3 satellite missions of POD and precise  positioning using SLR data.</w:t>
            </w:r>
          </w:p>
          <w:p>
            <w:pPr>
              <w:pStyle w:val="Normal"/>
              <w:widowControl w:val="false"/>
              <w:tabs>
                <w:tab w:val="clear" w:pos="720"/>
              </w:tabs>
              <w:ind w:left="0" w:right="0" w:hanging="0"/>
              <w:rPr>
                <w:b w:val="false"/>
                <w:b w:val="false"/>
                <w:bCs w:val="false"/>
                <w:lang w:val="en-GB"/>
              </w:rPr>
            </w:pPr>
            <w:r>
              <w:rPr>
                <w:color w:val="000000"/>
              </w:rPr>
            </w:r>
          </w:p>
          <w:p>
            <w:pPr>
              <w:pStyle w:val="Normal"/>
              <w:widowControl w:val="false"/>
              <w:tabs>
                <w:tab w:val="clear" w:pos="720"/>
              </w:tabs>
              <w:ind w:left="0" w:right="0" w:hanging="0"/>
              <w:rPr>
                <w:color w:val="000000"/>
              </w:rPr>
            </w:pPr>
            <w:r>
              <w:rPr>
                <w:b/>
                <w:bCs/>
                <w:color w:val="000000"/>
                <w:lang w:val="en-GB"/>
              </w:rPr>
              <w:t>Publications:</w:t>
            </w:r>
            <w:r>
              <w:rPr>
                <w:b w:val="false"/>
                <w:bCs w:val="false"/>
                <w:color w:val="000000"/>
                <w:lang w:val="en-GB"/>
              </w:rPr>
              <w:t xml:space="preserve"> Three scientific papers in peer-reviewed journals and three publication in international conferences.</w:t>
            </w:r>
          </w:p>
          <w:p>
            <w:pPr>
              <w:pStyle w:val="Normal"/>
              <w:widowControl w:val="false"/>
              <w:tabs>
                <w:tab w:val="clear" w:pos="720"/>
              </w:tabs>
              <w:ind w:left="0" w:right="0" w:hanging="0"/>
              <w:rPr>
                <w:b w:val="false"/>
                <w:b w:val="false"/>
                <w:bCs w:val="false"/>
                <w:lang w:val="en-GB"/>
              </w:rPr>
            </w:pPr>
            <w:r>
              <w:rPr>
                <w:color w:val="000000"/>
              </w:rPr>
            </w:r>
          </w:p>
          <w:p>
            <w:pPr>
              <w:pStyle w:val="Normal"/>
              <w:widowControl w:val="false"/>
              <w:tabs>
                <w:tab w:val="clear" w:pos="720"/>
              </w:tabs>
              <w:ind w:left="0" w:right="0" w:hanging="0"/>
              <w:rPr>
                <w:color w:val="000000"/>
              </w:rPr>
            </w:pPr>
            <w:r>
              <w:rPr>
                <w:b/>
                <w:bCs/>
                <w:color w:val="000000"/>
                <w:lang w:val="en-GB"/>
              </w:rPr>
              <w:t>Expertise:</w:t>
            </w:r>
            <w:r>
              <w:rPr>
                <w:b w:val="false"/>
                <w:bCs w:val="false"/>
                <w:color w:val="000000"/>
                <w:lang w:val="en-GB"/>
              </w:rPr>
              <w:t xml:space="preserve"> Three PhD students trained and one Post-Doc trained. NTUA personnel will have gained extended expertise.</w:t>
            </w:r>
          </w:p>
          <w:p>
            <w:pPr>
              <w:pStyle w:val="Normal"/>
              <w:widowControl w:val="false"/>
              <w:tabs>
                <w:tab w:val="clear" w:pos="720"/>
              </w:tabs>
              <w:ind w:left="0" w:right="0" w:hanging="0"/>
              <w:rPr>
                <w:b w:val="false"/>
                <w:b w:val="false"/>
                <w:bCs w:val="false"/>
                <w:lang w:val="en-GB"/>
              </w:rPr>
            </w:pPr>
            <w:r>
              <w:rPr>
                <w:color w:val="000000"/>
              </w:rPr>
            </w:r>
          </w:p>
          <w:p>
            <w:pPr>
              <w:pStyle w:val="Normal"/>
              <w:widowControl w:val="false"/>
              <w:tabs>
                <w:tab w:val="clear" w:pos="720"/>
              </w:tabs>
              <w:ind w:left="0" w:right="0" w:hanging="0"/>
              <w:rPr>
                <w:color w:val="000000"/>
              </w:rPr>
            </w:pPr>
            <w:r>
              <w:rPr>
                <w:b/>
                <w:bCs/>
                <w:color w:val="000000"/>
                <w:lang w:val="en-GB"/>
              </w:rPr>
              <w:t>Further Grants and Long Term Plan:</w:t>
            </w:r>
            <w:r>
              <w:rPr>
                <w:b w:val="false"/>
                <w:bCs w:val="false"/>
                <w:color w:val="000000"/>
                <w:lang w:val="en-GB"/>
              </w:rPr>
              <w:t xml:space="preserve"> At least two grant proposals submitted to secure further, long term involvement in state-of-the-art Space Geodesy.</w:t>
            </w:r>
          </w:p>
          <w:p>
            <w:pPr>
              <w:pStyle w:val="Normal"/>
              <w:widowControl w:val="false"/>
              <w:tabs>
                <w:tab w:val="clear" w:pos="720"/>
              </w:tabs>
              <w:ind w:left="0" w:right="0" w:hanging="0"/>
              <w:rPr>
                <w:b w:val="false"/>
                <w:b w:val="false"/>
                <w:bCs w:val="false"/>
                <w:lang w:val="en-GB"/>
              </w:rPr>
            </w:pPr>
            <w:r>
              <w:rPr>
                <w:color w:val="000000"/>
              </w:rPr>
            </w:r>
          </w:p>
          <w:p>
            <w:pPr>
              <w:pStyle w:val="Normal"/>
              <w:widowControl w:val="false"/>
              <w:tabs>
                <w:tab w:val="clear" w:pos="720"/>
              </w:tabs>
              <w:ind w:left="0" w:right="0" w:hanging="0"/>
              <w:rPr>
                <w:color w:val="000000"/>
              </w:rPr>
            </w:pPr>
            <w:r>
              <w:rPr>
                <w:b/>
                <w:bCs/>
                <w:color w:val="000000"/>
                <w:lang w:val="en-GB"/>
              </w:rPr>
              <w:t>Involvement: I</w:t>
            </w:r>
            <w:r>
              <w:rPr>
                <w:b w:val="false"/>
                <w:bCs w:val="false"/>
                <w:color w:val="000000"/>
                <w:lang w:val="en-GB"/>
              </w:rPr>
              <w:t>nvolvement in international, high-prestige consortia such as IDS and IRLS, which shape the future of Space Geodesy.</w:t>
            </w:r>
          </w:p>
          <w:p>
            <w:pPr>
              <w:pStyle w:val="Normal"/>
              <w:widowControl w:val="false"/>
              <w:tabs>
                <w:tab w:val="clear" w:pos="720"/>
              </w:tabs>
              <w:ind w:left="0" w:right="0" w:hanging="0"/>
              <w:rPr>
                <w:lang w:val="en-GB"/>
              </w:rPr>
            </w:pPr>
            <w:r>
              <w:rPr>
                <w:lang w:val="en-GB"/>
              </w:rPr>
            </w:r>
          </w:p>
        </w:tc>
      </w:tr>
    </w:tbl>
    <w:p>
      <w:pPr>
        <w:pStyle w:val="Normal"/>
        <w:widowControl w:val="false"/>
        <w:ind w:left="1417" w:right="0" w:hanging="357"/>
        <w:rPr>
          <w:lang w:val="en-GB"/>
        </w:rPr>
      </w:pPr>
      <w:r>
        <w:rPr>
          <w:lang w:val="en-GB"/>
        </w:rPr>
      </w:r>
    </w:p>
    <w:p>
      <w:pPr>
        <w:pStyle w:val="Normal"/>
        <w:ind w:left="0" w:right="0" w:hanging="0"/>
        <w:rPr>
          <w:vanish/>
        </w:rPr>
      </w:pPr>
      <w:r>
        <w:rPr>
          <w:vanish/>
        </w:rPr>
      </w:r>
    </w:p>
    <w:p>
      <w:pPr>
        <w:pStyle w:val="Normal"/>
        <w:ind w:left="1417" w:right="0" w:hanging="357"/>
        <w:rPr>
          <w:lang w:val="en-GB"/>
        </w:rPr>
      </w:pPr>
      <w:r>
        <w:rPr>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TARGET GROUPS</w:t>
            </w:r>
          </w:p>
        </w:tc>
      </w:tr>
      <w:tr>
        <w:trPr>
          <w:trHeight w:val="3642"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i/>
                <w:color w:val="00B0F0"/>
                <w:lang w:val="en-GB"/>
              </w:rPr>
              <w:t>Who will use or further up-take the results of the project? Who will benefit from the results of the project?</w:t>
            </w:r>
          </w:p>
          <w:p>
            <w:pPr>
              <w:pStyle w:val="Normal"/>
              <w:widowControl w:val="false"/>
              <w:tabs>
                <w:tab w:val="clear" w:pos="720"/>
              </w:tabs>
              <w:ind w:left="0" w:right="0" w:hanging="0"/>
              <w:rPr>
                <w:lang w:val="en-GB"/>
              </w:rPr>
            </w:pPr>
            <w:r>
              <w:rPr/>
            </w:r>
          </w:p>
          <w:p>
            <w:pPr>
              <w:pStyle w:val="Normal"/>
              <w:widowControl w:val="false"/>
              <w:tabs>
                <w:tab w:val="clear" w:pos="720"/>
              </w:tabs>
              <w:ind w:left="0" w:right="0" w:hanging="0"/>
              <w:rPr>
                <w:lang w:val="en-GB"/>
              </w:rPr>
            </w:pPr>
            <w:r>
              <w:rPr>
                <w:i/>
                <w:color w:val="00B0F0"/>
                <w:lang w:val="en-GB"/>
              </w:rPr>
              <w:t>Scientific community</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pPr>
            <w:r>
              <w:rPr>
                <w:color w:val="00B0F0"/>
              </w:rPr>
              <w:t>Example 1</w:t>
            </w:r>
          </w:p>
          <w:p>
            <w:pPr>
              <w:pStyle w:val="Normal"/>
              <w:widowControl w:val="false"/>
              <w:tabs>
                <w:tab w:val="clear" w:pos="720"/>
              </w:tabs>
              <w:ind w:left="0" w:right="0" w:hanging="0"/>
              <w:rPr>
                <w:lang w:val="en-GB"/>
              </w:rPr>
            </w:pPr>
            <w:r>
              <w:rPr>
                <w:b/>
                <w:lang w:val="en-GB"/>
              </w:rPr>
              <w:t>9 European airports</w:t>
            </w:r>
            <w:r>
              <w:rPr>
                <w:lang w:val="en-GB"/>
              </w:rPr>
              <w:t>:</w:t>
            </w:r>
          </w:p>
          <w:p>
            <w:pPr>
              <w:pStyle w:val="Normal"/>
              <w:widowControl w:val="false"/>
              <w:tabs>
                <w:tab w:val="clear" w:pos="720"/>
              </w:tabs>
              <w:ind w:left="0" w:right="0" w:hanging="0"/>
              <w:rPr>
                <w:lang w:val="en-GB"/>
              </w:rPr>
            </w:pPr>
            <w:r>
              <w:rPr>
                <w:lang w:val="en-GB"/>
              </w:rPr>
              <w:t>Schiphol, Brussels airport, etc.</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The European Union aviation safety agency.</w:t>
            </w:r>
          </w:p>
          <w:p>
            <w:pPr>
              <w:pStyle w:val="Normal"/>
              <w:widowControl w:val="false"/>
              <w:tabs>
                <w:tab w:val="clear" w:pos="720"/>
              </w:tabs>
              <w:ind w:left="0" w:right="0" w:hanging="0"/>
              <w:rPr>
                <w:color w:val="00B0F0"/>
              </w:rPr>
            </w:pPr>
            <w:r>
              <w:rPr>
                <w:color w:val="00B0F0"/>
              </w:rPr>
            </w:r>
          </w:p>
          <w:p>
            <w:pPr>
              <w:pStyle w:val="Normal"/>
              <w:widowControl w:val="false"/>
              <w:tabs>
                <w:tab w:val="clear" w:pos="720"/>
              </w:tabs>
              <w:ind w:left="0" w:right="0" w:hanging="0"/>
              <w:rPr>
                <w:lang w:val="en-GB"/>
              </w:rPr>
            </w:pPr>
            <w:r>
              <w:rPr>
                <w:b/>
                <w:lang w:val="en-GB"/>
              </w:rPr>
              <w:t>Air passengers (indirect).</w:t>
            </w:r>
          </w:p>
          <w:p>
            <w:pPr>
              <w:pStyle w:val="Normal"/>
              <w:widowControl w:val="false"/>
              <w:tabs>
                <w:tab w:val="clear" w:pos="720"/>
              </w:tabs>
              <w:ind w:left="0" w:right="0" w:hanging="0"/>
              <w:rPr>
                <w:color w:val="00B0F0"/>
              </w:rPr>
            </w:pPr>
            <w:r>
              <w:rPr>
                <w:color w:val="00B0F0"/>
              </w:rPr>
            </w:r>
          </w:p>
          <w:p>
            <w:pPr>
              <w:pStyle w:val="Normal"/>
              <w:widowControl w:val="false"/>
              <w:tabs>
                <w:tab w:val="clear" w:pos="720"/>
              </w:tabs>
              <w:ind w:left="0" w:right="0" w:hanging="0"/>
              <w:rPr>
                <w:lang w:val="en-GB"/>
              </w:rPr>
            </w:pPr>
            <w:r>
              <w:rPr>
                <w:color w:val="00B0F0"/>
                <w:lang w:val="en-GB"/>
              </w:rPr>
              <w:t>Example 2</w:t>
            </w:r>
          </w:p>
          <w:p>
            <w:pPr>
              <w:pStyle w:val="Normal"/>
              <w:widowControl w:val="false"/>
              <w:tabs>
                <w:tab w:val="clear" w:pos="720"/>
              </w:tabs>
              <w:ind w:left="0" w:right="0" w:hanging="0"/>
              <w:rPr>
                <w:lang w:val="en-GB"/>
              </w:rPr>
            </w:pPr>
            <w:r>
              <w:rPr>
                <w:b/>
                <w:lang w:val="en-GB"/>
              </w:rPr>
              <w:t>End-users</w:t>
            </w:r>
            <w:r>
              <w:rPr>
                <w:lang w:val="en-GB"/>
              </w:rPr>
              <w:t>: consumers of electronic devices.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Major electronic companies</w:t>
            </w:r>
            <w:r>
              <w:rPr>
                <w:lang w:val="en-GB"/>
              </w:rPr>
              <w:t>: Samsung, Apple, etc.</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Scientific community</w:t>
            </w:r>
            <w:r>
              <w:rPr>
                <w:lang w:val="en-GB"/>
              </w:rPr>
              <w:t xml:space="preserve"> (field of transparent electronics).</w:t>
            </w:r>
          </w:p>
          <w:p>
            <w:pPr>
              <w:pStyle w:val="Normal"/>
              <w:widowControl w:val="false"/>
              <w:tabs>
                <w:tab w:val="clear" w:pos="720"/>
              </w:tabs>
              <w:ind w:left="0" w:right="0" w:hanging="0"/>
              <w:rPr>
                <w:color w:val="00B0F0"/>
                <w:lang w:val="en-GB"/>
              </w:rPr>
            </w:pPr>
            <w:r>
              <w:rPr>
                <w:color w:val="00B0F0"/>
                <w:lang w:val="en-GB"/>
              </w:rPr>
            </w:r>
          </w:p>
          <w:p>
            <w:pPr>
              <w:pStyle w:val="Normal"/>
              <w:widowControl w:val="false"/>
              <w:tabs>
                <w:tab w:val="clear" w:pos="720"/>
              </w:tabs>
              <w:ind w:left="0" w:right="0" w:hanging="0"/>
              <w:rPr>
                <w:color w:val="00B0F0"/>
                <w:lang w:val="en-GB"/>
              </w:rPr>
            </w:pPr>
            <w:r>
              <w:rPr>
                <w:color w:val="00B0F0"/>
                <w:lang w:val="en-GB"/>
              </w:rPr>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vanish/>
        </w:rPr>
      </w:pPr>
      <w:r>
        <w:rPr>
          <w:vanish/>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OUTCOMES</w:t>
            </w:r>
          </w:p>
        </w:tc>
      </w:tr>
      <w:tr>
        <w:trPr>
          <w:trHeight w:val="3642"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i/>
                <w:color w:val="00B0F0"/>
                <w:lang w:val="en-GB"/>
              </w:rPr>
              <w:t>What change do you expect to see after successful dissemination and exploitation of project results to the target group(s)?</w:t>
            </w:r>
          </w:p>
          <w:p>
            <w:pPr>
              <w:pStyle w:val="Normal"/>
              <w:widowControl w:val="false"/>
              <w:tabs>
                <w:tab w:val="clear" w:pos="720"/>
              </w:tabs>
              <w:ind w:left="0" w:right="0" w:hanging="0"/>
              <w:rPr>
                <w:b/>
                <w:b/>
              </w:rPr>
            </w:pPr>
            <w:r>
              <w:rPr>
                <w:b/>
              </w:rPr>
            </w:r>
          </w:p>
          <w:p>
            <w:pPr>
              <w:pStyle w:val="Normal"/>
              <w:widowControl w:val="false"/>
              <w:tabs>
                <w:tab w:val="clear" w:pos="720"/>
              </w:tabs>
              <w:ind w:left="0" w:right="0" w:hanging="0"/>
              <w:rPr/>
            </w:pPr>
            <w:r>
              <w:rPr>
                <w:color w:val="00B0F0"/>
              </w:rPr>
              <w:t>Example 1</w:t>
            </w:r>
          </w:p>
          <w:p>
            <w:pPr>
              <w:pStyle w:val="Normal"/>
              <w:widowControl w:val="false"/>
              <w:tabs>
                <w:tab w:val="clear" w:pos="720"/>
              </w:tabs>
              <w:ind w:left="0" w:right="0" w:hanging="0"/>
              <w:rPr/>
            </w:pPr>
            <w:r>
              <w:rPr>
                <w:b/>
              </w:rPr>
              <w:t>Up-take by airports:</w:t>
            </w:r>
            <w:r>
              <w:rPr/>
              <w:t xml:space="preserve"> 9 European airports adopt the advanced forecasting system demonstrated during the project.</w:t>
            </w:r>
          </w:p>
          <w:p>
            <w:pPr>
              <w:pStyle w:val="Normal"/>
              <w:widowControl w:val="false"/>
              <w:tabs>
                <w:tab w:val="clear" w:pos="720"/>
              </w:tabs>
              <w:ind w:left="0" w:right="0" w:hanging="0"/>
              <w:rPr/>
            </w:pPr>
            <w:r>
              <w:rPr/>
            </w:r>
          </w:p>
          <w:p>
            <w:pPr>
              <w:pStyle w:val="Normal"/>
              <w:widowControl w:val="false"/>
              <w:tabs>
                <w:tab w:val="clear" w:pos="720"/>
              </w:tabs>
              <w:ind w:left="0" w:right="0" w:hanging="0"/>
              <w:rPr>
                <w:lang w:val="en-GB"/>
              </w:rPr>
            </w:pPr>
            <w:r>
              <w:rPr>
                <w:color w:val="00B0F0"/>
                <w:lang w:val="en-GB"/>
              </w:rPr>
              <w:t>Example 2</w:t>
            </w:r>
          </w:p>
          <w:p>
            <w:pPr>
              <w:pStyle w:val="Normal"/>
              <w:widowControl w:val="false"/>
              <w:tabs>
                <w:tab w:val="clear" w:pos="720"/>
              </w:tabs>
              <w:ind w:left="0" w:right="0" w:hanging="0"/>
              <w:rPr/>
            </w:pPr>
            <w:r>
              <w:rPr>
                <w:b/>
              </w:rPr>
              <w:t>High use of the scientific discovery published</w:t>
            </w:r>
            <w:r>
              <w:rPr/>
              <w:t xml:space="preserve"> (measured with the relative rate of citation index of project publications).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 xml:space="preserve">A </w:t>
            </w:r>
            <w:r>
              <w:rPr>
                <w:b/>
              </w:rPr>
              <w:t>major electronic company</w:t>
            </w:r>
            <w:r>
              <w:rPr/>
              <w:t xml:space="preserve"> (Samsung or Apple) </w:t>
            </w:r>
            <w:r>
              <w:rPr>
                <w:b/>
              </w:rPr>
              <w:t>exploits/uses the new product</w:t>
            </w:r>
            <w:r>
              <w:rPr/>
              <w:t xml:space="preserve"> in their manufacturing.</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color w:val="00B0F0"/>
              </w:rPr>
            </w:pPr>
            <w:r>
              <w:rPr>
                <w:color w:val="00B0F0"/>
              </w:rPr>
            </w:r>
          </w:p>
        </w:tc>
      </w:tr>
    </w:tbl>
    <w:p>
      <w:pPr>
        <w:pStyle w:val="Normal"/>
        <w:widowControl w:val="false"/>
        <w:ind w:left="0" w:right="0" w:hanging="0"/>
        <w:rPr>
          <w:vanish/>
        </w:rPr>
      </w:pPr>
      <w:r>
        <w:rPr>
          <w:vanish/>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IMPACTS</w:t>
            </w:r>
          </w:p>
        </w:tc>
      </w:tr>
      <w:tr>
        <w:trPr>
          <w:trHeight w:val="3642"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ind w:left="0" w:right="0" w:hanging="0"/>
              <w:rPr>
                <w:i/>
                <w:i/>
                <w:color w:val="385623"/>
              </w:rPr>
            </w:pPr>
            <w:r>
              <w:rPr>
                <w:i/>
                <w:color w:val="385623"/>
              </w:rPr>
            </w:r>
          </w:p>
          <w:p>
            <w:pPr>
              <w:pStyle w:val="Normal"/>
              <w:widowControl w:val="false"/>
              <w:tabs>
                <w:tab w:val="clear" w:pos="720"/>
              </w:tabs>
              <w:ind w:left="0" w:right="0" w:hanging="0"/>
              <w:rPr/>
            </w:pPr>
            <w:r>
              <w:rPr>
                <w:color w:val="00B0F0"/>
              </w:rPr>
              <w:t>Example 1</w:t>
            </w:r>
          </w:p>
          <w:p>
            <w:pPr>
              <w:pStyle w:val="Normal"/>
              <w:widowControl w:val="false"/>
              <w:tabs>
                <w:tab w:val="clear" w:pos="720"/>
              </w:tabs>
              <w:ind w:left="0" w:right="0" w:hanging="0"/>
              <w:rPr>
                <w:lang w:val="en-GB"/>
              </w:rPr>
            </w:pPr>
            <w:r>
              <w:rPr>
                <w:b/>
                <w:lang w:val="en-GB"/>
              </w:rPr>
              <w:t xml:space="preserve">Scientific: </w:t>
            </w:r>
            <w:r>
              <w:rPr>
                <w:lang w:val="en-GB"/>
              </w:rPr>
              <w:t xml:space="preserve"> New breakthrough scientific discovery on passenger forecast modelling.</w:t>
            </w:r>
          </w:p>
          <w:p>
            <w:pPr>
              <w:pStyle w:val="Normal"/>
              <w:widowControl w:val="false"/>
              <w:tabs>
                <w:tab w:val="clear" w:pos="720"/>
              </w:tabs>
              <w:ind w:left="0" w:right="0" w:hanging="0"/>
              <w:rPr>
                <w:b/>
                <w:b/>
                <w:lang w:val="en-GB"/>
              </w:rPr>
            </w:pPr>
            <w:r>
              <w:rPr>
                <w:b/>
                <w:lang w:val="en-GB"/>
              </w:rPr>
            </w:r>
          </w:p>
          <w:p>
            <w:pPr>
              <w:pStyle w:val="Normal"/>
              <w:widowControl w:val="false"/>
              <w:tabs>
                <w:tab w:val="clear" w:pos="720"/>
              </w:tabs>
              <w:ind w:left="0" w:right="0" w:hanging="0"/>
              <w:rPr>
                <w:lang w:val="en-GB"/>
              </w:rPr>
            </w:pPr>
            <w:r>
              <w:rPr>
                <w:b/>
                <w:lang w:val="en-GB"/>
              </w:rPr>
              <w:t>Economic:</w:t>
            </w:r>
            <w:r>
              <w:rPr>
                <w:lang w:val="en-GB"/>
              </w:rPr>
              <w:t xml:space="preserve"> Increased airport efficiency</w:t>
            </w:r>
          </w:p>
          <w:p>
            <w:pPr>
              <w:pStyle w:val="Normal"/>
              <w:widowControl w:val="false"/>
              <w:tabs>
                <w:tab w:val="clear" w:pos="720"/>
              </w:tabs>
              <w:ind w:left="0" w:right="0" w:hanging="0"/>
              <w:rPr>
                <w:lang w:val="en-GB"/>
              </w:rPr>
            </w:pPr>
            <w:r>
              <w:rPr>
                <w:lang w:val="en-GB"/>
              </w:rPr>
              <w:t>Size: 15% increase of maximum passenger capacity in  European airports,  leading to a 28% reduction in infrastructure expansion costs.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color w:val="00B0F0"/>
                <w:lang w:val="en-GB"/>
              </w:rPr>
              <w:t>Example 2</w:t>
            </w:r>
          </w:p>
          <w:p>
            <w:pPr>
              <w:pStyle w:val="Normal"/>
              <w:widowControl w:val="false"/>
              <w:tabs>
                <w:tab w:val="clear" w:pos="720"/>
              </w:tabs>
              <w:ind w:left="0" w:right="0" w:hanging="0"/>
              <w:rPr>
                <w:lang w:val="en-GB"/>
              </w:rPr>
            </w:pPr>
            <w:r>
              <w:rPr>
                <w:b/>
                <w:lang w:val="en-GB"/>
              </w:rPr>
              <w:t>Scientific:</w:t>
            </w:r>
            <w:r>
              <w:rPr>
                <w:lang w:val="en-GB"/>
              </w:rPr>
              <w:t xml:space="preserve"> New breakthrough scientific discovery on transparent electronics.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Economic/Technological:</w:t>
            </w:r>
            <w:r>
              <w:rPr>
                <w:lang w:val="en-GB"/>
              </w:rPr>
              <w:t xml:space="preserve"> A new market for touch enabled electronic devices.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Societal:</w:t>
            </w:r>
            <w:r>
              <w:rPr>
                <w:lang w:val="en-GB"/>
              </w:rPr>
              <w:t xml:space="preserve"> Lower climate impact of electronics manufacturing (including through material sourcing and waste management).</w:t>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lang w:val="en-GB"/>
        </w:rPr>
      </w:pPr>
      <w:r>
        <w:rPr>
          <w:lang w:val="en-GB"/>
        </w:rPr>
      </w:r>
    </w:p>
    <w:p>
      <w:pPr>
        <w:sectPr>
          <w:headerReference w:type="even" r:id="rId14"/>
          <w:headerReference w:type="default" r:id="rId15"/>
          <w:headerReference w:type="first" r:id="rId16"/>
          <w:footerReference w:type="default" r:id="rId17"/>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ind w:left="0" w:right="0" w:hanging="0"/>
        <w:jc w:val="both"/>
        <w:rPr/>
      </w:pPr>
      <w:r>
        <w:rPr>
          <w:rFonts w:cs="Arial"/>
          <w:color w:val="B5B5B5"/>
          <w:sz w:val="18"/>
          <w:szCs w:val="16"/>
        </w:rPr>
        <w:t>#§IMP-ACT-IA§#</w:t>
      </w:r>
    </w:p>
    <w:p>
      <w:pPr>
        <w:pStyle w:val="Normal"/>
        <w:numPr>
          <w:ilvl w:val="0"/>
          <w:numId w:val="12"/>
        </w:numPr>
        <w:spacing w:before="0" w:after="200"/>
        <w:ind w:left="720" w:right="0" w:hanging="360"/>
        <w:jc w:val="both"/>
        <w:rPr>
          <w:lang w:val="en-GB"/>
        </w:rPr>
      </w:pPr>
      <w:r>
        <w:rPr>
          <w:b/>
          <w:bCs/>
          <w:lang w:val="en-GB"/>
        </w:rPr>
        <w:t xml:space="preserve">Quality and efficiency of the implementation </w:t>
      </w:r>
      <w:r>
        <w:rPr>
          <w:rFonts w:cs="Arial"/>
          <w:caps/>
          <w:color w:val="B5B5B5"/>
          <w:sz w:val="18"/>
          <w:szCs w:val="16"/>
          <w:lang w:eastAsia="it-IT"/>
        </w:rPr>
        <w:t xml:space="preserve">#@QUA-LIT-QL@# </w:t>
      </w:r>
      <w:r>
        <w:rPr>
          <w:rFonts w:cs="Arial"/>
          <w:color w:val="B5B5B5"/>
          <w:sz w:val="18"/>
          <w:szCs w:val="16"/>
        </w:rPr>
        <w:t>#@WRK-PLA-WP@#</w:t>
      </w:r>
    </w:p>
    <w:tbl>
      <w:tblPr>
        <w:tblW w:w="9242" w:type="dxa"/>
        <w:jc w:val="left"/>
        <w:tblInd w:w="-114" w:type="dxa"/>
        <w:tblLayout w:type="fixed"/>
        <w:tblCellMar>
          <w:top w:w="0" w:type="dxa"/>
          <w:left w:w="108" w:type="dxa"/>
          <w:bottom w:w="0" w:type="dxa"/>
          <w:right w:w="108" w:type="dxa"/>
        </w:tblCellMar>
      </w:tblPr>
      <w:tblGrid>
        <w:gridCol w:w="9242"/>
      </w:tblGrid>
      <w:tr>
        <w:trPr>
          <w:trHeight w:val="1782" w:hRule="atLeast"/>
        </w:trPr>
        <w:tc>
          <w:tcPr>
            <w:tcW w:w="92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i/>
              </w:rPr>
              <w:t>Quality and efficiency of the implementation – aspects to be taken into account</w:t>
            </w:r>
          </w:p>
          <w:p>
            <w:pPr>
              <w:pStyle w:val="ListParagraph"/>
              <w:widowControl w:val="false"/>
              <w:numPr>
                <w:ilvl w:val="0"/>
                <w:numId w:val="11"/>
              </w:numPr>
              <w:tabs>
                <w:tab w:val="clear" w:pos="720"/>
              </w:tabs>
              <w:bidi w:val="0"/>
              <w:spacing w:before="0" w:after="200"/>
              <w:ind w:left="720" w:right="0" w:hanging="360"/>
              <w:contextualSpacing/>
              <w:jc w:val="both"/>
              <w:rPr/>
            </w:pPr>
            <w:r>
              <w:rPr>
                <w:i/>
              </w:rPr>
              <w:t>Quality and effectiveness of the work plan, assessment of risks, and appropriateness of the effort assigned to work packages, and the resources overall.</w:t>
            </w:r>
          </w:p>
          <w:p>
            <w:pPr>
              <w:pStyle w:val="ListParagraph"/>
              <w:widowControl w:val="false"/>
              <w:numPr>
                <w:ilvl w:val="0"/>
                <w:numId w:val="11"/>
              </w:numPr>
              <w:tabs>
                <w:tab w:val="clear" w:pos="720"/>
              </w:tabs>
              <w:bidi w:val="0"/>
              <w:spacing w:before="0" w:after="200"/>
              <w:ind w:left="720" w:right="0" w:hanging="360"/>
              <w:contextualSpacing/>
              <w:jc w:val="both"/>
              <w:rPr/>
            </w:pPr>
            <w:r>
              <w:rPr>
                <w:i/>
              </w:rPr>
              <w:t>Capacity and role of each participant, and extent to which the consortium as a whole brings together the necessary expertise.</w:t>
            </w:r>
          </w:p>
        </w:tc>
      </w:tr>
    </w:tbl>
    <w:p>
      <w:pPr>
        <w:pStyle w:val="Normal"/>
        <w:widowControl w:val="false"/>
        <w:spacing w:before="0" w:after="200"/>
        <w:ind w:left="0" w:right="0" w:hanging="0"/>
        <w:jc w:val="both"/>
        <w:rPr>
          <w:b/>
          <w:b/>
          <w:lang w:val="en-GB"/>
        </w:rPr>
      </w:pPr>
      <w:r>
        <w:rPr>
          <w:b/>
          <w:lang w:val="en-GB"/>
        </w:rPr>
      </w:r>
    </w:p>
    <w:p>
      <w:pPr>
        <w:pStyle w:val="Normal"/>
        <w:spacing w:before="0" w:after="200"/>
        <w:ind w:left="720" w:right="0" w:hanging="720"/>
        <w:jc w:val="both"/>
        <w:rPr>
          <w:lang w:val="en-GB"/>
        </w:rPr>
      </w:pPr>
      <w:r>
        <w:rPr>
          <w:b/>
          <w:lang w:val="en-GB"/>
        </w:rPr>
        <w:t>3.1</w:t>
        <w:tab/>
        <w:t xml:space="preserve">Work plan and resources </w:t>
      </w:r>
    </w:p>
    <w:p>
      <w:pPr>
        <w:pStyle w:val="Normal"/>
        <w:spacing w:before="0" w:after="120"/>
        <w:ind w:left="0" w:right="0" w:hanging="0"/>
        <w:jc w:val="both"/>
        <w:rPr>
          <w:lang w:val="en-GB"/>
        </w:rPr>
      </w:pPr>
      <w:r>
        <w:rPr>
          <w:lang w:val="en-GB"/>
        </w:rPr>
        <w:t xml:space="preserve">The work plan for ACRONYM is heavily focused on an seamless, one-way transfer of </w:t>
      </w:r>
      <w:r>
        <w:rPr/>
        <w:t>excellence between the top-class consortium partners and NTUA. Project administration activities are placed in an individual Working Package to allow for its efficient management and coordination. Capacity building is split into two Working Packages, each with its own focus and goals; WP2 targets the establishment of networking channels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120"/>
        <w:ind w:left="0" w:right="0" w:hanging="0"/>
        <w:jc w:val="both"/>
        <w:rPr/>
      </w:pPr>
      <w:r>
        <w:rPr/>
        <mc:AlternateContent>
          <mc:Choice Requires="wps">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6479540" cy="4783455"/>
                <wp:effectExtent l="0" t="0" r="0" b="0"/>
                <wp:wrapSquare wrapText="bothSides"/>
                <wp:docPr id="12" name="Frame17"/>
                <a:graphic xmlns:a="http://schemas.openxmlformats.org/drawingml/2006/main">
                  <a:graphicData uri="http://schemas.microsoft.com/office/word/2010/wordprocessingShape">
                    <wps:wsp>
                      <wps:cNvSpPr/>
                      <wps:spPr>
                        <a:xfrm>
                          <a:off x="0" y="0"/>
                          <a:ext cx="6479640" cy="47833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6479540" cy="452120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8"/>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510.15pt;height:376.6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6479540" cy="452120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9"/>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v:textbox>
                <w10:wrap type="square"/>
              </v:rect>
            </w:pict>
          </mc:Fallback>
        </mc:AlternateContent>
      </w:r>
    </w:p>
    <w:p>
      <w:pPr>
        <w:pStyle w:val="Normal"/>
        <w:widowControl/>
        <w:spacing w:before="0" w:after="200"/>
        <w:ind w:left="0" w:right="0" w:hanging="0"/>
        <w:jc w:val="both"/>
        <w:rPr/>
      </w:pPr>
      <w:r>
        <w:rPr/>
      </w:r>
    </w:p>
    <w:p>
      <w:pPr>
        <w:pStyle w:val="Normal"/>
        <w:widowControl/>
        <w:spacing w:before="0" w:after="200"/>
        <w:ind w:left="0" w:right="0" w:hanging="0"/>
        <w:jc w:val="both"/>
        <w:rPr/>
      </w:pPr>
      <w:r>
        <w:rPr/>
      </w:r>
    </w:p>
    <w:p>
      <w:pPr>
        <w:pStyle w:val="Normal"/>
        <w:ind w:left="0" w:right="0" w:hanging="0"/>
        <w:rPr>
          <w:lang w:val="en-GB"/>
        </w:rPr>
      </w:pPr>
      <w:r>
        <w:rPr>
          <w:i/>
          <w:lang w:val="en-GB"/>
        </w:rPr>
        <w:t xml:space="preserve"> </w:t>
      </w:r>
    </w:p>
    <w:p>
      <w:pPr>
        <w:pStyle w:val="Normal"/>
        <w:spacing w:before="0" w:after="200"/>
        <w:ind w:left="0" w:right="0" w:hanging="0"/>
        <w:jc w:val="both"/>
        <w:rPr>
          <w:lang w:val="en-GB"/>
        </w:rPr>
      </w:pPr>
      <w:r>
        <w:rPr>
          <w:b/>
          <w:lang w:val="en-GB"/>
        </w:rPr>
        <w:t>3.2</w:t>
        <w:tab/>
        <w:t xml:space="preserve">Capacity of participants and consortium as a whole </w:t>
      </w:r>
      <w:r>
        <w:rPr>
          <w:rFonts w:cs="Arial"/>
          <w:color w:val="B5B5B5"/>
          <w:sz w:val="18"/>
          <w:szCs w:val="16"/>
        </w:rPr>
        <w:t>#@CON-SOR-CS@# #@PRJ-MGT-PM@#</w:t>
      </w:r>
      <w:r>
        <w:rPr>
          <w:i/>
          <w:lang w:val="en-GB"/>
        </w:rPr>
        <w:t xml:space="preserve"> [e.g. 3 pages] </w:t>
      </w:r>
    </w:p>
    <w:p>
      <w:pPr>
        <w:pStyle w:val="Normal"/>
        <w:spacing w:before="0" w:after="200"/>
        <w:ind w:left="0" w:right="0" w:hanging="0"/>
        <w:jc w:val="both"/>
        <w:rPr>
          <w:i/>
          <w:i/>
          <w:lang w:val="en-GB"/>
        </w:rPr>
      </w:pPr>
      <w:r>
        <w:rPr/>
        <w:drawing>
          <wp:inline distT="0" distB="0" distL="0" distR="0">
            <wp:extent cx="129540" cy="12954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20"/>
                    <a:stretch>
                      <a:fillRect/>
                    </a:stretch>
                  </pic:blipFill>
                  <pic:spPr bwMode="auto">
                    <a:xfrm>
                      <a:off x="0" y="0"/>
                      <a:ext cx="129540" cy="129540"/>
                    </a:xfrm>
                    <a:prstGeom prst="rect">
                      <a:avLst/>
                    </a:prstGeom>
                  </pic:spPr>
                </pic:pic>
              </a:graphicData>
            </a:graphic>
          </wp:inline>
        </w:drawing>
      </w:r>
    </w:p>
    <w:p>
      <w:pPr>
        <w:pStyle w:val="Normal"/>
        <w:spacing w:before="0" w:after="200"/>
        <w:ind w:left="0" w:right="0" w:hanging="0"/>
        <w:jc w:val="both"/>
        <w:rPr/>
      </w:pPr>
      <w:r>
        <w:rPr>
          <w:rFonts w:cs="Arial"/>
          <w:color w:val="B5B5B5"/>
          <w:sz w:val="18"/>
          <w:szCs w:val="16"/>
        </w:rPr>
        <w:t>#§CON-SOR-CS§# #§PRJ-MGT-PM§#</w:t>
      </w:r>
      <w:r>
        <w:br w:type="page"/>
      </w:r>
    </w:p>
    <w:p>
      <w:pPr>
        <w:pStyle w:val="Normal"/>
        <w:spacing w:lineRule="auto" w:line="276" w:before="0" w:after="240"/>
        <w:ind w:left="0" w:right="0" w:hanging="0"/>
        <w:jc w:val="both"/>
        <w:rPr>
          <w:lang w:val="en-GB"/>
        </w:rPr>
      </w:pPr>
      <w:r>
        <w:rPr>
          <w:b/>
          <w:bCs/>
          <w:lang w:val="en-GB"/>
        </w:rPr>
        <w:t>Tables for section 3.1</w:t>
      </w:r>
    </w:p>
    <w:p>
      <w:pPr>
        <w:pStyle w:val="Normal"/>
        <w:spacing w:before="0" w:after="240"/>
        <w:ind w:left="0" w:right="0" w:hanging="0"/>
        <w:rPr>
          <w:lang w:val="en-GB"/>
        </w:rPr>
      </w:pPr>
      <w:r>
        <w:rPr>
          <w:b/>
          <w:bCs/>
          <w:lang w:val="en-GB"/>
        </w:rPr>
        <w:t xml:space="preserve">Table 3.1a: </w:t>
        <w:tab/>
        <w:t>List of work packages</w:t>
      </w:r>
    </w:p>
    <w:p>
      <w:pPr>
        <w:pStyle w:val="Normal"/>
        <w:ind w:left="0" w:right="0" w:hanging="0"/>
        <w:rPr>
          <w:lang w:val="en-GB"/>
        </w:rPr>
      </w:pPr>
      <w:r>
        <w:rPr>
          <w:lang w:val="en-GB"/>
        </w:rPr>
      </w:r>
    </w:p>
    <w:tbl>
      <w:tblPr>
        <w:tblW w:w="8678" w:type="dxa"/>
        <w:jc w:val="center"/>
        <w:tblInd w:w="0" w:type="dxa"/>
        <w:tblLayout w:type="fixed"/>
        <w:tblCellMar>
          <w:top w:w="0" w:type="dxa"/>
          <w:left w:w="108" w:type="dxa"/>
          <w:bottom w:w="0" w:type="dxa"/>
          <w:right w:w="108" w:type="dxa"/>
        </w:tblCellMar>
      </w:tblPr>
      <w:tblGrid>
        <w:gridCol w:w="1100"/>
        <w:gridCol w:w="1988"/>
        <w:gridCol w:w="1250"/>
        <w:gridCol w:w="1350"/>
        <w:gridCol w:w="1087"/>
        <w:gridCol w:w="990"/>
        <w:gridCol w:w="912"/>
      </w:tblGrid>
      <w:tr>
        <w:trPr>
          <w:cantSplit w:val="true"/>
        </w:trPr>
        <w:tc>
          <w:tcPr>
            <w:tcW w:w="110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No</w:t>
            </w:r>
          </w:p>
        </w:tc>
        <w:tc>
          <w:tcPr>
            <w:tcW w:w="198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Title</w:t>
            </w:r>
          </w:p>
        </w:tc>
        <w:tc>
          <w:tcPr>
            <w:tcW w:w="12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No</w:t>
            </w:r>
          </w:p>
        </w:tc>
        <w:tc>
          <w:tcPr>
            <w:tcW w:w="13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Short Name</w:t>
            </w:r>
          </w:p>
        </w:tc>
        <w:tc>
          <w:tcPr>
            <w:tcW w:w="108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Person-Months</w:t>
            </w:r>
          </w:p>
        </w:tc>
        <w:tc>
          <w:tcPr>
            <w:tcW w:w="99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Start Month</w:t>
            </w:r>
          </w:p>
        </w:tc>
        <w:tc>
          <w:tcPr>
            <w:tcW w:w="91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End month</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WP1</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Project Management and Coordination</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WP2</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ind w:left="0" w:right="0" w:hanging="0"/>
              <w:rPr>
                <w:lang w:val="en-GB"/>
              </w:rPr>
            </w:pPr>
            <w:r>
              <w:rPr>
                <w:lang w:val="en-GB"/>
              </w:rPr>
              <w:t>Networking and Preparing Capacity Building</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24</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WP3</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Building Excellence Capacity</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12</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WP4</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Dissemination, Exploitation and Communication Activities</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6</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bl>
    <w:p>
      <w:pPr>
        <w:pStyle w:val="Normal"/>
        <w:widowControl w:val="false"/>
        <w:spacing w:before="0" w:after="240"/>
        <w:ind w:left="0" w:right="0" w:hanging="0"/>
        <w:rPr>
          <w:b/>
          <w:b/>
          <w:bCs/>
          <w:lang w:val="en-GB"/>
        </w:rPr>
      </w:pPr>
      <w:r>
        <w:rPr>
          <w:b/>
          <w:bCs/>
          <w:lang w:val="en-GB"/>
        </w:rPr>
      </w:r>
      <w:r>
        <w:br w:type="page"/>
      </w:r>
    </w:p>
    <w:p>
      <w:pPr>
        <w:pStyle w:val="Normal"/>
        <w:spacing w:before="0" w:after="200"/>
        <w:ind w:left="0" w:right="0" w:hanging="0"/>
        <w:rPr>
          <w:lang w:val="en-GB"/>
        </w:rPr>
      </w:pPr>
      <w:r>
        <w:rPr>
          <w:b/>
          <w:bCs/>
          <w:lang w:val="en-GB"/>
        </w:rPr>
        <w:t>Table 3.1b:</w:t>
        <w:tab/>
        <w:t xml:space="preserve">Work package description </w:t>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Project Management &amp; Coordination</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b/>
                <w:lang w:val="en-GB"/>
              </w:rPr>
              <w:t>Objectives</w:t>
            </w:r>
          </w:p>
          <w:p>
            <w:pPr>
              <w:pStyle w:val="Normal"/>
              <w:widowControl w:val="false"/>
              <w:tabs>
                <w:tab w:val="clear" w:pos="720"/>
              </w:tabs>
              <w:spacing w:before="60" w:after="60"/>
              <w:ind w:left="0" w:right="0" w:hanging="0"/>
              <w:rPr>
                <w:lang w:val="en-GB"/>
              </w:rPr>
            </w:pPr>
            <w:r>
              <w:rPr>
                <w:lang w:val="en-GB"/>
              </w:rPr>
              <w:t xml:space="preserve">The objectives of this WP are to: (1) Establish a strong project management scheme; (2) Establish the appropriate </w:t>
            </w:r>
            <w:r>
              <w:rPr/>
              <w:t>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1.1: Quality assurance, risk management and technical monitoring (M1 – M36); Lead: NTUA</w:t>
            </w:r>
            <w:r>
              <w:rPr/>
              <w:t>.</w:t>
            </w:r>
          </w:p>
          <w:p>
            <w:pPr>
              <w:pStyle w:val="Normal"/>
              <w:widowControl w:val="false"/>
              <w:tabs>
                <w:tab w:val="clear" w:pos="720"/>
              </w:tabs>
              <w:spacing w:before="60" w:after="60"/>
              <w:ind w:left="0" w:right="0" w:hanging="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1.2: Day-to-Day management of the project, financial control and resource monitoring (M1 – M36);</w:t>
            </w:r>
          </w:p>
          <w:p>
            <w:pPr>
              <w:pStyle w:val="Normal"/>
              <w:widowControl w:val="false"/>
              <w:tabs>
                <w:tab w:val="clear" w:pos="720"/>
              </w:tabs>
              <w:spacing w:before="60" w:after="60"/>
              <w:ind w:left="0" w:right="0" w:hanging="0"/>
              <w:rPr/>
            </w:pPr>
            <w:r>
              <w:rPr>
                <w:b/>
                <w:bCs/>
              </w:rPr>
              <w:t>Lead: NTUA</w:t>
            </w:r>
            <w:r>
              <w:rPr/>
              <w:t>.</w:t>
            </w:r>
          </w:p>
          <w:p>
            <w:pPr>
              <w:pStyle w:val="Normal"/>
              <w:widowControl w:val="false"/>
              <w:tabs>
                <w:tab w:val="clear" w:pos="720"/>
              </w:tabs>
              <w:spacing w:before="60" w:after="60"/>
              <w:ind w:left="0" w:right="0" w:hanging="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1.3: Project Reporting to EU (M1 – M36); Lead: NTUA</w:t>
            </w:r>
          </w:p>
          <w:p>
            <w:pPr>
              <w:pStyle w:val="Normal"/>
              <w:widowControl w:val="false"/>
              <w:tabs>
                <w:tab w:val="clear" w:pos="720"/>
              </w:tabs>
              <w:spacing w:before="60" w:after="60"/>
              <w:ind w:left="0" w:right="0" w:hanging="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p>
            <w:pPr>
              <w:pStyle w:val="Normal"/>
              <w:widowControl w:val="false"/>
              <w:tabs>
                <w:tab w:val="clear" w:pos="720"/>
              </w:tabs>
              <w:spacing w:before="60" w:after="60"/>
              <w:ind w:left="0" w:right="0" w:hanging="0"/>
              <w:rPr>
                <w:lang w:val="en-GB"/>
              </w:rPr>
            </w:pPr>
            <w:r>
              <w:rPr>
                <w:lang w:val="en-GB"/>
              </w:rPr>
            </w:r>
          </w:p>
        </w:tc>
      </w:tr>
    </w:tbl>
    <w:p>
      <w:pPr>
        <w:pStyle w:val="Normal"/>
        <w:widowControl w:val="false"/>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Networking and Preparing Capacity Building</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to establish efficient, solid, seamless communication and networking channels between the host and the twining research institutions. Through these channels, the expert nodes will introduce the host institute to their respective fields of expertise, and lay the groundwork and work-schedule for research capacity building.</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lang w:val="en-GB"/>
              </w:rPr>
              <w:t>The transferring of scientific knowledge from the partners to the host, will involve experienced personnel from the respective knowledge nodes on the one hand, and personnel, NTUA Professors and PhD/post-doc students on the other endpoint. Each of the consortium partners, will undertake the task of transferring knowledge, via:</w:t>
            </w:r>
          </w:p>
          <w:p>
            <w:pPr>
              <w:pStyle w:val="Normal"/>
              <w:widowControl w:val="false"/>
              <w:numPr>
                <w:ilvl w:val="0"/>
                <w:numId w:val="15"/>
              </w:numPr>
              <w:tabs>
                <w:tab w:val="clear" w:pos="720"/>
              </w:tabs>
              <w:spacing w:before="60" w:after="60"/>
              <w:jc w:val="both"/>
              <w:rPr/>
            </w:pPr>
            <w:r>
              <w:rPr>
                <w:lang w:val="en-GB"/>
              </w:rPr>
              <w:t>A series of on-line, remote presentations and classes in a one-to-many sense, where different members of the top-level institute's personnel will teach a targeted subgroup of the host's staff, technique-specific details</w:t>
            </w:r>
          </w:p>
          <w:p>
            <w:pPr>
              <w:pStyle w:val="Normal"/>
              <w:widowControl w:val="false"/>
              <w:numPr>
                <w:ilvl w:val="0"/>
                <w:numId w:val="15"/>
              </w:numPr>
              <w:tabs>
                <w:tab w:val="clear" w:pos="720"/>
              </w:tabs>
              <w:spacing w:before="60" w:after="60"/>
              <w:jc w:val="both"/>
              <w:rPr/>
            </w:pPr>
            <w:r>
              <w:rPr>
                <w:lang w:val="en-GB"/>
              </w:rPr>
              <w:t xml:space="preserve"> </w:t>
            </w:r>
            <w:r>
              <w:rPr>
                <w:lang w:val="en-GB"/>
              </w:rPr>
              <w:t>A seamless communication channel, via which the host's staff will be able to request assistance in technique-specific matters</w:t>
            </w:r>
          </w:p>
          <w:p>
            <w:pPr>
              <w:pStyle w:val="Normal"/>
              <w:widowControl w:val="false"/>
              <w:numPr>
                <w:ilvl w:val="0"/>
                <w:numId w:val="15"/>
              </w:numPr>
              <w:tabs>
                <w:tab w:val="clear" w:pos="720"/>
              </w:tabs>
              <w:spacing w:before="60" w:after="60"/>
              <w:jc w:val="both"/>
              <w:rPr/>
            </w:pPr>
            <w:r>
              <w:rPr>
                <w:lang w:val="en-GB"/>
              </w:rPr>
              <w:t>A number of short term visits from the host's staff to the partners. During these visits, there will be a transfer of knowledge and expertise based on a hands-on approach. Host institute's personnel will be able to inspect and be taught and informed on the specialized software tools used by the top-level partners for each technique of interest. Crucial scientific output will be generated and the host can incorporate lessons learned using a best-practices approach.</w:t>
            </w:r>
          </w:p>
          <w:p>
            <w:pPr>
              <w:pStyle w:val="Normal"/>
              <w:widowControl w:val="false"/>
              <w:numPr>
                <w:ilvl w:val="0"/>
                <w:numId w:val="15"/>
              </w:numPr>
              <w:tabs>
                <w:tab w:val="clear" w:pos="720"/>
              </w:tabs>
              <w:spacing w:before="60" w:after="60"/>
              <w:jc w:val="both"/>
              <w:rPr/>
            </w:pPr>
            <w:r>
              <w:rPr>
                <w:lang w:val="en-GB"/>
              </w:rPr>
              <w:t xml:space="preserve"> </w:t>
            </w:r>
            <w:r>
              <w:rPr>
                <w:lang w:val="en-GB"/>
              </w:rPr>
              <w:t>A number of short term visits from the partners to the host institute. These visits are expected to consolidate a sound, solid communication channel between the parties. Additionally, the expert partners will perform lectures and seminars on technical matters as well as inspect progress of WP3</w:t>
            </w:r>
          </w:p>
          <w:p>
            <w:pPr>
              <w:pStyle w:val="Normal"/>
              <w:widowControl w:val="false"/>
              <w:numPr>
                <w:ilvl w:val="0"/>
                <w:numId w:val="15"/>
              </w:numPr>
              <w:tabs>
                <w:tab w:val="clear" w:pos="720"/>
              </w:tabs>
              <w:spacing w:before="60" w:after="60"/>
              <w:jc w:val="both"/>
              <w:rPr/>
            </w:pPr>
            <w:r>
              <w:rPr>
                <w:lang w:val="en-GB"/>
              </w:rPr>
              <w:t xml:space="preserve"> </w:t>
            </w:r>
            <w:r>
              <w:rPr>
                <w:lang w:val="en-GB"/>
              </w:rPr>
              <w:t>Via the established communication channels, transfer of administrative knowledge and skills from  the partners to the host institution, will also take place, aiming at increasing the host's capacity in claiming and managing research-intensive projects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2.1 Networking and preparing research capacity for DORIS (M1-M12); Lead IPGP</w:t>
            </w:r>
          </w:p>
          <w:p>
            <w:pPr>
              <w:pStyle w:val="Normal"/>
              <w:widowControl w:val="false"/>
              <w:tabs>
                <w:tab w:val="clear" w:pos="720"/>
              </w:tabs>
              <w:spacing w:before="60" w:after="60"/>
              <w:ind w:left="0" w:right="0" w:hanging="0"/>
              <w:jc w:val="both"/>
              <w:rPr/>
            </w:pPr>
            <w:r>
              <w:rPr>
                <w:lang w:val="en-GB"/>
              </w:rPr>
              <w:t>The host institute along with IPGP and CLS will establish a task force (with members of all three involved institutes) and the (online) means through which this force will maintain a long-term sound communication, at least for the duration of ACRONYM. The expert partners will introduce the DORIS technique to their peers in the host institute via online webinars and one short term encounter of all three involved partners. This encounter will be hosted by IPGP and will include the schooling of the host’s personnel in software tools used by the expert nodes in their respective institutes.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and one Post-Doc Thesis, which they will co-supervise. Both thesis will be carried out in NTUA, in close cooperation with the expert nodes, and written/defended in English.</w:t>
            </w:r>
          </w:p>
          <w:p>
            <w:pPr>
              <w:pStyle w:val="Normal"/>
              <w:widowControl w:val="false"/>
              <w:tabs>
                <w:tab w:val="clear" w:pos="720"/>
              </w:tabs>
              <w:spacing w:before="60" w:after="60"/>
              <w:ind w:left="0" w:right="0" w:hanging="0"/>
              <w:jc w:val="both"/>
              <w:rPr/>
            </w:pPr>
            <w:r>
              <w:rPr/>
              <w:t>Exploiting the expertise of the top-class institutes (IPGP and CLS), the partners will lay out a detailed plan on significantly enhancing the host’s research capacity, through designing and implementing a DORIS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this three-part consortium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t>Expert nodes will introduce the host to the IDS consortium</w:t>
            </w:r>
            <w:r>
              <w:rPr>
                <w:lang w:val="en-GB"/>
              </w:rPr>
              <w:t>,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2.2 Networking and preparing research capacity for SLR (M1-M12); Lead GFZ</w:t>
            </w:r>
          </w:p>
          <w:p>
            <w:pPr>
              <w:pStyle w:val="Normal"/>
              <w:widowControl w:val="false"/>
              <w:tabs>
                <w:tab w:val="clear" w:pos="720"/>
              </w:tabs>
              <w:spacing w:before="60" w:after="60"/>
              <w:ind w:left="0" w:right="0" w:hanging="0"/>
              <w:jc w:val="both"/>
              <w:rPr/>
            </w:pPr>
            <w:r>
              <w:rPr>
                <w:lang w:val="en-GB"/>
              </w:rPr>
              <w:t>GFZ and NTUA will establish a task force (with members of both involved institutes) and the (online) means through which this force will maintain a long-term sound communication, at least for the duration of ACRONYM. The expert partner will introduce the SLR technique to its peers in the host institute via online webinars and one short term encounter, hosted by GFZ. During this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GFZ, the partners will lay out a detailed plan on significantly enhancing the host’s research capacity, through designing and implementing an SLR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GFZ will introduce the host to the ILRS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2.3 Networking and preparing research capacity for VLBI (M1-M12); Lead OSO</w:t>
            </w:r>
          </w:p>
          <w:p>
            <w:pPr>
              <w:pStyle w:val="Normal"/>
              <w:widowControl w:val="false"/>
              <w:tabs>
                <w:tab w:val="clear" w:pos="720"/>
              </w:tabs>
              <w:spacing w:before="60" w:after="60"/>
              <w:ind w:left="0" w:right="0" w:hanging="0"/>
              <w:jc w:val="both"/>
              <w:rPr/>
            </w:pPr>
            <w:r>
              <w:rPr>
                <w:lang w:val="en-GB"/>
              </w:rPr>
              <w:t>OSO and NTUA will establish a task force (with members of both involved institutes) and the (online) means through which this force will maintain a long-term sound communication, at least for the duration of ACRONYM. The expert partner will introduce the VLBI technique to its peers in the host institute via online webinars and one short term encounter, hosted by OSO. During this visit, NTUA personnel will make a guided in-situ visit to the VLBI site in Onsala (operated by OSO), where they will be introduced to the instrumentation and operational aspects of the site. Additionally, the visit will include the schooling of the host’s personnel in software tools developed and used by the expert node to process VLBI data for the estimation of Earth orientation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OSO, the partners will lay out a detailed plan on significantly enhancing the host’s research capacity, through designing and implementing a geodetic toolbox, specifically aiming an efficient and accurate handling of Earth orientation parameters, celestial and terrestrial reference frame transformations and tidal phenomena. This plan will include state-of-the-art standards and models to be used, as well as testing and validation cases. Tasks will be hierarchically ordered in a precision ordered fashion, eventually leading to achieving utmost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OSO will introduce the host to the IVS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2.4 Enhancing Management Capacity (M1-M24); Lead CLS</w:t>
            </w:r>
          </w:p>
          <w:p>
            <w:pPr>
              <w:pStyle w:val="Normal"/>
              <w:widowControl w:val="false"/>
              <w:tabs>
                <w:tab w:val="clear" w:pos="720"/>
              </w:tabs>
              <w:spacing w:before="60" w:after="60"/>
              <w:ind w:left="0" w:right="0" w:hanging="0"/>
              <w:jc w:val="both"/>
              <w:rPr/>
            </w:pPr>
            <w:r>
              <w:rPr>
                <w:lang w:val="en-GB"/>
              </w:rPr>
              <w:t>The consortium partners (CLS, IPGP, GFZ and OSO) will transfer technical knowledge, know-how and expertise to NTUA, concerning the writing and submitting of research proposals, as well as the efficient administration of research intensive scientific projects.</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Building Excellence Capacity</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for the host institute to build its own scientific software toolset, to perform close to state-of-the-art data analysis for observations collected by both DORIS and SLR techniques. Additionally, the package will be able to efficiently incorporate recent advances and high-quality products from VLBI analysis. Such a toolbox will is expected to significantly enhance the host's capacity to perform state-of-the-art research on a wide range of geoscience-related topics. Furthermore, it will enable NTUA's involvement in  international, high-prestige consortia (such as the IDS and ILRS) significantly enhancing its international status and networking capabilities.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lang w:val="en-GB"/>
              </w:rPr>
              <w:t>Since both DORIS and SLR processing is tailored to the specifics of each observed space vehicle, the consortium will hand pick a minimum of three satellites, with payload capacity for both techniques, for the software development. Design principles though will conform to extensibility, so that NTUA will be later able to incorporate more satellites (for each technique) on its own, with minimal cost.</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lang w:val="en-GB"/>
              </w:rPr>
              <w:t>The software will be specifically targeted towards precise orbit determination and estimation of geodetic parameters. All involved partners will assist the host institute in reaching this goal, via individual contributions in their respective areas of expertise.</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lang w:val="en-GB"/>
              </w:rPr>
              <w:t>NTUA will adhere to a free and open-source policy for all software tools to be built within the framework of this WP. Software implementation will be carried out on the public domain via dedicated repositories (hosted e.g. on [gitlab](https://about.gitlab.com/) so at to enable a rigorous development platform for the consortium parties and easy progress monitoring (including the Commission).</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3.1 Building research capacity via DORIS (M12-M36); Lead CLS</w:t>
            </w:r>
          </w:p>
          <w:p>
            <w:pPr>
              <w:pStyle w:val="Normal"/>
              <w:widowControl w:val="false"/>
              <w:tabs>
                <w:tab w:val="clear" w:pos="720"/>
              </w:tabs>
              <w:spacing w:before="60" w:after="60"/>
              <w:ind w:left="0" w:right="0" w:hanging="0"/>
              <w:jc w:val="both"/>
              <w:rPr/>
            </w:pPr>
            <w:r>
              <w:rPr>
                <w:lang w:val="en-GB"/>
              </w:rPr>
              <w:t>CLS and IPGP will provide assistance to NTUA aiming at the upgrade and refinement of its own DORIS analysis software, to perform precise orbit determination and estimation of geodetic parameters. Both expert nodes will assist NTUA’s personnel via online webinars, one-on-one and one-to-many schooling, exploiting the networking capacity already established in Task 2.1. Additionally, NTUA’s staff will visit CLS and both CLS and IPGP personnel will make short visits to NTUA’s facilities, in an effort to further consolidate networking and expertise transfer.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3.2 Building research capacity via SLR (M12-M36); Lead GFZ</w:t>
            </w:r>
          </w:p>
          <w:p>
            <w:pPr>
              <w:pStyle w:val="Normal"/>
              <w:widowControl w:val="false"/>
              <w:tabs>
                <w:tab w:val="clear" w:pos="720"/>
              </w:tabs>
              <w:spacing w:before="60" w:after="60"/>
              <w:ind w:left="0" w:right="0" w:hanging="0"/>
              <w:jc w:val="both"/>
              <w:rPr/>
            </w:pPr>
            <w:r>
              <w:rPr>
                <w:lang w:val="en-GB"/>
              </w:rPr>
              <w:t>GFZ will provide assistance to NTUA aiming at the development of its own SLR analysis software, to perform precise orbit determination and estimation of geodetic parameters. The expert node will assist NTUA’s personnel via online webinars, one-on-one and one-to-many schooling, exploiting the networking capacity already established in Task 2.2. Additionally, NTUA’s staff will visit GFZ and GFZ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3.3 Building research capacity via VLBI (M12-M36); Lead OSO</w:t>
            </w:r>
          </w:p>
          <w:p>
            <w:pPr>
              <w:pStyle w:val="Normal"/>
              <w:widowControl w:val="false"/>
              <w:tabs>
                <w:tab w:val="clear" w:pos="720"/>
              </w:tabs>
              <w:spacing w:before="60" w:after="60"/>
              <w:ind w:left="0" w:right="0" w:hanging="0"/>
              <w:jc w:val="both"/>
              <w:rPr/>
            </w:pPr>
            <w:r>
              <w:rPr>
                <w:lang w:val="en-GB"/>
              </w:rPr>
              <w:t>VLBI is known for its importance in the observation of the Earth's orientation parameters and fluctuations in the length of day. Such observations are of significance importance in Space Geodesy, since they enable e.g. the permanent tie between Celestial and Terrestrial Reference Frames. OSO will assist NTUA in incorporating a state-of-the-art handling of Earth Orientation Parameters and consequently reference frame transformation schema in its own software toolset. The expert node will assist NTUA’s personnel via online webinars, one-on-one and one-to-many schooling, exploiting the networking capacity already established in Task 2.3. Additionally, NTUA’s staff will visit OSO and OSO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r>
          </w:p>
          <w:p>
            <w:pPr>
              <w:pStyle w:val="Normal"/>
              <w:widowControl w:val="false"/>
              <w:tabs>
                <w:tab w:val="clear" w:pos="720"/>
              </w:tabs>
              <w:spacing w:before="60" w:after="60"/>
              <w:ind w:left="0" w:right="0" w:hanging="0"/>
              <w:jc w:val="both"/>
              <w:rPr>
                <w:b/>
                <w:b/>
                <w:bCs/>
              </w:rPr>
            </w:pPr>
            <w:r>
              <w:rPr>
                <w:b/>
                <w:bCs/>
                <w:lang w:val="en-GB"/>
              </w:rPr>
              <w:t>Task 3.4 Long term plan for centre of excellence (M30-36); Lead NTUA</w:t>
            </w:r>
          </w:p>
          <w:p>
            <w:pPr>
              <w:pStyle w:val="Normal"/>
              <w:widowControl w:val="false"/>
              <w:tabs>
                <w:tab w:val="clear" w:pos="720"/>
              </w:tabs>
              <w:spacing w:before="60" w:after="60"/>
              <w:ind w:left="0" w:right="0" w:hanging="0"/>
              <w:jc w:val="both"/>
              <w:rPr>
                <w:b w:val="false"/>
                <w:b w:val="false"/>
                <w:bCs w:val="false"/>
              </w:rPr>
            </w:pPr>
            <w:r>
              <w:rPr>
                <w:b w:val="false"/>
                <w:bCs w:val="false"/>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 Additionally, the consortium will identify weak points in the research capacity built and propose means to mitigate them.</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Dissemination, Exploitation and Communication Activities</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the dissemination of scientific output and results gained throughout the coarse of ACRONYM. The consortium will adhere to an open-science policy, sharing scientific outcome with all interested parties. To allow for efficient sharing, both among the consortium partners and with the scientific  community in general, a dedicated web site will be created granting open access and browsing of the project's intermediate progress/outcome.</w:t>
            </w:r>
          </w:p>
          <w:p>
            <w:pPr>
              <w:pStyle w:val="Normal"/>
              <w:widowControl w:val="false"/>
              <w:tabs>
                <w:tab w:val="clear" w:pos="720"/>
              </w:tabs>
              <w:spacing w:before="60" w:after="60"/>
              <w:ind w:left="0" w:right="0" w:hanging="0"/>
              <w:jc w:val="both"/>
              <w:rPr/>
            </w:pPr>
            <w:r>
              <w:rPr/>
              <w:t>Dissemination will also aim in improving capacity and involvement of the Widening  country in Space Geodesy and the wider field of Space studies in general, via promoting know-how, innovation and familiarization with trending and future applications relevant to field. Target audience will be both the public and the private sector.</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bCs/>
                <w:lang w:val="en-GB"/>
              </w:rPr>
              <w:t>Task 4.1 Project Website and Social Media Engagement (M1-M36); Lead NTUA</w:t>
            </w:r>
          </w:p>
          <w:p>
            <w:pPr>
              <w:pStyle w:val="Normal"/>
              <w:widowControl w:val="false"/>
              <w:tabs>
                <w:tab w:val="clear" w:pos="720"/>
              </w:tabs>
              <w:spacing w:before="60" w:after="60"/>
              <w:ind w:left="0" w:right="0" w:hanging="0"/>
              <w:jc w:val="both"/>
              <w:rPr/>
            </w:pPr>
            <w:r>
              <w:rPr>
                <w:lang w:val="en-GB"/>
              </w:rPr>
              <w:t>Th host institute will design and implement a dedicated web site for the project, assisting partner networking capabilities and efficiency as well as dissemination of ACRONYM outcomes and results and in general outreach material.</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4.2 Sharing of technical knowledge and know-how (M1-M36); Lead NTUA</w:t>
            </w:r>
          </w:p>
          <w:p>
            <w:pPr>
              <w:pStyle w:val="Normal"/>
              <w:widowControl w:val="false"/>
              <w:tabs>
                <w:tab w:val="clear" w:pos="720"/>
              </w:tabs>
              <w:spacing w:before="60" w:after="60"/>
              <w:ind w:left="0" w:right="0" w:hanging="0"/>
              <w:jc w:val="both"/>
              <w:rPr/>
            </w:pPr>
            <w:r>
              <w:rPr>
                <w:lang w:val="en-GB"/>
              </w:rPr>
              <w:t>Lectures and presentations prepared by the consortium experts (see WP2) will be made available (on-line, free access) to any interested parties, on demand. Users will be able to browse content and watch video-lectures.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4.3 Promoting Innovation (M1-M36); Lead NTUA</w:t>
            </w:r>
          </w:p>
          <w:p>
            <w:pPr>
              <w:pStyle w:val="Normal"/>
              <w:widowControl w:val="false"/>
              <w:tabs>
                <w:tab w:val="clear" w:pos="720"/>
              </w:tabs>
              <w:spacing w:before="60" w:after="60"/>
              <w:ind w:left="0" w:right="0" w:hanging="0"/>
              <w:jc w:val="both"/>
              <w:rPr/>
            </w:pPr>
            <w:r>
              <w:rPr>
                <w:lang w:val="en-GB"/>
              </w:rPr>
              <w:t>The host institute will organize a seminar to take place in Greece, for the presentation of ACRONYM, dissemination of its scientific output and results and promote innovation in the field of Space Geodesy, Orbit Determination and Space Studies in general. The expert partners will introduce and present novelties and current and future trends and applications that can have an effect in the related market. The seminar will be open and targeted towards Greece's public research organizations as well as the private sector.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4.4 Open-Access Publications (M1-M36); Lead NTUA</w:t>
            </w:r>
          </w:p>
          <w:p>
            <w:pPr>
              <w:pStyle w:val="Normal"/>
              <w:widowControl w:val="false"/>
              <w:tabs>
                <w:tab w:val="clear" w:pos="720"/>
              </w:tabs>
              <w:spacing w:before="60" w:after="60"/>
              <w:ind w:left="0" w:right="0" w:hanging="0"/>
              <w:jc w:val="both"/>
              <w:rPr/>
            </w:pPr>
            <w:r>
              <w:rPr>
                <w:lang w:val="en-GB"/>
              </w:rPr>
              <w:t>Each of the expert partners will collaborate with the host institution in the co-authorship of one scientific paper (in their respective fields of expertise), to be published in peer-reviewed journal, and at least one scientific publication submitted to an international conference. The scientific papers to be published will be open-access.</w:t>
            </w:r>
          </w:p>
        </w:tc>
      </w:tr>
    </w:tbl>
    <w:p>
      <w:pPr>
        <w:pStyle w:val="Normal"/>
        <w:spacing w:before="0" w:after="240"/>
        <w:ind w:left="0" w:right="0" w:hanging="0"/>
        <w:rPr>
          <w:lang w:val="en-GB"/>
        </w:rPr>
      </w:pPr>
      <w:r>
        <w:rPr>
          <w:lang w:val="en-GB"/>
        </w:rPr>
      </w:r>
    </w:p>
    <w:p>
      <w:pPr>
        <w:pStyle w:val="Normal"/>
        <w:spacing w:before="0" w:after="240"/>
        <w:ind w:left="0" w:right="0" w:hanging="0"/>
        <w:rPr>
          <w:lang w:val="en-GB"/>
        </w:rPr>
      </w:pPr>
      <w:r>
        <w:rPr>
          <w:b/>
          <w:bCs/>
          <w:lang w:val="en-GB"/>
        </w:rPr>
        <w:t>Table 3.1c:</w:t>
        <w:tab/>
        <w:t>List of Deliverables</w:t>
      </w:r>
      <w:r>
        <w:rPr>
          <w:rStyle w:val="FootnoteAnchor"/>
          <w:b/>
          <w:bCs/>
          <w:vertAlign w:val="superscript"/>
          <w:lang w:val="en-GB"/>
        </w:rPr>
        <w:footnoteReference w:id="3"/>
      </w:r>
    </w:p>
    <w:p>
      <w:pPr>
        <w:pStyle w:val="Normal"/>
        <w:spacing w:before="0" w:after="240"/>
        <w:ind w:left="0" w:right="0" w:hanging="0"/>
        <w:jc w:val="both"/>
        <w:rPr>
          <w:highlight w:val="none"/>
          <w:shd w:fill="FFFF00" w:val="clear"/>
        </w:rPr>
      </w:pPr>
      <w:r>
        <w:rPr>
          <w:bCs/>
          <w:shd w:fill="FFFF00" w:val="clear"/>
          <w:lang w:val="en-GB"/>
        </w:rPr>
        <w:t>Need to sort these by delivery date</w:t>
      </w:r>
    </w:p>
    <w:tbl>
      <w:tblPr>
        <w:tblW w:w="10100" w:type="dxa"/>
        <w:jc w:val="center"/>
        <w:tblInd w:w="0" w:type="dxa"/>
        <w:tblLayout w:type="fixed"/>
        <w:tblCellMar>
          <w:top w:w="0" w:type="dxa"/>
          <w:left w:w="108" w:type="dxa"/>
          <w:bottom w:w="0" w:type="dxa"/>
          <w:right w:w="108" w:type="dxa"/>
        </w:tblCellMar>
      </w:tblPr>
      <w:tblGrid>
        <w:gridCol w:w="834"/>
        <w:gridCol w:w="1417"/>
        <w:gridCol w:w="2691"/>
        <w:gridCol w:w="994"/>
        <w:gridCol w:w="1280"/>
        <w:gridCol w:w="709"/>
        <w:gridCol w:w="1046"/>
        <w:gridCol w:w="1127"/>
      </w:tblGrid>
      <w:tr>
        <w:trPr/>
        <w:tc>
          <w:tcPr>
            <w:tcW w:w="83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Number</w:t>
            </w:r>
          </w:p>
        </w:tc>
        <w:tc>
          <w:tcPr>
            <w:tcW w:w="1417"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Deliverable name</w:t>
            </w:r>
          </w:p>
        </w:tc>
        <w:tc>
          <w:tcPr>
            <w:tcW w:w="269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Short description</w:t>
            </w:r>
          </w:p>
        </w:tc>
        <w:tc>
          <w:tcPr>
            <w:tcW w:w="99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Work package number</w:t>
            </w:r>
          </w:p>
        </w:tc>
        <w:tc>
          <w:tcPr>
            <w:tcW w:w="1280"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Short name of lead participant</w:t>
            </w:r>
          </w:p>
        </w:tc>
        <w:tc>
          <w:tcPr>
            <w:tcW w:w="70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Type</w:t>
            </w:r>
          </w:p>
        </w:tc>
        <w:tc>
          <w:tcPr>
            <w:tcW w:w="104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Dissemination level</w:t>
            </w:r>
          </w:p>
        </w:tc>
        <w:tc>
          <w:tcPr>
            <w:tcW w:w="1127"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Delivery date</w:t>
            </w:r>
          </w:p>
          <w:p>
            <w:pPr>
              <w:pStyle w:val="Normal"/>
              <w:widowControl w:val="false"/>
              <w:tabs>
                <w:tab w:val="clear" w:pos="720"/>
              </w:tabs>
              <w:spacing w:before="120" w:after="0"/>
              <w:ind w:left="0" w:right="0" w:hanging="0"/>
              <w:jc w:val="center"/>
              <w:rPr>
                <w:lang w:val="en-GB"/>
              </w:rPr>
            </w:pPr>
            <w:r>
              <w:rPr>
                <w:b/>
                <w:lang w:val="en-GB"/>
              </w:rPr>
              <w:t>(in months)</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Technical Quality Assurance Plan</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D1.2</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Coordination &amp; Project Management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6, 24, 36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D1.3</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Interim &amp; Final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22,36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DORIS analysis</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SLR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GFZ</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EOP and tidal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DORIS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SLR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SLR</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FFFF00" w:val="clear"/>
                <w:lang w:val="en-GB"/>
              </w:rPr>
            </w:pPr>
            <w:r>
              <w:rPr>
                <w:shd w:fill="FFFF00" w:val="clear"/>
                <w:lang w:val="en-GB"/>
              </w:rPr>
              <w:t>Software toolbox for the</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 3.4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60" w:after="60"/>
              <w:ind w:left="0" w:right="0" w:hanging="0"/>
              <w:jc w:val="both"/>
              <w:rPr>
                <w:b w:val="false"/>
                <w:b w:val="false"/>
                <w:bCs w:val="false"/>
              </w:rPr>
            </w:pPr>
            <w:r>
              <w:rPr>
                <w:b w:val="false"/>
                <w:bCs w:val="false"/>
              </w:rPr>
              <w:t>Long term plan for center of excellence</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Project Website and Social Media Engagement</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Sharing of technical knowledge and know-how</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30</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Promoting Innovation</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Open-Access Publications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D4.5</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Summer School I and Summer School II</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24,36</w:t>
            </w:r>
          </w:p>
        </w:tc>
      </w:tr>
    </w:tbl>
    <w:p>
      <w:pPr>
        <w:pStyle w:val="Normal"/>
        <w:widowControl w:val="false"/>
        <w:ind w:left="0" w:right="0" w:hanging="0"/>
        <w:rPr>
          <w:lang w:val="en-GB"/>
        </w:rPr>
      </w:pPr>
      <w:r>
        <w:rPr>
          <w:lang w:val="en-GB"/>
        </w:rPr>
      </w:r>
    </w:p>
    <w:p>
      <w:pPr>
        <w:pStyle w:val="Normal"/>
        <w:spacing w:lineRule="auto" w:line="276" w:before="0" w:after="120"/>
        <w:ind w:left="0" w:right="0" w:hanging="0"/>
        <w:jc w:val="both"/>
        <w:rPr>
          <w:lang w:val="en-GB"/>
        </w:rPr>
      </w:pPr>
      <w:r>
        <w:rPr>
          <w:b/>
          <w:bCs/>
          <w:lang w:val="en-GB"/>
        </w:rPr>
        <w:t>Table 3.1d:</w:t>
        <w:tab/>
        <w:t xml:space="preserve">List of milestones </w:t>
      </w:r>
    </w:p>
    <w:tbl>
      <w:tblPr>
        <w:tblW w:w="10348" w:type="dxa"/>
        <w:jc w:val="left"/>
        <w:tblInd w:w="-147" w:type="dxa"/>
        <w:tblLayout w:type="fixed"/>
        <w:tblCellMar>
          <w:top w:w="0" w:type="dxa"/>
          <w:left w:w="108" w:type="dxa"/>
          <w:bottom w:w="0" w:type="dxa"/>
          <w:right w:w="108" w:type="dxa"/>
        </w:tblCellMar>
      </w:tblPr>
      <w:tblGrid>
        <w:gridCol w:w="1465"/>
        <w:gridCol w:w="1638"/>
        <w:gridCol w:w="2262"/>
        <w:gridCol w:w="2248"/>
        <w:gridCol w:w="2735"/>
      </w:tblGrid>
      <w:tr>
        <w:trPr/>
        <w:tc>
          <w:tcPr>
            <w:tcW w:w="146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number</w:t>
            </w:r>
          </w:p>
        </w:tc>
        <w:tc>
          <w:tcPr>
            <w:tcW w:w="163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name</w:t>
            </w:r>
          </w:p>
        </w:tc>
        <w:tc>
          <w:tcPr>
            <w:tcW w:w="226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Related work package(s)</w:t>
            </w:r>
          </w:p>
        </w:tc>
        <w:tc>
          <w:tcPr>
            <w:tcW w:w="224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Due date (in month)</w:t>
            </w:r>
          </w:p>
        </w:tc>
        <w:tc>
          <w:tcPr>
            <w:tcW w:w="273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Means of verification</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MS1</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Agreement on PhD/Post-Doc co-supervision</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Official certification by NTUA and the respective partner involved</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MS2</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WP4</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 publicly accessible</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Standards and specifications for software development</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12</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Document reports</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Orbit determination via SLR and DORIS</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20</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1.0)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Precise orbit determination via SLR and DORIS for one satellite</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2.0)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Estimation of parameters of geodetic interest</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34</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3.0)</w:t>
            </w:r>
          </w:p>
        </w:tc>
      </w:tr>
    </w:tbl>
    <w:p>
      <w:pPr>
        <w:pStyle w:val="Normal"/>
        <w:widowControl w:val="false"/>
        <w:ind w:left="0" w:right="0" w:hanging="0"/>
        <w:jc w:val="center"/>
        <w:rPr>
          <w:lang w:val="en-GB"/>
        </w:rPr>
      </w:pPr>
      <w:r>
        <w:rPr>
          <w:lang w:val="en-GB"/>
        </w:rPr>
      </w:r>
    </w:p>
    <w:p>
      <w:pPr>
        <w:pStyle w:val="Normal"/>
        <w:ind w:left="0" w:right="0" w:hanging="0"/>
        <w:jc w:val="center"/>
        <w:rPr>
          <w:lang w:val="en-GB"/>
        </w:rPr>
      </w:pPr>
      <w:r>
        <w:rPr>
          <w:lang w:val="en-GB"/>
        </w:rPr>
      </w:r>
    </w:p>
    <w:p>
      <w:pPr>
        <w:pStyle w:val="Normal"/>
        <w:spacing w:before="0" w:after="120"/>
        <w:ind w:left="0" w:right="0" w:hanging="0"/>
        <w:rPr>
          <w:lang w:val="en-GB"/>
        </w:rPr>
      </w:pPr>
      <w:r>
        <w:rPr>
          <w:b/>
          <w:bCs/>
          <w:lang w:val="en-GB"/>
        </w:rPr>
        <w:t>Table 3.1e:</w:t>
        <w:tab/>
        <w:t xml:space="preserve">Critical risks for implementation </w:t>
      </w:r>
      <w:r>
        <w:rPr>
          <w:rFonts w:cs="Arial"/>
          <w:color w:val="B5B5B5"/>
          <w:sz w:val="18"/>
          <w:szCs w:val="16"/>
        </w:rPr>
        <w:t>#@RSK-MGT-RM@#</w:t>
      </w:r>
    </w:p>
    <w:tbl>
      <w:tblPr>
        <w:tblW w:w="10348" w:type="dxa"/>
        <w:jc w:val="left"/>
        <w:tblInd w:w="-147" w:type="dxa"/>
        <w:tblLayout w:type="fixed"/>
        <w:tblCellMar>
          <w:top w:w="0" w:type="dxa"/>
          <w:left w:w="108" w:type="dxa"/>
          <w:bottom w:w="0" w:type="dxa"/>
          <w:right w:w="108" w:type="dxa"/>
        </w:tblCellMar>
      </w:tblPr>
      <w:tblGrid>
        <w:gridCol w:w="3969"/>
        <w:gridCol w:w="2409"/>
        <w:gridCol w:w="3970"/>
      </w:tblGrid>
      <w:tr>
        <w:trPr/>
        <w:tc>
          <w:tcPr>
            <w:tcW w:w="39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Description of risk (indicate level of (i) likelihood, and (ii) severity: Low/Medium/High)</w:t>
            </w:r>
          </w:p>
        </w:tc>
        <w:tc>
          <w:tcPr>
            <w:tcW w:w="240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Work package(s) involved</w:t>
            </w:r>
          </w:p>
        </w:tc>
        <w:tc>
          <w:tcPr>
            <w:tcW w:w="397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Proposed risk-mitigation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Inability to travel e.g. due to pandemic security measures (l:medium,s:low)</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WP2 and 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Failure to fully implement the Space Geodesy software  (l:low,s:high)</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tabs>
                <w:tab w:val="clear" w:pos="720"/>
              </w:tabs>
              <w:spacing w:lineRule="auto" w:line="276"/>
              <w:ind w:left="0" w:right="0" w:hanging="0"/>
              <w:jc w:val="both"/>
              <w:rPr>
                <w:lang w:val="en-GB"/>
              </w:rPr>
            </w:pPr>
            <w:r>
              <w:rPr>
                <w:lang w:val="en-GB"/>
              </w:rPr>
            </w:r>
          </w:p>
          <w:p>
            <w:pPr>
              <w:pStyle w:val="Normal"/>
              <w:widowControl w:val="false"/>
              <w:tabs>
                <w:tab w:val="clear" w:pos="720"/>
              </w:tabs>
              <w:spacing w:lineRule="auto" w:line="276"/>
              <w:ind w:left="0" w:right="0" w:hanging="0"/>
              <w:jc w:val="both"/>
              <w:rPr/>
            </w:pPr>
            <w:r>
              <w:rPr>
                <w:lang w:val="en-GB"/>
              </w:rPr>
              <w:t xml:space="preserve">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w:t>
            </w:r>
            <w:r>
              <w:rPr>
                <w:b w:val="false"/>
                <w:bCs w:val="false"/>
                <w:lang w:val="en-GB"/>
              </w:rPr>
              <w:t>Long term plan for centre of excellence (established in Task 3.4) will act as a roadmap for eventually reaching state-of-the-art quality.</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bl>
    <w:p>
      <w:pPr>
        <w:pStyle w:val="Normal"/>
        <w:widowControl w:val="false"/>
        <w:spacing w:lineRule="auto" w:line="360"/>
        <w:ind w:left="0" w:right="0" w:hanging="0"/>
        <w:rPr>
          <w:rFonts w:ascii="Arial" w:hAnsi="Arial" w:cs="Arial"/>
          <w:b/>
          <w:b/>
          <w:bCs/>
          <w:lang w:val="en-GB"/>
        </w:rPr>
      </w:pPr>
      <w:r>
        <w:rPr>
          <w:rFonts w:cs="Arial" w:ascii="Arial" w:hAnsi="Arial"/>
          <w:b/>
          <w:bCs/>
          <w:lang w:val="en-GB"/>
        </w:rPr>
      </w:r>
    </w:p>
    <w:p>
      <w:pPr>
        <w:pStyle w:val="Normal"/>
        <w:widowControl w:val="false"/>
        <w:spacing w:lineRule="auto" w:line="360"/>
        <w:ind w:left="0" w:right="0" w:hanging="0"/>
        <w:rPr/>
      </w:pPr>
      <w:r>
        <w:rPr>
          <w:rFonts w:cs="Arial"/>
          <w:color w:val="B5B5B5"/>
          <w:sz w:val="18"/>
          <w:szCs w:val="16"/>
        </w:rPr>
        <w:t>#§RSK-MGT-RM§#</w:t>
      </w:r>
      <w:r>
        <w:br w:type="page"/>
      </w:r>
    </w:p>
    <w:p>
      <w:pPr>
        <w:pStyle w:val="Normal"/>
        <w:spacing w:lineRule="auto" w:line="276" w:before="0" w:after="120"/>
        <w:ind w:left="0" w:right="0" w:hanging="0"/>
        <w:jc w:val="both"/>
        <w:rPr>
          <w:lang w:val="en-GB"/>
        </w:rPr>
      </w:pPr>
      <w:r>
        <w:rPr>
          <w:b/>
          <w:bCs/>
          <w:lang w:val="en-GB"/>
        </w:rPr>
        <w:t xml:space="preserve">Table 3.1f: </w:t>
        <w:tab/>
        <w:t>Summary of staff effort</w:t>
      </w:r>
    </w:p>
    <w:p>
      <w:pPr>
        <w:pStyle w:val="Normal"/>
        <w:spacing w:before="0" w:after="240"/>
        <w:ind w:left="0" w:right="0" w:hanging="0"/>
        <w:jc w:val="both"/>
        <w:rPr>
          <w:lang w:val="en-GB"/>
        </w:rPr>
      </w:pPr>
      <w:r>
        <w:rPr>
          <w:i/>
          <w:lang w:val="en-GB"/>
        </w:rPr>
        <w:t>Please indicate the number of person/months over the whole duration of the planned work, for each work package, for each participant. Identify the work-package leader for each WP by showing the relevant person-month figure in bold.</w:t>
      </w:r>
    </w:p>
    <w:p>
      <w:pPr>
        <w:pStyle w:val="Normal"/>
        <w:ind w:left="720" w:right="0" w:hanging="0"/>
        <w:rPr>
          <w:b/>
          <w:b/>
          <w:i/>
          <w:i/>
          <w:lang w:val="en-GB" w:eastAsia="fr-BE"/>
        </w:rPr>
      </w:pPr>
      <w:r>
        <w:rPr>
          <w:b/>
          <w:i/>
          <w:lang w:val="en-GB" w:eastAsia="fr-BE"/>
        </w:rPr>
      </w:r>
    </w:p>
    <w:tbl>
      <w:tblPr>
        <w:tblW w:w="9639" w:type="dxa"/>
        <w:jc w:val="left"/>
        <w:tblInd w:w="0" w:type="dxa"/>
        <w:tblLayout w:type="fixed"/>
        <w:tblCellMar>
          <w:top w:w="0" w:type="dxa"/>
          <w:left w:w="108" w:type="dxa"/>
          <w:bottom w:w="0" w:type="dxa"/>
          <w:right w:w="108" w:type="dxa"/>
        </w:tblCellMar>
      </w:tblPr>
      <w:tblGrid>
        <w:gridCol w:w="2403"/>
        <w:gridCol w:w="1468"/>
        <w:gridCol w:w="1469"/>
        <w:gridCol w:w="1468"/>
        <w:gridCol w:w="2831"/>
      </w:tblGrid>
      <w:tr>
        <w:trPr/>
        <w:tc>
          <w:tcPr>
            <w:tcW w:w="2403" w:type="dxa"/>
            <w:tcBorders>
              <w:bottom w:val="single" w:sz="4" w:space="0" w:color="000000"/>
              <w:right w:val="single" w:sz="4" w:space="0" w:color="000000"/>
            </w:tcBorders>
          </w:tcPr>
          <w:p>
            <w:pPr>
              <w:pStyle w:val="Normal"/>
              <w:widowControl w:val="false"/>
              <w:tabs>
                <w:tab w:val="clear" w:pos="720"/>
              </w:tabs>
              <w:ind w:left="0" w:right="0" w:hanging="0"/>
              <w:rPr>
                <w:b/>
                <w:b/>
                <w:bCs/>
                <w:lang w:val="en-GB"/>
              </w:rPr>
            </w:pPr>
            <w:r>
              <w:rPr>
                <w:b/>
                <w:bCs/>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w:t>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WPn+1</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WPn+2</w:t>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Total Person-</w:t>
            </w:r>
          </w:p>
          <w:p>
            <w:pPr>
              <w:pStyle w:val="Normal"/>
              <w:widowControl w:val="false"/>
              <w:tabs>
                <w:tab w:val="clear" w:pos="720"/>
              </w:tabs>
              <w:ind w:left="0" w:right="0" w:hanging="0"/>
              <w:jc w:val="center"/>
              <w:rPr>
                <w:lang w:val="en-GB"/>
              </w:rPr>
            </w:pPr>
            <w:r>
              <w:rPr>
                <w:b/>
                <w:bCs/>
                <w:lang w:val="en-GB"/>
              </w:rPr>
              <w:t>Months per Participant</w:t>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Cs/>
                <w:lang w:val="en-GB"/>
              </w:rPr>
            </w:pPr>
            <w:r>
              <w:rPr>
                <w:bCs/>
                <w:lang w:val="en-GB"/>
              </w:rPr>
            </w:r>
          </w:p>
        </w:tc>
      </w:tr>
      <w:tr>
        <w:trPr>
          <w:trHeight w:val="506" w:hRule="atLeast"/>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before="0" w:after="480"/>
              <w:ind w:left="1191" w:right="0" w:hanging="1191"/>
              <w:jc w:val="right"/>
              <w:rPr>
                <w:lang w:val="en-GB"/>
              </w:rPr>
            </w:pPr>
            <w:r>
              <w:rPr>
                <w:b/>
                <w:lang w:val="en-GB"/>
              </w:rPr>
              <w:t>Total Person Months</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3.1g:</w:t>
        <w:tab/>
      </w:r>
      <w:r>
        <w:rPr>
          <w:b/>
          <w:bCs/>
          <w:lang w:val="en-GB"/>
        </w:rPr>
        <w:t>‘Subcontracting co</w:t>
      </w:r>
      <w:r>
        <w:rPr>
          <w:b/>
          <w:lang w:val="en-GB"/>
        </w:rPr>
        <w:t xml:space="preserve">sts’ items </w:t>
      </w:r>
    </w:p>
    <w:p>
      <w:pPr>
        <w:pStyle w:val="Normal"/>
        <w:ind w:left="0" w:right="0" w:hanging="0"/>
        <w:rPr>
          <w:lang w:val="en-GB"/>
        </w:rPr>
      </w:pPr>
      <w:r>
        <w:rPr>
          <w:lang w:val="en-GB"/>
        </w:rPr>
      </w:r>
    </w:p>
    <w:p>
      <w:pPr>
        <w:pStyle w:val="Normal"/>
        <w:ind w:left="0" w:right="0" w:hanging="0"/>
        <w:rPr>
          <w:lang w:val="en-GB"/>
        </w:rPr>
      </w:pPr>
      <w:r>
        <w:rPr>
          <w:lang w:val="en-GB"/>
        </w:rPr>
        <w:t>For each participant describe and justify the tasks to be subcontracted (please note that core tasks of the project should not be sub-contracted).</w:t>
      </w:r>
    </w:p>
    <w:p>
      <w:pPr>
        <w:pStyle w:val="Normal"/>
        <w:ind w:left="0" w:right="0" w:hanging="0"/>
        <w:rPr>
          <w:lang w:val="en-GB"/>
        </w:rPr>
      </w:pPr>
      <w:r>
        <w:rPr>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3.1h:</w:t>
        <w:tab/>
      </w:r>
      <w:r>
        <w:rPr>
          <w:b/>
          <w:bCs/>
          <w:lang w:val="en-GB"/>
        </w:rPr>
        <w:t>‘</w:t>
      </w:r>
      <w:r>
        <w:rPr>
          <w:b/>
          <w:lang w:val="en-GB"/>
        </w:rPr>
        <w:t xml:space="preserve">Purchase costs’ items (travel and subsistence, equipment and other goods, works and services) </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Please complete the table below for each participant if the purchase costs (i.e. the sum of the costs for ’travel and subsistence’, ‘equipment’, and ‘other goods, works and services’) exceeds 15% of the personnel costs for that participant (according to the budget table in proposal part A). The record must list cost items in order of costs and starting with the largest cost item, up to the level that the remaining costs are below 15% of personnel costs.</w:t>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left w:val="single" w:sz="4" w:space="0" w:color="000000"/>
            </w:tcBorders>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lang w:val="en-GB"/>
        </w:rPr>
      </w:pPr>
      <w:r>
        <w:rPr>
          <w:b/>
          <w:lang w:val="en-GB"/>
        </w:rPr>
        <w:t>Table 3.1i:</w:t>
        <w:tab/>
        <w:t>‘Other costs categories’ items (e.g. internally invoiced goods and services)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would like to declare costs under other costs categories (e.g. internally invoiced goods and services), irrespective of the percentage of personnel costs. </w:t>
      </w:r>
    </w:p>
    <w:tbl>
      <w:tblPr>
        <w:tblW w:w="10237" w:type="dxa"/>
        <w:jc w:val="left"/>
        <w:tblInd w:w="-114"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1023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mc:AlternateContent>
                <mc:Choice Requires="wps">
                  <w:drawing>
                    <wp:anchor behindDoc="0" distT="0" distB="0" distL="0" distR="0" simplePos="0" locked="0" layoutInCell="0" allowOverlap="1" relativeHeight="81">
                      <wp:simplePos x="0" y="0"/>
                      <wp:positionH relativeFrom="column">
                        <wp:posOffset>-537845</wp:posOffset>
                      </wp:positionH>
                      <wp:positionV relativeFrom="paragraph">
                        <wp:posOffset>3850640</wp:posOffset>
                      </wp:positionV>
                      <wp:extent cx="7560310" cy="991235"/>
                      <wp:effectExtent l="0" t="0" r="0" b="0"/>
                      <wp:wrapNone/>
                      <wp:docPr id="17" name="Frame19"/>
                      <a:graphic xmlns:a="http://schemas.openxmlformats.org/drawingml/2006/main">
                        <a:graphicData uri="http://schemas.microsoft.com/office/word/2010/wordprocessingShape">
                          <wps:wsp>
                            <wps:cNvSpPr/>
                            <wps:spPr>
                              <a:xfrm>
                                <a:off x="0" y="0"/>
                                <a:ext cx="7560360" cy="991080"/>
                              </a:xfrm>
                              <a:prstGeom prst="rect">
                                <a:avLst/>
                              </a:prstGeom>
                              <a:noFill/>
                              <a:ln w="0">
                                <a:noFill/>
                              </a:ln>
                            </wps:spPr>
                            <wps:style>
                              <a:lnRef idx="0"/>
                              <a:fillRef idx="0"/>
                              <a:effectRef idx="0"/>
                              <a:fontRef idx="minor"/>
                            </wps:style>
                            <wps:txb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wps:txbx>
                            <wps:bodyPr anchor="t">
                              <a:noAutofit/>
                            </wps:bodyPr>
                          </wps:wsp>
                        </a:graphicData>
                      </a:graphic>
                    </wp:anchor>
                  </w:drawing>
                </mc:Choice>
                <mc:Fallback>
                  <w:pict>
                    <v:rect id="shape_0" ID="Frame19" path="m0,0l-2147483645,0l-2147483645,-2147483646l0,-2147483646xe" stroked="f" o:allowincell="f" style="position:absolute;margin-left:-42.35pt;margin-top:303.2pt;width:595.25pt;height:78pt;mso-wrap-style:square;v-text-anchor:top">
                      <v:fill o:detectmouseclick="t" on="false"/>
                      <v:stroke color="#3465a4" joinstyle="round" endcap="flat"/>
                      <v:textbo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v:textbox>
                      <w10:wrap type="none"/>
                    </v:rect>
                  </w:pict>
                </mc:Fallback>
              </mc:AlternateContent>
            </w:r>
          </w:p>
        </w:tc>
      </w:tr>
    </w:tbl>
    <w:p>
      <w:pPr>
        <w:pStyle w:val="Normal"/>
        <w:widowControl w:val="false"/>
        <w:spacing w:before="0" w:after="240"/>
        <w:ind w:left="0" w:right="0" w:hanging="0"/>
        <w:jc w:val="both"/>
        <w:rPr>
          <w:b/>
          <w:b/>
          <w:lang w:val="en-GB"/>
        </w:rPr>
      </w:pPr>
      <w:r>
        <w:rPr>
          <w:b/>
          <w:lang w:val="en-GB"/>
        </w:rPr>
      </w:r>
    </w:p>
    <w:p>
      <w:pPr>
        <w:pStyle w:val="Normal"/>
        <w:ind w:left="0" w:right="0" w:hanging="0"/>
        <w:rPr>
          <w:lang w:val="en-GB"/>
        </w:rPr>
      </w:pPr>
      <w:r>
        <w:rPr>
          <w:b/>
          <w:lang w:val="en-GB"/>
        </w:rPr>
        <w:t>Table 3.1j:</w:t>
        <w:tab/>
        <w:t>‘In-kind contributions’ provided by third parties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 </w:t>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b/>
                <w:bCs/>
                <w:lang w:val="en-GB"/>
              </w:rPr>
              <w:t>Select between</w:t>
            </w:r>
          </w:p>
          <w:p>
            <w:pPr>
              <w:pStyle w:val="Normal"/>
              <w:widowControl w:val="false"/>
              <w:tabs>
                <w:tab w:val="clear" w:pos="720"/>
              </w:tabs>
              <w:spacing w:before="120" w:after="120"/>
              <w:ind w:left="0" w:right="0" w:hanging="0"/>
              <w:rPr/>
            </w:pPr>
            <w:r>
              <w:rPr>
                <w:rFonts w:cs="Arial"/>
                <w:bCs/>
                <w:color w:val="595959"/>
                <w:sz w:val="18"/>
                <w:szCs w:val="18"/>
              </w:rPr>
              <w:t>Seconded personnel</w:t>
            </w:r>
          </w:p>
          <w:p>
            <w:pPr>
              <w:pStyle w:val="Normal"/>
              <w:widowControl w:val="false"/>
              <w:tabs>
                <w:tab w:val="clear" w:pos="720"/>
              </w:tabs>
              <w:spacing w:before="120" w:after="120"/>
              <w:ind w:left="0" w:right="0" w:hanging="0"/>
              <w:rPr/>
            </w:pPr>
            <w:r>
              <w:rPr>
                <w:rFonts w:cs="Arial"/>
                <w:bCs/>
                <w:color w:val="595959"/>
                <w:sz w:val="18"/>
                <w:szCs w:val="18"/>
              </w:rPr>
              <w:t>Travel and subsistence</w:t>
            </w:r>
          </w:p>
          <w:p>
            <w:pPr>
              <w:pStyle w:val="Normal"/>
              <w:widowControl w:val="false"/>
              <w:tabs>
                <w:tab w:val="clear" w:pos="720"/>
              </w:tabs>
              <w:spacing w:before="120" w:after="120"/>
              <w:ind w:left="0" w:right="0" w:hanging="0"/>
              <w:rPr/>
            </w:pPr>
            <w:r>
              <w:rPr>
                <w:rFonts w:cs="Arial"/>
                <w:bCs/>
                <w:color w:val="595959"/>
                <w:sz w:val="18"/>
                <w:szCs w:val="18"/>
              </w:rPr>
              <w:t>Equipment</w:t>
            </w:r>
          </w:p>
          <w:p>
            <w:pPr>
              <w:pStyle w:val="Normal"/>
              <w:widowControl w:val="false"/>
              <w:tabs>
                <w:tab w:val="clear" w:pos="720"/>
              </w:tabs>
              <w:spacing w:before="120" w:after="120"/>
              <w:ind w:left="0" w:right="0" w:hanging="0"/>
              <w:rPr/>
            </w:pPr>
            <w:r>
              <w:rPr>
                <w:rFonts w:cs="Arial"/>
                <w:bCs/>
                <w:color w:val="595959"/>
                <w:sz w:val="18"/>
                <w:szCs w:val="18"/>
              </w:rPr>
              <w:t>Other goods, works and services</w:t>
            </w:r>
          </w:p>
          <w:p>
            <w:pPr>
              <w:pStyle w:val="Normal"/>
              <w:widowControl w:val="false"/>
              <w:tabs>
                <w:tab w:val="clear" w:pos="720"/>
              </w:tabs>
              <w:spacing w:before="120" w:after="120"/>
              <w:ind w:left="0" w:right="0" w:hanging="0"/>
              <w:rPr/>
            </w:pPr>
            <w:r>
              <w:rPr>
                <w:rFonts w:cs="Arial"/>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spacing w:before="0" w:after="200"/>
        <w:ind w:left="0" w:right="0" w:hanging="0"/>
        <w:rPr>
          <w:lang w:val="en-GB"/>
        </w:rPr>
      </w:pPr>
      <w:r>
        <w:rPr>
          <w:rFonts w:cs="Arial"/>
          <w:caps/>
          <w:color w:val="B5B5B5"/>
          <w:sz w:val="18"/>
          <w:szCs w:val="16"/>
          <w:lang w:val="en-GB" w:eastAsia="it-IT"/>
        </w:rPr>
        <w:t xml:space="preserve">#§QUA-LIT-QL§# </w:t>
      </w:r>
      <w:r>
        <w:rPr>
          <w:rFonts w:cs="Arial"/>
          <w:color w:val="B5B5B5"/>
          <w:sz w:val="18"/>
          <w:szCs w:val="16"/>
        </w:rPr>
        <w:t>#§WRK-PLA-WP§#</w:t>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ind w:left="0" w:right="0" w:hanging="0"/>
        <w:rPr>
          <w:lang w:val="en-GB"/>
        </w:rPr>
      </w:pPr>
      <w:r>
        <w:rPr>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bl>
    <w:p>
      <w:pPr>
        <w:pStyle w:val="Normal"/>
        <w:widowControl w:val="false"/>
        <w:spacing w:before="0" w:after="200"/>
        <w:ind w:left="0" w:right="0" w:hanging="0"/>
        <w:rPr>
          <w:rFonts w:ascii="Times New Roman" w:hAnsi="Times New Roman"/>
          <w:lang w:val="en-GB"/>
        </w:rPr>
      </w:pPr>
      <w:r>
        <w:rPr>
          <w:rFonts w:ascii="Times New Roman" w:hAnsi="Times New Roman"/>
          <w:lang w:val="en-GB"/>
        </w:rPr>
      </w:r>
    </w:p>
    <w:p>
      <w:pPr>
        <w:pStyle w:val="Normal"/>
        <w:ind w:left="0" w:right="0" w:hanging="0"/>
        <w:jc w:val="both"/>
        <w:rPr>
          <w:b/>
          <w:b/>
          <w:lang w:val="en-GB"/>
        </w:rPr>
      </w:pPr>
      <w:r>
        <w:rPr>
          <w:b/>
          <w:lang w:val="en-GB"/>
        </w:rPr>
      </w:r>
      <w:r>
        <w:br w:type="page"/>
      </w:r>
    </w:p>
    <w:p>
      <w:pPr>
        <w:pStyle w:val="Paragraph"/>
        <w:bidi w:val="0"/>
        <w:spacing w:beforeAutospacing="1" w:afterAutospacing="1"/>
        <w:ind w:left="0" w:right="0" w:hanging="0"/>
        <w:jc w:val="both"/>
        <w:textAlignment w:val="baseline"/>
        <w:rPr>
          <w:lang w:val="en-US"/>
        </w:rPr>
      </w:pPr>
      <w:r>
        <w:rPr>
          <w:b/>
          <w:spacing w:val="1"/>
          <w:sz w:val="22"/>
          <w:szCs w:val="22"/>
          <w:lang w:val="en-US" w:eastAsia="en-US"/>
        </w:rPr>
        <w:t>ANNEXES TO PROPOSAL PART B</w:t>
      </w:r>
      <w:r>
        <w:rPr>
          <w:rStyle w:val="Eop"/>
          <w:rFonts w:eastAsia="Courier New" w:cs="Calibri"/>
          <w:sz w:val="22"/>
          <w:lang w:val="en-GB"/>
        </w:rPr>
        <w:t> </w:t>
      </w:r>
    </w:p>
    <w:p>
      <w:pPr>
        <w:pStyle w:val="Paragraph"/>
        <w:bidi w:val="0"/>
        <w:spacing w:beforeAutospacing="1" w:afterAutospacing="1"/>
        <w:ind w:left="0" w:right="0" w:hanging="0"/>
        <w:jc w:val="both"/>
        <w:textAlignment w:val="baseline"/>
        <w:rPr>
          <w:rFonts w:ascii="Segoe UI" w:hAnsi="Segoe UI" w:cs="Segoe UI"/>
          <w:sz w:val="18"/>
          <w:szCs w:val="18"/>
          <w:lang w:val="en-GB"/>
        </w:rPr>
      </w:pPr>
      <w:r>
        <w:rPr>
          <w:rFonts w:cs="Segoe UI" w:ascii="Segoe UI" w:hAnsi="Segoe UI"/>
          <w:sz w:val="18"/>
          <w:szCs w:val="18"/>
          <w:lang w:val="en-GB"/>
        </w:rPr>
      </w:r>
    </w:p>
    <w:p>
      <w:pPr>
        <w:pStyle w:val="Paragraph"/>
        <w:bidi w:val="0"/>
        <w:spacing w:beforeAutospacing="1" w:afterAutospacing="1"/>
        <w:ind w:left="0" w:right="0" w:hanging="0"/>
        <w:jc w:val="both"/>
        <w:textAlignment w:val="baseline"/>
        <w:rPr>
          <w:lang w:val="en-US"/>
        </w:rPr>
      </w:pPr>
      <w:r>
        <w:rPr>
          <w:sz w:val="22"/>
          <w:szCs w:val="22"/>
          <w:lang w:val="en-US" w:eastAsia="en-US"/>
        </w:rPr>
        <w:t>Some calls may ask to upload annexes to proposal part B. The annexes must be uploaded as separate documents in the submission system. The most common annexes to be uploaded in Horizon Europe are (standard templates are published in the Funding &amp; Tenders portal): </w:t>
      </w:r>
    </w:p>
    <w:p>
      <w:pPr>
        <w:pStyle w:val="Paragraph"/>
        <w:bidi w:val="0"/>
        <w:spacing w:beforeAutospacing="1" w:afterAutospacing="1"/>
        <w:ind w:left="0" w:right="0" w:hanging="0"/>
        <w:jc w:val="both"/>
        <w:textAlignment w:val="baseline"/>
        <w:rPr>
          <w:rFonts w:ascii="Times New Roman" w:hAnsi="Times New Roman"/>
          <w:lang w:val="en-US" w:eastAsia="en-US"/>
        </w:rPr>
      </w:pPr>
      <w:r>
        <w:rPr>
          <w:rFonts w:ascii="Times New Roman" w:hAnsi="Times New Roman"/>
          <w:lang w:val="en-US" w:eastAsia="en-US"/>
        </w:rPr>
      </w:r>
    </w:p>
    <w:p>
      <w:pPr>
        <w:pStyle w:val="Normal"/>
        <w:widowControl/>
        <w:ind w:left="0" w:right="0" w:hanging="0"/>
        <w:jc w:val="both"/>
        <w:textAlignment w:val="baseline"/>
        <w:rPr>
          <w:rFonts w:cs="Calibri"/>
          <w:lang w:val="en-GB" w:eastAsia="fr-BE"/>
        </w:rPr>
      </w:pPr>
      <w:r>
        <w:rPr>
          <w:rFonts w:cs="Calibri"/>
          <w:lang w:val="en-GB" w:eastAsia="fr-BE"/>
        </w:rPr>
      </w:r>
    </w:p>
    <w:p>
      <w:pPr>
        <w:pStyle w:val="Normal"/>
        <w:widowControl/>
        <w:numPr>
          <w:ilvl w:val="0"/>
          <w:numId w:val="13"/>
        </w:numPr>
        <w:tabs>
          <w:tab w:val="left" w:pos="720" w:leader="none"/>
        </w:tabs>
        <w:ind w:left="360" w:right="0" w:hanging="0"/>
        <w:jc w:val="both"/>
        <w:textAlignment w:val="baseline"/>
        <w:rPr/>
      </w:pPr>
      <w:r>
        <w:rPr>
          <w:rFonts w:cs="Calibri"/>
          <w:b/>
          <w:bCs/>
          <w:lang w:eastAsia="fr-BE"/>
        </w:rPr>
        <w:t xml:space="preserve">FINANCIAL SUPPORT TO THIRD PARTIES: </w:t>
      </w:r>
      <w:r>
        <w:rPr>
          <w:rFonts w:cs="Calibri"/>
          <w:lang w:eastAsia="fr-BE"/>
        </w:rPr>
        <w:t>Annex with information on financial support to third parties.</w:t>
      </w:r>
      <w:r>
        <w:rPr>
          <w:rFonts w:cs="Calibri"/>
          <w:lang w:val="en-GB" w:eastAsia="fr-BE"/>
        </w:rPr>
        <w:t> </w:t>
      </w:r>
    </w:p>
    <w:p>
      <w:pPr>
        <w:pStyle w:val="Normal"/>
        <w:widowControl/>
        <w:numPr>
          <w:ilvl w:val="0"/>
          <w:numId w:val="13"/>
        </w:numPr>
        <w:tabs>
          <w:tab w:val="left" w:pos="720" w:leader="none"/>
        </w:tabs>
        <w:ind w:left="360" w:right="0" w:hanging="0"/>
        <w:jc w:val="both"/>
        <w:textAlignment w:val="baseline"/>
        <w:rPr>
          <w:lang w:val="en-GB"/>
        </w:rPr>
      </w:pPr>
      <w:r>
        <w:rPr>
          <w:rFonts w:cs="Calibri"/>
          <w:b/>
          <w:bCs/>
          <w:lang w:val="en-GB" w:eastAsia="fr-BE"/>
        </w:rPr>
        <w:t xml:space="preserve">CALLS FLAGGED AS SECURITY SENSITIVE: </w:t>
      </w:r>
      <w:r>
        <w:rPr>
          <w:rFonts w:cs="Calibri"/>
          <w:lang w:eastAsia="fr-BE"/>
        </w:rPr>
        <w:t>Annex with information on security aspects.</w:t>
      </w:r>
      <w:r>
        <w:rPr>
          <w:rFonts w:cs="Calibri"/>
          <w:lang w:val="en-GB" w:eastAsia="fr-BE"/>
        </w:rPr>
        <w:t> </w:t>
      </w:r>
    </w:p>
    <w:p>
      <w:pPr>
        <w:pStyle w:val="Normal"/>
        <w:widowControl/>
        <w:numPr>
          <w:ilvl w:val="0"/>
          <w:numId w:val="14"/>
        </w:numPr>
        <w:tabs>
          <w:tab w:val="left" w:pos="720" w:leader="none"/>
        </w:tabs>
        <w:ind w:left="720" w:right="0" w:hanging="360"/>
        <w:jc w:val="both"/>
        <w:textAlignment w:val="baseline"/>
        <w:rPr/>
      </w:pPr>
      <w:r>
        <w:rPr>
          <w:rFonts w:cs="Calibri"/>
          <w:b/>
          <w:bCs/>
          <w:lang w:eastAsia="fr-BE"/>
        </w:rPr>
        <w:t>ETHICS:</w:t>
      </w:r>
      <w:r>
        <w:rPr>
          <w:rFonts w:cs="Calibri"/>
          <w:lang w:eastAsia="fr-BE"/>
        </w:rPr>
        <w:t xml:space="preserve"> ethics self-assessment should be included in proposal part A. However, in calls where several serious ethics issues are expected, the character limited in this section of proposal part A may not be sufficient for participants to give all necessary information. In those cases, participants may include additional information in an annex to proposal part B. </w:t>
      </w:r>
      <w:r>
        <w:rPr>
          <w:rFonts w:cs="Calibri"/>
          <w:lang w:val="en-GB" w:eastAsia="fr-BE"/>
        </w:rPr>
        <w:t> </w:t>
      </w:r>
    </w:p>
    <w:p>
      <w:pPr>
        <w:pStyle w:val="Normal"/>
        <w:ind w:left="0" w:right="0" w:hanging="0"/>
        <w:rPr>
          <w:b/>
          <w:b/>
          <w:lang w:val="en-GB"/>
        </w:rPr>
      </w:pPr>
      <w:r>
        <w:rPr>
          <w:b/>
          <w:lang w:val="en-GB"/>
        </w:rPr>
      </w:r>
    </w:p>
    <w:p>
      <w:pPr>
        <w:pStyle w:val="Normal"/>
        <w:spacing w:before="0" w:after="240"/>
        <w:ind w:left="0" w:right="0" w:hanging="0"/>
        <w:jc w:val="both"/>
        <w:rPr>
          <w:b/>
          <w:b/>
          <w:lang w:val="en-GB"/>
        </w:rPr>
      </w:pPr>
      <w:r>
        <w:rPr>
          <w:b/>
          <w:lang w:val="en-GB"/>
        </w:rPr>
      </w:r>
    </w:p>
    <w:p>
      <w:pPr>
        <w:pStyle w:val="Normal"/>
        <w:rPr/>
      </w:pPr>
      <w:r>
        <w:rPr>
          <w:rFonts w:ascii="Times New Roman" w:hAnsi="Times New Roman"/>
          <w:b/>
          <w:sz w:val="40"/>
          <w:szCs w:val="40"/>
          <w:lang w:val="en-GB"/>
        </w:rPr>
        <w:t>Proposal template Part B: technical description</w:t>
      </w:r>
    </w:p>
    <w:p>
      <w:pPr>
        <w:pStyle w:val="Normal"/>
        <w:spacing w:before="0" w:after="120"/>
        <w:ind w:left="0" w:right="0" w:hanging="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rFonts w:ascii="Times New Roman" w:hAnsi="Times New Roman"/>
          <w:b/>
          <w:smallCaps/>
          <w:sz w:val="28"/>
          <w:szCs w:val="28"/>
          <w:lang w:val="en-GB"/>
        </w:rPr>
        <w:t>Title of the Proposal</w:t>
      </w:r>
    </w:p>
    <w:p>
      <w:pPr>
        <w:pStyle w:val="Tags"/>
        <w:bidi w:val="0"/>
        <w:spacing w:before="0" w:after="0"/>
        <w:ind w:left="0" w:right="0" w:hanging="0"/>
        <w:rPr>
          <w:lang w:val="en-US"/>
        </w:rPr>
      </w:pPr>
      <w:bookmarkStart w:id="24"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4"/>
    </w:p>
    <w:p>
      <w:pPr>
        <w:pStyle w:val="Normal"/>
        <w:spacing w:before="0" w:after="200"/>
        <w:ind w:left="0" w:right="0" w:hanging="0"/>
        <w:jc w:val="both"/>
        <w:rPr>
          <w:lang w:val="en-GB"/>
        </w:rPr>
      </w:pPr>
      <w:r>
        <w:rPr>
          <w:rFonts w:ascii="Times New Roman" w:hAnsi="Times New Roman"/>
          <w:b/>
          <w:lang w:val="en-GB"/>
        </w:rPr>
        <w:t>List of participants</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lang w:val="en-GB"/>
              </w:rPr>
              <w:t>1 (Coordinator)</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2</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3</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76" w:after="0"/>
        <w:ind w:left="916" w:right="0" w:hanging="0"/>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pPr>
      <w:r>
        <w:rPr>
          <w:rFonts w:cs="Calibri"/>
          <w:color w:val="B5B5B5"/>
          <w:sz w:val="18"/>
          <w:szCs w:val="16"/>
        </w:rPr>
        <w:t>#§PRJ-OBJ-PO§#</w:t>
      </w:r>
    </w:p>
    <w:p>
      <w:pPr>
        <w:pStyle w:val="Normal"/>
        <w:spacing w:before="0" w:after="200"/>
        <w:ind w:left="0" w:right="0" w:hanging="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ind w:left="0" w:right="0" w:hanging="0"/>
        <w:jc w:val="both"/>
        <w:rPr>
          <w:lang w:val="en-GB"/>
        </w:rPr>
      </w:pPr>
      <w:r>
        <w:rPr>
          <w:rFonts w:ascii="Times New Roman" w:hAnsi="Times New Roman"/>
          <w:b/>
          <w:bCs/>
          <w:lang w:val="en-GB"/>
        </w:rPr>
        <w:t>2.</w:t>
        <w:tab/>
        <w:t>Impact</w:t>
      </w:r>
    </w:p>
    <w:p>
      <w:pPr>
        <w:pStyle w:val="Normal"/>
        <w:spacing w:before="0" w:after="200"/>
        <w:ind w:left="0" w:right="0" w:hanging="0"/>
        <w:jc w:val="both"/>
        <w:rPr>
          <w:lang w:val="en-GB"/>
        </w:rPr>
      </w:pPr>
      <w:r>
        <w:rPr>
          <w:rFonts w:ascii="Times New Roman" w:hAnsi="Times New Roman"/>
          <w:b/>
          <w:lang w:val="en-GB"/>
        </w:rPr>
        <w:t>2.1</w:t>
        <w:tab/>
        <w:t>Project’s pathways towards impact</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ind w:left="0" w:right="0" w:hanging="0"/>
        <w:jc w:val="both"/>
        <w:rPr>
          <w:lang w:val="en-GB"/>
        </w:rPr>
      </w:pPr>
      <w:r>
        <w:rPr>
          <w:rFonts w:ascii="Times New Roman" w:hAnsi="Times New Roman"/>
          <w:lang w:val="en-GB"/>
        </w:rPr>
        <w:t>Insert here text for your proposal</w:t>
      </w:r>
    </w:p>
    <w:p>
      <w:pPr>
        <w:sectPr>
          <w:headerReference w:type="even" r:id="rId21"/>
          <w:headerReference w:type="default" r:id="rId22"/>
          <w:headerReference w:type="first" r:id="rId23"/>
          <w:footerReference w:type="default" r:id="rId24"/>
          <w:footnotePr>
            <w:numFmt w:val="decimal"/>
          </w:footnotePr>
          <w:type w:val="nextPage"/>
          <w:pgSz w:w="11906" w:h="16838"/>
          <w:pgMar w:left="851" w:right="851" w:gutter="0" w:header="720" w:top="851" w:footer="720" w:bottom="851"/>
          <w:pgNumType w:fmt="decimal"/>
          <w:formProt w:val="false"/>
          <w:titlePg/>
          <w:textDirection w:val="lrTb"/>
          <w:docGrid w:type="default" w:linePitch="100" w:charSpace="8396"/>
        </w:sectPr>
        <w:pStyle w:val="Normal"/>
        <w:spacing w:before="0" w:after="200"/>
        <w:ind w:left="0" w:right="0" w:hanging="0"/>
        <w:jc w:val="both"/>
        <w:rPr/>
      </w:pPr>
      <w:r>
        <w:rPr>
          <w:rFonts w:cs="Arial"/>
          <w:color w:val="B5B5B5"/>
          <w:sz w:val="18"/>
          <w:szCs w:val="16"/>
        </w:rPr>
        <w:t>#§COM-DIS-VIS-CDV§#</w:t>
      </w:r>
    </w:p>
    <w:p>
      <w:pPr>
        <w:pStyle w:val="ListParagraph"/>
        <w:bidi w:val="0"/>
        <w:spacing w:lineRule="auto" w:line="480" w:before="0" w:after="200"/>
        <w:ind w:left="0" w:right="0" w:hanging="0"/>
        <w:contextualSpacing/>
        <w:jc w:val="both"/>
        <w:rPr>
          <w:lang w:val="en-GB"/>
        </w:rPr>
      </w:pPr>
      <w:r>
        <w:rPr>
          <w:rFonts w:ascii="Times New Roman" w:hAnsi="Times New Roman"/>
          <w:b/>
          <w:lang w:val="en-GB"/>
        </w:rPr>
        <w:t xml:space="preserve">2.3 Summary </w:t>
      </w:r>
    </w:p>
    <w:p>
      <w:pPr>
        <w:pStyle w:val="Normal"/>
        <w:ind w:left="0" w:right="0" w:hanging="0"/>
        <w:rPr/>
      </w:pPr>
      <w:r>
        <w:rPr>
          <w:rFonts w:ascii="Times New Roman" w:hAnsi="Times New Roman"/>
          <w:b/>
          <w:color w:val="00B0F0"/>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SPECIFIC NEEDS</w:t>
            </w:r>
          </w:p>
        </w:tc>
      </w:tr>
      <w:tr>
        <w:trPr>
          <w:trHeight w:val="7040"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specific needs that triggered this project?</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rPr>
            </w:pPr>
            <w:r>
              <w:rPr>
                <w:rFonts w:ascii="Times New Roman" w:hAnsi="Times New Roman"/>
                <w:i/>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dissemination, exploitation and communication measures will you apply to the results?</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b/>
          <w:b/>
          <w:color w:val="00B0F0"/>
        </w:rPr>
      </w:pPr>
      <w:r>
        <w:rPr>
          <w:rFonts w:ascii="Times New Roman" w:hAnsi="Times New Roman"/>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do you expect to generate by the end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ind w:left="1417" w:right="0" w:hanging="357"/>
        <w:rPr>
          <w:rFonts w:ascii="Times New Roman" w:hAnsi="Times New Roman"/>
          <w:lang w:val="en-GB"/>
        </w:rPr>
      </w:pPr>
      <w:r>
        <w:rPr>
          <w:rFonts w:ascii="Times New Roman" w:hAnsi="Times New Roman"/>
          <w:lang w:val="en-GB"/>
        </w:rPr>
      </w:r>
    </w:p>
    <w:p>
      <w:pPr>
        <w:pStyle w:val="Normal"/>
        <w:ind w:left="0" w:right="0" w:hanging="0"/>
        <w:rPr>
          <w:rFonts w:ascii="Times New Roman" w:hAnsi="Times New Roman"/>
          <w:vanish/>
        </w:rPr>
      </w:pPr>
      <w:r>
        <w:rPr>
          <w:rFonts w:ascii="Times New Roman" w:hAnsi="Times New Roman"/>
          <w:vanish w:val="false"/>
        </w:rPr>
      </w:r>
    </w:p>
    <w:p>
      <w:pPr>
        <w:pStyle w:val="Normal"/>
        <w:ind w:left="1417" w:right="0" w:hanging="357"/>
        <w:rPr>
          <w:rFonts w:ascii="Times New Roman" w:hAnsi="Times New Roman"/>
          <w:lang w:val="en-GB"/>
        </w:rPr>
      </w:pPr>
      <w:r>
        <w:rPr>
          <w:rFonts w:ascii="Times New Roman" w:hAnsi="Times New Roman"/>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TARGET GROUPS</w:t>
            </w:r>
          </w:p>
        </w:tc>
      </w:tr>
      <w:tr>
        <w:trPr>
          <w:trHeight w:val="6613"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OUTCOMES</w:t>
            </w:r>
          </w:p>
        </w:tc>
      </w:tr>
      <w:tr>
        <w:trPr>
          <w:trHeight w:val="6613"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tabs>
                <w:tab w:val="clear" w:pos="720"/>
              </w:tabs>
              <w:ind w:left="0" w:right="0" w:hanging="0"/>
              <w:rPr>
                <w:rFonts w:ascii="Times New Roman" w:hAnsi="Times New Roman"/>
                <w:b/>
                <w:b/>
              </w:rPr>
            </w:pPr>
            <w:r>
              <w:rPr>
                <w:rFonts w:ascii="Times New Roman" w:hAnsi="Times New Roman"/>
                <w: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color w:val="00B0F0"/>
              </w:rPr>
            </w:pPr>
            <w:r>
              <w:rPr>
                <w:rFonts w:ascii="Times New Roman" w:hAnsi="Times New Roman"/>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ind w:left="0" w:right="0" w:hanging="0"/>
              <w:rPr>
                <w:rFonts w:ascii="Times New Roman" w:hAnsi="Times New Roman"/>
                <w:i/>
                <w:i/>
                <w:color w:val="385623"/>
              </w:rPr>
            </w:pPr>
            <w:r>
              <w:rPr>
                <w:rFonts w:ascii="Times New Roman" w:hAnsi="Times New Roman"/>
                <w:i/>
                <w:color w:val="385623"/>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sectPr>
          <w:headerReference w:type="default" r:id="rId25"/>
          <w:footerReference w:type="default" r:id="rId26"/>
          <w:footnotePr>
            <w:numFmt w:val="decimal"/>
          </w:footnotePr>
          <w:type w:val="nextPage"/>
          <w:pgSz w:w="16838" w:h="11906"/>
          <w:pgMar w:left="851" w:right="851" w:gutter="0" w:header="720" w:top="851" w:footer="720" w:bottom="851"/>
          <w:pgNumType w:fmt="decimal"/>
          <w:formProt w:val="false"/>
          <w:textDirection w:val="lrTb"/>
          <w:docGrid w:type="default" w:linePitch="100" w:charSpace="8396"/>
        </w:sectPr>
        <w:pStyle w:val="Normal"/>
        <w:widowControl w:val="false"/>
        <w:spacing w:before="0" w:after="200"/>
        <w:ind w:left="0" w:right="0" w:hanging="0"/>
        <w:jc w:val="both"/>
        <w:rPr/>
      </w:pPr>
      <w:r>
        <w:rPr>
          <w:rFonts w:cs="Arial"/>
          <w:color w:val="B5B5B5"/>
          <w:sz w:val="18"/>
          <w:szCs w:val="16"/>
        </w:rPr>
        <w:t>#§IMP-ACT-IA§#</w:t>
      </w:r>
    </w:p>
    <w:p>
      <w:pPr>
        <w:pStyle w:val="Normal"/>
        <w:spacing w:before="0" w:after="20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66" w:right="0" w:hanging="0"/>
        <w:jc w:val="both"/>
        <w:rPr>
          <w:lang w:val="en-GB"/>
        </w:rPr>
      </w:pPr>
      <w:r>
        <w:rPr>
          <w:rFonts w:ascii="Times New Roman" w:hAnsi="Times New Roman"/>
          <w:b/>
          <w:bCs/>
          <w:lang w:val="en-GB"/>
        </w:rPr>
        <w:t xml:space="preserve">3. Quality and efficiency of the implementation </w:t>
      </w:r>
      <w:bookmarkStart w:id="25" w:name="_Hlk106802800"/>
      <w:r>
        <w:rPr>
          <w:rFonts w:cs="Arial"/>
          <w:caps/>
          <w:color w:val="B5B5B5"/>
          <w:sz w:val="18"/>
          <w:szCs w:val="16"/>
          <w:lang w:eastAsia="it-IT"/>
        </w:rPr>
        <w:t xml:space="preserve">#@QUA-LIT-QL@# </w:t>
      </w:r>
      <w:r>
        <w:rPr>
          <w:rFonts w:cs="Arial"/>
          <w:color w:val="B5B5B5"/>
          <w:sz w:val="18"/>
          <w:szCs w:val="16"/>
        </w:rPr>
        <w:t>#@WRK-PLA-WP@#</w:t>
      </w:r>
      <w:bookmarkEnd w:id="25"/>
    </w:p>
    <w:p>
      <w:pPr>
        <w:pStyle w:val="Normal"/>
        <w:spacing w:before="0" w:after="200"/>
        <w:ind w:left="720" w:right="0" w:hanging="720"/>
        <w:jc w:val="both"/>
        <w:rPr>
          <w:lang w:val="en-GB"/>
        </w:rPr>
      </w:pPr>
      <w:r>
        <w:rPr>
          <w:rFonts w:ascii="Times New Roman" w:hAnsi="Times New Roman"/>
          <w:b/>
          <w:lang w:val="en-GB"/>
        </w:rPr>
        <w:t>3.1</w:t>
        <w:tab/>
        <w:t xml:space="preserve">Work plan and resources </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3.2</w:t>
        <w:tab/>
        <w:t xml:space="preserve">Capacity of participants and consortium as a whole </w:t>
      </w:r>
      <w:bookmarkStart w:id="26" w:name="_Hlk106802819"/>
      <w:r>
        <w:rPr>
          <w:rFonts w:cs="Arial"/>
          <w:color w:val="B5B5B5"/>
          <w:sz w:val="18"/>
          <w:szCs w:val="16"/>
        </w:rPr>
        <w:t>#@CON-SOR-CS@# #@PRJ-MGT-PM@#</w:t>
      </w:r>
      <w:bookmarkEnd w:id="26"/>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lineRule="auto" w:line="276" w:before="0" w:after="24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0" w:right="0" w:hanging="0"/>
        <w:rPr/>
      </w:pPr>
      <w:bookmarkStart w:id="27" w:name="_Hlk106802840"/>
      <w:r>
        <w:rPr>
          <w:rFonts w:cs="Arial"/>
          <w:color w:val="B5B5B5"/>
          <w:sz w:val="18"/>
          <w:szCs w:val="16"/>
        </w:rPr>
        <w:t>#§CON-SOR-CS§# #§PRJ-MGT-PM§#</w:t>
      </w:r>
      <w:bookmarkEnd w:id="27"/>
    </w:p>
    <w:p>
      <w:pPr>
        <w:pStyle w:val="Normal"/>
        <w:ind w:left="0" w:right="0" w:hanging="0"/>
        <w:rPr/>
      </w:pPr>
      <w:r>
        <w:rPr/>
      </w:r>
      <w:r>
        <w:br w:type="page"/>
      </w:r>
    </w:p>
    <w:p>
      <w:pPr>
        <w:pStyle w:val="Normal"/>
        <w:spacing w:lineRule="auto" w:line="276" w:before="0" w:after="240"/>
        <w:ind w:left="0" w:right="0" w:hanging="0"/>
        <w:jc w:val="both"/>
        <w:rPr>
          <w:lang w:val="en-GB"/>
        </w:rPr>
      </w:pPr>
      <w:r>
        <w:rPr>
          <w:rFonts w:ascii="Times New Roman" w:hAnsi="Times New Roman"/>
          <w:b/>
          <w:bCs/>
          <w:lang w:val="en-GB"/>
        </w:rPr>
        <w:t>Tables for section 3.1</w:t>
      </w:r>
    </w:p>
    <w:p>
      <w:pPr>
        <w:pStyle w:val="Normal"/>
        <w:spacing w:before="0" w:after="240"/>
        <w:ind w:left="0" w:right="0" w:hanging="0"/>
        <w:rPr>
          <w:lang w:val="en-GB"/>
        </w:rPr>
      </w:pPr>
      <w:r>
        <w:rPr>
          <w:rFonts w:ascii="Times New Roman" w:hAnsi="Times New Roman"/>
          <w:b/>
          <w:bCs/>
          <w:lang w:val="en-GB"/>
        </w:rPr>
        <w:t xml:space="preserve">Table 3.1a: </w:t>
        <w:tab/>
        <w:t>List of work packages</w:t>
      </w:r>
    </w:p>
    <w:tbl>
      <w:tblPr>
        <w:tblW w:w="8678" w:type="dxa"/>
        <w:jc w:val="center"/>
        <w:tblInd w:w="0" w:type="dxa"/>
        <w:tblLayout w:type="fixed"/>
        <w:tblCellMar>
          <w:top w:w="0" w:type="dxa"/>
          <w:left w:w="108" w:type="dxa"/>
          <w:bottom w:w="0" w:type="dxa"/>
          <w:right w:w="108" w:type="dxa"/>
        </w:tblCellMar>
      </w:tblPr>
      <w:tblGrid>
        <w:gridCol w:w="884"/>
        <w:gridCol w:w="1415"/>
        <w:gridCol w:w="1417"/>
        <w:gridCol w:w="1418"/>
        <w:gridCol w:w="1277"/>
        <w:gridCol w:w="1132"/>
        <w:gridCol w:w="1134"/>
      </w:tblGrid>
      <w:tr>
        <w:trPr>
          <w:cantSplit w:val="true"/>
        </w:trPr>
        <w:tc>
          <w:tcPr>
            <w:tcW w:w="88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Short Name</w:t>
            </w:r>
          </w:p>
        </w:tc>
        <w:tc>
          <w:tcPr>
            <w:tcW w:w="127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Person-Months</w:t>
            </w:r>
          </w:p>
        </w:tc>
        <w:tc>
          <w:tcPr>
            <w:tcW w:w="113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End month</w:t>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bl>
    <w:p>
      <w:pPr>
        <w:pStyle w:val="Normal"/>
        <w:widowControl w:val="false"/>
        <w:spacing w:before="0" w:after="240"/>
        <w:ind w:left="0" w:right="0" w:hanging="0"/>
        <w:rPr>
          <w:rFonts w:ascii="Times New Roman" w:hAnsi="Times New Roman"/>
          <w:b/>
          <w:b/>
          <w:bCs/>
        </w:rPr>
      </w:pPr>
      <w:r>
        <w:rPr>
          <w:rFonts w:ascii="Times New Roman" w:hAnsi="Times New Roman"/>
          <w:b/>
          <w:bCs/>
        </w:rPr>
      </w:r>
      <w:r>
        <w:br w:type="page"/>
      </w:r>
    </w:p>
    <w:p>
      <w:pPr>
        <w:pStyle w:val="Normal"/>
        <w:spacing w:before="0" w:after="200"/>
        <w:ind w:left="0" w:right="0" w:hanging="0"/>
        <w:rPr>
          <w:lang w:val="en-GB"/>
        </w:rPr>
      </w:pPr>
      <w:r>
        <w:rPr>
          <w:rFonts w:ascii="Times New Roman" w:hAnsi="Times New Roman"/>
          <w:b/>
          <w:bCs/>
          <w:lang w:val="en-GB"/>
        </w:rPr>
        <w:t>Table 3.1b:</w:t>
        <w:tab/>
        <w:t xml:space="preserve">Work package description </w:t>
      </w:r>
    </w:p>
    <w:p>
      <w:pPr>
        <w:pStyle w:val="Normal"/>
        <w:spacing w:before="60" w:after="120"/>
        <w:ind w:left="0" w:right="0" w:hanging="0"/>
        <w:rPr>
          <w:lang w:val="en-GB"/>
        </w:rPr>
      </w:pPr>
      <w:r>
        <w:rPr>
          <w:rFonts w:ascii="Times New Roman" w:hAnsi="Times New Roman"/>
          <w:b/>
          <w:lang w:val="en-GB"/>
        </w:rPr>
        <w:t xml:space="preserve">For each work package: </w:t>
      </w:r>
    </w:p>
    <w:tbl>
      <w:tblPr>
        <w:tblW w:w="9853" w:type="dxa"/>
        <w:jc w:val="left"/>
        <w:tblInd w:w="-114" w:type="dxa"/>
        <w:tblLayout w:type="fixed"/>
        <w:tblCellMar>
          <w:top w:w="0" w:type="dxa"/>
          <w:left w:w="108" w:type="dxa"/>
          <w:bottom w:w="0" w:type="dxa"/>
          <w:right w:w="108" w:type="dxa"/>
        </w:tblCellMar>
      </w:tblPr>
      <w:tblGrid>
        <w:gridCol w:w="3368"/>
        <w:gridCol w:w="6484"/>
      </w:tblGrid>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b/>
          <w:b/>
          <w:lang w:val="en-GB"/>
        </w:rPr>
      </w:pPr>
      <w:r>
        <w:rPr>
          <w:rFonts w:ascii="Times New Roman" w:hAnsi="Times New Roman"/>
          <w:b/>
          <w:lang w:val="en-GB"/>
        </w:rPr>
      </w:r>
    </w:p>
    <w:tbl>
      <w:tblPr>
        <w:tblW w:w="9855" w:type="dxa"/>
        <w:jc w:val="left"/>
        <w:tblInd w:w="-117"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lang w:val="en-GB"/>
        </w:rPr>
      </w:pPr>
      <w:r>
        <w:rPr>
          <w:rFonts w:ascii="Times New Roman" w:hAnsi="Times New Roman"/>
          <w:lang w:val="en-GB"/>
        </w:rPr>
      </w:r>
    </w:p>
    <w:tbl>
      <w:tblPr>
        <w:tblW w:w="9855" w:type="dxa"/>
        <w:jc w:val="left"/>
        <w:tblInd w:w="-117"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ind w:left="0" w:right="0" w:hanging="0"/>
        <w:rPr>
          <w:rFonts w:ascii="Times New Roman" w:hAnsi="Times New Roman"/>
          <w:lang w:val="en-GB"/>
        </w:rPr>
      </w:pPr>
      <w:r>
        <w:rPr>
          <w:rFonts w:ascii="Times New Roman" w:hAnsi="Times New Roman"/>
          <w:lang w:val="en-GB"/>
        </w:rPr>
      </w:r>
      <w:r>
        <w:br w:type="page"/>
      </w:r>
    </w:p>
    <w:p>
      <w:pPr>
        <w:pStyle w:val="Normal"/>
        <w:ind w:left="0" w:right="0" w:hanging="0"/>
        <w:rPr>
          <w:lang w:val="en-GB"/>
        </w:rPr>
      </w:pPr>
      <w:r>
        <w:rPr>
          <w:rFonts w:ascii="Times New Roman" w:hAnsi="Times New Roman"/>
          <w:b/>
          <w:lang w:val="en-GB"/>
        </w:rPr>
        <w:t>Table 3.1c:</w:t>
        <w:tab/>
        <w:t xml:space="preserve">List of Deliverables  </w:t>
      </w:r>
    </w:p>
    <w:p>
      <w:pPr>
        <w:pStyle w:val="Normal"/>
        <w:ind w:left="0" w:right="0" w:hanging="0"/>
        <w:rPr>
          <w:rFonts w:ascii="Times New Roman" w:hAnsi="Times New Roman"/>
          <w:b/>
          <w:b/>
          <w:lang w:val="en-GB"/>
        </w:rPr>
      </w:pPr>
      <w:r>
        <w:rPr>
          <w:rFonts w:ascii="Times New Roman" w:hAnsi="Times New Roman"/>
          <w:b/>
          <w:lang w:val="en-GB"/>
        </w:rPr>
      </w:r>
    </w:p>
    <w:tbl>
      <w:tblPr>
        <w:tblW w:w="10185" w:type="dxa"/>
        <w:jc w:val="center"/>
        <w:tblInd w:w="0" w:type="dxa"/>
        <w:tblLayout w:type="fixed"/>
        <w:tblCellMar>
          <w:top w:w="0" w:type="dxa"/>
          <w:left w:w="108" w:type="dxa"/>
          <w:bottom w:w="0" w:type="dxa"/>
          <w:right w:w="108" w:type="dxa"/>
        </w:tblCellMar>
      </w:tblPr>
      <w:tblGrid>
        <w:gridCol w:w="1159"/>
        <w:gridCol w:w="2078"/>
        <w:gridCol w:w="1293"/>
        <w:gridCol w:w="1385"/>
        <w:gridCol w:w="1386"/>
        <w:gridCol w:w="1751"/>
        <w:gridCol w:w="1132"/>
      </w:tblGrid>
      <w:tr>
        <w:trPr/>
        <w:tc>
          <w:tcPr>
            <w:tcW w:w="115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(number)</w:t>
            </w:r>
          </w:p>
        </w:tc>
        <w:tc>
          <w:tcPr>
            <w:tcW w:w="2078"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Short name of lead participant</w:t>
            </w:r>
          </w:p>
        </w:tc>
        <w:tc>
          <w:tcPr>
            <w:tcW w:w="138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Type</w:t>
            </w:r>
          </w:p>
        </w:tc>
        <w:tc>
          <w:tcPr>
            <w:tcW w:w="175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Dissemination level</w:t>
            </w:r>
          </w:p>
        </w:tc>
        <w:tc>
          <w:tcPr>
            <w:tcW w:w="1132"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Delivery date</w:t>
            </w:r>
          </w:p>
          <w:p>
            <w:pPr>
              <w:pStyle w:val="Normal"/>
              <w:widowControl w:val="false"/>
              <w:tabs>
                <w:tab w:val="clear" w:pos="720"/>
              </w:tabs>
              <w:spacing w:before="120" w:after="0"/>
              <w:ind w:left="0" w:right="0" w:hanging="0"/>
              <w:jc w:val="center"/>
              <w:rPr>
                <w:lang w:val="en-GB"/>
              </w:rPr>
            </w:pPr>
            <w:r>
              <w:rPr>
                <w:rFonts w:ascii="Times New Roman" w:hAnsi="Times New Roman"/>
                <w:b/>
                <w:lang w:val="en-GB"/>
              </w:rPr>
              <w:t>(in months)</w:t>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3.1d:</w:t>
        <w:tab/>
        <w:t xml:space="preserve">List of milestones </w:t>
      </w:r>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1316"/>
        <w:gridCol w:w="1645"/>
        <w:gridCol w:w="2255"/>
        <w:gridCol w:w="2255"/>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name</w:t>
            </w:r>
          </w:p>
        </w:tc>
        <w:tc>
          <w:tcPr>
            <w:tcW w:w="225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Related work package(s)</w:t>
            </w:r>
          </w:p>
        </w:tc>
        <w:tc>
          <w:tcPr>
            <w:tcW w:w="225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3.1e:</w:t>
        <w:tab/>
        <w:t xml:space="preserve">Critical risks for implementation </w:t>
      </w:r>
      <w:bookmarkStart w:id="28" w:name="_Hlk106802874"/>
      <w:r>
        <w:rPr>
          <w:rFonts w:cs="Arial"/>
          <w:color w:val="B5B5B5"/>
          <w:sz w:val="18"/>
          <w:szCs w:val="16"/>
        </w:rPr>
        <w:t>#@RSK-MGT-RM@#</w:t>
      </w:r>
      <w:bookmarkEnd w:id="28"/>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3821"/>
        <w:gridCol w:w="2416"/>
        <w:gridCol w:w="3828"/>
      </w:tblGrid>
      <w:tr>
        <w:trPr/>
        <w:tc>
          <w:tcPr>
            <w:tcW w:w="382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risk (indicate level of (i) likelihood, and (ii) severity: Low/Medium/High)</w:t>
            </w:r>
          </w:p>
        </w:tc>
        <w:tc>
          <w:tcPr>
            <w:tcW w:w="24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Proposed risk-mitigation measures</w:t>
            </w:r>
          </w:p>
        </w:tc>
      </w:tr>
      <w:tr>
        <w:trPr/>
        <w:tc>
          <w:tcPr>
            <w:tcW w:w="38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spacing w:before="0" w:after="240"/>
        <w:ind w:left="0" w:right="0" w:hanging="0"/>
        <w:rPr/>
      </w:pPr>
      <w:bookmarkStart w:id="29" w:name="_Hlk106802885"/>
      <w:r>
        <w:rPr>
          <w:rFonts w:cs="Arial"/>
          <w:color w:val="B5B5B5"/>
          <w:sz w:val="18"/>
          <w:szCs w:val="16"/>
        </w:rPr>
        <w:t>#§RSK-MGT-RM§#</w:t>
      </w:r>
      <w:bookmarkEnd w:id="29"/>
    </w:p>
    <w:p>
      <w:pPr>
        <w:pStyle w:val="Normal"/>
        <w:ind w:left="0" w:right="0" w:hanging="0"/>
        <w:rPr>
          <w:lang w:val="en-GB"/>
        </w:rPr>
      </w:pPr>
      <w:r>
        <w:rPr>
          <w:rFonts w:ascii="Times New Roman" w:hAnsi="Times New Roman"/>
          <w:b/>
          <w:lang w:val="en-GB"/>
        </w:rPr>
        <w:t xml:space="preserve">Table 3.1f: </w:t>
        <w:tab/>
        <w:t>Summary of staff effort</w:t>
      </w:r>
    </w:p>
    <w:p>
      <w:pPr>
        <w:pStyle w:val="Normal"/>
        <w:ind w:left="0" w:right="0" w:hanging="0"/>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Pr>
      <w:tblGrid>
        <w:gridCol w:w="2404"/>
        <w:gridCol w:w="1473"/>
        <w:gridCol w:w="1467"/>
        <w:gridCol w:w="1462"/>
        <w:gridCol w:w="3118"/>
      </w:tblGrid>
      <w:tr>
        <w:trPr/>
        <w:tc>
          <w:tcPr>
            <w:tcW w:w="2404" w:type="dxa"/>
            <w:tcBorders>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7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WPn+1</w:t>
            </w:r>
          </w:p>
        </w:tc>
        <w:tc>
          <w:tcPr>
            <w:tcW w:w="146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WPn+2</w:t>
            </w:r>
          </w:p>
        </w:tc>
        <w:tc>
          <w:tcPr>
            <w:tcW w:w="311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w:t>
            </w:r>
          </w:p>
          <w:p>
            <w:pPr>
              <w:pStyle w:val="Normal"/>
              <w:widowControl w:val="false"/>
              <w:tabs>
                <w:tab w:val="clear" w:pos="720"/>
              </w:tabs>
              <w:ind w:left="0" w:right="0" w:hanging="0"/>
              <w:rPr>
                <w:lang w:val="en-GB"/>
              </w:rPr>
            </w:pPr>
            <w:r>
              <w:rPr>
                <w:rFonts w:ascii="Times New Roman" w:hAnsi="Times New Roman"/>
                <w:b/>
                <w:lang w:val="en-GB"/>
              </w:rPr>
              <w:t>Months per Participant</w:t>
            </w:r>
          </w:p>
        </w:tc>
      </w:tr>
      <w:tr>
        <w:trPr/>
        <w:tc>
          <w:tcPr>
            <w:tcW w:w="24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1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rHeight w:val="506" w:hRule="atLeast"/>
        </w:trPr>
        <w:tc>
          <w:tcPr>
            <w:tcW w:w="24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1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1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 Months</w:t>
            </w:r>
          </w:p>
        </w:tc>
        <w:tc>
          <w:tcPr>
            <w:tcW w:w="147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1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3.1g:</w:t>
        <w:tab/>
        <w:t xml:space="preserve">‘Subcontracting costs’ items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3.1h:</w:t>
        <w:tab/>
        <w:t xml:space="preserve">‘Purchase costs’ items (travel and subsistence, equipment and other goods, works and services)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3.1i:</w:t>
        <w:tab/>
        <w:t>‘Other costs categories’ items (e.g. internally invoiced goods and services)</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3.1j:</w:t>
        <w:tab/>
        <w:t>‘In-kind contributions’ provided by third parties</w:t>
      </w:r>
    </w:p>
    <w:p>
      <w:pPr>
        <w:pStyle w:val="Normal"/>
        <w:ind w:left="0" w:right="0" w:hanging="0"/>
        <w:rPr>
          <w:rFonts w:ascii="Times New Roman" w:hAnsi="Times New Roman"/>
          <w:b/>
          <w:b/>
          <w:lang w:val="en-GB"/>
        </w:rPr>
      </w:pPr>
      <w:r>
        <w:rPr>
          <w:rFonts w:ascii="Times New Roman" w:hAnsi="Times New Roman"/>
          <w:b/>
          <w:lang w:val="en-GB"/>
        </w:rPr>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rFonts w:ascii="Times New Roman" w:hAnsi="Times New Roman"/>
                <w:b/>
                <w:b/>
                <w:bCs/>
                <w:lang w:val="en-GB"/>
              </w:rPr>
            </w:pPr>
            <w:r>
              <w:rPr>
                <w:rFonts w:ascii="Times New Roman" w:hAnsi="Times New Roman"/>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rFonts w:ascii="Times New Roman" w:hAnsi="Times New Roman"/>
                <w:b/>
                <w:bCs/>
                <w:lang w:val="en-GB"/>
              </w:rPr>
              <w:t>Select between</w:t>
            </w:r>
          </w:p>
          <w:p>
            <w:pPr>
              <w:pStyle w:val="Normal"/>
              <w:widowControl w:val="false"/>
              <w:tabs>
                <w:tab w:val="clear" w:pos="720"/>
              </w:tabs>
              <w:spacing w:before="120" w:after="120"/>
              <w:ind w:left="0" w:right="0" w:hanging="0"/>
              <w:rPr/>
            </w:pPr>
            <w:r>
              <w:rPr>
                <w:rFonts w:ascii="Times New Roman" w:hAnsi="Times New Roman"/>
                <w:bCs/>
                <w:color w:val="595959"/>
                <w:sz w:val="18"/>
                <w:szCs w:val="18"/>
              </w:rPr>
              <w:t>Seconded personnel</w:t>
            </w:r>
          </w:p>
          <w:p>
            <w:pPr>
              <w:pStyle w:val="Normal"/>
              <w:widowControl w:val="false"/>
              <w:tabs>
                <w:tab w:val="clear" w:pos="720"/>
              </w:tabs>
              <w:spacing w:before="120" w:after="120"/>
              <w:ind w:left="0" w:right="0" w:hanging="0"/>
              <w:rPr/>
            </w:pPr>
            <w:r>
              <w:rPr>
                <w:rFonts w:ascii="Times New Roman" w:hAnsi="Times New Roman"/>
                <w:bCs/>
                <w:color w:val="595959"/>
                <w:sz w:val="18"/>
                <w:szCs w:val="18"/>
              </w:rPr>
              <w:t>Travel and subsistence</w:t>
            </w:r>
          </w:p>
          <w:p>
            <w:pPr>
              <w:pStyle w:val="Normal"/>
              <w:widowControl w:val="false"/>
              <w:tabs>
                <w:tab w:val="clear" w:pos="720"/>
              </w:tabs>
              <w:spacing w:before="120" w:after="120"/>
              <w:ind w:left="0" w:right="0" w:hanging="0"/>
              <w:rPr/>
            </w:pPr>
            <w:r>
              <w:rPr>
                <w:rFonts w:ascii="Times New Roman" w:hAnsi="Times New Roman"/>
                <w:bCs/>
                <w:color w:val="595959"/>
                <w:sz w:val="18"/>
                <w:szCs w:val="18"/>
              </w:rPr>
              <w:t>Equipment</w:t>
            </w:r>
          </w:p>
          <w:p>
            <w:pPr>
              <w:pStyle w:val="Normal"/>
              <w:widowControl w:val="false"/>
              <w:tabs>
                <w:tab w:val="clear" w:pos="720"/>
              </w:tabs>
              <w:spacing w:before="120" w:after="120"/>
              <w:ind w:left="0" w:right="0" w:hanging="0"/>
              <w:rPr/>
            </w:pPr>
            <w:r>
              <w:rPr>
                <w:rFonts w:ascii="Times New Roman" w:hAnsi="Times New Roman"/>
                <w:bCs/>
                <w:color w:val="595959"/>
                <w:sz w:val="18"/>
                <w:szCs w:val="18"/>
              </w:rPr>
              <w:t>Other goods, works and services</w:t>
            </w:r>
          </w:p>
          <w:p>
            <w:pPr>
              <w:pStyle w:val="Normal"/>
              <w:widowControl w:val="false"/>
              <w:tabs>
                <w:tab w:val="clear" w:pos="720"/>
              </w:tabs>
              <w:spacing w:before="120" w:after="120"/>
              <w:ind w:left="0" w:right="0" w:hanging="0"/>
              <w:rPr/>
            </w:pPr>
            <w:r>
              <w:rPr>
                <w:rFonts w:ascii="Times New Roman" w:hAnsi="Times New Roman"/>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bookmarkStart w:id="30" w:name="_Hlk106802899"/>
      <w:r>
        <w:rPr>
          <w:rFonts w:cs="Arial"/>
          <w:caps/>
          <w:color w:val="B5B5B5"/>
          <w:sz w:val="18"/>
          <w:szCs w:val="16"/>
          <w:lang w:val="en-GB" w:eastAsia="it-IT"/>
        </w:rPr>
        <w:t xml:space="preserve">#§QUA-LIT-QL§# </w:t>
      </w:r>
      <w:r>
        <w:rPr>
          <w:rFonts w:cs="Arial"/>
          <w:color w:val="B5B5B5"/>
          <w:sz w:val="18"/>
          <w:szCs w:val="16"/>
        </w:rPr>
        <w:t>#§WRK-PLA-WP§#</w:t>
      </w:r>
      <w:bookmarkEnd w:id="30"/>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lang w:val="en-GB"/>
        </w:rPr>
      </w:pPr>
      <w:r>
        <w:rPr>
          <w:rFonts w:ascii="Times New Roman" w:hAnsi="Times New Roman"/>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bl>
    <w:p>
      <w:pPr>
        <w:pStyle w:val="Normal"/>
        <w:widowControl w:val="false"/>
        <w:ind w:left="0" w:right="0" w:hanging="0"/>
        <w:rPr/>
      </w:pPr>
      <w:r>
        <w:rPr/>
      </w:r>
    </w:p>
    <w:sectPr>
      <w:headerReference w:type="default" r:id="rId27"/>
      <w:footerReference w:type="default" r:id="rId28"/>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Segoe UI">
    <w:charset w:val="01"/>
    <w:family w:val="roman"/>
    <w:pitch w:val="variable"/>
  </w:font>
  <w:font w:name="0">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1">
              <wp:simplePos x="0" y="0"/>
              <wp:positionH relativeFrom="column">
                <wp:posOffset>2869565</wp:posOffset>
              </wp:positionH>
              <wp:positionV relativeFrom="paragraph">
                <wp:posOffset>10391775</wp:posOffset>
              </wp:positionV>
              <wp:extent cx="842010" cy="287655"/>
              <wp:effectExtent l="0" t="635" r="0" b="0"/>
              <wp:wrapNone/>
              <wp:docPr id="3" name="Rectangle 10"/>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2">
              <wp:simplePos x="0" y="0"/>
              <wp:positionH relativeFrom="column">
                <wp:posOffset>2869565</wp:posOffset>
              </wp:positionH>
              <wp:positionV relativeFrom="paragraph">
                <wp:posOffset>10391775</wp:posOffset>
              </wp:positionV>
              <wp:extent cx="842010" cy="287655"/>
              <wp:effectExtent l="0" t="635" r="0" b="0"/>
              <wp:wrapNone/>
              <wp:docPr id="4" name="Rectangle 1"/>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69">
              <wp:simplePos x="0" y="0"/>
              <wp:positionH relativeFrom="column">
                <wp:posOffset>0</wp:posOffset>
              </wp:positionH>
              <wp:positionV relativeFrom="paragraph">
                <wp:posOffset>635</wp:posOffset>
              </wp:positionV>
              <wp:extent cx="6616700" cy="267335"/>
              <wp:effectExtent l="5080" t="5715" r="5080" b="4445"/>
              <wp:wrapNone/>
              <wp:docPr id="7"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6">
              <wp:simplePos x="0" y="0"/>
              <wp:positionH relativeFrom="column">
                <wp:posOffset>2869565</wp:posOffset>
              </wp:positionH>
              <wp:positionV relativeFrom="paragraph">
                <wp:posOffset>10391775</wp:posOffset>
              </wp:positionV>
              <wp:extent cx="842010" cy="287655"/>
              <wp:effectExtent l="0" t="635" r="0" b="0"/>
              <wp:wrapNone/>
              <wp:docPr id="9" name="Rectangle 2"/>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2"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11</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6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25</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51">
              <wp:simplePos x="0" y="0"/>
              <wp:positionH relativeFrom="column">
                <wp:posOffset>0</wp:posOffset>
              </wp:positionH>
              <wp:positionV relativeFrom="paragraph">
                <wp:posOffset>635</wp:posOffset>
              </wp:positionV>
              <wp:extent cx="6616700" cy="267335"/>
              <wp:effectExtent l="5080" t="5715" r="5080" b="4445"/>
              <wp:wrapNone/>
              <wp:docPr id="19" name="Frame21"/>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1"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25">
              <wp:simplePos x="0" y="0"/>
              <wp:positionH relativeFrom="column">
                <wp:posOffset>0</wp:posOffset>
              </wp:positionH>
              <wp:positionV relativeFrom="paragraph">
                <wp:posOffset>635</wp:posOffset>
              </wp:positionV>
              <wp:extent cx="6616700" cy="267335"/>
              <wp:effectExtent l="5080" t="5715" r="5080" b="4445"/>
              <wp:wrapNone/>
              <wp:docPr id="21" name="Frame23"/>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3"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37</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13">
              <wp:simplePos x="0" y="0"/>
              <wp:positionH relativeFrom="column">
                <wp:posOffset>0</wp:posOffset>
              </wp:positionH>
              <wp:positionV relativeFrom="paragraph">
                <wp:posOffset>635</wp:posOffset>
              </wp:positionV>
              <wp:extent cx="6616700" cy="267335"/>
              <wp:effectExtent l="5080" t="5715" r="5080" b="4445"/>
              <wp:wrapNone/>
              <wp:docPr id="23" name="Frame2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Fonts w:ascii="Times New Roman" w:hAnsi="Times New Roman"/>
          <w:color w:val="000000"/>
          <w:sz w:val="16"/>
          <w:szCs w:val="16"/>
          <w:lang w:val="en-IE"/>
        </w:rPr>
        <w:t xml:space="preserve"> </w:t>
      </w:r>
      <w:r>
        <w:rPr>
          <w:rFonts w:ascii="Times New Roman" w:hAnsi="Times New Roman"/>
          <w:i/>
          <w:color w:val="000000"/>
          <w:sz w:val="16"/>
          <w:szCs w:val="16"/>
          <w:lang w:val="en-IE"/>
        </w:rPr>
        <w:t>For further guidance on communicating EU research and innovation for project participants, please refer to the Online Manual on the Funding &amp; Tenders Portal</w:t>
      </w:r>
    </w:p>
  </w:footnote>
  <w:footnote w:id="3">
    <w:p>
      <w:pPr>
        <w:pStyle w:val="Footnote"/>
        <w:rPr/>
      </w:pPr>
      <w:r>
        <w:rPr>
          <w:rStyle w:val="FootnoteCharacters"/>
        </w:rPr>
        <w:footnoteRef/>
      </w:r>
      <w:r>
        <w:rPr/>
        <w:t xml:space="preserve">You must include a data management plan (DMP) and a ‘plan for dissemination and exploitation including communication activities as distinct deliverables within the first 6 months of the project.  The DMP will evolve during the lifetime of the project in order to present the status of the project's reflections on data management.  A template for such a plan is available in the </w:t>
      </w:r>
      <w:hyperlink r:id="rId1">
        <w:r>
          <w:rPr>
            <w:rFonts w:ascii="Times New Roman" w:hAnsi="Times New Roman"/>
            <w:color w:val="0088CC"/>
            <w:sz w:val="24"/>
            <w:szCs w:val="24"/>
            <w:u w:val="single"/>
          </w:rPr>
          <w:t>Online Manual</w:t>
        </w:r>
      </w:hyperlink>
      <w:r>
        <w:rPr/>
        <w:t xml:space="preserve"> on the Funding &amp; Tenders Portal.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center"/>
      <w:rPr/>
    </w:pPr>
    <w:r>
      <w:rPr/>
      <w:drawing>
        <wp:inline distT="0" distB="0" distL="0" distR="0">
          <wp:extent cx="1880235" cy="9328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932815"/>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2.75pt;height:12.75pt" o:bullet="t">
        <v:imagedata r:id="rId1" o:title=""/>
      </v:shape>
    </w:pict>
  </w:numPicBullet>
  <w:abstractNum w:abstractNumId="1">
    <w:lvl w:ilvl="0">
      <w:start w:val="1"/>
      <w:numFmt w:val="bullet"/>
      <w:lvlText w:val=""/>
      <w:lvlJc w:val="left"/>
      <w:pPr>
        <w:tabs>
          <w:tab w:val="num" w:pos="0"/>
        </w:tabs>
        <w:ind w:left="781" w:hanging="360"/>
      </w:pPr>
      <w:rPr>
        <w:rFonts w:ascii="0" w:hAnsi="0" w:cs="0" w:hint="default"/>
      </w:rPr>
    </w:lvl>
    <w:lvl w:ilvl="1">
      <w:start w:val="1"/>
      <w:numFmt w:val="bullet"/>
      <w:lvlText w:val="o"/>
      <w:lvlJc w:val="left"/>
      <w:pPr>
        <w:tabs>
          <w:tab w:val="num" w:pos="0"/>
        </w:tabs>
        <w:ind w:left="1501" w:hanging="360"/>
      </w:pPr>
      <w:rPr>
        <w:rFonts w:ascii="0" w:hAnsi="0" w:cs="0" w:hint="default"/>
      </w:rPr>
    </w:lvl>
    <w:lvl w:ilvl="2">
      <w:start w:val="1"/>
      <w:numFmt w:val="bullet"/>
      <w:lvlText w:val=""/>
      <w:lvlJc w:val="left"/>
      <w:pPr>
        <w:tabs>
          <w:tab w:val="num" w:pos="0"/>
        </w:tabs>
        <w:ind w:left="2221" w:hanging="360"/>
      </w:pPr>
      <w:rPr>
        <w:rFonts w:ascii="0" w:hAnsi="0" w:cs="0" w:hint="default"/>
      </w:rPr>
    </w:lvl>
    <w:lvl w:ilvl="3">
      <w:start w:val="1"/>
      <w:numFmt w:val="bullet"/>
      <w:lvlText w:val=""/>
      <w:lvlJc w:val="left"/>
      <w:pPr>
        <w:tabs>
          <w:tab w:val="num" w:pos="0"/>
        </w:tabs>
        <w:ind w:left="2941" w:hanging="360"/>
      </w:pPr>
      <w:rPr>
        <w:rFonts w:ascii="0" w:hAnsi="0" w:cs="0" w:hint="default"/>
      </w:rPr>
    </w:lvl>
    <w:lvl w:ilvl="4">
      <w:start w:val="1"/>
      <w:numFmt w:val="bullet"/>
      <w:lvlText w:val="o"/>
      <w:lvlJc w:val="left"/>
      <w:pPr>
        <w:tabs>
          <w:tab w:val="num" w:pos="0"/>
        </w:tabs>
        <w:ind w:left="3661" w:hanging="360"/>
      </w:pPr>
      <w:rPr>
        <w:rFonts w:ascii="0" w:hAnsi="0" w:cs="0" w:hint="default"/>
      </w:rPr>
    </w:lvl>
    <w:lvl w:ilvl="5">
      <w:start w:val="1"/>
      <w:numFmt w:val="bullet"/>
      <w:lvlText w:val=""/>
      <w:lvlJc w:val="left"/>
      <w:pPr>
        <w:tabs>
          <w:tab w:val="num" w:pos="0"/>
        </w:tabs>
        <w:ind w:left="4381" w:hanging="360"/>
      </w:pPr>
      <w:rPr>
        <w:rFonts w:ascii="0" w:hAnsi="0" w:cs="0" w:hint="default"/>
      </w:rPr>
    </w:lvl>
    <w:lvl w:ilvl="6">
      <w:start w:val="1"/>
      <w:numFmt w:val="bullet"/>
      <w:lvlText w:val=""/>
      <w:lvlJc w:val="left"/>
      <w:pPr>
        <w:tabs>
          <w:tab w:val="num" w:pos="0"/>
        </w:tabs>
        <w:ind w:left="5101" w:hanging="360"/>
      </w:pPr>
      <w:rPr>
        <w:rFonts w:ascii="0" w:hAnsi="0" w:cs="0" w:hint="default"/>
      </w:rPr>
    </w:lvl>
    <w:lvl w:ilvl="7">
      <w:start w:val="1"/>
      <w:numFmt w:val="bullet"/>
      <w:lvlText w:val="o"/>
      <w:lvlJc w:val="left"/>
      <w:pPr>
        <w:tabs>
          <w:tab w:val="num" w:pos="0"/>
        </w:tabs>
        <w:ind w:left="5821" w:hanging="360"/>
      </w:pPr>
      <w:rPr>
        <w:rFonts w:ascii="0" w:hAnsi="0" w:cs="0" w:hint="default"/>
      </w:rPr>
    </w:lvl>
    <w:lvl w:ilvl="8">
      <w:start w:val="1"/>
      <w:numFmt w:val="bullet"/>
      <w:lvlText w:val=""/>
      <w:lvlJc w:val="left"/>
      <w:pPr>
        <w:tabs>
          <w:tab w:val="num" w:pos="0"/>
        </w:tabs>
        <w:ind w:left="6541" w:hanging="360"/>
      </w:pPr>
      <w:rPr>
        <w:rFonts w:ascii="0" w:hAnsi="0" w:cs="0" w:hint="default"/>
      </w:rPr>
    </w:lvl>
  </w:abstractNum>
  <w:abstractNum w:abstractNumId="2">
    <w:lvl w:ilvl="0">
      <w:start w:val="1"/>
      <w:numFmt w:val="bullet"/>
      <w:lvlText w:val=""/>
      <w:lvlJc w:val="left"/>
      <w:pPr>
        <w:tabs>
          <w:tab w:val="num" w:pos="0"/>
        </w:tabs>
        <w:ind w:left="1440" w:hanging="360"/>
      </w:pPr>
      <w:rPr>
        <w:rFonts w:ascii="0" w:hAnsi="0" w:cs="0" w:hint="default"/>
      </w:rPr>
    </w:lvl>
    <w:lvl w:ilvl="1">
      <w:start w:val="1"/>
      <w:numFmt w:val="bullet"/>
      <w:lvlText w:val="o"/>
      <w:lvlJc w:val="left"/>
      <w:pPr>
        <w:tabs>
          <w:tab w:val="num" w:pos="0"/>
        </w:tabs>
        <w:ind w:left="2160" w:hanging="360"/>
      </w:pPr>
      <w:rPr>
        <w:rFonts w:ascii="0" w:hAnsi="0" w:cs="0" w:hint="default"/>
      </w:rPr>
    </w:lvl>
    <w:lvl w:ilvl="2">
      <w:start w:val="1"/>
      <w:numFmt w:val="bullet"/>
      <w:lvlText w:val=""/>
      <w:lvlJc w:val="left"/>
      <w:pPr>
        <w:tabs>
          <w:tab w:val="num" w:pos="0"/>
        </w:tabs>
        <w:ind w:left="2880" w:hanging="360"/>
      </w:pPr>
      <w:rPr>
        <w:rFonts w:ascii="0" w:hAnsi="0" w:cs="0" w:hint="default"/>
      </w:rPr>
    </w:lvl>
    <w:lvl w:ilvl="3">
      <w:start w:val="1"/>
      <w:numFmt w:val="bullet"/>
      <w:lvlText w:val=""/>
      <w:lvlJc w:val="left"/>
      <w:pPr>
        <w:tabs>
          <w:tab w:val="num" w:pos="0"/>
        </w:tabs>
        <w:ind w:left="3600" w:hanging="360"/>
      </w:pPr>
      <w:rPr>
        <w:rFonts w:ascii="0" w:hAnsi="0" w:cs="0" w:hint="default"/>
      </w:rPr>
    </w:lvl>
    <w:lvl w:ilvl="4">
      <w:start w:val="1"/>
      <w:numFmt w:val="bullet"/>
      <w:lvlText w:val="o"/>
      <w:lvlJc w:val="left"/>
      <w:pPr>
        <w:tabs>
          <w:tab w:val="num" w:pos="0"/>
        </w:tabs>
        <w:ind w:left="4320" w:hanging="360"/>
      </w:pPr>
      <w:rPr>
        <w:rFonts w:ascii="0" w:hAnsi="0" w:cs="0" w:hint="default"/>
      </w:rPr>
    </w:lvl>
    <w:lvl w:ilvl="5">
      <w:start w:val="1"/>
      <w:numFmt w:val="bullet"/>
      <w:lvlText w:val=""/>
      <w:lvlJc w:val="left"/>
      <w:pPr>
        <w:tabs>
          <w:tab w:val="num" w:pos="0"/>
        </w:tabs>
        <w:ind w:left="5040" w:hanging="360"/>
      </w:pPr>
      <w:rPr>
        <w:rFonts w:ascii="0" w:hAnsi="0" w:cs="0" w:hint="default"/>
      </w:rPr>
    </w:lvl>
    <w:lvl w:ilvl="6">
      <w:start w:val="1"/>
      <w:numFmt w:val="bullet"/>
      <w:lvlText w:val=""/>
      <w:lvlJc w:val="left"/>
      <w:pPr>
        <w:tabs>
          <w:tab w:val="num" w:pos="0"/>
        </w:tabs>
        <w:ind w:left="5760" w:hanging="360"/>
      </w:pPr>
      <w:rPr>
        <w:rFonts w:ascii="0" w:hAnsi="0" w:cs="0" w:hint="default"/>
      </w:rPr>
    </w:lvl>
    <w:lvl w:ilvl="7">
      <w:start w:val="1"/>
      <w:numFmt w:val="bullet"/>
      <w:lvlText w:val="o"/>
      <w:lvlJc w:val="left"/>
      <w:pPr>
        <w:tabs>
          <w:tab w:val="num" w:pos="0"/>
        </w:tabs>
        <w:ind w:left="6480" w:hanging="360"/>
      </w:pPr>
      <w:rPr>
        <w:rFonts w:ascii="0" w:hAnsi="0" w:cs="0" w:hint="default"/>
      </w:rPr>
    </w:lvl>
    <w:lvl w:ilvl="8">
      <w:start w:val="1"/>
      <w:numFmt w:val="bullet"/>
      <w:lvlText w:val=""/>
      <w:lvlJc w:val="left"/>
      <w:pPr>
        <w:tabs>
          <w:tab w:val="num" w:pos="0"/>
        </w:tabs>
        <w:ind w:left="7200" w:hanging="360"/>
      </w:pPr>
      <w:rPr>
        <w:rFonts w:ascii="0" w:hAnsi="0" w:cs="0" w:hint="default"/>
      </w:rPr>
    </w:lvl>
  </w:abstractNum>
  <w:abstractNum w:abstractNumId="3">
    <w:lvl w:ilvl="0">
      <w:start w:val="1"/>
      <w:numFmt w:val="bullet"/>
      <w:lvlText w:val="•"/>
      <w:lvlPicBulletId w:val="0"/>
      <w:lvlJc w:val="left"/>
      <w:pPr>
        <w:tabs>
          <w:tab w:val="num" w:pos="0"/>
        </w:tabs>
        <w:ind w:left="720" w:hanging="360"/>
      </w:pPr>
      <w:rPr>
        <w:rFonts w:ascii="0" w:hAnsi="0" w:cs="0" w:hint="default"/>
      </w:rPr>
    </w:lvl>
    <w:lvl w:ilvl="1">
      <w:start w:val="1"/>
      <w:numFmt w:val="bullet"/>
      <w:lvlText w:val=""/>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4">
    <w:lvl w:ilvl="0">
      <w:start w:val="1"/>
      <w:numFmt w:val="bullet"/>
      <w:lvlText w:val="•"/>
      <w:lvlPicBulletId w:val="0"/>
      <w:lvlJc w:val="left"/>
      <w:pPr>
        <w:tabs>
          <w:tab w:val="num" w:pos="0"/>
        </w:tabs>
        <w:ind w:left="1637" w:hanging="360"/>
      </w:pPr>
      <w:rPr>
        <w:rFonts w:ascii="0" w:hAnsi="0" w:cs="0" w:hint="default"/>
      </w:rPr>
    </w:lvl>
    <w:lvl w:ilvl="1">
      <w:start w:val="0"/>
      <w:numFmt w:val="bullet"/>
      <w:lvlText w:val="•"/>
      <w:lvlJc w:val="left"/>
      <w:pPr>
        <w:tabs>
          <w:tab w:val="num" w:pos="0"/>
        </w:tabs>
        <w:ind w:left="219" w:hanging="690"/>
      </w:pPr>
      <w:rPr>
        <w:rFonts w:ascii="0" w:hAnsi="0" w:cs="0" w:hint="default"/>
      </w:rPr>
    </w:lvl>
    <w:lvl w:ilvl="2">
      <w:start w:val="1"/>
      <w:numFmt w:val="bullet"/>
      <w:lvlText w:val=""/>
      <w:lvlJc w:val="left"/>
      <w:pPr>
        <w:tabs>
          <w:tab w:val="num" w:pos="0"/>
        </w:tabs>
        <w:ind w:left="609" w:hanging="360"/>
      </w:pPr>
      <w:rPr>
        <w:rFonts w:ascii="0" w:hAnsi="0" w:cs="0" w:hint="default"/>
      </w:rPr>
    </w:lvl>
    <w:lvl w:ilvl="3">
      <w:start w:val="1"/>
      <w:numFmt w:val="bullet"/>
      <w:lvlText w:val=""/>
      <w:lvlJc w:val="left"/>
      <w:pPr>
        <w:tabs>
          <w:tab w:val="num" w:pos="0"/>
        </w:tabs>
        <w:ind w:left="1329" w:hanging="360"/>
      </w:pPr>
      <w:rPr>
        <w:rFonts w:ascii="0" w:hAnsi="0" w:cs="0" w:hint="default"/>
      </w:rPr>
    </w:lvl>
    <w:lvl w:ilvl="4">
      <w:start w:val="1"/>
      <w:numFmt w:val="bullet"/>
      <w:lvlText w:val=""/>
      <w:lvlJc w:val="left"/>
      <w:pPr>
        <w:tabs>
          <w:tab w:val="num" w:pos="0"/>
        </w:tabs>
        <w:ind w:left="2049" w:hanging="360"/>
      </w:pPr>
      <w:rPr>
        <w:rFonts w:ascii="0" w:hAnsi="0" w:cs="0" w:hint="default"/>
      </w:rPr>
    </w:lvl>
    <w:lvl w:ilvl="5">
      <w:start w:val="1"/>
      <w:numFmt w:val="bullet"/>
      <w:lvlText w:val=""/>
      <w:lvlJc w:val="left"/>
      <w:pPr>
        <w:tabs>
          <w:tab w:val="num" w:pos="0"/>
        </w:tabs>
        <w:ind w:left="2769" w:hanging="360"/>
      </w:pPr>
      <w:rPr>
        <w:rFonts w:ascii="0" w:hAnsi="0" w:cs="0" w:hint="default"/>
      </w:rPr>
    </w:lvl>
    <w:lvl w:ilvl="6">
      <w:start w:val="1"/>
      <w:numFmt w:val="bullet"/>
      <w:lvlText w:val=""/>
      <w:lvlJc w:val="left"/>
      <w:pPr>
        <w:tabs>
          <w:tab w:val="num" w:pos="0"/>
        </w:tabs>
        <w:ind w:left="3489" w:hanging="360"/>
      </w:pPr>
      <w:rPr>
        <w:rFonts w:ascii="0" w:hAnsi="0" w:cs="0" w:hint="default"/>
      </w:rPr>
    </w:lvl>
    <w:lvl w:ilvl="7">
      <w:start w:val="1"/>
      <w:numFmt w:val="bullet"/>
      <w:lvlText w:val=""/>
      <w:lvlJc w:val="left"/>
      <w:pPr>
        <w:tabs>
          <w:tab w:val="num" w:pos="0"/>
        </w:tabs>
        <w:ind w:left="4209" w:hanging="360"/>
      </w:pPr>
      <w:rPr>
        <w:rFonts w:ascii="0" w:hAnsi="0" w:cs="0" w:hint="default"/>
      </w:rPr>
    </w:lvl>
    <w:lvl w:ilvl="8">
      <w:start w:val="1"/>
      <w:numFmt w:val="bullet"/>
      <w:lvlText w:val=""/>
      <w:lvlJc w:val="left"/>
      <w:pPr>
        <w:tabs>
          <w:tab w:val="num" w:pos="0"/>
        </w:tabs>
        <w:ind w:left="4929" w:hanging="360"/>
      </w:pPr>
      <w:rPr>
        <w:rFonts w:ascii="0" w:hAnsi="0" w:cs="0" w:hint="default"/>
      </w:rPr>
    </w:lvl>
  </w:abstractNum>
  <w:abstractNum w:abstractNumId="5">
    <w:lvl w:ilvl="0">
      <w:start w:val="1"/>
      <w:numFmt w:val="bullet"/>
      <w:lvlText w:val=""/>
      <w:lvlJc w:val="left"/>
      <w:pPr>
        <w:tabs>
          <w:tab w:val="num" w:pos="0"/>
        </w:tabs>
        <w:ind w:left="360" w:hanging="360"/>
      </w:pPr>
      <w:rPr>
        <w:rFonts w:ascii="0" w:hAnsi="0" w:cs="0" w:hint="default"/>
      </w:rPr>
    </w:lvl>
    <w:lvl w:ilvl="1">
      <w:start w:val="1"/>
      <w:numFmt w:val="bullet"/>
      <w:lvlText w:val="o"/>
      <w:lvlJc w:val="left"/>
      <w:pPr>
        <w:tabs>
          <w:tab w:val="num" w:pos="0"/>
        </w:tabs>
        <w:ind w:left="1080" w:hanging="360"/>
      </w:pPr>
      <w:rPr>
        <w:rFonts w:ascii="0" w:hAnsi="0" w:cs="0" w:hint="default"/>
      </w:rPr>
    </w:lvl>
    <w:lvl w:ilvl="2">
      <w:start w:val="1"/>
      <w:numFmt w:val="bullet"/>
      <w:lvlText w:val=""/>
      <w:lvlJc w:val="left"/>
      <w:pPr>
        <w:tabs>
          <w:tab w:val="num" w:pos="0"/>
        </w:tabs>
        <w:ind w:left="1800" w:hanging="360"/>
      </w:pPr>
      <w:rPr>
        <w:rFonts w:ascii="0" w:hAnsi="0" w:cs="0" w:hint="default"/>
      </w:rPr>
    </w:lvl>
    <w:lvl w:ilvl="3">
      <w:start w:val="1"/>
      <w:numFmt w:val="bullet"/>
      <w:lvlText w:val=""/>
      <w:lvlJc w:val="left"/>
      <w:pPr>
        <w:tabs>
          <w:tab w:val="num" w:pos="0"/>
        </w:tabs>
        <w:ind w:left="2520" w:hanging="360"/>
      </w:pPr>
      <w:rPr>
        <w:rFonts w:ascii="0" w:hAnsi="0" w:cs="0" w:hint="default"/>
      </w:rPr>
    </w:lvl>
    <w:lvl w:ilvl="4">
      <w:start w:val="1"/>
      <w:numFmt w:val="bullet"/>
      <w:lvlText w:val="o"/>
      <w:lvlJc w:val="left"/>
      <w:pPr>
        <w:tabs>
          <w:tab w:val="num" w:pos="0"/>
        </w:tabs>
        <w:ind w:left="3240" w:hanging="360"/>
      </w:pPr>
      <w:rPr>
        <w:rFonts w:ascii="0" w:hAnsi="0" w:cs="0" w:hint="default"/>
      </w:rPr>
    </w:lvl>
    <w:lvl w:ilvl="5">
      <w:start w:val="1"/>
      <w:numFmt w:val="bullet"/>
      <w:lvlText w:val=""/>
      <w:lvlJc w:val="left"/>
      <w:pPr>
        <w:tabs>
          <w:tab w:val="num" w:pos="0"/>
        </w:tabs>
        <w:ind w:left="3960" w:hanging="360"/>
      </w:pPr>
      <w:rPr>
        <w:rFonts w:ascii="0" w:hAnsi="0" w:cs="0" w:hint="default"/>
      </w:rPr>
    </w:lvl>
    <w:lvl w:ilvl="6">
      <w:start w:val="1"/>
      <w:numFmt w:val="bullet"/>
      <w:lvlText w:val=""/>
      <w:lvlJc w:val="left"/>
      <w:pPr>
        <w:tabs>
          <w:tab w:val="num" w:pos="0"/>
        </w:tabs>
        <w:ind w:left="4680" w:hanging="360"/>
      </w:pPr>
      <w:rPr>
        <w:rFonts w:ascii="0" w:hAnsi="0" w:cs="0" w:hint="default"/>
      </w:rPr>
    </w:lvl>
    <w:lvl w:ilvl="7">
      <w:start w:val="1"/>
      <w:numFmt w:val="bullet"/>
      <w:lvlText w:val="o"/>
      <w:lvlJc w:val="left"/>
      <w:pPr>
        <w:tabs>
          <w:tab w:val="num" w:pos="0"/>
        </w:tabs>
        <w:ind w:left="5400" w:hanging="360"/>
      </w:pPr>
      <w:rPr>
        <w:rFonts w:ascii="0" w:hAnsi="0" w:cs="0" w:hint="default"/>
      </w:rPr>
    </w:lvl>
    <w:lvl w:ilvl="8">
      <w:start w:val="1"/>
      <w:numFmt w:val="bullet"/>
      <w:lvlText w:val=""/>
      <w:lvlJc w:val="left"/>
      <w:pPr>
        <w:tabs>
          <w:tab w:val="num" w:pos="0"/>
        </w:tabs>
        <w:ind w:left="6120" w:hanging="360"/>
      </w:pPr>
      <w:rPr>
        <w:rFonts w:ascii="0" w:hAnsi="0" w:cs="0" w:hint="default"/>
      </w:rPr>
    </w:lvl>
  </w:abstractNum>
  <w:abstractNum w:abstractNumId="6">
    <w:lvl w:ilvl="0">
      <w:start w:val="1"/>
      <w:numFmt w:val="bullet"/>
      <w:lvlText w:val="•"/>
      <w:lvlPicBulletId w:val="0"/>
      <w:lvlJc w:val="left"/>
      <w:pPr>
        <w:tabs>
          <w:tab w:val="num" w:pos="0"/>
        </w:tabs>
        <w:ind w:left="1353" w:hanging="360"/>
      </w:pPr>
      <w:rPr>
        <w:rFonts w:ascii="0" w:hAnsi="0" w:cs="0" w:hint="default"/>
      </w:rPr>
    </w:lvl>
    <w:lvl w:ilvl="1">
      <w:start w:val="1"/>
      <w:numFmt w:val="bullet"/>
      <w:lvlText w:val=""/>
      <w:lvlJc w:val="left"/>
      <w:pPr>
        <w:tabs>
          <w:tab w:val="num" w:pos="0"/>
        </w:tabs>
        <w:ind w:left="2073" w:hanging="360"/>
      </w:pPr>
      <w:rPr>
        <w:rFonts w:ascii="0" w:hAnsi="0" w:cs="0" w:hint="default"/>
      </w:rPr>
    </w:lvl>
    <w:lvl w:ilvl="2">
      <w:start w:val="1"/>
      <w:numFmt w:val="bullet"/>
      <w:lvlText w:val=""/>
      <w:lvlJc w:val="left"/>
      <w:pPr>
        <w:tabs>
          <w:tab w:val="num" w:pos="0"/>
        </w:tabs>
        <w:ind w:left="2793" w:hanging="360"/>
      </w:pPr>
      <w:rPr>
        <w:rFonts w:ascii="0" w:hAnsi="0" w:cs="0" w:hint="default"/>
      </w:rPr>
    </w:lvl>
    <w:lvl w:ilvl="3">
      <w:start w:val="1"/>
      <w:numFmt w:val="bullet"/>
      <w:lvlText w:val=""/>
      <w:lvlJc w:val="left"/>
      <w:pPr>
        <w:tabs>
          <w:tab w:val="num" w:pos="0"/>
        </w:tabs>
        <w:ind w:left="3513" w:hanging="360"/>
      </w:pPr>
      <w:rPr>
        <w:rFonts w:ascii="0" w:hAnsi="0" w:cs="0" w:hint="default"/>
      </w:rPr>
    </w:lvl>
    <w:lvl w:ilvl="4">
      <w:start w:val="1"/>
      <w:numFmt w:val="bullet"/>
      <w:lvlText w:val=""/>
      <w:lvlJc w:val="left"/>
      <w:pPr>
        <w:tabs>
          <w:tab w:val="num" w:pos="0"/>
        </w:tabs>
        <w:ind w:left="4233" w:hanging="360"/>
      </w:pPr>
      <w:rPr>
        <w:rFonts w:ascii="0" w:hAnsi="0" w:cs="0" w:hint="default"/>
      </w:rPr>
    </w:lvl>
    <w:lvl w:ilvl="5">
      <w:start w:val="1"/>
      <w:numFmt w:val="bullet"/>
      <w:lvlText w:val=""/>
      <w:lvlJc w:val="left"/>
      <w:pPr>
        <w:tabs>
          <w:tab w:val="num" w:pos="0"/>
        </w:tabs>
        <w:ind w:left="4953" w:hanging="360"/>
      </w:pPr>
      <w:rPr>
        <w:rFonts w:ascii="0" w:hAnsi="0" w:cs="0" w:hint="default"/>
      </w:rPr>
    </w:lvl>
    <w:lvl w:ilvl="6">
      <w:start w:val="1"/>
      <w:numFmt w:val="bullet"/>
      <w:lvlText w:val=""/>
      <w:lvlJc w:val="left"/>
      <w:pPr>
        <w:tabs>
          <w:tab w:val="num" w:pos="0"/>
        </w:tabs>
        <w:ind w:left="5673" w:hanging="360"/>
      </w:pPr>
      <w:rPr>
        <w:rFonts w:ascii="0" w:hAnsi="0" w:cs="0" w:hint="default"/>
      </w:rPr>
    </w:lvl>
    <w:lvl w:ilvl="7">
      <w:start w:val="1"/>
      <w:numFmt w:val="bullet"/>
      <w:lvlText w:val=""/>
      <w:lvlJc w:val="left"/>
      <w:pPr>
        <w:tabs>
          <w:tab w:val="num" w:pos="0"/>
        </w:tabs>
        <w:ind w:left="6393" w:hanging="360"/>
      </w:pPr>
      <w:rPr>
        <w:rFonts w:ascii="0" w:hAnsi="0" w:cs="0" w:hint="default"/>
      </w:rPr>
    </w:lvl>
    <w:lvl w:ilvl="8">
      <w:start w:val="1"/>
      <w:numFmt w:val="bullet"/>
      <w:lvlText w:val=""/>
      <w:lvlJc w:val="left"/>
      <w:pPr>
        <w:tabs>
          <w:tab w:val="num" w:pos="0"/>
        </w:tabs>
        <w:ind w:left="7113" w:hanging="360"/>
      </w:pPr>
      <w:rPr>
        <w:rFonts w:ascii="0" w:hAnsi="0" w:cs="0" w:hint="default"/>
      </w:rPr>
    </w:lvl>
  </w:abstractNum>
  <w:abstractNum w:abstractNumId="7">
    <w:lvl w:ilvl="0">
      <w:start w:val="1"/>
      <w:numFmt w:val="bullet"/>
      <w:lvlText w:val=""/>
      <w:lvlJc w:val="left"/>
      <w:pPr>
        <w:tabs>
          <w:tab w:val="num" w:pos="0"/>
        </w:tabs>
        <w:ind w:left="1713" w:hanging="360"/>
      </w:pPr>
      <w:rPr>
        <w:rFonts w:ascii="0" w:hAnsi="0" w:cs="0" w:hint="default"/>
      </w:rPr>
    </w:lvl>
    <w:lvl w:ilvl="1">
      <w:start w:val="1"/>
      <w:numFmt w:val="bullet"/>
      <w:lvlText w:val="o"/>
      <w:lvlJc w:val="left"/>
      <w:pPr>
        <w:tabs>
          <w:tab w:val="num" w:pos="0"/>
        </w:tabs>
        <w:ind w:left="2433" w:hanging="360"/>
      </w:pPr>
      <w:rPr>
        <w:rFonts w:ascii="0" w:hAnsi="0" w:cs="0" w:hint="default"/>
      </w:rPr>
    </w:lvl>
    <w:lvl w:ilvl="2">
      <w:start w:val="1"/>
      <w:numFmt w:val="bullet"/>
      <w:lvlText w:val=""/>
      <w:lvlJc w:val="left"/>
      <w:pPr>
        <w:tabs>
          <w:tab w:val="num" w:pos="0"/>
        </w:tabs>
        <w:ind w:left="3153" w:hanging="360"/>
      </w:pPr>
      <w:rPr>
        <w:rFonts w:ascii="0" w:hAnsi="0" w:cs="0" w:hint="default"/>
      </w:rPr>
    </w:lvl>
    <w:lvl w:ilvl="3">
      <w:start w:val="1"/>
      <w:numFmt w:val="bullet"/>
      <w:lvlText w:val=""/>
      <w:lvlJc w:val="left"/>
      <w:pPr>
        <w:tabs>
          <w:tab w:val="num" w:pos="0"/>
        </w:tabs>
        <w:ind w:left="3873" w:hanging="360"/>
      </w:pPr>
      <w:rPr>
        <w:rFonts w:ascii="0" w:hAnsi="0" w:cs="0" w:hint="default"/>
      </w:rPr>
    </w:lvl>
    <w:lvl w:ilvl="4">
      <w:start w:val="1"/>
      <w:numFmt w:val="bullet"/>
      <w:lvlText w:val="o"/>
      <w:lvlJc w:val="left"/>
      <w:pPr>
        <w:tabs>
          <w:tab w:val="num" w:pos="0"/>
        </w:tabs>
        <w:ind w:left="4593" w:hanging="360"/>
      </w:pPr>
      <w:rPr>
        <w:rFonts w:ascii="0" w:hAnsi="0" w:cs="0" w:hint="default"/>
      </w:rPr>
    </w:lvl>
    <w:lvl w:ilvl="5">
      <w:start w:val="1"/>
      <w:numFmt w:val="bullet"/>
      <w:lvlText w:val=""/>
      <w:lvlJc w:val="left"/>
      <w:pPr>
        <w:tabs>
          <w:tab w:val="num" w:pos="0"/>
        </w:tabs>
        <w:ind w:left="5313" w:hanging="360"/>
      </w:pPr>
      <w:rPr>
        <w:rFonts w:ascii="0" w:hAnsi="0" w:cs="0" w:hint="default"/>
      </w:rPr>
    </w:lvl>
    <w:lvl w:ilvl="6">
      <w:start w:val="1"/>
      <w:numFmt w:val="bullet"/>
      <w:lvlText w:val=""/>
      <w:lvlJc w:val="left"/>
      <w:pPr>
        <w:tabs>
          <w:tab w:val="num" w:pos="0"/>
        </w:tabs>
        <w:ind w:left="6033" w:hanging="360"/>
      </w:pPr>
      <w:rPr>
        <w:rFonts w:ascii="0" w:hAnsi="0" w:cs="0" w:hint="default"/>
      </w:rPr>
    </w:lvl>
    <w:lvl w:ilvl="7">
      <w:start w:val="1"/>
      <w:numFmt w:val="bullet"/>
      <w:lvlText w:val="o"/>
      <w:lvlJc w:val="left"/>
      <w:pPr>
        <w:tabs>
          <w:tab w:val="num" w:pos="0"/>
        </w:tabs>
        <w:ind w:left="6753" w:hanging="360"/>
      </w:pPr>
      <w:rPr>
        <w:rFonts w:ascii="0" w:hAnsi="0" w:cs="0" w:hint="default"/>
      </w:rPr>
    </w:lvl>
    <w:lvl w:ilvl="8">
      <w:start w:val="1"/>
      <w:numFmt w:val="bullet"/>
      <w:lvlText w:val=""/>
      <w:lvlJc w:val="left"/>
      <w:pPr>
        <w:tabs>
          <w:tab w:val="num" w:pos="0"/>
        </w:tabs>
        <w:ind w:left="7473" w:hanging="360"/>
      </w:pPr>
      <w:rPr>
        <w:rFonts w:ascii="0" w:hAnsi="0" w:cs="0" w:hint="default"/>
      </w:rPr>
    </w:lvl>
  </w:abstractNum>
  <w:abstractNum w:abstractNumId="8">
    <w:lvl w:ilvl="0">
      <w:start w:val="1"/>
      <w:numFmt w:val="bullet"/>
      <w:lvlText w:val=""/>
      <w:lvlJc w:val="left"/>
      <w:pPr>
        <w:tabs>
          <w:tab w:val="num" w:pos="0"/>
        </w:tabs>
        <w:ind w:left="720" w:hanging="360"/>
      </w:pPr>
      <w:rPr>
        <w:rFonts w:ascii="0" w:hAnsi="0" w:cs="0" w:hint="default"/>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9">
    <w:lvl w:ilvl="0">
      <w:start w:val="1"/>
      <w:numFmt w:val="bullet"/>
      <w:lvlText w:val="•"/>
      <w:lvlPicBulletId w:val="0"/>
      <w:lvlJc w:val="left"/>
      <w:pPr>
        <w:tabs>
          <w:tab w:val="num" w:pos="0"/>
        </w:tabs>
        <w:ind w:left="1701" w:hanging="360"/>
      </w:pPr>
      <w:rPr>
        <w:rFonts w:ascii="0" w:hAnsi="0" w:cs="0" w:hint="default"/>
      </w:rPr>
    </w:lvl>
    <w:lvl w:ilvl="1">
      <w:start w:val="1"/>
      <w:numFmt w:val="bullet"/>
      <w:lvlText w:val="o"/>
      <w:lvlJc w:val="left"/>
      <w:pPr>
        <w:tabs>
          <w:tab w:val="num" w:pos="0"/>
        </w:tabs>
        <w:ind w:left="2421" w:hanging="360"/>
      </w:pPr>
      <w:rPr>
        <w:rFonts w:ascii="0" w:hAnsi="0" w:cs="0" w:hint="default"/>
      </w:rPr>
    </w:lvl>
    <w:lvl w:ilvl="2">
      <w:start w:val="1"/>
      <w:numFmt w:val="bullet"/>
      <w:lvlText w:val=""/>
      <w:lvlJc w:val="left"/>
      <w:pPr>
        <w:tabs>
          <w:tab w:val="num" w:pos="0"/>
        </w:tabs>
        <w:ind w:left="3141" w:hanging="360"/>
      </w:pPr>
      <w:rPr>
        <w:rFonts w:ascii="0" w:hAnsi="0" w:cs="0" w:hint="default"/>
      </w:rPr>
    </w:lvl>
    <w:lvl w:ilvl="3">
      <w:start w:val="1"/>
      <w:numFmt w:val="bullet"/>
      <w:lvlText w:val=""/>
      <w:lvlJc w:val="left"/>
      <w:pPr>
        <w:tabs>
          <w:tab w:val="num" w:pos="0"/>
        </w:tabs>
        <w:ind w:left="3861" w:hanging="360"/>
      </w:pPr>
      <w:rPr>
        <w:rFonts w:ascii="0" w:hAnsi="0" w:cs="0" w:hint="default"/>
      </w:rPr>
    </w:lvl>
    <w:lvl w:ilvl="4">
      <w:start w:val="1"/>
      <w:numFmt w:val="bullet"/>
      <w:lvlText w:val="o"/>
      <w:lvlJc w:val="left"/>
      <w:pPr>
        <w:tabs>
          <w:tab w:val="num" w:pos="0"/>
        </w:tabs>
        <w:ind w:left="4581" w:hanging="360"/>
      </w:pPr>
      <w:rPr>
        <w:rFonts w:ascii="0" w:hAnsi="0" w:cs="0" w:hint="default"/>
      </w:rPr>
    </w:lvl>
    <w:lvl w:ilvl="5">
      <w:start w:val="1"/>
      <w:numFmt w:val="bullet"/>
      <w:lvlText w:val=""/>
      <w:lvlJc w:val="left"/>
      <w:pPr>
        <w:tabs>
          <w:tab w:val="num" w:pos="0"/>
        </w:tabs>
        <w:ind w:left="5301" w:hanging="360"/>
      </w:pPr>
      <w:rPr>
        <w:rFonts w:ascii="0" w:hAnsi="0" w:cs="0" w:hint="default"/>
      </w:rPr>
    </w:lvl>
    <w:lvl w:ilvl="6">
      <w:start w:val="1"/>
      <w:numFmt w:val="bullet"/>
      <w:lvlText w:val=""/>
      <w:lvlJc w:val="left"/>
      <w:pPr>
        <w:tabs>
          <w:tab w:val="num" w:pos="0"/>
        </w:tabs>
        <w:ind w:left="6021" w:hanging="360"/>
      </w:pPr>
      <w:rPr>
        <w:rFonts w:ascii="0" w:hAnsi="0" w:cs="0" w:hint="default"/>
      </w:rPr>
    </w:lvl>
    <w:lvl w:ilvl="7">
      <w:start w:val="1"/>
      <w:numFmt w:val="bullet"/>
      <w:lvlText w:val="o"/>
      <w:lvlJc w:val="left"/>
      <w:pPr>
        <w:tabs>
          <w:tab w:val="num" w:pos="0"/>
        </w:tabs>
        <w:ind w:left="6741" w:hanging="360"/>
      </w:pPr>
      <w:rPr>
        <w:rFonts w:ascii="0" w:hAnsi="0" w:cs="0" w:hint="default"/>
      </w:rPr>
    </w:lvl>
    <w:lvl w:ilvl="8">
      <w:start w:val="1"/>
      <w:numFmt w:val="bullet"/>
      <w:lvlText w:val=""/>
      <w:lvlJc w:val="left"/>
      <w:pPr>
        <w:tabs>
          <w:tab w:val="num" w:pos="0"/>
        </w:tabs>
        <w:ind w:left="7461" w:hanging="360"/>
      </w:pPr>
      <w:rPr>
        <w:rFonts w:ascii="0" w:hAnsi="0" w:cs="0" w:hint="default"/>
      </w:rPr>
    </w:lvl>
  </w:abstractNum>
  <w:abstractNum w:abstractNumId="10">
    <w:lvl w:ilvl="0">
      <w:start w:val="1"/>
      <w:numFmt w:val="lowerLetter"/>
      <w:lvlText w:val="(%1)"/>
      <w:lvlJc w:val="left"/>
      <w:pPr>
        <w:tabs>
          <w:tab w:val="num" w:pos="0"/>
        </w:tabs>
        <w:ind w:left="1080" w:hanging="360"/>
      </w:pPr>
      <w:rPr>
        <w:rFonts w:cs="Times New Roman"/>
      </w:rPr>
    </w:lvl>
    <w:lvl w:ilvl="1">
      <w:start w:val="1"/>
      <w:numFmt w:val="lowerLetter"/>
      <w:lvlText w:val="%2."/>
      <w:lvlJc w:val="left"/>
      <w:pPr>
        <w:tabs>
          <w:tab w:val="num" w:pos="0"/>
        </w:tabs>
        <w:ind w:left="1800" w:hanging="360"/>
      </w:pPr>
      <w:rPr>
        <w:rFonts w:cs="Times New Roman"/>
      </w:rPr>
    </w:lvl>
    <w:lvl w:ilvl="2">
      <w:start w:val="1"/>
      <w:numFmt w:val="lowerRoman"/>
      <w:lvlText w:val="%3."/>
      <w:lvlJc w:val="right"/>
      <w:pPr>
        <w:tabs>
          <w:tab w:val="num" w:pos="0"/>
        </w:tabs>
        <w:ind w:left="2520" w:hanging="180"/>
      </w:pPr>
      <w:rPr>
        <w:rFonts w:cs="Times New Roman"/>
      </w:rPr>
    </w:lvl>
    <w:lvl w:ilvl="3">
      <w:start w:val="1"/>
      <w:numFmt w:val="decimal"/>
      <w:lvlText w:val="%4."/>
      <w:lvlJc w:val="left"/>
      <w:pPr>
        <w:tabs>
          <w:tab w:val="num" w:pos="0"/>
        </w:tabs>
        <w:ind w:left="3240" w:hanging="360"/>
      </w:pPr>
      <w:rPr>
        <w:rFonts w:cs="Times New Roman"/>
      </w:rPr>
    </w:lvl>
    <w:lvl w:ilvl="4">
      <w:start w:val="1"/>
      <w:numFmt w:val="lowerLetter"/>
      <w:lvlText w:val="%5."/>
      <w:lvlJc w:val="left"/>
      <w:pPr>
        <w:tabs>
          <w:tab w:val="num" w:pos="0"/>
        </w:tabs>
        <w:ind w:left="3960" w:hanging="360"/>
      </w:pPr>
      <w:rPr>
        <w:rFonts w:cs="Times New Roman"/>
      </w:rPr>
    </w:lvl>
    <w:lvl w:ilvl="5">
      <w:start w:val="1"/>
      <w:numFmt w:val="lowerRoman"/>
      <w:lvlText w:val="%6."/>
      <w:lvlJc w:val="right"/>
      <w:pPr>
        <w:tabs>
          <w:tab w:val="num" w:pos="0"/>
        </w:tabs>
        <w:ind w:left="4680" w:hanging="180"/>
      </w:pPr>
      <w:rPr>
        <w:rFonts w:cs="Times New Roman"/>
      </w:rPr>
    </w:lvl>
    <w:lvl w:ilvl="6">
      <w:start w:val="1"/>
      <w:numFmt w:val="decimal"/>
      <w:lvlText w:val="%7."/>
      <w:lvlJc w:val="left"/>
      <w:pPr>
        <w:tabs>
          <w:tab w:val="num" w:pos="0"/>
        </w:tabs>
        <w:ind w:left="5400" w:hanging="360"/>
      </w:pPr>
      <w:rPr>
        <w:rFonts w:cs="Times New Roman"/>
      </w:rPr>
    </w:lvl>
    <w:lvl w:ilvl="7">
      <w:start w:val="1"/>
      <w:numFmt w:val="lowerLetter"/>
      <w:lvlText w:val="%8."/>
      <w:lvlJc w:val="left"/>
      <w:pPr>
        <w:tabs>
          <w:tab w:val="num" w:pos="0"/>
        </w:tabs>
        <w:ind w:left="6120" w:hanging="360"/>
      </w:pPr>
      <w:rPr>
        <w:rFonts w:cs="Times New Roman"/>
      </w:rPr>
    </w:lvl>
    <w:lvl w:ilvl="8">
      <w:start w:val="1"/>
      <w:numFmt w:val="lowerRoman"/>
      <w:lvlText w:val="%9."/>
      <w:lvlJc w:val="right"/>
      <w:pPr>
        <w:tabs>
          <w:tab w:val="num" w:pos="0"/>
        </w:tabs>
        <w:ind w:left="6840" w:hanging="180"/>
      </w:pPr>
      <w:rPr>
        <w:rFonts w:cs="Times New Roman"/>
      </w:rPr>
    </w:lvl>
  </w:abstractNum>
  <w:abstractNum w:abstractNumId="11">
    <w:lvl w:ilvl="0">
      <w:start w:val="1"/>
      <w:numFmt w:val="bullet"/>
      <w:lvlText w:val="‒"/>
      <w:lvlJc w:val="left"/>
      <w:pPr>
        <w:tabs>
          <w:tab w:val="num" w:pos="0"/>
        </w:tabs>
        <w:ind w:left="720" w:hanging="360"/>
      </w:pPr>
      <w:rPr>
        <w:rFonts w:ascii="0" w:hAnsi="0" w:cs="0" w:hint="default"/>
        <w:i w:val="false"/>
        <w:b w:val="false"/>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12">
    <w:lvl w:ilvl="0">
      <w:start w:val="3"/>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3">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4">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textAlignment w:val="auto"/>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qFormat/>
    <w:pPr>
      <w:keepNext w:val="true"/>
      <w:spacing w:before="9" w:after="120"/>
    </w:pPr>
    <w:rPr>
      <w:rFonts w:ascii="EC Square Sans Pro Light" w:hAnsi="EC Square Sans Pro Light" w:eastAsia="Times New Roman" w:cs="Lohit Devanagari"/>
      <w:color w:val="458DCB"/>
      <w:sz w:val="30"/>
      <w:szCs w:val="30"/>
      <w:lang w:val="en-GB"/>
    </w:rPr>
  </w:style>
  <w:style w:type="paragraph" w:styleId="Heading2">
    <w:name w:val="Heading 2"/>
    <w:basedOn w:val="Normal"/>
    <w:qFormat/>
    <w:pPr>
      <w:ind w:left="3442" w:hanging="0"/>
    </w:pPr>
    <w:rPr>
      <w:rFonts w:ascii="Verdana" w:hAnsi="Verdana"/>
      <w:sz w:val="40"/>
      <w:szCs w:val="40"/>
    </w:rPr>
  </w:style>
  <w:style w:type="paragraph" w:styleId="Heading3">
    <w:name w:val="Heading 3"/>
    <w:basedOn w:val="Normal"/>
    <w:qFormat/>
    <w:pPr>
      <w:spacing w:before="2" w:after="0"/>
      <w:ind w:left="429" w:hanging="283"/>
    </w:pPr>
    <w:rPr>
      <w:rFonts w:ascii="Arial" w:hAnsi="Arial"/>
      <w:sz w:val="34"/>
      <w:szCs w:val="34"/>
    </w:rPr>
  </w:style>
  <w:style w:type="paragraph" w:styleId="Heading4">
    <w:name w:val="Heading 4"/>
    <w:basedOn w:val="Normal"/>
    <w:qFormat/>
    <w:pPr>
      <w:ind w:left="146" w:hanging="0"/>
    </w:pPr>
    <w:rPr>
      <w:rFonts w:ascii="EC Square Sans Pro Light" w:hAnsi="EC Square Sans Pro Light"/>
      <w:sz w:val="30"/>
      <w:szCs w:val="30"/>
    </w:rPr>
  </w:style>
  <w:style w:type="paragraph" w:styleId="Heading5">
    <w:name w:val="Heading 5"/>
    <w:basedOn w:val="Normal"/>
    <w:qFormat/>
    <w:pPr>
      <w:ind w:left="833" w:hanging="0"/>
    </w:pPr>
    <w:rPr>
      <w:b/>
      <w:bCs/>
      <w:sz w:val="24"/>
      <w:szCs w:val="24"/>
    </w:rPr>
  </w:style>
  <w:style w:type="paragraph" w:styleId="Heading6">
    <w:name w:val="Heading 6"/>
    <w:basedOn w:val="Normal"/>
    <w:qFormat/>
    <w:pPr>
      <w:ind w:left="833" w:hanging="0"/>
    </w:pPr>
    <w:rPr>
      <w:b/>
      <w:bCs/>
      <w:i/>
      <w:sz w:val="24"/>
      <w:szCs w:val="24"/>
    </w:rPr>
  </w:style>
  <w:style w:type="paragraph" w:styleId="Heading7">
    <w:name w:val="Heading 7"/>
    <w:basedOn w:val="Normal"/>
    <w:next w:val="Normal"/>
    <w:qFormat/>
    <w:pPr>
      <w:widowControl/>
      <w:spacing w:before="240" w:after="60"/>
      <w:ind w:left="4748" w:hanging="708"/>
      <w:jc w:val="both"/>
    </w:pPr>
    <w:rPr>
      <w:rFonts w:ascii="Arial" w:hAnsi="Arial"/>
      <w:sz w:val="20"/>
      <w:szCs w:val="20"/>
      <w:lang w:val="en-GB" w:eastAsia="en-GB"/>
    </w:rPr>
  </w:style>
  <w:style w:type="paragraph" w:styleId="Heading8">
    <w:name w:val="Heading 8"/>
    <w:basedOn w:val="Normal"/>
    <w:next w:val="Normal"/>
    <w:qFormat/>
    <w:pPr>
      <w:widowControl/>
      <w:spacing w:before="240" w:after="60"/>
      <w:ind w:left="5456" w:hanging="708"/>
      <w:jc w:val="both"/>
    </w:pPr>
    <w:rPr>
      <w:rFonts w:ascii="Arial" w:hAnsi="Arial"/>
      <w:i/>
      <w:sz w:val="20"/>
      <w:szCs w:val="20"/>
      <w:lang w:val="en-GB" w:eastAsia="en-GB"/>
    </w:rPr>
  </w:style>
  <w:style w:type="paragraph" w:styleId="Heading9">
    <w:name w:val="Heading 9"/>
    <w:basedOn w:val="Normal"/>
    <w:next w:val="Normal"/>
    <w:qFormat/>
    <w:pPr>
      <w:widowControl/>
      <w:spacing w:before="240" w:after="60"/>
      <w:ind w:left="6164" w:hanging="708"/>
      <w:jc w:val="both"/>
    </w:pPr>
    <w:rPr>
      <w:rFonts w:ascii="Arial" w:hAnsi="Arial"/>
      <w:i/>
      <w:sz w:val="18"/>
      <w:szCs w:val="20"/>
      <w:lang w:val="en-GB" w:eastAsia="en-GB"/>
    </w:rPr>
  </w:style>
  <w:style w:type="character" w:styleId="DefaultParagraphFont">
    <w:name w:val="Default Paragraph Font"/>
    <w:qFormat/>
    <w:rPr/>
  </w:style>
  <w:style w:type="character" w:styleId="Heading1Char">
    <w:name w:val="Heading 1 Char"/>
    <w:basedOn w:val="DefaultParagraphFont"/>
    <w:qFormat/>
    <w:rPr>
      <w:rFonts w:ascii="EC Square Sans Pro Light" w:hAnsi="EC Square Sans Pro Light" w:eastAsia="Times New Roman" w:cs="Times New Roman"/>
      <w:color w:val="458DCB"/>
      <w:sz w:val="30"/>
      <w:szCs w:val="24"/>
    </w:rPr>
  </w:style>
  <w:style w:type="character" w:styleId="Heading2Char">
    <w:name w:val="Heading 2 Char"/>
    <w:basedOn w:val="DefaultParagraphFont"/>
    <w:qFormat/>
    <w:rPr>
      <w:rFonts w:ascii="Verdana" w:hAnsi="Verdana" w:eastAsia="Times New Roman" w:cs="Times New Roman"/>
      <w:color w:val="000000"/>
      <w:sz w:val="40"/>
      <w:szCs w:val="24"/>
    </w:rPr>
  </w:style>
  <w:style w:type="character" w:styleId="Heading3Char">
    <w:name w:val="Heading 3 Char"/>
    <w:basedOn w:val="DefaultParagraphFont"/>
    <w:qFormat/>
    <w:rPr>
      <w:rFonts w:ascii="Arial" w:hAnsi="Arial" w:eastAsia="Times New Roman" w:cs="Times New Roman"/>
      <w:color w:val="000000"/>
      <w:sz w:val="34"/>
      <w:szCs w:val="24"/>
    </w:rPr>
  </w:style>
  <w:style w:type="character" w:styleId="Heading4Char">
    <w:name w:val="Heading 4 Char"/>
    <w:basedOn w:val="DefaultParagraphFont"/>
    <w:qFormat/>
    <w:rPr>
      <w:rFonts w:ascii="EC Square Sans Pro Light" w:hAnsi="EC Square Sans Pro Light" w:eastAsia="Times New Roman" w:cs="Times New Roman"/>
      <w:color w:val="000000"/>
      <w:sz w:val="30"/>
      <w:szCs w:val="24"/>
    </w:rPr>
  </w:style>
  <w:style w:type="character" w:styleId="Heading5Char">
    <w:name w:val="Heading 5 Char"/>
    <w:basedOn w:val="DefaultParagraphFont"/>
    <w:qFormat/>
    <w:rPr>
      <w:rFonts w:ascii="Times New Roman" w:hAnsi="Times New Roman" w:eastAsia="Times New Roman" w:cs="Times New Roman"/>
      <w:b/>
      <w:color w:val="000000"/>
      <w:sz w:val="24"/>
      <w:szCs w:val="24"/>
    </w:rPr>
  </w:style>
  <w:style w:type="character" w:styleId="Heading6Char">
    <w:name w:val="Heading 6 Char"/>
    <w:basedOn w:val="DefaultParagraphFont"/>
    <w:qFormat/>
    <w:rPr>
      <w:rFonts w:ascii="Times New Roman" w:hAnsi="Times New Roman" w:eastAsia="Times New Roman" w:cs="Times New Roman"/>
      <w:b/>
      <w:i/>
      <w:color w:val="000000"/>
      <w:sz w:val="24"/>
      <w:szCs w:val="24"/>
    </w:rPr>
  </w:style>
  <w:style w:type="character" w:styleId="Heading7Char">
    <w:name w:val="Heading 7 Char"/>
    <w:basedOn w:val="DefaultParagraphFont"/>
    <w:qFormat/>
    <w:rPr>
      <w:rFonts w:ascii="Arial" w:hAnsi="Arial" w:eastAsia="Times New Roman" w:cs="Times New Roman"/>
      <w:color w:val="000000"/>
      <w:sz w:val="24"/>
      <w:szCs w:val="24"/>
    </w:rPr>
  </w:style>
  <w:style w:type="character" w:styleId="Heading8Char">
    <w:name w:val="Heading 8 Char"/>
    <w:basedOn w:val="DefaultParagraphFont"/>
    <w:qFormat/>
    <w:rPr>
      <w:rFonts w:ascii="Arial" w:hAnsi="Arial" w:eastAsia="Times New Roman" w:cs="Times New Roman"/>
      <w:i/>
      <w:color w:val="000000"/>
      <w:sz w:val="24"/>
      <w:szCs w:val="24"/>
    </w:rPr>
  </w:style>
  <w:style w:type="character" w:styleId="Heading9Char">
    <w:name w:val="Heading 9 Char"/>
    <w:basedOn w:val="DefaultParagraphFont"/>
    <w:qFormat/>
    <w:rPr>
      <w:rFonts w:ascii="Arial" w:hAnsi="Arial" w:eastAsia="Times New Roman" w:cs="Times New Roman"/>
      <w:i/>
      <w:color w:val="000000"/>
      <w:sz w:val="18"/>
      <w:szCs w:val="24"/>
    </w:rPr>
  </w:style>
  <w:style w:type="character" w:styleId="BodyTextChar">
    <w:name w:val="Body Text Char"/>
    <w:basedOn w:val="DefaultParagraphFont"/>
    <w:qFormat/>
    <w:rPr>
      <w:rFonts w:ascii="Times New Roman" w:hAnsi="Times New Roman" w:eastAsia="Times New Roman" w:cs="Times New Roman"/>
      <w:color w:val="000000"/>
      <w:sz w:val="24"/>
      <w:szCs w:val="24"/>
    </w:rPr>
  </w:style>
  <w:style w:type="character" w:styleId="HeaderChar">
    <w:name w:val="Header Char"/>
    <w:basedOn w:val="DefaultParagraphFont"/>
    <w:qFormat/>
    <w:rPr>
      <w:rFonts w:ascii="Times New Roman" w:hAnsi="Times New Roman" w:eastAsia="Times New Roman" w:cs="Times New Roman"/>
      <w:color w:val="000000"/>
      <w:sz w:val="24"/>
      <w:szCs w:val="24"/>
    </w:rPr>
  </w:style>
  <w:style w:type="character" w:styleId="FooterChar">
    <w:name w:val="Footer Char"/>
    <w:basedOn w:val="DefaultParagraphFont"/>
    <w:qFormat/>
    <w:rPr>
      <w:rFonts w:ascii="Times New Roman" w:hAnsi="Times New Roman" w:eastAsia="Times New Roman" w:cs="Times New Roman"/>
      <w:color w:val="000000"/>
      <w:sz w:val="24"/>
      <w:szCs w:val="24"/>
    </w:rPr>
  </w:style>
  <w:style w:type="character" w:styleId="PlaceholderText">
    <w:name w:val="Placeholder Text"/>
    <w:basedOn w:val="DefaultParagraphFont"/>
    <w:qFormat/>
    <w:rPr>
      <w:rFonts w:ascii="Times New Roman" w:hAnsi="Times New Roman" w:eastAsia="Times New Roman" w:cs="Times New Roman"/>
      <w:color w:val="808080"/>
      <w:sz w:val="24"/>
      <w:szCs w:val="24"/>
    </w:rPr>
  </w:style>
  <w:style w:type="character" w:styleId="BalloonTextChar">
    <w:name w:val="Balloon Text Char"/>
    <w:basedOn w:val="DefaultParagraphFont"/>
    <w:qFormat/>
    <w:rPr>
      <w:rFonts w:ascii="Tahoma" w:hAnsi="Tahoma" w:eastAsia="Times New Roman" w:cs="Times New Roman"/>
      <w:color w:val="000000"/>
      <w:sz w:val="16"/>
      <w:szCs w:val="24"/>
    </w:rPr>
  </w:style>
  <w:style w:type="character" w:styleId="FootnotereferenceFootnotesymbolTimes10PointExposant3Point">
    <w:name w:val="footnote reference,Footnote symbol,Times 10 Point,Exposant 3 Point"/>
    <w:basedOn w:val="DefaultParagraphFont"/>
    <w:qFormat/>
    <w:rPr>
      <w:rFonts w:ascii="Times New Roman" w:hAnsi="Times New Roman" w:eastAsia="Times New Roman" w:cs="Times New Roman"/>
      <w:color w:val="000000"/>
      <w:sz w:val="24"/>
      <w:szCs w:val="24"/>
      <w:vertAlign w:val="superscript"/>
    </w:rPr>
  </w:style>
  <w:style w:type="character" w:styleId="FootnoteTextCharSchriftart9ptChar1Schriftart10ptChar1Schriftart8ptChar1WBFunotentextChar1fnChar1FootnotesChar1FootnoteakChar1FoodNoteChar1ftChar1FootnoteChar1FootnoteTextChar1Char1FootnoteTextCharCharChar">
    <w:name w:val="Footnote Text Char,Schriftart: 9 pt Char1,Schriftart: 10 pt Char1,Schriftart: 8 pt Char1,WB-Fußnotentext Char1,fn Char1,Footnotes Char1,Footnote ak Char1,FoodNote Char1,ft Char1,Footnote Char1,Footnote Text Char1 Char1,Footnote Text Char Char Char"/>
    <w:qFormat/>
    <w:rPr>
      <w:sz w:val="20"/>
    </w:rPr>
  </w:style>
  <w:style w:type="character" w:styleId="Annotationreference">
    <w:name w:val="annotation reference"/>
    <w:basedOn w:val="DefaultParagraphFont"/>
    <w:qFormat/>
    <w:rPr>
      <w:rFonts w:ascii="Times New Roman" w:hAnsi="Times New Roman" w:eastAsia="Times New Roman" w:cs="Times New Roman"/>
      <w:color w:val="000000"/>
      <w:sz w:val="16"/>
      <w:szCs w:val="24"/>
    </w:rPr>
  </w:style>
  <w:style w:type="character" w:styleId="CommentTextChar">
    <w:name w:val="Comment Text Char"/>
    <w:basedOn w:val="DefaultParagraphFont"/>
    <w:qFormat/>
    <w:rPr>
      <w:rFonts w:ascii="Times New Roman" w:hAnsi="Times New Roman" w:eastAsia="Times New Roman" w:cs="Times New Roman"/>
      <w:color w:val="000000"/>
      <w:sz w:val="24"/>
      <w:szCs w:val="24"/>
    </w:rPr>
  </w:style>
  <w:style w:type="character" w:styleId="CommentSubjectChar">
    <w:name w:val="Comment Subject Char"/>
    <w:basedOn w:val="CommentTextChar"/>
    <w:qFormat/>
    <w:rPr>
      <w:rFonts w:ascii="Times New Roman" w:hAnsi="Times New Roman" w:eastAsia="Times New Roman" w:cs="Times New Roman"/>
      <w:b/>
      <w:color w:val="000000"/>
      <w:sz w:val="24"/>
      <w:szCs w:val="24"/>
    </w:rPr>
  </w:style>
  <w:style w:type="character" w:styleId="InternetLink">
    <w:name w:val="Hyperlink"/>
    <w:basedOn w:val="DefaultParagraphFont"/>
    <w:rPr>
      <w:rFonts w:ascii="Times New Roman" w:hAnsi="Times New Roman" w:eastAsia="Times New Roman" w:cs="Times New Roman"/>
      <w:color w:val="0088CC"/>
      <w:sz w:val="24"/>
      <w:szCs w:val="24"/>
      <w:u w:val="single"/>
    </w:rPr>
  </w:style>
  <w:style w:type="character" w:styleId="Uidialogtitle">
    <w:name w:val="ui-dialog-title"/>
    <w:qFormat/>
    <w:rPr/>
  </w:style>
  <w:style w:type="character" w:styleId="Uiicon">
    <w:name w:val="ui-icon"/>
    <w:qFormat/>
    <w:rPr/>
  </w:style>
  <w:style w:type="character" w:styleId="FootnoteTextChar2Schriftart9ptCharSchriftart10ptCharSchriftart8ptCharWBFunotentextCharfnCharFootnotesCharFootnoteakCharFootnoteTextCharChar1FoodNoteCharftCharFootnoteCharFootnoteTextChar1Char">
    <w:name w:val="Footnote Text Char2,Schriftart: 9 pt Char,Schriftart: 10 pt Char,Schriftart: 8 pt Char,WB-Fußnotentext Char,fn Char,Footnotes Char,Footnote ak Char,Footnote Text Char Char1,FoodNote Char,ft Char,Footnote Char,Footnote Text Char1 Char"/>
    <w:qFormat/>
    <w:rPr>
      <w:lang w:val="en-GB" w:eastAsia="en-GB"/>
    </w:rPr>
  </w:style>
  <w:style w:type="character" w:styleId="Text1CharChar">
    <w:name w:val="Text 1 Char Char"/>
    <w:qFormat/>
    <w:rPr>
      <w:rFonts w:ascii="Times New Roman" w:hAnsi="Times New Roman"/>
      <w:sz w:val="22"/>
      <w:lang w:val="en-GB" w:eastAsia="en-GB"/>
    </w:rPr>
  </w:style>
  <w:style w:type="character" w:styleId="PlainTextChar">
    <w:name w:val="Plain Text Char"/>
    <w:basedOn w:val="DefaultParagraphFont"/>
    <w:qFormat/>
    <w:rPr>
      <w:rFonts w:ascii="Courier New" w:hAnsi="Courier New" w:eastAsia="Times New Roman" w:cs="Times New Roman"/>
      <w:color w:val="000000"/>
      <w:sz w:val="24"/>
      <w:szCs w:val="24"/>
      <w:lang w:val="en-GB" w:eastAsia="en-GB"/>
    </w:rPr>
  </w:style>
  <w:style w:type="character" w:styleId="Pagenumber">
    <w:name w:val="page number"/>
    <w:basedOn w:val="DefaultParagraphFont"/>
    <w:qFormat/>
    <w:rPr>
      <w:rFonts w:ascii="Times New Roman" w:hAnsi="Times New Roman" w:eastAsia="Times New Roman" w:cs="Times New Roman"/>
      <w:color w:val="000000"/>
      <w:sz w:val="24"/>
      <w:szCs w:val="24"/>
    </w:rPr>
  </w:style>
  <w:style w:type="character" w:styleId="VisitedInternetLink">
    <w:name w:val="FollowedHyperlink"/>
    <w:basedOn w:val="DefaultParagraphFont"/>
    <w:rPr>
      <w:rFonts w:ascii="Times New Roman" w:hAnsi="Times New Roman" w:eastAsia="Times New Roman" w:cs="Times New Roman"/>
      <w:color w:val="800080"/>
      <w:sz w:val="24"/>
      <w:szCs w:val="24"/>
      <w:u w:val="single"/>
    </w:rPr>
  </w:style>
  <w:style w:type="character" w:styleId="TitleChar">
    <w:name w:val="Title Char"/>
    <w:basedOn w:val="DefaultParagraphFont"/>
    <w:qFormat/>
    <w:rPr>
      <w:rFonts w:ascii="Arial" w:hAnsi="Arial" w:eastAsia="Times New Roman" w:cs="Times New Roman"/>
      <w:b/>
      <w:color w:val="000000"/>
      <w:sz w:val="48"/>
      <w:szCs w:val="24"/>
      <w:lang w:val="en-GB" w:eastAsia="en-GB"/>
    </w:rPr>
  </w:style>
  <w:style w:type="character" w:styleId="EndnoteTextChar">
    <w:name w:val="Endnote Text Char"/>
    <w:basedOn w:val="DefaultParagraphFont"/>
    <w:qFormat/>
    <w:rPr>
      <w:rFonts w:ascii="Times New Roman" w:hAnsi="Times New Roman" w:eastAsia="Times New Roman" w:cs="Times New Roman"/>
      <w:color w:val="000000"/>
      <w:sz w:val="24"/>
      <w:szCs w:val="24"/>
      <w:lang w:val="en-GB" w:eastAsia="en-GB"/>
    </w:rPr>
  </w:style>
  <w:style w:type="character" w:styleId="DocumentMapChar">
    <w:name w:val="Document Map Char"/>
    <w:basedOn w:val="DefaultParagraphFont"/>
    <w:qFormat/>
    <w:rPr>
      <w:rFonts w:ascii="Tahoma" w:hAnsi="Tahoma" w:eastAsia="Times New Roman" w:cs="Times New Roman"/>
      <w:color w:val="000000"/>
      <w:sz w:val="24"/>
      <w:szCs w:val="24"/>
      <w:shd w:fill="000080" w:val="clear"/>
      <w:lang w:val="en-GB" w:eastAsia="en-GB"/>
    </w:rPr>
  </w:style>
  <w:style w:type="character" w:styleId="SignatureChar">
    <w:name w:val="Signature Char"/>
    <w:basedOn w:val="DefaultParagraphFont"/>
    <w:qFormat/>
    <w:rPr>
      <w:rFonts w:ascii="Times New Roman" w:hAnsi="Times New Roman" w:eastAsia="Times New Roman" w:cs="Times New Roman"/>
      <w:color w:val="000000"/>
      <w:sz w:val="24"/>
      <w:szCs w:val="24"/>
      <w:lang w:val="en-GB" w:eastAsia="en-GB"/>
    </w:rPr>
  </w:style>
  <w:style w:type="character" w:styleId="Added">
    <w:name w:val="Added"/>
    <w:qFormat/>
    <w:rPr>
      <w:b/>
      <w:u w:val="single"/>
    </w:rPr>
  </w:style>
  <w:style w:type="character" w:styleId="Point0Char">
    <w:name w:val="Point 0 Char"/>
    <w:qFormat/>
    <w:rPr>
      <w:rFonts w:ascii="Times New Roman" w:hAnsi="Times New Roman"/>
      <w:sz w:val="24"/>
      <w:lang w:val="en-GB" w:eastAsia="zh-CN"/>
    </w:rPr>
  </w:style>
  <w:style w:type="character" w:styleId="Point1Char">
    <w:name w:val="Point 1 Char"/>
    <w:qFormat/>
    <w:rPr>
      <w:rFonts w:ascii="Times New Roman" w:hAnsi="Times New Roman"/>
      <w:sz w:val="24"/>
      <w:lang w:val="en-GB" w:eastAsia="en-US"/>
    </w:rPr>
  </w:style>
  <w:style w:type="character" w:styleId="ManualNumPar1Char">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eastAsia="Times New Roman" w:cs="Times New Roman"/>
      <w:i/>
      <w:color w:val="000000"/>
      <w:sz w:val="24"/>
      <w:szCs w:val="24"/>
    </w:rPr>
  </w:style>
  <w:style w:type="character" w:styleId="ListNumberLevel2Char">
    <w:name w:val="List Number (Level 2) Char"/>
    <w:qFormat/>
    <w:rPr>
      <w:rFonts w:ascii="Times New Roman" w:hAnsi="Times New Roman"/>
      <w:sz w:val="24"/>
      <w:lang w:val="en-US" w:eastAsia="en-US"/>
    </w:rPr>
  </w:style>
  <w:style w:type="character" w:styleId="Strong">
    <w:name w:val="Strong"/>
    <w:basedOn w:val="DefaultParagraphFont"/>
    <w:qFormat/>
    <w:rPr>
      <w:rFonts w:ascii="Times New Roman" w:hAnsi="Times New Roman" w:eastAsia="Times New Roman" w:cs="Times New Roman"/>
      <w:b/>
      <w:color w:val="000000"/>
      <w:sz w:val="24"/>
      <w:szCs w:val="24"/>
    </w:rPr>
  </w:style>
  <w:style w:type="character" w:styleId="EndnoteCharacters">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name w:val="Subarticle Char"/>
    <w:qFormat/>
    <w:rPr>
      <w:b/>
      <w:lang w:val="en-US" w:eastAsia="en-US"/>
    </w:rPr>
  </w:style>
  <w:style w:type="character" w:styleId="Entte2">
    <w:name w:val="En-tête #2_"/>
    <w:qFormat/>
    <w:rPr>
      <w:b/>
      <w:sz w:val="22"/>
      <w:shd w:fill="FFFFFF" w:val="clear"/>
    </w:rPr>
  </w:style>
  <w:style w:type="character" w:styleId="Corpsdutexte">
    <w:name w:val="Corps du texte_"/>
    <w:qFormat/>
    <w:rPr>
      <w:sz w:val="23"/>
      <w:shd w:fill="FFFFFF" w:val="clear"/>
    </w:rPr>
  </w:style>
  <w:style w:type="character" w:styleId="SubtitleChar">
    <w:name w:val="Subtitle Char"/>
    <w:basedOn w:val="DefaultParagraphFont"/>
    <w:qFormat/>
    <w:rPr>
      <w:rFonts w:ascii="Times New Roman" w:hAnsi="Times New Roman" w:eastAsia="Times New Roman" w:cs="Times New Roman"/>
      <w:color w:val="5A5A5A"/>
      <w:spacing w:val="15"/>
      <w:sz w:val="24"/>
      <w:szCs w:val="24"/>
    </w:rPr>
  </w:style>
  <w:style w:type="character" w:styleId="Normaltextrun">
    <w:name w:val="normaltextrun"/>
    <w:basedOn w:val="DefaultParagraphFont"/>
    <w:qFormat/>
    <w:rPr>
      <w:rFonts w:ascii="Times New Roman" w:hAnsi="Times New Roman" w:eastAsia="Times New Roman" w:cs="Times New Roman"/>
      <w:color w:val="000000"/>
      <w:sz w:val="24"/>
      <w:szCs w:val="24"/>
    </w:rPr>
  </w:style>
  <w:style w:type="character" w:styleId="Eop">
    <w:name w:val="eop"/>
    <w:basedOn w:val="DefaultParagraphFont"/>
    <w:qFormat/>
    <w:rPr>
      <w:rFonts w:ascii="Times New Roman" w:hAnsi="Times New Roman" w:eastAsia="Times New Roman" w:cs="Times New Roman"/>
      <w:color w:val="000000"/>
      <w:sz w:val="24"/>
      <w:szCs w:val="24"/>
    </w:rPr>
  </w:style>
  <w:style w:type="character" w:styleId="TagsChar">
    <w:name w:val="Tags Char"/>
    <w:basedOn w:val="DefaultParagraphFont"/>
    <w:qFormat/>
    <w:rPr>
      <w:rFonts w:ascii="Arial" w:hAnsi="Arial" w:eastAsia="Times New Roman" w:cs="Arial"/>
      <w:color w:val="B5B5B5"/>
      <w:sz w:val="16"/>
      <w:szCs w:val="16"/>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ind w:left="1193" w:hanging="360"/>
    </w:pPr>
    <w:rPr>
      <w:rFonts w:cs="Lohit Devanagari"/>
      <w:sz w:val="24"/>
      <w:szCs w:val="24"/>
    </w:rPr>
  </w:style>
  <w:style w:type="paragraph" w:styleId="Caption">
    <w:name w:val="Caption"/>
    <w:basedOn w:val="Normal"/>
    <w:qFormat/>
    <w:pPr>
      <w:spacing w:before="120" w:after="120"/>
    </w:pPr>
    <w:rPr>
      <w:rFonts w:cs="Lohit Devanagari"/>
      <w:i/>
      <w:iCs/>
      <w:sz w:val="24"/>
      <w:szCs w:val="24"/>
    </w:rPr>
  </w:style>
  <w:style w:type="paragraph" w:styleId="Index">
    <w:name w:val="Index"/>
    <w:basedOn w:val="Normal"/>
    <w:qFormat/>
    <w:pPr/>
    <w:rPr>
      <w:rFonts w:cs="Lohit Devanagari"/>
    </w:rPr>
  </w:style>
  <w:style w:type="paragraph" w:styleId="NormalTable">
    <w:name w:val="Normal Table"/>
    <w:qFormat/>
    <w:pPr>
      <w:widowControl/>
      <w:suppressAutoHyphens w:val="true"/>
      <w:bidi w:val="0"/>
      <w:spacing w:before="0" w:after="0"/>
      <w:jc w:val="left"/>
      <w:textAlignment w:val="auto"/>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name w:val="Table Paragraph"/>
    <w:basedOn w:val="Normal"/>
    <w:qFormat/>
    <w:pPr/>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
    <w:name w:val="Table Grid"/>
    <w:basedOn w:val="NormalTable"/>
    <w:qFormat/>
    <w:pPr>
      <w:widowControl/>
    </w:pPr>
    <w:rPr>
      <w:sz w:val="20"/>
      <w:szCs w:val="20"/>
      <w:lang w:val="en-GB" w:eastAsia="en-GB"/>
    </w:rPr>
  </w:style>
  <w:style w:type="paragraph" w:styleId="BalloonText">
    <w:name w:val="Balloon Text"/>
    <w:basedOn w:val="Normal"/>
    <w:qFormat/>
    <w:pPr/>
    <w:rPr>
      <w:rFonts w:ascii="Tahoma" w:hAnsi="Tahoma" w:cs="Tahoma"/>
      <w:sz w:val="16"/>
      <w:szCs w:val="16"/>
    </w:rPr>
  </w:style>
  <w:style w:type="paragraph" w:styleId="FootnotetextSchriftart9ptSchriftart10ptSchriftart8ptWBFunotentextfnFootnotesFootnoteakFoodNoteftFootnoteFootnoteTextChar1FootnoteTextCharCharFootnoteTextChar1CharChar">
    <w:name w:val="footnote text,Schriftart: 9 pt,Schriftart: 10 pt,Schriftart: 8 pt,WB-Fußnotentext,fn,Footnotes,Footnote ak,FoodNote,ft,Footnote,Footnote Text Char1,Footnote Text Char Char,Footnote Text Char1 Char Char"/>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sz w:val="20"/>
      <w:szCs w:val="20"/>
    </w:rPr>
  </w:style>
  <w:style w:type="paragraph" w:styleId="Revision">
    <w:name w:val="Revision"/>
    <w:qFormat/>
    <w:pPr>
      <w:widowControl/>
      <w:suppressAutoHyphens w:val="true"/>
      <w:bidi w:val="0"/>
      <w:spacing w:before="0" w:after="0"/>
      <w:jc w:val="left"/>
      <w:textAlignment w:val="auto"/>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name w:val="Heading1"/>
    <w:basedOn w:val="Normal"/>
    <w:qFormat/>
    <w:pPr>
      <w:widowControl/>
      <w:jc w:val="both"/>
    </w:pPr>
    <w:rPr>
      <w:rFonts w:ascii="ArialNarrow" w:hAnsi="ArialNarrow" w:cs="ArialNarrow"/>
      <w:b/>
      <w:bCs/>
      <w:color w:val="000080"/>
      <w:sz w:val="24"/>
      <w:szCs w:val="24"/>
      <w:lang w:val="en-GB" w:eastAsia="en-GB"/>
    </w:rPr>
  </w:style>
  <w:style w:type="paragraph" w:styleId="Heading31">
    <w:name w:val="Heading3"/>
    <w:basedOn w:val="Normal"/>
    <w:qFormat/>
    <w:pPr>
      <w:widowControl/>
      <w:jc w:val="both"/>
    </w:pPr>
    <w:rPr>
      <w:rFonts w:ascii="ArialNarrow" w:hAnsi="ArialNarrow" w:cs="ArialNarrow"/>
      <w:b/>
      <w:bCs/>
      <w:color w:val="000080"/>
      <w:sz w:val="24"/>
      <w:szCs w:val="24"/>
      <w:lang w:val="en-GB" w:eastAsia="en-GB"/>
    </w:rPr>
  </w:style>
  <w:style w:type="paragraph" w:styleId="Me">
    <w:name w:val="Me"/>
    <w:basedOn w:val="Normal"/>
    <w:qFormat/>
    <w:pPr>
      <w:keepNext w:val="true"/>
      <w:keepLines/>
      <w:widowControl/>
      <w:spacing w:before="0" w:after="120"/>
      <w:ind w:left="697" w:hanging="697"/>
      <w:jc w:val="both"/>
    </w:pPr>
    <w:rPr>
      <w:rFonts w:ascii="Arial" w:hAnsi="Arial" w:cs="Arial"/>
      <w:b/>
      <w:i/>
      <w:sz w:val="28"/>
      <w:szCs w:val="28"/>
      <w:lang w:val="en-GB" w:eastAsia="en-GB"/>
    </w:rPr>
  </w:style>
  <w:style w:type="paragraph" w:styleId="Text1Char">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name w:val="Body Text1"/>
    <w:basedOn w:val="Normal"/>
    <w:qFormat/>
    <w:pPr>
      <w:widowControl/>
      <w:ind w:left="2880" w:hanging="0"/>
      <w:jc w:val="both"/>
    </w:pPr>
    <w:rPr>
      <w:szCs w:val="20"/>
      <w:lang w:val="en-GB" w:eastAsia="en-GB"/>
    </w:rPr>
  </w:style>
  <w:style w:type="paragraph" w:styleId="Formquest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name w:val="Z_Com"/>
    <w:basedOn w:val="Normal"/>
    <w:qFormat/>
    <w:pPr>
      <w:ind w:right="85" w:hanging="0"/>
      <w:jc w:val="both"/>
    </w:pPr>
    <w:rPr>
      <w:rFonts w:ascii="Arial" w:hAnsi="Arial"/>
      <w:szCs w:val="20"/>
      <w:lang w:val="en-GB" w:eastAsia="en-GB"/>
    </w:rPr>
  </w:style>
  <w:style w:type="paragraph" w:styleId="ZDGName">
    <w:name w:val="Z_DGName"/>
    <w:basedOn w:val="Normal"/>
    <w:qFormat/>
    <w:pPr>
      <w:ind w:right="85" w:hanging="0"/>
      <w:jc w:val="both"/>
    </w:pPr>
    <w:rPr>
      <w:rFonts w:ascii="Arial" w:hAnsi="Arial"/>
      <w:sz w:val="16"/>
      <w:szCs w:val="20"/>
      <w:lang w:val="en-GB" w:eastAsia="en-GB"/>
    </w:rPr>
  </w:style>
  <w:style w:type="paragraph" w:styleId="Text4">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textAlignment w:val="auto"/>
    </w:pPr>
    <w:rPr>
      <w:rFonts w:ascii="Swiss" w:hAnsi="Swiss" w:eastAsia="Courier New" w:cs="Times New Roman"/>
      <w:b/>
      <w:color w:val="auto"/>
      <w:kern w:val="2"/>
      <w:sz w:val="22"/>
      <w:szCs w:val="20"/>
      <w:lang w:val="en-US" w:eastAsia="en-GB" w:bidi="ar-SA"/>
    </w:rPr>
  </w:style>
  <w:style w:type="paragraph" w:styleId="T2an">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textAlignment w:val="auto"/>
    </w:pPr>
    <w:rPr>
      <w:rFonts w:ascii="Swiss" w:hAnsi="Swiss" w:eastAsia="Courier New" w:cs="Times New Roman"/>
      <w:color w:val="auto"/>
      <w:kern w:val="2"/>
      <w:sz w:val="40"/>
      <w:szCs w:val="20"/>
      <w:lang w:val="en-US" w:eastAsia="en-GB" w:bidi="ar-SA"/>
    </w:rPr>
  </w:style>
  <w:style w:type="paragraph" w:styleId="5Bcell">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textAlignment w:val="auto"/>
    </w:pPr>
    <w:rPr>
      <w:rFonts w:ascii="Swiss" w:hAnsi="Swiss" w:eastAsia="Courier New" w:cs="Times New Roman"/>
      <w:color w:val="auto"/>
      <w:kern w:val="2"/>
      <w:sz w:val="16"/>
      <w:szCs w:val="20"/>
      <w:lang w:val="en-US" w:eastAsia="en-GB" w:bidi="ar-SA"/>
    </w:rPr>
  </w:style>
  <w:style w:type="paragraph" w:styleId="Cell">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textAlignment w:val="auto"/>
    </w:pPr>
    <w:rPr>
      <w:rFonts w:ascii="Swiss" w:hAnsi="Swiss" w:eastAsia="Courier New" w:cs="Times New Roman"/>
      <w:color w:val="auto"/>
      <w:kern w:val="2"/>
      <w:sz w:val="16"/>
      <w:szCs w:val="20"/>
      <w:lang w:val="en-US" w:eastAsia="en-GB" w:bidi="ar-SA"/>
    </w:rPr>
  </w:style>
  <w:style w:type="paragraph" w:styleId="Parapag">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textAlignment w:val="auto"/>
    </w:pPr>
    <w:rPr>
      <w:rFonts w:ascii="Swiss" w:hAnsi="Swiss" w:eastAsia="Courier New" w:cs="Times New Roman"/>
      <w:color w:val="auto"/>
      <w:kern w:val="2"/>
      <w:sz w:val="20"/>
      <w:szCs w:val="20"/>
      <w:lang w:val="en-US" w:eastAsia="en-GB" w:bidi="ar-SA"/>
    </w:rPr>
  </w:style>
  <w:style w:type="paragraph" w:styleId="SubTit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name w:val="Nace Inclusions id 2"/>
    <w:basedOn w:val="Normal"/>
    <w:qFormat/>
    <w:pPr>
      <w:keepNext w:val="true"/>
      <w:keepLines/>
      <w:widowControl/>
      <w:ind w:left="1191" w:hanging="170"/>
      <w:jc w:val="both"/>
    </w:pPr>
    <w:rPr>
      <w:rFonts w:ascii="Times" w:hAnsi="Times"/>
      <w:sz w:val="18"/>
      <w:szCs w:val="20"/>
    </w:rPr>
  </w:style>
  <w:style w:type="paragraph" w:styleId="NaceInclusionsId11">
    <w:name w:val="Nace Inclusions Id 11"/>
    <w:basedOn w:val="Normal"/>
    <w:qFormat/>
    <w:pPr>
      <w:keepNext w:val="true"/>
      <w:keepLines/>
      <w:widowControl/>
      <w:ind w:left="1021" w:hanging="170"/>
      <w:jc w:val="both"/>
    </w:pPr>
    <w:rPr>
      <w:rFonts w:ascii="Times" w:hAnsi="Times"/>
      <w:sz w:val="18"/>
      <w:szCs w:val="20"/>
    </w:rPr>
  </w:style>
  <w:style w:type="paragraph" w:styleId="NaceExclusionsid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name w:val="NumPar 1"/>
    <w:basedOn w:val="Heading1"/>
    <w:next w:val="Text1Char"/>
    <w:qFormat/>
    <w:pPr>
      <w:keepNext w:val="true"/>
      <w:widowControl/>
      <w:spacing w:before="9" w:after="240"/>
      <w:ind w:left="483" w:hanging="483"/>
      <w:jc w:val="both"/>
    </w:pPr>
    <w:rPr>
      <w:rFonts w:ascii="EC Square Sans Pro Light" w:hAnsi="EC Square Sans Pro Light" w:eastAsia="Times New Roman" w:cs="Lohit Devanagari"/>
      <w:color w:val="458DCB"/>
      <w:sz w:val="24"/>
      <w:szCs w:val="20"/>
      <w:lang w:val="en-GB" w:eastAsia="en-GB"/>
    </w:rPr>
  </w:style>
  <w:style w:type="paragraph" w:styleId="NumPar2">
    <w:name w:val="NumPar 2"/>
    <w:basedOn w:val="Heading2"/>
    <w:qFormat/>
    <w:pPr>
      <w:widowControl/>
      <w:spacing w:before="0" w:after="240"/>
      <w:ind w:left="3442" w:hanging="0"/>
      <w:jc w:val="both"/>
    </w:pPr>
    <w:rPr>
      <w:rFonts w:ascii="Verdana" w:hAnsi="Verdana"/>
      <w:sz w:val="24"/>
      <w:szCs w:val="20"/>
      <w:lang w:val="en-GB" w:eastAsia="en-GB"/>
    </w:rPr>
  </w:style>
  <w:style w:type="paragraph" w:styleId="Text2">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name w:val="n4"/>
    <w:basedOn w:val="Heading4"/>
    <w:qFormat/>
    <w:pPr>
      <w:keepNext w:val="true"/>
      <w:widowControl/>
      <w:spacing w:before="120" w:after="120"/>
      <w:ind w:left="720" w:hanging="0"/>
      <w:jc w:val="both"/>
    </w:pPr>
    <w:rPr>
      <w:rFonts w:ascii="EC Square Sans Pro Light" w:hAnsi="EC Square Sans Pro Light"/>
      <w:sz w:val="30"/>
      <w:szCs w:val="20"/>
      <w:lang w:val="en-GB" w:eastAsia="en-GB"/>
    </w:rPr>
  </w:style>
  <w:style w:type="paragraph" w:styleId="DocumentMap">
    <w:name w:val="Document Map"/>
    <w:basedOn w:val="Normal"/>
    <w:qFormat/>
    <w:pPr>
      <w:widowControl/>
      <w:shd w:fill="000080"/>
      <w:jc w:val="both"/>
    </w:pPr>
    <w:rPr>
      <w:rFonts w:ascii="Tahoma" w:hAnsi="Tahoma"/>
      <w:szCs w:val="20"/>
      <w:lang w:val="en-GB" w:eastAsia="en-GB"/>
    </w:rPr>
  </w:style>
  <w:style w:type="paragraph" w:styleId="NoteHead">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name w:val="Tiret 0"/>
    <w:basedOn w:val="Normal"/>
    <w:qFormat/>
    <w:pPr>
      <w:widowControl/>
      <w:spacing w:before="120" w:after="120"/>
      <w:ind w:left="851" w:hanging="851"/>
      <w:jc w:val="both"/>
    </w:pPr>
    <w:rPr>
      <w:sz w:val="24"/>
      <w:szCs w:val="20"/>
      <w:lang w:val="en-GB" w:eastAsia="en-GB"/>
    </w:rPr>
  </w:style>
  <w:style w:type="paragraph" w:styleId="Numparg">
    <w:name w:val="numparg"/>
    <w:basedOn w:val="Heading1"/>
    <w:qFormat/>
    <w:pPr>
      <w:keepNext w:val="true"/>
      <w:widowControl/>
      <w:tabs>
        <w:tab w:val="clear" w:pos="720"/>
        <w:tab w:val="left" w:pos="360" w:leader="none"/>
      </w:tabs>
      <w:spacing w:before="240" w:after="120"/>
      <w:ind w:left="360" w:hanging="360"/>
      <w:jc w:val="both"/>
    </w:pPr>
    <w:rPr>
      <w:rFonts w:ascii="EC Square Sans Pro Light" w:hAnsi="EC Square Sans Pro Light" w:eastAsia="Times New Roman" w:cs="Lohit Devanagari"/>
      <w:b/>
      <w:color w:val="458DCB"/>
      <w:sz w:val="24"/>
      <w:szCs w:val="20"/>
      <w:lang w:val="en-GB"/>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name w:val="Point 0"/>
    <w:basedOn w:val="Normal"/>
    <w:qFormat/>
    <w:pPr>
      <w:widowControl/>
      <w:spacing w:before="120" w:after="120"/>
      <w:ind w:left="850" w:hanging="850"/>
      <w:jc w:val="both"/>
    </w:pPr>
    <w:rPr>
      <w:sz w:val="24"/>
      <w:szCs w:val="20"/>
      <w:lang w:val="en-GB" w:eastAsia="zh-CN"/>
    </w:rPr>
  </w:style>
  <w:style w:type="paragraph" w:styleId="CharCharChar1CharCharCharCharCharChar1Char">
    <w:name w:val="Char Char Char1 Char Char Char,Char Char Char1 Char"/>
    <w:basedOn w:val="Normal"/>
    <w:qFormat/>
    <w:pPr>
      <w:widowControl/>
    </w:pPr>
    <w:rPr>
      <w:sz w:val="24"/>
      <w:szCs w:val="24"/>
      <w:lang w:val="pl-PL" w:eastAsia="pl-PL"/>
    </w:rPr>
  </w:style>
  <w:style w:type="paragraph" w:styleId="CharCharChar">
    <w:name w:val="Char Char Char"/>
    <w:basedOn w:val="Normal"/>
    <w:qFormat/>
    <w:pPr>
      <w:widowControl/>
    </w:pPr>
    <w:rPr>
      <w:sz w:val="24"/>
      <w:szCs w:val="24"/>
      <w:lang w:val="pl-PL" w:eastAsia="pl-PL"/>
    </w:rPr>
  </w:style>
  <w:style w:type="paragraph" w:styleId="Point1">
    <w:name w:val="Point 1"/>
    <w:basedOn w:val="Normal"/>
    <w:qFormat/>
    <w:pPr>
      <w:widowControl/>
      <w:spacing w:before="120" w:after="120"/>
      <w:ind w:left="1418" w:hanging="567"/>
      <w:jc w:val="both"/>
    </w:pPr>
    <w:rPr>
      <w:sz w:val="24"/>
      <w:szCs w:val="24"/>
      <w:lang w:val="en-GB" w:eastAsia="fr-BE"/>
    </w:rPr>
  </w:style>
  <w:style w:type="paragraph" w:styleId="Normal12a12b">
    <w:name w:val="Normal12a12b"/>
    <w:basedOn w:val="Normal"/>
    <w:qFormat/>
    <w:pPr>
      <w:spacing w:before="240" w:after="240"/>
    </w:pPr>
    <w:rPr>
      <w:sz w:val="24"/>
      <w:szCs w:val="20"/>
    </w:rPr>
  </w:style>
  <w:style w:type="paragraph" w:styleId="Numberedparagraph">
    <w:name w:val="Numbered paragraph"/>
    <w:basedOn w:val="Normal"/>
    <w:qFormat/>
    <w:pPr>
      <w:widowControl/>
      <w:tabs>
        <w:tab w:val="clear" w:pos="720"/>
        <w:tab w:val="left" w:pos="360" w:leader="none"/>
      </w:tabs>
      <w:spacing w:before="240" w:after="0"/>
      <w:ind w:left="357" w:hanging="357"/>
    </w:pPr>
    <w:rPr>
      <w:rFonts w:ascii="Arial" w:hAnsi="Arial"/>
      <w:b/>
      <w:sz w:val="24"/>
      <w:szCs w:val="20"/>
    </w:rPr>
  </w:style>
  <w:style w:type="paragraph" w:styleId="Char">
    <w:name w:val="Char"/>
    <w:basedOn w:val="Normal"/>
    <w:qFormat/>
    <w:pPr>
      <w:widowControl/>
    </w:pPr>
    <w:rPr>
      <w:sz w:val="24"/>
      <w:szCs w:val="24"/>
      <w:lang w:val="pl-PL" w:eastAsia="pl-PL"/>
    </w:rPr>
  </w:style>
  <w:style w:type="paragraph" w:styleId="QuotedText">
    <w:name w:val="Quoted Text"/>
    <w:basedOn w:val="Normal"/>
    <w:qFormat/>
    <w:pPr>
      <w:widowControl/>
      <w:spacing w:lineRule="auto" w:line="360" w:before="120" w:after="120"/>
      <w:ind w:left="1417" w:hanging="0"/>
    </w:pPr>
    <w:rPr>
      <w:sz w:val="24"/>
      <w:szCs w:val="20"/>
      <w:lang w:val="en-GB"/>
    </w:rPr>
  </w:style>
  <w:style w:type="paragraph" w:styleId="ManualNumPar1">
    <w:name w:val="Manual NumPar 1"/>
    <w:basedOn w:val="Normal"/>
    <w:next w:val="Text1Char"/>
    <w:qFormat/>
    <w:pPr>
      <w:widowControl/>
      <w:spacing w:before="120" w:after="120"/>
      <w:ind w:left="850" w:hanging="850"/>
      <w:jc w:val="both"/>
    </w:pPr>
    <w:rPr>
      <w:sz w:val="24"/>
      <w:szCs w:val="24"/>
      <w:lang w:val="en-GB" w:eastAsia="zh-CN"/>
    </w:rPr>
  </w:style>
  <w:style w:type="paragraph" w:styleId="Text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tabs>
        <w:tab w:val="clear" w:pos="720"/>
        <w:tab w:val="left" w:pos="709" w:leader="none"/>
      </w:tabs>
      <w:spacing w:lineRule="auto" w:line="360" w:before="120" w:after="120"/>
      <w:ind w:left="709" w:hanging="709"/>
    </w:pPr>
    <w:rPr>
      <w:sz w:val="24"/>
      <w:szCs w:val="20"/>
      <w:lang w:val="en-GB"/>
    </w:rPr>
  </w:style>
  <w:style w:type="paragraph" w:styleId="ListNumberLevel2">
    <w:name w:val="List Number (Level 2)"/>
    <w:basedOn w:val="Normal"/>
    <w:qFormat/>
    <w:pPr>
      <w:widowControl/>
      <w:tabs>
        <w:tab w:val="clear" w:pos="720"/>
        <w:tab w:val="left" w:pos="1417" w:leader="none"/>
      </w:tabs>
      <w:spacing w:lineRule="auto" w:line="360" w:before="120" w:after="120"/>
      <w:ind w:left="1417" w:hanging="708"/>
    </w:pPr>
    <w:rPr>
      <w:sz w:val="24"/>
      <w:szCs w:val="20"/>
      <w:lang w:val="en-GB"/>
    </w:rPr>
  </w:style>
  <w:style w:type="paragraph" w:styleId="ListNumberLevel3">
    <w:name w:val="List Number (Level 3)"/>
    <w:basedOn w:val="Normal"/>
    <w:qFormat/>
    <w:pPr>
      <w:widowControl/>
      <w:tabs>
        <w:tab w:val="clear" w:pos="720"/>
        <w:tab w:val="left" w:pos="2126" w:leader="none"/>
      </w:tabs>
      <w:spacing w:lineRule="auto" w:line="360" w:before="120" w:after="120"/>
      <w:ind w:left="2126" w:hanging="709"/>
    </w:pPr>
    <w:rPr>
      <w:sz w:val="24"/>
      <w:szCs w:val="20"/>
      <w:lang w:val="en-GB"/>
    </w:rPr>
  </w:style>
  <w:style w:type="paragraph" w:styleId="ListNumberLevel4">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name w:val="Normal1"/>
    <w:basedOn w:val="Normal"/>
    <w:qFormat/>
    <w:pPr>
      <w:widowControl/>
      <w:spacing w:lineRule="atLeast" w:line="360" w:before="0" w:after="120"/>
    </w:pPr>
    <w:rPr>
      <w:sz w:val="26"/>
      <w:szCs w:val="26"/>
      <w:lang w:val="en-GB" w:eastAsia="en-GB"/>
    </w:rPr>
  </w:style>
  <w:style w:type="paragraph" w:styleId="CharCharChar1Char1CharCharChar1CharCharChar1">
    <w:name w:val="Char Char Char1 Char1,Char Char Char1 Char Char Char1"/>
    <w:basedOn w:val="Normal"/>
    <w:qFormat/>
    <w:pPr>
      <w:widowControl/>
    </w:pPr>
    <w:rPr>
      <w:sz w:val="24"/>
      <w:szCs w:val="24"/>
      <w:lang w:val="pl-PL" w:eastAsia="pl-PL"/>
    </w:rPr>
  </w:style>
  <w:style w:type="paragraph" w:styleId="ZchnZchn">
    <w:name w:val="Zchn Zchn"/>
    <w:basedOn w:val="Normal"/>
    <w:qFormat/>
    <w:pPr>
      <w:widowControl/>
      <w:tabs>
        <w:tab w:val="clear" w:pos="720"/>
        <w:tab w:val="left" w:pos="360" w:leader="none"/>
      </w:tabs>
      <w:spacing w:lineRule="exact" w:line="240" w:before="0" w:after="160"/>
      <w:ind w:left="360" w:hanging="360"/>
    </w:pPr>
    <w:rPr>
      <w:i/>
      <w:sz w:val="24"/>
      <w:szCs w:val="24"/>
    </w:rPr>
  </w:style>
  <w:style w:type="paragraph" w:styleId="Default">
    <w:name w:val="Default"/>
    <w:qFormat/>
    <w:pPr>
      <w:widowControl/>
      <w:suppressAutoHyphens w:val="true"/>
      <w:bidi w:val="0"/>
      <w:spacing w:before="0" w:after="0"/>
      <w:jc w:val="left"/>
      <w:textAlignment w:val="auto"/>
    </w:pPr>
    <w:rPr>
      <w:rFonts w:ascii="EUAlbertina" w:hAnsi="EUAlbertina" w:eastAsia="Courier New" w:cs="EUAlbertina"/>
      <w:color w:val="000000"/>
      <w:kern w:val="2"/>
      <w:sz w:val="24"/>
      <w:szCs w:val="24"/>
      <w:lang w:val="en-GB" w:eastAsia="en-GB" w:bidi="ar-SA"/>
    </w:rPr>
  </w:style>
  <w:style w:type="paragraph" w:styleId="CM1">
    <w:name w:val="CM1"/>
    <w:basedOn w:val="Default"/>
    <w:next w:val="Default"/>
    <w:qFormat/>
    <w:pPr>
      <w:widowControl/>
    </w:pPr>
    <w:rPr>
      <w:rFonts w:ascii="EUAlbertina" w:hAnsi="EUAlbertina" w:cs="EUAlbertina"/>
      <w:color w:val="000000"/>
      <w:sz w:val="24"/>
      <w:szCs w:val="24"/>
      <w:lang w:val="en-GB" w:eastAsia="en-GB"/>
    </w:rPr>
  </w:style>
  <w:style w:type="paragraph" w:styleId="CM3">
    <w:name w:val="CM3"/>
    <w:basedOn w:val="Default"/>
    <w:next w:val="Default"/>
    <w:qFormat/>
    <w:pPr>
      <w:widowControl/>
    </w:pPr>
    <w:rPr>
      <w:rFonts w:ascii="EUAlbertina" w:hAnsi="EUAlbertina" w:cs="EUAlbertina"/>
      <w:color w:val="000000"/>
      <w:sz w:val="24"/>
      <w:szCs w:val="24"/>
      <w:lang w:val="en-GB" w:eastAsia="en-GB"/>
    </w:rPr>
  </w:style>
  <w:style w:type="paragraph" w:styleId="CM4">
    <w:name w:val="CM4"/>
    <w:basedOn w:val="Default"/>
    <w:next w:val="Default"/>
    <w:qFormat/>
    <w:pPr>
      <w:widowControl/>
    </w:pPr>
    <w:rPr>
      <w:rFonts w:ascii="EUAlbertina" w:hAnsi="EUAlbertina" w:cs="EUAlbertina"/>
      <w:color w:val="000000"/>
      <w:sz w:val="24"/>
      <w:szCs w:val="24"/>
      <w:lang w:val="en-GB" w:eastAsia="en-GB"/>
    </w:rPr>
  </w:style>
  <w:style w:type="paragraph" w:styleId="LightGridAccent31">
    <w:name w:val="Light Grid - Accent 31"/>
    <w:basedOn w:val="Normal"/>
    <w:qFormat/>
    <w:pPr>
      <w:widowControl/>
      <w:ind w:left="720" w:hanging="0"/>
    </w:pPr>
    <w:rPr>
      <w:sz w:val="24"/>
      <w:szCs w:val="24"/>
      <w:lang w:val="en-GB" w:eastAsia="en-GB"/>
    </w:rPr>
  </w:style>
  <w:style w:type="paragraph" w:styleId="TableGrid1">
    <w:name w:val="Table Grid1"/>
    <w:basedOn w:val="NormalTable"/>
    <w:next w:val="TableGrid"/>
    <w:qFormat/>
    <w:pPr>
      <w:widowControl/>
      <w:spacing w:before="0" w:afterAutospacing="1"/>
    </w:pPr>
    <w:rPr>
      <w:sz w:val="20"/>
      <w:szCs w:val="20"/>
      <w:lang w:val="en-GB" w:eastAsia="en-GB"/>
    </w:rPr>
  </w:style>
  <w:style w:type="paragraph" w:styleId="MediumList2Accent21">
    <w:name w:val="Medium List 2 - Accent 21"/>
    <w:qFormat/>
    <w:pPr>
      <w:widowControl/>
      <w:suppressAutoHyphens w:val="true"/>
      <w:bidi w:val="0"/>
      <w:spacing w:before="0" w:after="0"/>
      <w:jc w:val="left"/>
      <w:textAlignment w:val="auto"/>
    </w:pPr>
    <w:rPr>
      <w:rFonts w:ascii="Times New Roman" w:hAnsi="Times New Roman" w:eastAsia="Courier New" w:cs="Times New Roman"/>
      <w:color w:val="auto"/>
      <w:kern w:val="2"/>
      <w:sz w:val="24"/>
      <w:szCs w:val="24"/>
      <w:lang w:val="en-GB" w:eastAsia="en-GB" w:bidi="ar-SA"/>
    </w:rPr>
  </w:style>
  <w:style w:type="paragraph" w:styleId="Subarticle">
    <w:name w:val="Subarticle"/>
    <w:basedOn w:val="Normal"/>
    <w:qFormat/>
    <w:pPr>
      <w:widowControl/>
      <w:ind w:left="720" w:hanging="720"/>
      <w:jc w:val="both"/>
    </w:pPr>
    <w:rPr>
      <w:b/>
      <w:sz w:val="20"/>
      <w:szCs w:val="20"/>
      <w:lang w:val="en-IE"/>
    </w:rPr>
  </w:style>
  <w:style w:type="paragraph" w:styleId="Entte21">
    <w:name w:val="En-tête #2"/>
    <w:basedOn w:val="Normal"/>
    <w:qFormat/>
    <w:pPr>
      <w:shd w:fill="FFFFFF"/>
      <w:spacing w:lineRule="atLeast" w:line="240" w:before="0" w:after="180"/>
      <w:jc w:val="both"/>
    </w:pPr>
    <w:rPr>
      <w:b/>
      <w:bCs/>
      <w:lang w:val="fr-BE" w:eastAsia="fr-BE"/>
    </w:rPr>
  </w:style>
  <w:style w:type="paragraph" w:styleId="Corpsdutexte1">
    <w:name w:val="Corps du texte1"/>
    <w:basedOn w:val="Normal"/>
    <w:qFormat/>
    <w:pPr>
      <w:shd w:fill="FFFFFF"/>
      <w:spacing w:lineRule="exact" w:line="322" w:before="420" w:after="0"/>
      <w:ind w:hanging="420"/>
      <w:jc w:val="both"/>
    </w:pPr>
    <w:rPr>
      <w:sz w:val="23"/>
      <w:szCs w:val="23"/>
      <w:lang w:val="fr-BE" w:eastAsia="fr-BE"/>
    </w:rPr>
  </w:style>
  <w:style w:type="paragraph" w:styleId="Subtitle">
    <w:name w:val="Subtitle"/>
    <w:basedOn w:val="Normal"/>
    <w:next w:val="Normal"/>
    <w:qFormat/>
    <w:pPr>
      <w:spacing w:before="0" w:after="160"/>
    </w:pPr>
    <w:rPr>
      <w:rFonts w:eastAsia="Times New Roman"/>
      <w:color w:val="5A5A5A"/>
      <w:spacing w:val="15"/>
    </w:rPr>
  </w:style>
  <w:style w:type="paragraph" w:styleId="Paragraph">
    <w:name w:val="paragraph"/>
    <w:basedOn w:val="Normal"/>
    <w:qFormat/>
    <w:pPr>
      <w:widowControl/>
      <w:spacing w:beforeAutospacing="1" w:afterAutospacing="1"/>
    </w:pPr>
    <w:rPr>
      <w:sz w:val="24"/>
      <w:szCs w:val="24"/>
      <w:lang w:val="fr-BE" w:eastAsia="fr-BE"/>
    </w:rPr>
  </w:style>
  <w:style w:type="paragraph" w:styleId="Tags">
    <w:name w:val="Tags"/>
    <w:basedOn w:val="Normal"/>
    <w:qFormat/>
    <w:pPr>
      <w:widowControl/>
      <w:spacing w:before="0" w:after="200"/>
    </w:pPr>
    <w:rPr>
      <w:rFonts w:ascii="Arial" w:hAnsi="Arial" w:cs="Arial"/>
      <w:color w:val="B5B5B5"/>
      <w:sz w:val="16"/>
      <w:szCs w:val="16"/>
      <w:lang w:val="en-GB"/>
    </w:rPr>
  </w:style>
  <w:style w:type="paragraph" w:styleId="FrameContents">
    <w:name w:val="Frame Contents"/>
    <w:basedOn w:val="Normal"/>
    <w:qFormat/>
    <w:pPr/>
    <w:rPr/>
  </w:style>
  <w:style w:type="paragraph" w:styleId="Footnote">
    <w:name w:val="Footnote Text"/>
    <w:basedOn w:val="Normal"/>
    <w:pPr/>
    <w:rPr/>
  </w:style>
  <w:style w:type="paragraph" w:styleId="Figure">
    <w:name w:val="Figure"/>
    <w:basedOn w:val="Caption"/>
    <w:qFormat/>
    <w:pPr>
      <w:spacing w:before="120" w:after="120"/>
    </w:pPr>
    <w:rPr>
      <w:rFonts w:cs="Lohit Devanagari"/>
      <w:i/>
      <w:iCs/>
      <w:sz w:val="24"/>
      <w:szCs w:val="24"/>
    </w:rPr>
  </w:style>
  <w:style w:type="paragraph" w:styleId="TableContents">
    <w:name w:val="Table Contents"/>
    <w:basedOn w:val="Normal"/>
    <w:qFormat/>
    <w:pPr/>
    <w:rPr/>
  </w:style>
  <w:style w:type="paragraph" w:styleId="TableHeading">
    <w:name w:val="Table Heading"/>
    <w:basedOn w:val="TableContents"/>
    <w:qFormat/>
    <w:pPr>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5.xml"/><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image" Target="media/image3.png"/><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6.xml"/><Relationship Id="rId25" Type="http://schemas.openxmlformats.org/officeDocument/2006/relationships/header" Target="header12.xml"/><Relationship Id="rId26" Type="http://schemas.openxmlformats.org/officeDocument/2006/relationships/footer" Target="footer7.xml"/><Relationship Id="rId27" Type="http://schemas.openxmlformats.org/officeDocument/2006/relationships/header" Target="header13.xml"/><Relationship Id="rId28" Type="http://schemas.openxmlformats.org/officeDocument/2006/relationships/footer" Target="footer8.xml"/><Relationship Id="rId29" Type="http://schemas.openxmlformats.org/officeDocument/2006/relationships/footnotes" Target="footnote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c.europa.eu/info/funding-tenders/opportunities/docs/2021-2027/common/guidance/om_en.pdf" TargetMode="Externa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1567</TotalTime>
  <Application>LibreOffice/7.4.6.2$Linux_X86_64 LibreOffice_project/40$Build-2</Application>
  <AppVersion>15.0000</AppVersion>
  <Pages>39</Pages>
  <Words>10415</Words>
  <Characters>59791</Characters>
  <CharactersWithSpaces>69542</CharactersWithSpaces>
  <Paragraphs>757</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2023-07-05T14:47:17Z</dcterms:modified>
  <cp:revision>261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Created">
    <vt:filetime>12-00-00T00:00:00Z</vt:filetime>
  </property>
  <property fmtid="{D5CDD505-2E9C-101B-9397-08002B2CF9AE}" pid="7" name="EC_Collab_DocumentLanguage">
    <vt:lpwstr>EN</vt:lpwstr>
  </property>
  <property fmtid="{D5CDD505-2E9C-101B-9397-08002B2CF9AE}" pid="8" name="EC_Collab_Reference">
    <vt:lpwstr/>
  </property>
  <property fmtid="{D5CDD505-2E9C-101B-9397-08002B2CF9AE}" pid="9" name="EC_Collab_Status">
    <vt:lpwstr>Wait</vt:lpwstr>
  </property>
  <property fmtid="{D5CDD505-2E9C-101B-9397-08002B2CF9AE}" pid="10" name="LastSaved">
    <vt:filetime>17-00-00T00:00:00Z</vt:filetime>
  </property>
  <property fmtid="{D5CDD505-2E9C-101B-9397-08002B2CF9AE}" pid="11" name="MSIP_Label_6bd9ddd1-4d20-43f6-abfa-fc3c07406f94_ActionId">
    <vt:lpwstr>6c04b893-9ad6-4b2e-9e34-6f1ff91186a9</vt:lpwstr>
  </property>
  <property fmtid="{D5CDD505-2E9C-101B-9397-08002B2CF9AE}" pid="12" name="MSIP_Label_6bd9ddd1-4d20-43f6-abfa-fc3c07406f94_ContentBits">
    <vt:lpwstr>0</vt:lpwstr>
  </property>
  <property fmtid="{D5CDD505-2E9C-101B-9397-08002B2CF9AE}" pid="13" name="MSIP_Label_6bd9ddd1-4d20-43f6-abfa-fc3c07406f94_Enabled">
    <vt:lpwstr>true</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etDate">
    <vt:lpwstr>2022-01-21T09:25:40Z</vt:lpwstr>
  </property>
  <property fmtid="{D5CDD505-2E9C-101B-9397-08002B2CF9AE}" pid="17" name="MSIP_Label_6bd9ddd1-4d20-43f6-abfa-fc3c07406f94_SiteId">
    <vt:lpwstr>b24c8b06-522c-46fe-9080-70926f8dddb1</vt:lpwstr>
  </property>
  <property fmtid="{D5CDD505-2E9C-101B-9397-08002B2CF9AE}" pid="18" name="Operator">
    <vt:lpwstr>Benedicte</vt:lpwstr>
  </property>
  <property fmtid="{D5CDD505-2E9C-101B-9397-08002B2CF9AE}" pid="19" name="Order0">
    <vt:lpwstr>6</vt:lpwstr>
  </property>
  <property fmtid="{D5CDD505-2E9C-101B-9397-08002B2CF9AE}" pid="20" name="Status">
    <vt:lpwstr>4 Grant proposals (Submission &amp; Evaluation)</vt:lpwstr>
  </property>
  <property fmtid="{D5CDD505-2E9C-101B-9397-08002B2CF9AE}" pid="21" name="Status0">
    <vt:lpwstr>Draft</vt:lpwstr>
  </property>
  <property fmtid="{D5CDD505-2E9C-101B-9397-08002B2CF9AE}" pid="22" name="_Status">
    <vt:lpwstr>Not Started</vt:lpwstr>
  </property>
  <property fmtid="{D5CDD505-2E9C-101B-9397-08002B2CF9AE}" pid="23" name="_dlc_DocId">
    <vt:lpwstr>ECCSC-137315752-8697</vt:lpwstr>
  </property>
  <property fmtid="{D5CDD505-2E9C-101B-9397-08002B2CF9AE}" pid="24" name="_dlc_DocIdItemGuid">
    <vt:lpwstr>61355e8d-af12-44ff-b0e6-bf6188e2c561</vt:lpwstr>
  </property>
  <property fmtid="{D5CDD505-2E9C-101B-9397-08002B2CF9AE}" pid="25" name="_dlc_DocIdUrl">
    <vt:lpwstr>https://myintracomm-collab.ec.europa.eu/networks/H2020CSC/CIC_B3/_layouts/15/DocIdRedir.aspx?ID=ECCSC-137315752-8697, ECCSC-137315752-8697</vt:lpwstr>
  </property>
</Properties>
</file>