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footer10.xml" ContentType="application/vnd.openxmlformats-officedocument.wordprocessingml.footer+xml"/>
  <Override PartName="/word/footer2.xml" ContentType="application/vnd.openxmlformats-officedocument.wordprocessingml.footer+xml"/>
  <Override PartName="/word/header14.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media/image1.jpeg" ContentType="image/jpeg"/>
  <Override PartName="/word/media/image2.jpeg" ContentType="image/jpeg"/>
  <Override PartName="/word/media/image3.png" ContentType="image/png"/>
  <Override PartName="/word/media/image4.png" ContentType="image/png"/>
  <Override PartName="/word/header15.xml" ContentType="application/vnd.openxmlformats-officedocument.wordprocessingml.header+xml"/>
  <Override PartName="/word/_rels/footnotes.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numbering.xml.rels" ContentType="application/vnd.openxmlformats-package.relationships+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4.xml" ContentType="application/vnd.openxmlformats-officedocument.wordprocessingml.header+xml"/>
  <Override PartName="/word/header6.xml" ContentType="application/vnd.openxmlformats-officedocument.wordprocessingml.header+xml"/>
  <Override PartName="/word/document.xml" ContentType="application/vnd.openxmlformats-officedocument.wordprocessingml.document.main+xml"/>
  <Override PartName="/word/header16.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footer11.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header1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28797"/>
            <w:bookmarkStart w:id="1" w:name="_Toc448828577"/>
            <w:bookmarkStart w:id="2" w:name="_Toc445930535"/>
            <w:bookmarkStart w:id="3" w:name="_Toc443645004"/>
            <w:bookmarkStart w:id="4" w:name="_Toc448834151"/>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8834152"/>
            <w:bookmarkStart w:id="6" w:name="_Toc448828798"/>
            <w:bookmarkStart w:id="7" w:name="_Toc448828578"/>
            <w:bookmarkStart w:id="8" w:name="_Toc445930536"/>
            <w:bookmarkStart w:id="9" w:name="_Toc443645005"/>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8834153"/>
            <w:bookmarkStart w:id="11" w:name="_Toc448828799"/>
            <w:bookmarkStart w:id="12" w:name="_Toc44882857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headerReference w:type="first" r:id="rId6"/>
          <w:footerReference w:type="default" r:id="rId7"/>
          <w:footerReference w:type="first" r:id="rId8"/>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
      <w:bookmarkStart w:id="21" w:name="_Toc448834156_Copy_1"/>
      <w:bookmarkStart w:id="22" w:name="_Toc448834156"/>
      <w:bookmarkStart w:id="23" w:name="_Toc448834156_Copy_1"/>
      <w:bookmarkEnd w:id="22"/>
      <w:bookmarkEnd w:id="23"/>
    </w:p>
    <w:p>
      <w:pPr>
        <w:pStyle w:val="Normal"/>
        <w:ind w:left="0" w:right="0" w:hanging="0"/>
        <w:jc w:val="center"/>
        <w:rPr>
          <w:rFonts w:ascii="Arial" w:hAnsi="Arial" w:cs="Arial"/>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0"/>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11"/>
          <w:headerReference w:type="default" r:id="rId12"/>
          <w:headerReference w:type="first" r:id="rId13"/>
          <w:footerReference w:type="default" r:id="rId14"/>
          <w:footerReference w:type="first" r:id="rId15"/>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 xml:space="preserve">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w:t>
      </w:r>
      <w:r>
        <w:rPr/>
        <w:t>In turn, this capacity gap between NTUA and prestigious European institutes in the field, severely undermines its ability to successfully apply for research proposals and secure funding for its research activities.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ind w:right="0" w:hanging="0"/>
        <w:jc w:val="both"/>
        <w:rPr/>
      </w:pPr>
      <w:r>
        <w:rPr/>
        <w:t>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1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Significantly increase its international standing and visibility in the research community.</w:t>
      </w:r>
    </w:p>
    <w:p>
      <w:pPr>
        <w:pStyle w:val="Normal"/>
        <w:widowControl/>
        <w:numPr>
          <w:ilvl w:val="0"/>
          <w:numId w:val="1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studies.</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w:t>
      </w:r>
      <w:r>
        <w:rPr/>
        <w:t>(EOP)</w:t>
      </w:r>
      <w:r>
        <w:rPr/>
        <w:t xml:space="preserve">)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w:t>
      </w:r>
      <w:r>
        <w:rPr/>
        <w:t xml:space="preserve">expertise </w:t>
      </w:r>
      <w:r>
        <w:rPr/>
        <w:t xml:space="preserve">node, since it has a longstanding contribution in the technique, evident by its involvement in the ILRS as an Analysis Center </w:t>
      </w:r>
      <w:r>
        <w:rPr/>
        <w:t>and a long list of relevant scientific publications.</w:t>
      </w:r>
    </w:p>
    <w:p>
      <w:pPr>
        <w:pStyle w:val="Normal"/>
        <w:spacing w:before="0" w:after="200"/>
        <w:ind w:right="0" w:hanging="0"/>
        <w:jc w:val="both"/>
        <w:rPr/>
      </w:pPr>
      <w:r>
        <w:rPr/>
        <w:t>OSO/Chalmers will act as the VLBI knowledge node. OSO hosts one of the few VLBI sites in Europe and is a prominent member of the I</w:t>
      </w:r>
      <w:r>
        <w:rPr/>
        <w:t>VS</w:t>
      </w:r>
      <w:r>
        <w:rPr/>
        <w:t>.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Normal"/>
        <w:spacing w:before="0" w:after="200"/>
        <w:ind w:left="709" w:right="0" w:hanging="709"/>
        <w:jc w:val="both"/>
        <w:rPr>
          <w:i w:val="false"/>
          <w:i w:val="false"/>
          <w:iCs w:val="false"/>
        </w:rPr>
      </w:pPr>
      <w:r>
        <w:rPr>
          <w:i w:val="false"/>
          <w:iCs w:val="false"/>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and role within the scientific community. </w:t>
      </w:r>
    </w:p>
    <w:p>
      <w:pPr>
        <w:pStyle w:val="Normal"/>
        <w:spacing w:before="0" w:after="200"/>
        <w:ind w:left="709" w:right="0" w:hanging="709"/>
        <w:jc w:val="both"/>
        <w:rPr>
          <w:i w:val="false"/>
          <w:i w:val="false"/>
          <w:iCs w:val="false"/>
        </w:rPr>
      </w:pPr>
      <w:r>
        <w:rPr>
          <w:i w:val="false"/>
          <w:iCs w:val="false"/>
        </w:rPr>
      </w:r>
    </w:p>
    <w:p>
      <w:pPr>
        <w:pStyle w:val="Normal"/>
        <w:spacing w:before="0" w:after="200"/>
        <w:ind w:left="709" w:right="0" w:hanging="709"/>
        <w:jc w:val="both"/>
        <w:rPr>
          <w:lang w:val="en-GB"/>
        </w:rPr>
      </w:pPr>
      <w:r>
        <w:rPr/>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Increase funding capabilities and resources for research (project claiming).</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Establishment of a task force in the host institute, with extended networking capabilities and international reach (in a European and international level).</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b/>
                <w:bCs/>
                <w:i w:val="false"/>
                <w:iCs w:val="false"/>
                <w:color w:val="000000"/>
                <w:lang w:val="en-GB"/>
              </w:rPr>
              <w:t>Scientific:</w:t>
            </w:r>
            <w:r>
              <w:rPr>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lang w:val="en-GB"/>
        </w:rPr>
      </w:pPr>
      <w:r>
        <w:rPr>
          <w:lang w:val="en-GB"/>
        </w:rPr>
      </w:r>
    </w:p>
    <w:p>
      <w:pPr>
        <w:sectPr>
          <w:headerReference w:type="even" r:id="rId16"/>
          <w:headerReference w:type="default" r:id="rId17"/>
          <w:headerReference w:type="first" r:id="rId18"/>
          <w:footerReference w:type="default" r:id="rId19"/>
          <w:footerReference w:type="first" r:id="rId20"/>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6479540" cy="4783455"/>
                <wp:effectExtent l="0" t="0" r="0" b="0"/>
                <wp:wrapSquare wrapText="bothSides"/>
                <wp:docPr id="10"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1"/>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22"/>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3"/>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partners. Through these channels, the expert nodes will introduce the host institute to their respective fields of expertise, and lay the groundwork and work-schedule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highlight w:val="none"/>
                <w:shd w:fill="FFFF00" w:val="clear"/>
              </w:rPr>
            </w:pPr>
            <w:r>
              <w:rPr>
                <w:shd w:fill="FFFF00" w:val="clea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and collaboration, at least for the duration of ACRONYM. The expert partners will introduce the DORIS technique to their peers in the host institute via online webinars, venture labs and one short term encounter of all three involved partners. This encounter will be hosted by IPGP and will include the schooling of the host’s personnel and its training on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thus strengthening ties and synergies.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solid communication channel, at least for the duration of ACRONYM. The expert partner will introduce the SLR technique to its peers in the host institute via online webinars, venture labs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channel, at least for the duration of ACRONYM. The expert partner will introduce the VLBI technique to its peers in the host institute via online webinars, venture labs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Research Funding Capacity (M1-M24); Lead CLS</w:t>
            </w:r>
          </w:p>
          <w:p>
            <w:pPr>
              <w:pStyle w:val="Normal"/>
              <w:widowControl w:val="false"/>
              <w:tabs>
                <w:tab w:val="clear" w:pos="720"/>
              </w:tabs>
              <w:spacing w:before="60" w:after="60"/>
              <w:ind w:left="0" w:right="0" w:hanging="0"/>
              <w:jc w:val="both"/>
              <w:rPr/>
            </w:pPr>
            <w:r>
              <w:rPr>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 will adhere to a free and open-source policy for all software tools to be built within the framework of this WP. Software implementation will be carried out on the public domain via dedicated repositories (hosted e.g. on gitlab) so at to enable a rigorous development platform for the consortium partners, easy and efficient progress monitoring (including the Commission) and instantaneous sharing with the scientific community.</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training,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one on-line webinar and one seminar/workshop in NTUA’s facilities, for the endorsement of ACRONYM, dissemination of its scientific output and results and promotion of innovation in the field of Space Geodesy, Orbit Determination, Space Studies and Geosciences in general. The expert partners will introduce and present novelties and current and future trends and applications that can have an effect in the related market. Both seminars will be open to any interested parties and especially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(M12-M36);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pPr>
            <w:r>
              <w:rPr>
                <w:lang w:val="en-GB"/>
              </w:rPr>
              <w:t>Additionally, members of the consortium will present relevant publications in at least three international conferences, targeting when possible technique-related workshops (e.g. Analysis Centre Workshops organized by IDS and/or ILRS).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4"/>
        <w:gridCol w:w="709"/>
        <w:gridCol w:w="1046"/>
        <w:gridCol w:w="1123"/>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Validation tests for EOP  precise handling</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3"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1" allowOverlap="1" relativeHeight="85">
                      <wp:simplePos x="0" y="0"/>
                      <wp:positionH relativeFrom="column">
                        <wp:posOffset>-537845</wp:posOffset>
                      </wp:positionH>
                      <wp:positionV relativeFrom="paragraph">
                        <wp:posOffset>3850640</wp:posOffset>
                      </wp:positionV>
                      <wp:extent cx="7560310" cy="991235"/>
                      <wp:effectExtent l="0" t="0" r="0" b="0"/>
                      <wp:wrapNone/>
                      <wp:docPr id="12"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lang w:val="en-GB"/>
        </w:rPr>
      </w:pPr>
      <w:r>
        <w:rPr>
          <w:b/>
          <w:lang w:val="en-GB"/>
        </w:rPr>
      </w:r>
    </w:p>
    <w:p>
      <w:pPr>
        <w:pStyle w:val="Normal"/>
        <w:spacing w:before="0" w:after="240"/>
        <w:ind w:left="0" w:right="0" w:hanging="0"/>
        <w:jc w:val="both"/>
        <w:rPr>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4"/>
          <w:headerReference w:type="default" r:id="rId25"/>
          <w:headerReference w:type="first" r:id="rId26"/>
          <w:footerReference w:type="default" r:id="rId27"/>
          <w:footerReference w:type="first" r:id="rId28"/>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9"/>
          <w:headerReference w:type="first" r:id="rId30"/>
          <w:footerReference w:type="default" r:id="rId31"/>
          <w:footerReference w:type="first" r:id="rId32"/>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1"/>
        <w:gridCol w:w="2259"/>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2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17"/>
        <w:gridCol w:w="2420"/>
        <w:gridCol w:w="3828"/>
      </w:tblGrid>
      <w:tr>
        <w:trPr/>
        <w:tc>
          <w:tcPr>
            <w:tcW w:w="381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38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24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0"/>
        <w:gridCol w:w="1477"/>
        <w:gridCol w:w="1467"/>
        <w:gridCol w:w="1458"/>
        <w:gridCol w:w="3122"/>
      </w:tblGrid>
      <w:tr>
        <w:trPr/>
        <w:tc>
          <w:tcPr>
            <w:tcW w:w="2400"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7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rHeight w:val="506" w:hRule="atLeast"/>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0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145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31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rFonts w:ascii="Times New Roman" w:hAnsi="Times New Roman"/>
          <w:b/>
          <w:lang w:val="en-GB"/>
        </w:rPr>
      </w:pPr>
      <w:r>
        <w:rPr>
          <w:rFonts w:ascii="Times New Roman" w:hAnsi="Times New Roman"/>
          <w:b/>
          <w:lang w:val="en-GB"/>
        </w:rPr>
      </w:r>
    </w:p>
    <w:p>
      <w:pPr>
        <w:pStyle w:val="Normal"/>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lang w:val="en-GB"/>
              </w:rPr>
            </w:pPr>
            <w:r>
              <w:rPr>
                <w:rFonts w:ascii="Times New Roman" w:hAnsi="Times New Roman"/>
                <w:b/>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33"/>
      <w:headerReference w:type="first" r:id="rId34"/>
      <w:footerReference w:type="default" r:id="rId35"/>
      <w:footerReference w:type="first" r:id="rId36"/>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1" allowOverlap="1" relativeHeight="76">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1" allowOverlap="1" relativeHeight="25">
              <wp:simplePos x="0" y="0"/>
              <wp:positionH relativeFrom="column">
                <wp:posOffset>0</wp:posOffset>
              </wp:positionH>
              <wp:positionV relativeFrom="paragraph">
                <wp:posOffset>635</wp:posOffset>
              </wp:positionV>
              <wp:extent cx="6616700" cy="267335"/>
              <wp:effectExtent l="5080" t="5715" r="5080" b="4445"/>
              <wp:wrapNone/>
              <wp:docPr id="14"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1" allowOverlap="1" relativeHeight="13">
              <wp:simplePos x="0" y="0"/>
              <wp:positionH relativeFrom="column">
                <wp:posOffset>0</wp:posOffset>
              </wp:positionH>
              <wp:positionV relativeFrom="paragraph">
                <wp:posOffset>635</wp:posOffset>
              </wp:positionV>
              <wp:extent cx="6616700" cy="267335"/>
              <wp:effectExtent l="5080" t="5715" r="5080" b="4445"/>
              <wp:wrapNone/>
              <wp:docPr id="15"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1" allowOverlap="1" relativeHeight="77">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1" allowOverlap="1" relativeHeight="73">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1" allowOverlap="1" relativeHeight="83">
              <wp:simplePos x="0" y="0"/>
              <wp:positionH relativeFrom="column">
                <wp:posOffset>2869565</wp:posOffset>
              </wp:positionH>
              <wp:positionV relativeFrom="paragraph">
                <wp:posOffset>10391775</wp:posOffset>
              </wp:positionV>
              <wp:extent cx="842010" cy="287655"/>
              <wp:effectExtent l="0" t="635" r="0" b="0"/>
              <wp:wrapNone/>
              <wp:docPr id="8"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1" allowOverlap="1" relativeHeight="70">
              <wp:simplePos x="0" y="0"/>
              <wp:positionH relativeFrom="column">
                <wp:posOffset>0</wp:posOffset>
              </wp:positionH>
              <wp:positionV relativeFrom="paragraph">
                <wp:posOffset>635</wp:posOffset>
              </wp:positionV>
              <wp:extent cx="6616700" cy="267335"/>
              <wp:effectExtent l="5080" t="5715" r="5080" b="4445"/>
              <wp:wrapNone/>
              <wp:docPr id="9"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27</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1" allowOverlap="1" relativeHeight="53">
              <wp:simplePos x="0" y="0"/>
              <wp:positionH relativeFrom="column">
                <wp:posOffset>0</wp:posOffset>
              </wp:positionH>
              <wp:positionV relativeFrom="paragraph">
                <wp:posOffset>635</wp:posOffset>
              </wp:positionV>
              <wp:extent cx="6616700" cy="267335"/>
              <wp:effectExtent l="5080" t="5715" r="5080" b="4445"/>
              <wp:wrapNone/>
              <wp:docPr id="13"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png"/><Relationship Id="rId22" Type="http://schemas.openxmlformats.org/officeDocument/2006/relationships/image" Target="media/image4.png"/><Relationship Id="rId23" Type="http://schemas.openxmlformats.org/officeDocument/2006/relationships/image" Target="media/image3.pn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notes" Target="footnotes.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4607</TotalTime>
  <Application>LibreOffice/7.5.4.2$Linux_X86_64 LibreOffice_project/50$Build-2</Application>
  <AppVersion>15.0000</AppVersion>
  <Pages>41</Pages>
  <Words>11118</Words>
  <Characters>63760</Characters>
  <CharactersWithSpaces>74210</CharactersWithSpaces>
  <Paragraphs>754</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2023-07-09T17:12:20Z</dcterms:modified>
  <cp:revision>386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