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header10.xml" ContentType="application/vnd.openxmlformats-officedocument.wordprocessingml.header+xml"/>
  <Override PartName="/word/header8.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header9.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5.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settings.xml" ContentType="application/vnd.openxmlformats-officedocument.wordprocessingml.settings+xml"/>
  <Override PartName="/word/document.xml" ContentType="application/vnd.openxmlformats-officedocument.wordprocessingml.document.main+xml"/>
  <Override PartName="/word/header7.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jpeg" ContentType="image/jpeg"/>
  <Override PartName="/word/media/image3.png" ContentType="image/png"/>
  <Override PartName="/word/media/image4.png" ContentType="image/png"/>
  <Override PartName="/word/header2.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pPr>
      <w:r>
        <w:rPr/>
        <w:drawing>
          <wp:inline distT="0" distB="0" distL="0" distR="0">
            <wp:extent cx="3200400" cy="2138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138680"/>
                    </a:xfrm>
                    <a:prstGeom prst="rect">
                      <a:avLst/>
                    </a:prstGeom>
                  </pic:spPr>
                </pic:pic>
              </a:graphicData>
            </a:graphic>
          </wp:inline>
        </w:drawing>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ind w:left="0" w:right="0" w:hanging="0"/>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ind w:left="0" w:right="0" w:hanging="0"/>
        <w:jc w:val="center"/>
        <w:rPr>
          <w:lang w:val="en-GB"/>
        </w:rPr>
      </w:pPr>
      <w:r>
        <w:rPr>
          <w:rFonts w:ascii="EC Square Sans Pro Medium" w:hAnsi="EC Square Sans Pro Medium"/>
          <w:b/>
          <w:bCs/>
          <w:sz w:val="48"/>
          <w:szCs w:val="48"/>
          <w:lang w:val="en-GB"/>
        </w:rPr>
        <w:t>Horizon Europe Programme</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48"/>
          <w:szCs w:val="48"/>
          <w:lang w:val="en-GB"/>
        </w:rPr>
        <w:t>Specific Application Form (HE CSA)</w:t>
      </w:r>
    </w:p>
    <w:p>
      <w:pPr>
        <w:pStyle w:val="Normal"/>
        <w:ind w:left="0" w:right="0" w:hanging="0"/>
        <w:jc w:val="center"/>
        <w:rPr>
          <w:lang w:val="en-GB"/>
        </w:rPr>
      </w:pPr>
      <w:r>
        <w:rPr>
          <w:rFonts w:ascii="EC Square Sans Pro Light" w:hAnsi="EC Square Sans Pro Light"/>
          <w:b/>
          <w:bCs/>
          <w:sz w:val="48"/>
          <w:szCs w:val="48"/>
          <w:lang w:val="en-GB"/>
        </w:rPr>
        <w:t>HORIZON-WIDERA-2023-ACCESS-02</w:t>
        <w:br/>
      </w:r>
    </w:p>
    <w:p>
      <w:pPr>
        <w:pStyle w:val="Normal"/>
        <w:ind w:left="0" w:right="0" w:hanging="0"/>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fmt="decimal"/>
          <w:formProt w:val="false"/>
          <w:textDirection w:val="lrTb"/>
          <w:docGrid w:type="default" w:linePitch="100" w:charSpace="8396"/>
        </w:sectPr>
        <w:pStyle w:val="Normal"/>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ind w:left="0" w:right="0" w:hanging="0"/>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139" w:type="dxa"/>
        <w:jc w:val="center"/>
        <w:tblInd w:w="0" w:type="dxa"/>
        <w:tblLayout w:type="fixed"/>
        <w:tblCellMar>
          <w:top w:w="0" w:type="dxa"/>
          <w:left w:w="108" w:type="dxa"/>
          <w:bottom w:w="0" w:type="dxa"/>
          <w:right w:w="108" w:type="dxa"/>
        </w:tblCellMar>
      </w:tblPr>
      <w:tblGrid>
        <w:gridCol w:w="1072"/>
        <w:gridCol w:w="1560"/>
        <w:gridCol w:w="6507"/>
      </w:tblGrid>
      <w:tr>
        <w:trPr/>
        <w:tc>
          <w:tcPr>
            <w:tcW w:w="9139"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before="120" w:after="60"/>
              <w:ind w:left="0" w:right="0" w:hanging="0"/>
              <w:jc w:val="center"/>
              <w:rPr>
                <w:lang w:val="en-GB"/>
              </w:rPr>
            </w:pPr>
            <w:bookmarkStart w:id="0" w:name="_Toc448834151"/>
            <w:bookmarkStart w:id="1" w:name="_Toc443645004"/>
            <w:bookmarkStart w:id="2" w:name="_Toc445930535"/>
            <w:bookmarkStart w:id="3" w:name="_Toc448828577"/>
            <w:bookmarkStart w:id="4" w:name="_Toc448828797"/>
            <w:r>
              <w:rPr>
                <w:b/>
                <w:bCs/>
                <w:iCs/>
                <w:szCs w:val="20"/>
                <w:lang w:val="en-GB"/>
              </w:rPr>
              <w:t>HISTORY OF CHANGES</w:t>
            </w:r>
            <w:bookmarkEnd w:id="0"/>
            <w:bookmarkEnd w:id="1"/>
            <w:bookmarkEnd w:id="2"/>
            <w:bookmarkEnd w:id="3"/>
            <w:bookmarkEnd w:id="4"/>
          </w:p>
        </w:tc>
      </w:tr>
      <w:tr>
        <w:trPr/>
        <w:tc>
          <w:tcPr>
            <w:tcW w:w="107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5" w:name="_Toc443645005"/>
            <w:bookmarkStart w:id="6" w:name="_Toc445930536"/>
            <w:bookmarkStart w:id="7" w:name="_Toc448828578"/>
            <w:bookmarkStart w:id="8" w:name="_Toc448828798"/>
            <w:bookmarkStart w:id="9" w:name="_Toc448834152"/>
            <w:r>
              <w:rPr>
                <w:b/>
                <w:bCs/>
                <w:iCs/>
                <w:szCs w:val="20"/>
                <w:lang w:val="en-GB"/>
              </w:rPr>
              <w:t>Version</w:t>
            </w:r>
            <w:bookmarkEnd w:id="5"/>
            <w:bookmarkEnd w:id="6"/>
            <w:bookmarkEnd w:id="7"/>
            <w:bookmarkEnd w:id="8"/>
            <w:bookmarkEnd w:id="9"/>
          </w:p>
        </w:tc>
        <w:tc>
          <w:tcPr>
            <w:tcW w:w="1560"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0" w:name="_Toc443645006"/>
            <w:bookmarkStart w:id="11" w:name="_Toc445930537"/>
            <w:bookmarkStart w:id="12" w:name="_Toc448828579"/>
            <w:bookmarkStart w:id="13" w:name="_Toc448828799"/>
            <w:bookmarkStart w:id="14" w:name="_Toc448834153"/>
            <w:r>
              <w:rPr>
                <w:b/>
                <w:bCs/>
                <w:iCs/>
                <w:szCs w:val="20"/>
                <w:lang w:val="en-GB"/>
              </w:rPr>
              <w:t>Publication date</w:t>
            </w:r>
            <w:bookmarkEnd w:id="10"/>
            <w:bookmarkEnd w:id="11"/>
            <w:bookmarkEnd w:id="12"/>
            <w:bookmarkEnd w:id="13"/>
            <w:bookmarkEnd w:id="14"/>
          </w:p>
        </w:tc>
        <w:tc>
          <w:tcPr>
            <w:tcW w:w="6507"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5" w:name="_Toc443645007"/>
            <w:bookmarkStart w:id="16" w:name="_Toc445930538"/>
            <w:bookmarkStart w:id="17" w:name="_Toc448828580"/>
            <w:bookmarkStart w:id="18" w:name="_Toc448828800"/>
            <w:bookmarkStart w:id="19" w:name="_Toc448834154"/>
            <w:r>
              <w:rPr>
                <w:b/>
                <w:bCs/>
                <w:iCs/>
                <w:szCs w:val="20"/>
                <w:lang w:val="en-GB"/>
              </w:rPr>
              <w:t>Changes</w:t>
            </w:r>
            <w:bookmarkEnd w:id="15"/>
            <w:bookmarkEnd w:id="16"/>
            <w:bookmarkEnd w:id="17"/>
            <w:bookmarkEnd w:id="18"/>
            <w:bookmarkEnd w:id="19"/>
          </w:p>
        </w:tc>
      </w:tr>
      <w:tr>
        <w:trPr/>
        <w:tc>
          <w:tcPr>
            <w:tcW w:w="107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spacing w:before="60" w:after="60"/>
              <w:ind w:left="0" w:right="0" w:hanging="0"/>
              <w:jc w:val="center"/>
              <w:rPr>
                <w:lang w:val="en-GB"/>
              </w:rPr>
            </w:pPr>
            <w:r>
              <w:rPr>
                <w:sz w:val="18"/>
                <w:szCs w:val="18"/>
                <w:lang w:val="en-GB"/>
              </w:rPr>
              <w:t>1.0</w:t>
            </w:r>
          </w:p>
        </w:tc>
        <w:tc>
          <w:tcPr>
            <w:tcW w:w="1560"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tabs>
                <w:tab w:val="clear" w:pos="720"/>
              </w:tabs>
              <w:spacing w:before="60" w:after="60"/>
              <w:ind w:left="0" w:right="0" w:hanging="0"/>
              <w:jc w:val="center"/>
              <w:rPr>
                <w:lang w:val="en-GB"/>
              </w:rPr>
            </w:pPr>
            <w:r>
              <w:rPr>
                <w:sz w:val="18"/>
                <w:szCs w:val="18"/>
                <w:lang w:val="en-GB"/>
              </w:rPr>
              <w:t>14.02.2023</w:t>
            </w:r>
          </w:p>
        </w:tc>
        <w:tc>
          <w:tcPr>
            <w:tcW w:w="6507"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spacing w:before="60" w:after="60"/>
              <w:ind w:left="318" w:right="0" w:hanging="284"/>
              <w:jc w:val="both"/>
              <w:rPr>
                <w:lang w:val="en-GB"/>
              </w:rPr>
            </w:pPr>
            <w:r>
              <w:rPr>
                <w:sz w:val="18"/>
                <w:szCs w:val="18"/>
                <w:lang w:val="en-GB"/>
              </w:rPr>
              <w:t>Initial version</w:t>
            </w:r>
          </w:p>
        </w:tc>
      </w:tr>
    </w:tbl>
    <w:p>
      <w:pPr>
        <w:pStyle w:val="Normal"/>
        <w:widowControl w:val="false"/>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default" r:id="rId5"/>
          <w:footerReference w:type="default" r:id="rId6"/>
          <w:type w:val="nextPage"/>
          <w:pgSz w:w="11906" w:h="16838"/>
          <w:pgMar w:left="851" w:right="851" w:gutter="0" w:header="720" w:top="851" w:footer="720" w:bottom="1066"/>
          <w:pgNumType w:start="1" w:fmt="decimal"/>
          <w:formProt w:val="false"/>
          <w:textDirection w:val="lrTb"/>
          <w:docGrid w:type="default" w:linePitch="100" w:charSpace="8396"/>
        </w:sect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rPr>
          <w:lang w:val="en-GB"/>
        </w:rPr>
      </w:pPr>
      <w:r>
        <w:rPr>
          <w:lang w:val="en-GB"/>
        </w:rPr>
      </w:r>
      <w:bookmarkStart w:id="20" w:name="_Toc448834156_Copy_1"/>
      <w:bookmarkStart w:id="21" w:name="_Toc448834156"/>
      <w:bookmarkStart w:id="22" w:name="_Toc448834156_Copy_1"/>
      <w:bookmarkStart w:id="23" w:name="_Toc448834156"/>
      <w:bookmarkEnd w:id="22"/>
      <w:bookmarkEnd w:id="23"/>
    </w:p>
    <w:p>
      <w:pPr>
        <w:pStyle w:val="Normal"/>
        <w:ind w:left="0" w:right="0" w:hanging="0"/>
        <w:jc w:val="center"/>
        <w:rPr>
          <w:rFonts w:ascii="Arial" w:hAnsi="Arial" w:cs="Arial"/>
          <w:b/>
          <w:b/>
          <w:sz w:val="20"/>
          <w:szCs w:val="20"/>
          <w:u w:val="single"/>
        </w:rPr>
      </w:pPr>
      <w:r>
        <w:rPr>
          <w:rFonts w:cs="Arial" w:ascii="Arial" w:hAnsi="Arial"/>
          <w:b/>
          <w:sz w:val="20"/>
          <w:szCs w:val="20"/>
          <w:u w:val="single"/>
        </w:rPr>
      </w:r>
    </w:p>
    <w:p>
      <w:pPr>
        <w:pStyle w:val="Normal"/>
        <w:ind w:left="0" w:right="0" w:hanging="0"/>
        <w:jc w:val="center"/>
        <w:rPr>
          <w:lang w:val="en-GB"/>
        </w:rPr>
      </w:pPr>
      <w:r>
        <w:rPr>
          <w:b/>
          <w:sz w:val="40"/>
          <w:szCs w:val="40"/>
          <w:lang w:val="en-GB"/>
        </w:rPr>
        <w:t>Proposal template Part B: technical description</w:t>
      </w:r>
    </w:p>
    <w:p>
      <w:pPr>
        <w:pStyle w:val="Normal"/>
        <w:ind w:left="0" w:right="0" w:hanging="0"/>
        <w:jc w:val="center"/>
        <w:rPr>
          <w:lang w:val="en-GB"/>
        </w:rPr>
      </w:pPr>
      <w:r>
        <w:rPr>
          <w:b/>
          <w:i/>
          <w:lang w:val="en-GB"/>
        </w:rPr>
        <w:t>(for full proposals: single stage submission procedure and 2</w:t>
      </w:r>
      <w:r>
        <w:rPr>
          <w:b/>
          <w:i/>
          <w:vertAlign w:val="superscript"/>
          <w:lang w:val="en-GB"/>
        </w:rPr>
        <w:t>nd</w:t>
      </w:r>
      <w:r>
        <w:rPr>
          <w:b/>
          <w:i/>
          <w:lang w:val="en-GB"/>
        </w:rPr>
        <w:t xml:space="preserve"> stage of a two-stage submission procedure)</w:t>
      </w:r>
    </w:p>
    <w:p>
      <w:pPr>
        <w:pStyle w:val="Normal"/>
        <w:ind w:left="0" w:right="0" w:hanging="0"/>
        <w:jc w:val="both"/>
        <w:rPr>
          <w:lang w:val="en-GB"/>
        </w:rPr>
      </w:pPr>
      <w:r>
        <w:rPr>
          <w:lang w:val="en-GB"/>
        </w:rPr>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template is to be used in a single-stage submission procedure or at the 2</w:t>
      </w:r>
      <w:r>
        <w:rPr>
          <w:rFonts w:ascii="Times New Roman" w:hAnsi="Times New Roman"/>
          <w:vertAlign w:val="superscript"/>
          <w:lang w:val="en-GB"/>
        </w:rPr>
        <w:t>nd</w:t>
      </w:r>
      <w:r>
        <w:rPr>
          <w:rFonts w:ascii="Times New Roman" w:hAnsi="Times New Roman"/>
          <w:lang w:val="en-GB"/>
        </w:rPr>
        <w:t xml:space="preserve"> stage of a two-stage submission procedure.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165100" cy="165100"/>
                    </a:xfrm>
                    <a:prstGeom prst="rect">
                      <a:avLst/>
                    </a:prstGeom>
                  </pic:spPr>
                </pic:pic>
              </a:graphicData>
            </a:graphic>
          </wp:inline>
        </w:drawing>
      </w:r>
      <w:r>
        <w:rPr>
          <w:rFonts w:ascii="Times New Roman" w:hAnsi="Times New Roman"/>
          <w:b/>
          <w:lang w:val="en-GB"/>
        </w:rPr>
        <w:t xml:space="preserve"> </w:t>
      </w:r>
      <w:r>
        <w:rPr>
          <w:rFonts w:ascii="Times New Roman" w:hAnsi="Times New Roman"/>
          <w:b/>
          <w:lang w:val="en-GB"/>
        </w:rPr>
        <w:t>Page limit</w:t>
      </w:r>
      <w:r>
        <w:rPr>
          <w:rFonts w:ascii="Times New Roman" w:hAnsi="Times New Roman"/>
          <w:lang w:val="en-GB"/>
        </w:rPr>
        <w:t xml:space="preserve">: </w:t>
      </w:r>
      <w:r>
        <w:rPr>
          <w:rFonts w:ascii="Times New Roman" w:hAnsi="Times New Roman"/>
          <w:u w:val="single"/>
          <w:lang w:val="en-GB"/>
        </w:rPr>
        <w:t>The title, list of participants and sections 1, 2 and 3, together, should not be longer than 30 pages. For topics using lump sum funding, the limit is 33 pages</w:t>
      </w:r>
      <w:r>
        <w:rPr>
          <w:rFonts w:ascii="Times New Roman" w:hAnsi="Times New Roman"/>
          <w:lang w:val="en-GB"/>
        </w:rPr>
        <w:t xml:space="preserve"> All tables, figures, references and any other element pertaining to these sections must be included as an integral part of these sections and are thus counted against this page limit. The number of pages included in each section of this template is only </w:t>
      </w:r>
      <w:r>
        <w:rPr>
          <w:rFonts w:ascii="Times New Roman" w:hAnsi="Times New Roman"/>
          <w:b/>
          <w:lang w:val="en-GB"/>
        </w:rPr>
        <w:t>indicative.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page limit will be applied automatically. </w:t>
      </w:r>
      <w:r>
        <w:rPr>
          <w:rFonts w:ascii="Times New Roman" w:hAnsi="Times New Roman"/>
          <w:b/>
          <w:lang w:val="en-GB"/>
        </w:rPr>
        <w:t>At the end of the document you can see the structure of the actual proposal that you need to submit, please remove all instruction pages that are watermarked.</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do not consider the page limit as a target! It is in your interest to keep your text as concise as possible, since experts rarely view unnecessarily long proposals in a positive light.</w:t>
      </w:r>
      <w:r>
        <w:rPr/>
        <w:t xml:space="preserve">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165100" cy="165100"/>
                    </a:xfrm>
                    <a:prstGeom prst="rect">
                      <a:avLst/>
                    </a:prstGeom>
                  </pic:spPr>
                </pic:pic>
              </a:graphicData>
            </a:graphic>
          </wp:inline>
        </w:drawing>
      </w:r>
      <w:r>
        <w:rPr>
          <w:rFonts w:ascii="Times New Roman" w:hAnsi="Times New Roman"/>
          <w:lang w:val="en-GB"/>
        </w:rPr>
        <w:t xml:space="preserve"> </w:t>
      </w:r>
      <w:r>
        <w:rPr>
          <w:rFonts w:ascii="Times New Roman" w:hAnsi="Times New Roman"/>
          <w:lang w:val="en-GB"/>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reference font for the body text of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minimum font size allowed is 11 points. Standard character spacing and a minimum of single line spacing is to be used. This applies to the body text, including text in tables.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page size is A4, and all margins (top, bottom, left, right) should be at least 15 mm (not including any footers or headers).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document is tagged. Be careful not to delete the tags; they are needed for processing.</w:t>
      </w:r>
    </w:p>
    <w:p>
      <w:pPr>
        <w:pStyle w:val="Normal"/>
        <w:spacing w:before="0" w:after="200"/>
        <w:ind w:left="0" w:right="0" w:hanging="0"/>
        <w:rPr>
          <w:b/>
          <w:b/>
          <w:lang w:val="en-GB"/>
        </w:rPr>
      </w:pPr>
      <w:r>
        <w:rPr>
          <w:b/>
          <w:lang w:val="en-GB"/>
        </w:rPr>
      </w:r>
    </w:p>
    <w:tbl>
      <w:tblPr>
        <w:tblW w:w="10313" w:type="dxa"/>
        <w:jc w:val="left"/>
        <w:tblInd w:w="-114" w:type="dxa"/>
        <w:tblLayout w:type="fixed"/>
        <w:tblCellMar>
          <w:top w:w="0" w:type="dxa"/>
          <w:left w:w="108" w:type="dxa"/>
          <w:bottom w:w="0" w:type="dxa"/>
          <w:right w:w="108" w:type="dxa"/>
        </w:tblCellMar>
      </w:tblPr>
      <w:tblGrid>
        <w:gridCol w:w="1263"/>
        <w:gridCol w:w="9049"/>
      </w:tblGrid>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center"/>
              <w:rPr/>
            </w:pPr>
            <w:r>
              <w:rPr>
                <w:b/>
                <w:bCs/>
              </w:rPr>
              <w:t>DEFINITIONS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Critical risk</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critical risk is a plausible event or issue that could have a high adverse impact on the ability of the project to achieve its objectives.</w:t>
            </w:r>
          </w:p>
          <w:p>
            <w:pPr>
              <w:pStyle w:val="Normal"/>
              <w:widowControl w:val="false"/>
              <w:tabs>
                <w:tab w:val="clear" w:pos="720"/>
              </w:tabs>
              <w:spacing w:before="0" w:after="200"/>
              <w:ind w:left="0" w:right="0" w:hanging="0"/>
              <w:jc w:val="both"/>
              <w:rPr/>
            </w:pPr>
            <w:r>
              <w:rPr>
                <w:bCs/>
              </w:rPr>
              <w:t>Level of likelihood to occur (Low/medium/high): The likelihood is the estimated probability that the risk will materialise even after taking account of the mitigating measures put in place.</w:t>
            </w:r>
          </w:p>
          <w:p>
            <w:pPr>
              <w:pStyle w:val="Normal"/>
              <w:widowControl w:val="false"/>
              <w:tabs>
                <w:tab w:val="clear" w:pos="720"/>
              </w:tabs>
              <w:spacing w:before="0" w:after="200"/>
              <w:ind w:left="0" w:right="0" w:hanging="0"/>
              <w:jc w:val="both"/>
              <w:rPr>
                <w:lang w:val="en-GB"/>
              </w:rPr>
            </w:pPr>
            <w:r>
              <w:rPr>
                <w:bCs/>
                <w:lang w:val="en-GB"/>
              </w:rPr>
              <w:t>Level of severity (Low/medium/high): The relative seriousness of the risk and the significance of its effect.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Deliverable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Impacts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Wider long term effects on society (including the environment), the economy and science, enabled by the outcomes of R&amp;I investments (long term). It refers to the specific contribution of the project to the work programme expected impacts described in the destination. Impacts generally occur some time after the end of the project.</w:t>
            </w:r>
          </w:p>
          <w:p>
            <w:pPr>
              <w:pStyle w:val="Normal"/>
              <w:widowControl w:val="false"/>
              <w:tabs>
                <w:tab w:val="clear" w:pos="720"/>
              </w:tabs>
              <w:spacing w:before="0" w:after="200"/>
              <w:ind w:left="0" w:right="0" w:hanging="0"/>
              <w:jc w:val="both"/>
              <w:rPr/>
            </w:pPr>
            <w:r>
              <w:rPr>
                <w:bCs/>
              </w:rPr>
              <w:t xml:space="preserve">Example: </w:t>
            </w:r>
            <w:r>
              <w:rPr>
                <w:bCs/>
                <w:i/>
              </w:rPr>
              <w:t xml:space="preserve">The deployment of the advanced forecasting system enables each airport to </w:t>
            </w:r>
            <w:r>
              <w:rPr>
                <w:bCs/>
                <w:i/>
                <w:iCs/>
              </w:rPr>
              <w:t>increase maximum passenger capacity by 15% and passenger average throughput by 10%, leading to a 28% reduction in infrastructure expansion costs.</w:t>
            </w:r>
          </w:p>
        </w:tc>
      </w:tr>
      <w:tr>
        <w:trPr>
          <w:trHeight w:val="142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Milestone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107" w:hanging="0"/>
              <w:jc w:val="both"/>
              <w:rPr/>
            </w:pPr>
            <w:r>
              <w:rPr>
                <w:bCs/>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r>
              <w:rPr>
                <w:b/>
              </w:rPr>
              <w:t xml:space="preserve"> </w:t>
            </w:r>
            <w:r>
              <w:rPr>
                <w:bCs/>
              </w:rPr>
              <w:t>The achievement of a milestone should be verifiable.</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Objectives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 of the objectives will depend on the type of action, and the scope of the topic.</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Outcomes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expected effects, over the medium term, of projects supported under a given topic.  The results of a project should contribute to these outcomes, fostered in particular by the dissemination and exploitation measures. This may include the uptake, diffusion, deployment, and/or use of the project’s results by direct target groups. Outcomes generally occur shortly after the end of the project.</w:t>
            </w:r>
          </w:p>
          <w:p>
            <w:pPr>
              <w:pStyle w:val="Normal"/>
              <w:widowControl w:val="false"/>
              <w:tabs>
                <w:tab w:val="clear" w:pos="720"/>
              </w:tabs>
              <w:spacing w:before="0" w:after="200"/>
              <w:ind w:left="0" w:right="0" w:hanging="0"/>
              <w:jc w:val="both"/>
              <w:rPr/>
            </w:pPr>
            <w:r>
              <w:rPr>
                <w:bCs/>
              </w:rPr>
              <w:t xml:space="preserve">Example:  </w:t>
            </w:r>
            <w:r>
              <w:rPr>
                <w:i/>
              </w:rPr>
              <w:t>9 European airports adopt the advanced forecasting system demonstrated during the project.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Pathway to impact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 the work programme destination.</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Research output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Results generated by the action to which access can be given in the form of scientific publications, data or other engineered outcomes and processes such as software, algorithms, protocols and electronic notebooks.</w:t>
            </w:r>
          </w:p>
        </w:tc>
      </w:tr>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ntions, scientific works, etc.) are ‘Intellectual Property’, which may, if appropriate, be protected by formal Intellectual Property Rights.</w:t>
            </w:r>
          </w:p>
          <w:p>
            <w:pPr>
              <w:pStyle w:val="Normal"/>
              <w:widowControl w:val="false"/>
              <w:tabs>
                <w:tab w:val="clear" w:pos="720"/>
              </w:tabs>
              <w:spacing w:before="0" w:after="200"/>
              <w:ind w:left="0" w:right="0" w:hanging="0"/>
              <w:jc w:val="both"/>
              <w:rPr/>
            </w:pPr>
            <w:r>
              <w:rPr>
                <w:bCs/>
              </w:rPr>
              <w:t xml:space="preserve">Example: </w:t>
            </w:r>
            <w:r>
              <w:rPr>
                <w:i/>
                <w:lang w:val="en-GB"/>
              </w:rPr>
              <w:t>Successful large-scale demonstrator: trial with 3 airports of an advanced forecasting system for proactive airport passenger flow management.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Technology Readiness Level</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See Work Programme General Annexes B</w:t>
            </w:r>
          </w:p>
        </w:tc>
      </w:tr>
    </w:tbl>
    <w:p>
      <w:pPr>
        <w:sectPr>
          <w:headerReference w:type="even" r:id="rId9"/>
          <w:headerReference w:type="default" r:id="rId10"/>
          <w:headerReference w:type="first" r:id="rId11"/>
          <w:footerReference w:type="default" r:id="rId12"/>
          <w:footerReference w:type="first" r:id="rId13"/>
          <w:type w:val="nextPage"/>
          <w:pgSz w:w="11906" w:h="16838"/>
          <w:pgMar w:left="1134" w:right="1134" w:gutter="0" w:header="720" w:top="1134" w:footer="720" w:bottom="1134"/>
          <w:pgNumType w:fmt="decimal"/>
          <w:formProt w:val="false"/>
          <w:titlePg/>
          <w:textDirection w:val="lrTb"/>
          <w:docGrid w:type="default" w:linePitch="100" w:charSpace="8396"/>
        </w:sectPr>
      </w:pPr>
    </w:p>
    <w:p>
      <w:pPr>
        <w:pStyle w:val="Normal"/>
        <w:widowControl w:val="false"/>
        <w:spacing w:before="0" w:after="120"/>
        <w:ind w:left="0" w:right="0" w:hanging="0"/>
        <w:jc w:val="both"/>
        <w:rPr>
          <w:i/>
          <w:i/>
        </w:rPr>
      </w:pPr>
      <w:r>
        <w:rPr>
          <w:i/>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b/>
          <w:smallCaps/>
          <w:sz w:val="28"/>
          <w:szCs w:val="28"/>
          <w:lang w:val="en-GB"/>
        </w:rPr>
        <w:t>NTUA Space Geodesy Centre of excellence</w:t>
      </w:r>
    </w:p>
    <w:p>
      <w:pPr>
        <w:pStyle w:val="Tags"/>
        <w:bidi w:val="0"/>
        <w:spacing w:before="0" w:after="0"/>
        <w:ind w:left="0" w:right="0" w:hanging="0"/>
        <w:rPr>
          <w:lang w:val="en-US"/>
        </w:rPr>
      </w:pPr>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p>
    <w:p>
      <w:pPr>
        <w:pStyle w:val="Normal"/>
        <w:spacing w:before="0" w:after="200"/>
        <w:ind w:left="0" w:right="0" w:hanging="0"/>
        <w:jc w:val="both"/>
        <w:rPr>
          <w:lang w:val="en-GB"/>
        </w:rPr>
      </w:pPr>
      <w:r>
        <w:rPr>
          <w:b/>
          <w:lang w:val="en-GB"/>
        </w:rPr>
        <w:t xml:space="preserve">List of participants </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lang w:val="en-GB"/>
              </w:rPr>
              <w:t>1 NTUA</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2 CLS</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3 IPGP</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4 GFZ</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5 OSO</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bl>
    <w:p>
      <w:pPr>
        <w:pStyle w:val="Normal"/>
        <w:widowControl w:val="false"/>
        <w:spacing w:lineRule="atLeast" w:line="360" w:before="0" w:after="240"/>
        <w:ind w:left="426" w:right="0" w:hanging="0"/>
        <w:rPr/>
      </w:pPr>
      <w:r>
        <w:rPr>
          <w:sz w:val="20"/>
          <w:szCs w:val="20"/>
        </w:rPr>
        <w:t xml:space="preserve">* </w:t>
      </w:r>
      <w:r>
        <w:rPr>
          <w:sz w:val="20"/>
          <w:szCs w:val="20"/>
          <w:lang w:val="en-GB"/>
        </w:rPr>
        <w:t xml:space="preserve">Please use the same participant numbering and name as that used in the administrative proposal forms. </w:t>
      </w:r>
    </w:p>
    <w:p>
      <w:pPr>
        <w:pStyle w:val="ListParagraph"/>
        <w:widowControl/>
        <w:bidi w:val="0"/>
        <w:spacing w:lineRule="auto" w:line="252" w:before="0" w:after="200"/>
        <w:ind w:left="360" w:right="0" w:hanging="0"/>
        <w:contextualSpacing/>
        <w:jc w:val="both"/>
        <w:rPr>
          <w:lang w:val="en-GB"/>
        </w:rPr>
      </w:pPr>
      <w:r>
        <w:rPr>
          <w:lang w:val="en-GB"/>
        </w:rPr>
      </w:r>
      <w:r>
        <w:br w:type="page"/>
      </w:r>
    </w:p>
    <w:p>
      <w:pPr>
        <w:pStyle w:val="Normal"/>
        <w:spacing w:before="0" w:after="200"/>
        <w:ind w:left="0" w:right="0" w:hanging="0"/>
        <w:jc w:val="both"/>
        <w:rPr>
          <w:lang w:val="en-GB"/>
        </w:rPr>
      </w:pPr>
      <w:r>
        <w:rPr>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fr-BE"/>
        </w:rPr>
      </w:pPr>
      <w:r>
        <w:rPr>
          <w:b/>
          <w:lang w:val="fr-BE"/>
        </w:rPr>
        <w:t>1.1</w:t>
        <w:tab/>
        <w:t xml:space="preserve">Objectives </w:t>
      </w:r>
      <w:r>
        <w:rPr>
          <w:rFonts w:cs="Arial"/>
          <w:color w:val="B5B5B5"/>
          <w:sz w:val="18"/>
          <w:szCs w:val="16"/>
        </w:rPr>
        <w:t>#@PRJ-OBJ-PO@#</w:t>
      </w:r>
      <w:r>
        <w:rPr>
          <w:i/>
          <w:lang w:val="fr-BE"/>
        </w:rPr>
        <w:t xml:space="preserve"> </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evident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In turn, this capacity gap between NTUA and prestigious European institutes in the field, severely undermines its ability to successfully apply for research proposals and secure funding for its research activities.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ind w:right="0" w:hanging="0"/>
        <w:jc w:val="both"/>
        <w:rPr/>
      </w:pPr>
      <w:r>
        <w:rPr/>
        <w:t>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1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1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17"/>
        </w:numPr>
        <w:spacing w:before="0" w:after="200"/>
        <w:jc w:val="both"/>
        <w:rPr/>
      </w:pPr>
      <w:r>
        <w:rPr/>
        <w:t>Significantly increase its international standing and visibility in the research community.</w:t>
      </w:r>
    </w:p>
    <w:p>
      <w:pPr>
        <w:pStyle w:val="Normal"/>
        <w:widowControl/>
        <w:numPr>
          <w:ilvl w:val="0"/>
          <w:numId w:val="1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1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16"/>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16"/>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16"/>
        </w:numPr>
        <w:spacing w:before="0" w:after="200"/>
        <w:jc w:val="both"/>
        <w:rPr/>
      </w:pPr>
      <w:r>
        <w:rPr/>
        <w:t>Enhance the host's capacity in partnership-building, preparation and carrying out of research proposals funded by national authorities, the European Commission (EC) and the European Space Agency (ESA)</w:t>
      </w:r>
    </w:p>
    <w:p>
      <w:pPr>
        <w:pStyle w:val="Normal"/>
        <w:spacing w:before="0" w:after="200"/>
        <w:ind w:left="720" w:right="0" w:hanging="0"/>
        <w:jc w:val="both"/>
        <w:rPr/>
      </w:pPr>
      <w:r>
        <w:rPr>
          <w:rFonts w:cs="Calibri"/>
          <w:color w:val="B5B5B5"/>
          <w:sz w:val="18"/>
          <w:szCs w:val="16"/>
        </w:rPr>
        <w:t>#§PRJ-OBJ-PO§#</w:t>
      </w:r>
    </w:p>
    <w:p>
      <w:pPr>
        <w:pStyle w:val="Normal"/>
        <w:spacing w:before="0" w:after="200"/>
        <w:ind w:left="0" w:right="0" w:hanging="0"/>
        <w:jc w:val="both"/>
        <w:rPr>
          <w:lang w:val="en-GB"/>
        </w:rPr>
      </w:pPr>
      <w:r>
        <w:rPr>
          <w:b/>
          <w:lang w:val="en-GB"/>
        </w:rPr>
        <w:t>1.2</w:t>
        <w:tab/>
        <w:t xml:space="preserve">Coordination and/or support measures and methodology  </w:t>
      </w:r>
      <w:r>
        <w:rPr>
          <w:rFonts w:cs="Arial"/>
          <w:color w:val="B5B5B5"/>
          <w:sz w:val="18"/>
          <w:szCs w:val="18"/>
        </w:rPr>
        <w:t>#@</w:t>
      </w:r>
      <w:r>
        <w:rPr>
          <w:rFonts w:cs="Calibri"/>
          <w:color w:val="B5B5B5"/>
          <w:sz w:val="18"/>
          <w:szCs w:val="16"/>
        </w:rPr>
        <w:t>CON-MET-CM</w:t>
      </w:r>
      <w:r>
        <w:rPr>
          <w:rFonts w:cs="Arial"/>
          <w:color w:val="B5B5B5"/>
          <w:sz w:val="18"/>
          <w:szCs w:val="18"/>
        </w:rPr>
        <w:t>@#</w:t>
      </w:r>
      <w:r>
        <w:rPr>
          <w:rFonts w:cs="Calibri"/>
          <w:color w:val="B5B5B5"/>
          <w:sz w:val="18"/>
          <w:szCs w:val="16"/>
        </w:rPr>
        <w:t xml:space="preserve"> </w:t>
      </w:r>
      <w:r>
        <w:rPr>
          <w:rFonts w:cs="Arial"/>
          <w:color w:val="B5B5B5"/>
          <w:sz w:val="18"/>
          <w:szCs w:val="18"/>
        </w:rPr>
        <w:t>#@</w:t>
      </w:r>
      <w:r>
        <w:rPr>
          <w:rFonts w:cs="Calibri"/>
          <w:color w:val="B5B5B5"/>
          <w:sz w:val="18"/>
          <w:szCs w:val="16"/>
        </w:rPr>
        <w:t>COM-PLE-CP</w:t>
      </w:r>
      <w:r>
        <w:rPr>
          <w:rFonts w:cs="Arial"/>
          <w:color w:val="B5B5B5"/>
          <w:sz w:val="18"/>
          <w:szCs w:val="18"/>
        </w:rPr>
        <w:t>@#</w:t>
      </w:r>
      <w:r>
        <w:rPr>
          <w:i/>
          <w:lang w:val="en-GB"/>
        </w:rPr>
        <w:t xml:space="preserve"> </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studies.</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ind w:right="0" w:hanging="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t>To further allow for potent capacity building, the twining partners will decide on and draw up a work plan for the second phase of capacity building, to be implemented in WP3. The target here will be the severe strengthening of NTUA’s research capacity via the designing and building of a space geodetic software tools-box,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thus adopting a “hands-on” approach.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lineRule="auto" w:line="240" w:beforeAutospacing="1" w:after="200"/>
        <w:ind w:left="0" w:right="0" w:hanging="0"/>
        <w:jc w:val="both"/>
        <w:rPr/>
      </w:pPr>
      <w:r>
        <w:rPr>
          <w:rFonts w:cs="Arial"/>
          <w:color w:val="B5B5B5"/>
          <w:sz w:val="18"/>
          <w:szCs w:val="16"/>
        </w:rPr>
        <w:t>#§</w:t>
      </w:r>
      <w:r>
        <w:rPr>
          <w:rFonts w:cs="Calibri"/>
          <w:color w:val="B5B5B5"/>
          <w:sz w:val="18"/>
          <w:szCs w:val="16"/>
        </w:rPr>
        <w:t>CON-MET-CM</w:t>
      </w:r>
      <w:r>
        <w:rPr>
          <w:rFonts w:cs="Arial"/>
          <w:color w:val="B5B5B5"/>
          <w:sz w:val="18"/>
          <w:szCs w:val="16"/>
        </w:rPr>
        <w:t>§#</w:t>
      </w:r>
      <w:r>
        <w:rPr>
          <w:rFonts w:cs="Calibri"/>
          <w:color w:val="B5B5B5"/>
          <w:sz w:val="18"/>
          <w:szCs w:val="16"/>
        </w:rPr>
        <w:t xml:space="preserve"> </w:t>
      </w:r>
      <w:r>
        <w:rPr>
          <w:rFonts w:cs="Arial"/>
          <w:color w:val="B5B5B5"/>
          <w:sz w:val="18"/>
          <w:szCs w:val="16"/>
        </w:rPr>
        <w:t>#§</w:t>
      </w:r>
      <w:r>
        <w:rPr>
          <w:rFonts w:cs="Calibri"/>
          <w:color w:val="B5B5B5"/>
          <w:sz w:val="18"/>
          <w:szCs w:val="16"/>
        </w:rPr>
        <w:t>COM-PLE-CP</w:t>
      </w:r>
      <w:r>
        <w:rPr>
          <w:rFonts w:cs="Arial"/>
          <w:color w:val="B5B5B5"/>
          <w:sz w:val="18"/>
          <w:szCs w:val="16"/>
        </w:rPr>
        <w:t>§#</w:t>
      </w:r>
    </w:p>
    <w:p>
      <w:pPr>
        <w:pStyle w:val="Normal"/>
        <w:spacing w:before="0" w:after="200"/>
        <w:ind w:left="0" w:right="0" w:hanging="0"/>
        <w:jc w:val="both"/>
        <w:rPr>
          <w:lang w:val="en-GB"/>
        </w:rPr>
      </w:pPr>
      <w:r>
        <w:rPr>
          <w:b/>
          <w:bCs/>
          <w:lang w:val="en-GB"/>
        </w:rPr>
        <w:t>2.</w:t>
        <w:tab/>
        <w:t xml:space="preserve">Impact </w:t>
      </w:r>
      <w:r>
        <w:rPr>
          <w:rFonts w:cs="Arial"/>
          <w:color w:val="B5B5B5"/>
          <w:sz w:val="18"/>
          <w:szCs w:val="18"/>
        </w:rPr>
        <w:t>#@IMP-ACT-IA@#</w:t>
      </w:r>
    </w:p>
    <w:tbl>
      <w:tblPr>
        <w:tblW w:w="8885" w:type="dxa"/>
        <w:jc w:val="left"/>
        <w:tblInd w:w="243" w:type="dxa"/>
        <w:tblLayout w:type="fixed"/>
        <w:tblCellMar>
          <w:top w:w="0" w:type="dxa"/>
          <w:left w:w="108" w:type="dxa"/>
          <w:bottom w:w="0" w:type="dxa"/>
          <w:right w:w="108" w:type="dxa"/>
        </w:tblCellMar>
      </w:tblPr>
      <w:tblGrid>
        <w:gridCol w:w="8885"/>
      </w:tblGrid>
      <w:tr>
        <w:trPr>
          <w:trHeight w:val="2390" w:hRule="atLeast"/>
        </w:trPr>
        <w:tc>
          <w:tcPr>
            <w:tcW w:w="88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120"/>
              <w:ind w:left="0" w:right="0" w:hanging="0"/>
              <w:rPr/>
            </w:pPr>
            <w:r>
              <w:rPr>
                <w:b/>
                <w:bCs/>
                <w:i/>
                <w:iCs/>
              </w:rPr>
              <w:t>Impact – aspects to be taken into account.</w:t>
            </w:r>
          </w:p>
          <w:p>
            <w:pPr>
              <w:pStyle w:val="ListParagraph"/>
              <w:widowControl w:val="false"/>
              <w:numPr>
                <w:ilvl w:val="0"/>
                <w:numId w:val="8"/>
              </w:numPr>
              <w:tabs>
                <w:tab w:val="clear" w:pos="720"/>
              </w:tabs>
              <w:bidi w:val="0"/>
              <w:spacing w:before="0" w:after="120"/>
              <w:ind w:left="720" w:right="0" w:hanging="360"/>
              <w:contextualSpacing/>
              <w:jc w:val="both"/>
              <w:rPr/>
            </w:pPr>
            <w:r>
              <w:rPr/>
              <w:t>Credibility of the pathways to achieve the expected outcomes and impacts specified in the work programme, and the likely scale and significance of the contributions due to the project.</w:t>
            </w:r>
          </w:p>
          <w:p>
            <w:pPr>
              <w:pStyle w:val="ListParagraph"/>
              <w:widowControl w:val="false"/>
              <w:numPr>
                <w:ilvl w:val="0"/>
                <w:numId w:val="8"/>
              </w:numPr>
              <w:tabs>
                <w:tab w:val="clear" w:pos="720"/>
              </w:tabs>
              <w:bidi w:val="0"/>
              <w:spacing w:before="0" w:after="120"/>
              <w:ind w:left="720" w:right="0" w:hanging="360"/>
              <w:contextualSpacing/>
              <w:jc w:val="both"/>
              <w:rPr/>
            </w:pPr>
            <w:r>
              <w:rPr/>
              <w:t>Suitability and quality of the measures to maximise expected outcomes and impacts, as set out in the dissemination and exploitation plan, including communication activities.</w:t>
            </w:r>
          </w:p>
        </w:tc>
      </w:tr>
    </w:tbl>
    <w:p>
      <w:pPr>
        <w:pStyle w:val="Normal"/>
        <w:widowControl w:val="false"/>
        <w:spacing w:before="240" w:after="200"/>
        <w:ind w:left="0" w:right="0" w:hanging="0"/>
        <w:jc w:val="both"/>
        <w:rPr/>
      </w:pPr>
      <w:r>
        <w:rPr>
          <w:i/>
        </w:rPr>
        <w:t xml:space="preserve">The results of your project should make a contribution to the expected outcomes set out for the work programme topic over the medium term, and to the wider expected impacts set out in the ‘destination’ over the longer term. </w:t>
      </w:r>
    </w:p>
    <w:p>
      <w:pPr>
        <w:pStyle w:val="Normal"/>
        <w:spacing w:before="240" w:after="200"/>
        <w:ind w:left="0" w:right="0" w:hanging="0"/>
        <w:jc w:val="both"/>
        <w:rPr/>
      </w:pPr>
      <w:r>
        <w:rPr>
          <w:i/>
        </w:rPr>
        <w:t>In this section you should show how  your project could contribute to the outcomes and impacts described in the work programme, the likely scale and significance of this contribution, and the measures to maximise these impacts.</w:t>
      </w:r>
      <w:r>
        <w:rPr>
          <w:b/>
          <w:lang w:val="en-GB"/>
        </w:rPr>
        <w:tab/>
        <w:tab/>
      </w:r>
    </w:p>
    <w:p>
      <w:pPr>
        <w:pStyle w:val="Normal"/>
        <w:spacing w:before="0" w:after="200"/>
        <w:ind w:left="709" w:right="0" w:hanging="709"/>
        <w:jc w:val="both"/>
        <w:rPr>
          <w:lang w:val="en-GB"/>
        </w:rPr>
      </w:pPr>
      <w:r>
        <w:rPr>
          <w:b/>
          <w:lang w:val="en-GB"/>
        </w:rPr>
        <w:t>2.1</w:t>
        <w:tab/>
        <w:tab/>
        <w:t xml:space="preserve">Project’s pathways towards impact </w:t>
      </w:r>
      <w:r>
        <w:rPr>
          <w:i/>
          <w:lang w:val="en-GB"/>
        </w:rPr>
        <w:t>[e.g. 4 pages]</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w:t>
      </w:r>
      <w:r>
        <w:rPr/>
        <w:t>trengthening human capital in research and</w:t>
      </w:r>
      <w:r>
        <w:rPr/>
        <w:t xml:space="preserve">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standing. </w:t>
      </w:r>
    </w:p>
    <w:p>
      <w:pPr>
        <w:pStyle w:val="Normal"/>
        <w:jc w:val="both"/>
        <w:rPr>
          <w:highlight w:val="none"/>
          <w:shd w:fill="FFFF00" w:val="clear"/>
        </w:rPr>
      </w:pPr>
      <w:r>
        <w:rPr/>
      </w:r>
    </w:p>
    <w:p>
      <w:pPr>
        <w:pStyle w:val="Normal"/>
        <w:jc w:val="both"/>
        <w:rPr/>
      </w:pPr>
      <w:r>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jc w:val="both"/>
        <w:rPr/>
      </w:pPr>
      <w:r>
        <w:rPr/>
      </w:r>
    </w:p>
    <w:p>
      <w:pPr>
        <w:pStyle w:val="Normal"/>
        <w:jc w:val="both"/>
        <w:rPr/>
      </w:pPr>
      <w:r>
        <w:rPr/>
      </w:r>
    </w:p>
    <w:p>
      <w:pPr>
        <w:pStyle w:val="Normal"/>
        <w:jc w:val="both"/>
        <w:rPr/>
      </w:pPr>
      <w:r>
        <w:rPr/>
      </w:r>
    </w:p>
    <w:p>
      <w:pPr>
        <w:pStyle w:val="Normal"/>
        <w:jc w:val="both"/>
        <w:rPr>
          <w:highlight w:val="none"/>
          <w:shd w:fill="FFFF00" w:val="clear"/>
        </w:rPr>
      </w:pPr>
      <w:r>
        <w:rPr>
          <w:shd w:fill="FFFF00" w:val="clear"/>
        </w:rPr>
        <w:t>Although public development and release of the software is expected to attract a scientific audience, the consortium will also try to communicate and disseminate its relevant activities via a number of means including: usage of social media, presence and publications in international conferences (preferably technique-related workshops), example usage and presentation both in a seminar (to be organized in Greece in the framework of ACRONYM, see WP4) and in the Summer Schools (see WP4).</w:t>
      </w:r>
    </w:p>
    <w:p>
      <w:pPr>
        <w:pStyle w:val="Normal"/>
        <w:jc w:val="both"/>
        <w:rPr/>
      </w:pPr>
      <w:r>
        <w:rPr/>
      </w:r>
    </w:p>
    <w:p>
      <w:pPr>
        <w:pStyle w:val="Normal"/>
        <w:jc w:val="both"/>
        <w:rPr/>
      </w:pPr>
      <w:r>
        <w:rPr/>
      </w:r>
    </w:p>
    <w:p>
      <w:pPr>
        <w:pStyle w:val="Normal"/>
        <w:jc w:val="both"/>
        <w:rPr/>
      </w:pPr>
      <w:r>
        <w:rPr/>
      </w:r>
    </w:p>
    <w:p>
      <w:pPr>
        <w:pStyle w:val="Normal"/>
        <w:spacing w:before="0" w:after="200"/>
        <w:ind w:left="709" w:right="0" w:hanging="709"/>
        <w:jc w:val="both"/>
        <w:rPr>
          <w:b/>
          <w:b/>
          <w:bCs/>
          <w:lang w:val="en-GB"/>
        </w:rPr>
      </w:pPr>
      <w:r>
        <w:rPr>
          <w:b/>
          <w:bCs/>
          <w:lang w:val="en-GB"/>
        </w:rPr>
        <w:t>Bibliography</w:t>
      </w:r>
    </w:p>
    <w:p>
      <w:pPr>
        <w:pStyle w:val="Normal"/>
        <w:spacing w:before="0" w:after="200"/>
        <w:ind w:left="709" w:right="0" w:hanging="709"/>
        <w:jc w:val="both"/>
        <w:rPr>
          <w:lang w:val="en-GB"/>
        </w:rPr>
      </w:pPr>
      <w:r>
        <w:rPr>
          <w:lang w:val="en-GB"/>
        </w:rPr>
        <w:t xml:space="preserve">Pavlis, E., V. Luceri, A. Basoni, D. Sarrocco, M. Kuzmicz-Cieslak, K. Evans, and G. Bianco (Jan. 2023). “ITRF2020: The ILRS Contribution and Operational Implementation”. In: doi: 10.22541/essoar.167327866.67198225/v1. Url: </w:t>
      </w:r>
      <w:hyperlink r:id="rId14">
        <w:r>
          <w:rPr>
            <w:rStyle w:val="InternetLink"/>
            <w:lang w:val="en-GB"/>
          </w:rPr>
          <w:t>https://doi.org/10.22541%2Fessoar.167327866.67198225%2Fv1</w:t>
        </w:r>
      </w:hyperlink>
      <w:hyperlink r:id="rId15">
        <w:r>
          <w:rPr>
            <w:lang w:val="en-GB"/>
          </w:rPr>
          <w:t>.</w:t>
        </w:r>
      </w:hyperlink>
    </w:p>
    <w:p>
      <w:pPr>
        <w:pStyle w:val="Normal"/>
        <w:spacing w:before="0" w:after="200"/>
        <w:ind w:left="709" w:right="0" w:hanging="709"/>
        <w:jc w:val="both"/>
        <w:rPr>
          <w:lang w:val="en-GB"/>
        </w:rPr>
      </w:pPr>
      <w:r>
        <w:rPr>
          <w:lang w:val="en-GB"/>
        </w:rPr>
        <w:t>Moreaux, G., F. G. Lemoine, H. Capdeville, M. Otten, P. Štěpánek, J. Saunier, and P. Ferrage (2022). “The international DORIS service contribution to ITRF2020”. In: Advances in Space Research. issn: 0273-1177. doi: https : / / doi . Org / 10.1016/j.asr.2022.07.012. url: https://www.sciencedirect.com/</w:t>
      </w:r>
    </w:p>
    <w:p>
      <w:pPr>
        <w:pStyle w:val="Normal"/>
        <w:spacing w:before="0" w:after="200"/>
        <w:ind w:left="709" w:right="0" w:hanging="709"/>
        <w:jc w:val="both"/>
        <w:rPr>
          <w:lang w:val="en-GB"/>
        </w:rPr>
      </w:pPr>
      <w:r>
        <w:rPr>
          <w:lang w:val="en-GB"/>
        </w:rPr>
        <w:t>science/article/pii/S0273117722005865.</w:t>
      </w:r>
    </w:p>
    <w:p>
      <w:pPr>
        <w:pStyle w:val="ListParagraph"/>
        <w:numPr>
          <w:ilvl w:val="0"/>
          <w:numId w:val="5"/>
        </w:numPr>
        <w:bidi w:val="0"/>
        <w:spacing w:before="0" w:after="200"/>
        <w:ind w:left="726" w:right="0" w:hanging="357"/>
        <w:jc w:val="both"/>
        <w:rPr>
          <w:lang w:val="en-GB"/>
        </w:rPr>
      </w:pPr>
      <w:r>
        <w:rPr>
          <w:lang w:val="en-GB"/>
        </w:rPr>
        <w:t xml:space="preserve">Provide a </w:t>
      </w:r>
      <w:r>
        <w:rPr>
          <w:b/>
          <w:lang w:val="en-GB"/>
        </w:rPr>
        <w:t>narrative</w:t>
      </w:r>
      <w:r>
        <w:rPr>
          <w:lang w:val="en-GB"/>
        </w:rPr>
        <w:t xml:space="preserve"> explaining how the project’s results are expected to make a difference in terms of impact, beyond the immediate scope and duration of the project. The narrative should include the components below, tailored to your project. </w:t>
      </w:r>
    </w:p>
    <w:p>
      <w:pPr>
        <w:pStyle w:val="ListParagraph"/>
        <w:numPr>
          <w:ilvl w:val="0"/>
          <w:numId w:val="10"/>
        </w:numPr>
        <w:bidi w:val="0"/>
        <w:spacing w:before="0" w:after="200"/>
        <w:ind w:left="1080" w:right="0" w:hanging="360"/>
        <w:jc w:val="both"/>
        <w:rPr>
          <w:lang w:val="en-GB"/>
        </w:rPr>
      </w:pPr>
      <w:r>
        <w:rPr>
          <w:lang w:val="en-GB"/>
        </w:rPr>
        <w:t xml:space="preserve">Describe the unique contribution your project results would make towards (1) the </w:t>
      </w:r>
      <w:r>
        <w:rPr>
          <w:b/>
        </w:rPr>
        <w:t>outcomes</w:t>
      </w:r>
      <w:r>
        <w:rPr/>
        <w:t xml:space="preserve"> specified in this topic, and (2) the </w:t>
      </w:r>
      <w:r>
        <w:rPr>
          <w:b/>
        </w:rPr>
        <w:t>wider impacts</w:t>
      </w:r>
      <w:r>
        <w:rPr/>
        <w:t xml:space="preserve">, in the longer term, specified in the respective destinations in the work programme.   </w:t>
      </w:r>
    </w:p>
    <w:p>
      <w:pPr>
        <w:pStyle w:val="ListParagraph"/>
        <w:numPr>
          <w:ilvl w:val="0"/>
          <w:numId w:val="4"/>
        </w:numPr>
        <w:bidi w:val="0"/>
        <w:spacing w:lineRule="auto" w:line="240" w:before="0" w:after="200"/>
        <w:ind w:left="1417" w:right="0" w:hanging="357"/>
        <w:jc w:val="both"/>
        <w:rPr/>
      </w:pPr>
      <w:r>
        <w:rPr>
          <w:i/>
        </w:rPr>
        <w:t xml:space="preserve">Be specific, referring to the effects of your project, and not R&amp;I in general in this field. </w:t>
      </w:r>
    </w:p>
    <w:p>
      <w:pPr>
        <w:pStyle w:val="ListParagraph"/>
        <w:numPr>
          <w:ilvl w:val="0"/>
          <w:numId w:val="4"/>
        </w:numPr>
        <w:bidi w:val="0"/>
        <w:spacing w:lineRule="auto" w:line="240" w:before="0" w:after="200"/>
        <w:ind w:left="1417" w:right="0" w:hanging="357"/>
        <w:jc w:val="both"/>
        <w:rPr/>
      </w:pPr>
      <w:r>
        <w:rPr>
          <w:i/>
        </w:rPr>
        <w:t>State the target groups that would benefit. Even if target groups are mentioned in general terms in the work programme, you should be specific here, breaking target groups into particular interest groups or segments of society relevant to this project.</w:t>
      </w:r>
    </w:p>
    <w:p>
      <w:pPr>
        <w:pStyle w:val="ListParagraph"/>
        <w:numPr>
          <w:ilvl w:val="0"/>
          <w:numId w:val="4"/>
        </w:numPr>
        <w:bidi w:val="0"/>
        <w:spacing w:lineRule="auto" w:line="240" w:before="0" w:after="200"/>
        <w:ind w:left="1417" w:right="0" w:hanging="357"/>
        <w:jc w:val="both"/>
        <w:rPr/>
      </w:pPr>
      <w:r>
        <w:rPr>
          <w:i/>
        </w:rPr>
        <w:t>The outcomes and impacts of your project may be:</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Scientific, e.g. contributing to specific scientific advances, across and within disciplines, creating new knowledge, reinforcing scientific equipment and instruments,  computing systems (i.e. research infrastructures);</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 xml:space="preserve">Economic/technological, e.g. bringing new products, services, business processes to the market, increasing efficiency, decreasing costs, increasing profits, contributing to standards’ setting,  etc. </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Societal , e.g. decreasing CO</w:t>
      </w:r>
      <w:r>
        <w:rPr>
          <w:i/>
          <w:vertAlign w:val="subscript"/>
        </w:rPr>
        <w:t>2</w:t>
      </w:r>
      <w:r>
        <w:rPr>
          <w:i/>
        </w:rPr>
        <w:t xml:space="preserve"> emissions, decreasing avoidable mortality, improving policies and decision making, raising consumer awareness.</w:t>
      </w:r>
    </w:p>
    <w:p>
      <w:pPr>
        <w:pStyle w:val="ListParagraph"/>
        <w:bidi w:val="0"/>
        <w:spacing w:lineRule="auto" w:line="240" w:before="0" w:after="200"/>
        <w:ind w:left="1418" w:right="0" w:hanging="0"/>
        <w:jc w:val="both"/>
        <w:rPr/>
      </w:pPr>
      <w:r>
        <w:rPr>
          <w:i/>
        </w:rPr>
        <w:t>Only include such outcomes and impacts where your project would make a significant and direct contribution. Avoid describing very tenuous links to wider impacts. However, include any potential negative environmental outcome or impact of the project. Where relevant, explain how the potential harm can be managed.</w:t>
      </w:r>
    </w:p>
    <w:p>
      <w:pPr>
        <w:pStyle w:val="ListParagraph"/>
        <w:numPr>
          <w:ilvl w:val="0"/>
          <w:numId w:val="10"/>
        </w:numPr>
        <w:shd w:fill="FFFFFF"/>
        <w:bidi w:val="0"/>
        <w:spacing w:lineRule="auto" w:line="240" w:before="0" w:after="200"/>
        <w:ind w:left="1060" w:right="0" w:hanging="360"/>
        <w:jc w:val="both"/>
        <w:rPr>
          <w:lang w:val="en-GB"/>
        </w:rPr>
      </w:pPr>
      <w:r>
        <w:rPr>
          <w:lang w:val="en-GB"/>
        </w:rPr>
        <w:t>Give an indication of the scale and significance of the project’s contribution to the expected outcomes and impacts, should the project be successful.  Provide quantified estimates where possible and meaningful.</w:t>
      </w:r>
    </w:p>
    <w:p>
      <w:pPr>
        <w:pStyle w:val="Normal"/>
        <w:numPr>
          <w:ilvl w:val="0"/>
          <w:numId w:val="9"/>
        </w:numPr>
        <w:spacing w:beforeAutospacing="1" w:after="200"/>
        <w:ind w:left="1417" w:right="0" w:hanging="357"/>
        <w:jc w:val="both"/>
        <w:rPr>
          <w:lang w:val="en-GB"/>
        </w:rPr>
      </w:pPr>
      <w:r>
        <w:rPr>
          <w:lang w:val="en-GB"/>
        </w:rPr>
        <w:t>‘</w:t>
      </w:r>
      <w:r>
        <w:rPr>
          <w:i/>
          <w:u w:val="single"/>
          <w:lang w:val="en-GB"/>
        </w:rPr>
        <w:t>Scale’</w:t>
      </w:r>
      <w:r>
        <w:rPr>
          <w:i/>
          <w:lang w:val="en-GB"/>
        </w:rPr>
        <w:t xml:space="preserve"> refers to how widespread the outcomes and impacts are likely to be. For example, in terms of the size of the target group, or the proportion of that group, that should benefit over time; </w:t>
      </w:r>
      <w:r>
        <w:rPr>
          <w:i/>
          <w:u w:val="single"/>
          <w:lang w:val="en-GB"/>
        </w:rPr>
        <w:t>‘Significance’</w:t>
      </w:r>
      <w:r>
        <w:rPr>
          <w:i/>
          <w:lang w:val="en-GB"/>
        </w:rPr>
        <w:t xml:space="preserve"> refers to the importance, or value, of those benefits. For example, number of additional healthy life years; efficiency savings in energy supply.</w:t>
      </w:r>
    </w:p>
    <w:p>
      <w:pPr>
        <w:pStyle w:val="Normal"/>
        <w:numPr>
          <w:ilvl w:val="0"/>
          <w:numId w:val="3"/>
        </w:numPr>
        <w:spacing w:beforeAutospacing="1" w:after="200"/>
        <w:ind w:left="1417" w:right="0" w:hanging="357"/>
        <w:jc w:val="both"/>
        <w:rPr>
          <w:lang w:val="en-GB"/>
        </w:rPr>
      </w:pPr>
      <w:r>
        <w:rPr>
          <w:i/>
          <w:lang w:val="en-GB"/>
        </w:rPr>
        <w:t>Explain your baselines, benchmarks and assumptions used for those estimates.</w:t>
      </w:r>
      <w:r>
        <w:rPr>
          <w:i/>
          <w:iCs/>
          <w:lang w:val="en-GB"/>
        </w:rPr>
        <w:t xml:space="preserve"> Wherever possible, quantify your estimation of the effects that you expect from your project. Explain assumptions that you make, referring for example to any </w:t>
      </w:r>
      <w:r>
        <w:rPr>
          <w:i/>
          <w:iCs/>
        </w:rPr>
        <w:t>relevant studies or statistics. Where appropriate, try to use only one methodology for calculating your estimates: not different methodologies for each partner, region or country (the extrapolation should preferably be prepared by one partner).</w:t>
      </w:r>
    </w:p>
    <w:p>
      <w:pPr>
        <w:pStyle w:val="Normal"/>
        <w:numPr>
          <w:ilvl w:val="0"/>
          <w:numId w:val="3"/>
        </w:numPr>
        <w:spacing w:before="0" w:after="200"/>
        <w:ind w:left="1417" w:right="0" w:hanging="357"/>
        <w:jc w:val="both"/>
        <w:rPr/>
      </w:pPr>
      <w:r>
        <w:rPr>
          <w:i/>
          <w:iCs/>
        </w:rPr>
        <w:t>Your estimate must relate to this project only - the effect of other initiatives should not be taken into account.</w:t>
      </w:r>
    </w:p>
    <w:p>
      <w:pPr>
        <w:pStyle w:val="ListParagraph"/>
        <w:numPr>
          <w:ilvl w:val="0"/>
          <w:numId w:val="10"/>
        </w:numPr>
        <w:bidi w:val="0"/>
        <w:spacing w:before="0" w:after="200"/>
        <w:ind w:left="1080" w:right="0" w:hanging="360"/>
        <w:jc w:val="both"/>
        <w:rPr/>
      </w:pPr>
      <w:r>
        <w:rPr/>
        <w:t>Describe any</w:t>
      </w:r>
      <w:r>
        <w:rPr>
          <w:lang w:val="en-GB"/>
        </w:rPr>
        <w:t xml:space="preserve"> requirements and potential barriers - arising from factors beyond the scope and duration of the project - that may determine whether the desired outcomes and impacts are achieved. These may include, for example, </w:t>
      </w:r>
      <w:r>
        <w:rPr>
          <w:lang w:val="en-IE"/>
        </w:rPr>
        <w:t>other R&amp;I work within and beyond Horizon Europe; regulatory environment; targeted markets; user behaviour. Indicate if these factors might evolve over time. Describe any</w:t>
      </w:r>
      <w:r>
        <w:rPr>
          <w:lang w:val="en-GB"/>
        </w:rPr>
        <w:t xml:space="preserve"> mitigating measures you propose, within or beyond your project, that could be needed should your assumptions prove to be wrong, or to address identified barriers. </w:t>
      </w:r>
    </w:p>
    <w:p>
      <w:pPr>
        <w:pStyle w:val="ListParagraph"/>
        <w:numPr>
          <w:ilvl w:val="0"/>
          <w:numId w:val="4"/>
        </w:numPr>
        <w:bidi w:val="0"/>
        <w:spacing w:lineRule="auto" w:line="240" w:before="0" w:after="200"/>
        <w:ind w:left="1417" w:right="0" w:hanging="357"/>
        <w:jc w:val="both"/>
        <w:rPr/>
      </w:pPr>
      <w:r>
        <w:rPr>
          <w:i/>
        </w:rPr>
        <w:t>Note that this does not include the critical risks inherent to the management of the project itself , which should be described below under ‘Implementation’.</w:t>
      </w:r>
    </w:p>
    <w:p>
      <w:pPr>
        <w:pStyle w:val="Normal"/>
        <w:spacing w:before="0" w:after="200"/>
        <w:ind w:left="709" w:right="0" w:hanging="709"/>
        <w:jc w:val="both"/>
        <w:rPr>
          <w:lang w:val="en-GB"/>
        </w:rPr>
      </w:pPr>
      <w:r>
        <w:rPr>
          <w:b/>
          <w:lang w:val="en-GB"/>
        </w:rPr>
        <w:t>2.2</w:t>
        <w:tab/>
        <w:t>Measures to maximise impact -</w:t>
      </w:r>
      <w:r>
        <w:rPr>
          <w:b/>
        </w:rPr>
        <w:t xml:space="preserve"> Dissemination, exploitation and communication </w:t>
      </w:r>
      <w:r>
        <w:rPr>
          <w:rFonts w:cs="Arial"/>
          <w:color w:val="B5B5B5"/>
          <w:sz w:val="18"/>
          <w:szCs w:val="16"/>
        </w:rPr>
        <w:t>#@COM-DIS-VIS-CDV@#</w:t>
      </w:r>
      <w:r>
        <w:rPr>
          <w:i/>
          <w:lang w:val="en-GB"/>
        </w:rPr>
        <w:t xml:space="preserve"> [e.g. 5 pages, including section 2.3]</w:t>
      </w:r>
    </w:p>
    <w:p>
      <w:pPr>
        <w:pStyle w:val="Normal"/>
        <w:widowControl/>
        <w:numPr>
          <w:ilvl w:val="0"/>
          <w:numId w:val="7"/>
        </w:numPr>
        <w:shd w:fill="FFFFFF"/>
        <w:spacing w:lineRule="auto" w:line="240" w:before="0" w:after="200"/>
        <w:ind w:left="726" w:right="0" w:hanging="357"/>
        <w:jc w:val="both"/>
        <w:rPr>
          <w:lang w:val="en-GB"/>
        </w:rPr>
      </w:pPr>
      <w:r>
        <w:rPr>
          <w:lang w:val="en-GB"/>
        </w:rPr>
        <w:t>Describe the planned measures to maximise the impact of your project by providing a first version of your ‘</w:t>
      </w:r>
      <w:r>
        <w:rPr>
          <w:u w:val="single"/>
          <w:lang w:val="en-GB"/>
        </w:rPr>
        <w:t>plan for the dissemination and exploitation including communication activities’</w:t>
      </w:r>
      <w:r>
        <w:rPr>
          <w:lang w:val="en-GB"/>
        </w:rPr>
        <w:t xml:space="preserve">. Describe the dissemination, exploitation and communication measures that are planned, and the target group(s) addressed (e.g. scientific community, end users, financial actors, public at large). </w:t>
      </w:r>
    </w:p>
    <w:p>
      <w:pPr>
        <w:pStyle w:val="ListParagraph"/>
        <w:widowControl/>
        <w:numPr>
          <w:ilvl w:val="0"/>
          <w:numId w:val="6"/>
        </w:numPr>
        <w:bidi w:val="0"/>
        <w:spacing w:lineRule="auto" w:line="240" w:before="0" w:after="200"/>
        <w:ind w:left="1417" w:right="0" w:hanging="357"/>
        <w:jc w:val="both"/>
        <w:rPr>
          <w:lang w:val="en-GB"/>
        </w:rPr>
      </w:pPr>
      <w:r>
        <w:rPr>
          <w:i/>
          <w:iCs/>
          <w:lang w:val="en-GB"/>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pPr>
        <w:pStyle w:val="ListParagraph"/>
        <w:widowControl/>
        <w:numPr>
          <w:ilvl w:val="0"/>
          <w:numId w:val="6"/>
        </w:numPr>
        <w:bidi w:val="0"/>
        <w:spacing w:lineRule="auto" w:line="240" w:before="0" w:after="200"/>
        <w:ind w:left="1417" w:right="0" w:hanging="357"/>
        <w:jc w:val="both"/>
        <w:rPr>
          <w:lang w:val="en-GB"/>
        </w:rPr>
      </w:pPr>
      <w:r>
        <w:rPr>
          <w:i/>
          <w:u w:val="single"/>
          <w:lang w:val="en-GB"/>
        </w:rPr>
        <w:t>Communication</w:t>
      </w:r>
      <w:r>
        <w:rPr>
          <w:rStyle w:val="FootnoteAnchor"/>
          <w:i/>
          <w:vertAlign w:val="superscript"/>
          <w:lang w:val="en-GB"/>
        </w:rPr>
        <w:footnoteReference w:id="2"/>
      </w:r>
      <w:r>
        <w:rPr>
          <w:i/>
          <w:vertAlign w:val="superscript"/>
          <w:lang w:val="en-GB"/>
        </w:rPr>
        <w:t>,</w:t>
      </w:r>
      <w:r>
        <w:rPr>
          <w:i/>
          <w:lang w:val="en-GB"/>
        </w:rPr>
        <w:t xml:space="preserve"> measures should promote the project throughout the full lifespan of the project. The aim is to inform and reach out to society and show the activities performed, and the use and the benefits the project will have for citizens. </w:t>
      </w:r>
      <w:r>
        <w:rPr>
          <w:i/>
          <w:iCs/>
          <w:lang w:val="en-GB"/>
        </w:rPr>
        <w:t>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ListParagraph"/>
        <w:widowControl/>
        <w:numPr>
          <w:ilvl w:val="0"/>
          <w:numId w:val="6"/>
        </w:numPr>
        <w:bidi w:val="0"/>
        <w:spacing w:lineRule="auto" w:line="240" w:before="0" w:after="200"/>
        <w:ind w:left="1417" w:right="0" w:hanging="357"/>
        <w:jc w:val="both"/>
        <w:rPr>
          <w:lang w:val="en-GB"/>
        </w:rPr>
      </w:pPr>
      <w:r>
        <w:rPr>
          <w:i/>
          <w:iCs/>
          <w:lang w:val="en-GB"/>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ListParagraph"/>
        <w:widowControl/>
        <w:numPr>
          <w:ilvl w:val="0"/>
          <w:numId w:val="6"/>
        </w:numPr>
        <w:bidi w:val="0"/>
        <w:spacing w:lineRule="auto" w:line="240" w:before="0" w:after="200"/>
        <w:ind w:left="1417" w:right="0" w:hanging="357"/>
        <w:jc w:val="both"/>
        <w:rPr>
          <w:lang w:val="en-GB"/>
        </w:rPr>
      </w:pPr>
      <w:r>
        <w:rPr>
          <w:i/>
          <w:iCs/>
          <w:lang w:val="en-GB"/>
        </w:rPr>
        <w:t>If exploitation is expected primarily in non-associated third countries, justify by explaining how that exploitation is still in the Union’s interest.</w:t>
      </w:r>
    </w:p>
    <w:p>
      <w:pPr>
        <w:pStyle w:val="ListParagraph"/>
        <w:widowControl/>
        <w:numPr>
          <w:ilvl w:val="0"/>
          <w:numId w:val="6"/>
        </w:numPr>
        <w:tabs>
          <w:tab w:val="clear" w:pos="720"/>
          <w:tab w:val="left" w:pos="1353" w:leader="none"/>
        </w:tabs>
        <w:bidi w:val="0"/>
        <w:spacing w:lineRule="auto" w:line="240" w:before="0" w:after="200"/>
        <w:ind w:left="1353" w:right="0" w:hanging="360"/>
        <w:jc w:val="both"/>
        <w:rPr>
          <w:lang w:val="en-GB"/>
        </w:rPr>
      </w:pPr>
      <w:r>
        <w:rPr>
          <w:i/>
          <w:iCs/>
          <w:lang w:val="en-GB"/>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shd w:fill="FFFFFF"/>
        <w:bidi w:val="0"/>
        <w:ind w:left="2880" w:right="0" w:hanging="0"/>
        <w:jc w:val="both"/>
        <w:rPr>
          <w:i/>
          <w:i/>
          <w:lang w:val="en-GB"/>
        </w:rPr>
      </w:pPr>
      <w:r>
        <w:rPr>
          <w:i/>
          <w:lang w:val="en-GB"/>
        </w:rPr>
      </w:r>
    </w:p>
    <w:p>
      <w:pPr>
        <w:pStyle w:val="ListParagraph"/>
        <w:numPr>
          <w:ilvl w:val="0"/>
          <w:numId w:val="2"/>
        </w:numPr>
        <w:bidi w:val="0"/>
        <w:spacing w:before="0" w:after="200"/>
        <w:ind w:left="726" w:right="0" w:hanging="357"/>
        <w:jc w:val="both"/>
        <w:rPr>
          <w:lang w:val="en-GB"/>
        </w:rPr>
      </w:pPr>
      <w:r>
        <w:rPr>
          <w:lang w:val="en-GB"/>
        </w:rPr>
        <w:t>Outline your strategy for the management of intellectual property, foreseen protection measures, , such as patents, design rights, copyrights, trade secrets, etc., and how these would be used to support exploitation.</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must indicate the owner(s) of the results (results ownership list) in the final periodic report.</w:t>
      </w:r>
    </w:p>
    <w:p>
      <w:pPr>
        <w:pStyle w:val="ListParagraph"/>
        <w:bidi w:val="0"/>
        <w:spacing w:lineRule="auto" w:line="480" w:before="0" w:after="200"/>
        <w:ind w:left="0" w:right="0" w:hanging="0"/>
        <w:contextualSpacing/>
        <w:jc w:val="both"/>
        <w:rPr/>
      </w:pPr>
      <w:r>
        <w:rPr>
          <w:rFonts w:cs="Arial"/>
          <w:color w:val="B5B5B5"/>
          <w:sz w:val="18"/>
          <w:szCs w:val="16"/>
        </w:rPr>
        <w:t>#§COM-DIS-VIS-CDV§#</w:t>
      </w:r>
    </w:p>
    <w:p>
      <w:pPr>
        <w:pStyle w:val="Normal"/>
        <w:rPr/>
      </w:pPr>
      <w:r>
        <w:rPr>
          <w:b/>
          <w:lang w:val="en-GB"/>
        </w:rPr>
        <w:t xml:space="preserve">2.3 Summary </w:t>
      </w:r>
    </w:p>
    <w:p>
      <w:pPr>
        <w:pStyle w:val="Normal"/>
        <w:ind w:left="0" w:right="0" w:hanging="0"/>
        <w:rPr>
          <w:lang w:val="en-GB"/>
        </w:rPr>
      </w:pPr>
      <w:r>
        <w:rPr>
          <w:sz w:val="24"/>
          <w:szCs w:val="24"/>
          <w:lang w:val="en-GB"/>
        </w:rPr>
        <w:t>Provide a summary of this section by presenting in the canvas below the key elements of your project impact pathway and of the measures to maximise its impact.</w:t>
      </w:r>
    </w:p>
    <w:p>
      <w:pPr>
        <w:pStyle w:val="Normal"/>
        <w:ind w:left="0" w:right="0" w:hanging="0"/>
        <w:rPr>
          <w:sz w:val="24"/>
          <w:szCs w:val="24"/>
          <w:lang w:val="en-GB"/>
        </w:rPr>
      </w:pPr>
      <w:r>
        <w:rPr>
          <w:sz w:val="24"/>
          <w:szCs w:val="24"/>
          <w:lang w:val="en-GB"/>
        </w:rPr>
      </w:r>
    </w:p>
    <w:p>
      <w:pPr>
        <w:pStyle w:val="Normal"/>
        <w:ind w:left="0" w:right="0" w:hanging="0"/>
        <w:rPr/>
      </w:pPr>
      <w:r>
        <w:rPr>
          <w:b/>
          <w:color w:val="00B0F0"/>
          <w:sz w:val="28"/>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SPECIFIC NEEDS</w:t>
            </w:r>
          </w:p>
        </w:tc>
      </w:tr>
      <w:tr>
        <w:trPr>
          <w:trHeight w:val="3493"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i w:val="false"/>
                <w:i w:val="false"/>
                <w:iCs w:val="false"/>
              </w:rPr>
            </w:pPr>
            <w:r>
              <w:rPr>
                <w:i w:val="false"/>
                <w:iCs w:val="false"/>
                <w:color w:val="000000"/>
                <w:lang w:val="en-GB"/>
              </w:rPr>
              <w:t>Closing of the scientific gap between top class European institutes and Greece in the field of Space Geodesy.</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Enhancement of research capacity of NTUA (on a technical level).</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Improve prestige and international standing of the host institute.</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Establish a network of top-class collaborators and boost involvement in high-esteem consortia.</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Boost Greece’s involvement and innovation in the wider field of Space studies and Geosciences.</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Increase funding capabilities and resources for research (project claiming).</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vanish/>
        </w:rPr>
      </w:pPr>
      <w:r>
        <w:rPr>
          <w:vanish/>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D &amp; E &amp; C MEASURES</w:t>
            </w:r>
          </w:p>
        </w:tc>
      </w:tr>
      <w:tr>
        <w:trPr>
          <w:trHeight w:val="3492"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b/>
                <w:lang w:val="en-GB"/>
              </w:rPr>
              <w:t xml:space="preserve">Communication towards </w:t>
            </w:r>
            <w:r>
              <w:rPr>
                <w:b/>
                <w:bCs/>
                <w:color w:val="000000"/>
                <w:lang w:val="en-GB"/>
              </w:rPr>
              <w:t>the scientific community and Space Industry</w:t>
            </w:r>
            <w:r>
              <w:rPr>
                <w:b/>
                <w:color w:val="000000"/>
                <w:lang w:val="en-GB"/>
              </w:rPr>
              <w:t xml:space="preserve">: </w:t>
            </w:r>
            <w:r>
              <w:rPr>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b/>
          <w:b/>
          <w:color w:val="00B0F0"/>
        </w:rPr>
      </w:pPr>
      <w:r>
        <w:rPr>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EXPECTED RESULTS</w:t>
            </w:r>
          </w:p>
        </w:tc>
      </w:tr>
      <w:tr>
        <w:trPr>
          <w:trHeight w:val="34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b/>
                <w:bCs/>
                <w:color w:val="00B0F0"/>
              </w:rPr>
            </w:pPr>
            <w:r>
              <w:rPr>
                <w:b/>
                <w:bCs/>
                <w:color w:val="00B0F0"/>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three publication in international conferences.</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Involvement: I</w:t>
            </w:r>
            <w:r>
              <w:rPr>
                <w:b w:val="false"/>
                <w:bCs w:val="false"/>
                <w:color w:val="000000"/>
                <w:lang w:val="en-GB"/>
              </w:rPr>
              <w:t>nvolvement in international, high-prestige consortia such as IDS and IRLS, which shape the future of Space Geodesy.</w:t>
            </w:r>
          </w:p>
          <w:p>
            <w:pPr>
              <w:pStyle w:val="Normal"/>
              <w:widowControl w:val="false"/>
              <w:tabs>
                <w:tab w:val="clear" w:pos="720"/>
              </w:tabs>
              <w:ind w:left="0" w:right="0" w:hanging="0"/>
              <w:rPr>
                <w:lang w:val="en-GB"/>
              </w:rPr>
            </w:pPr>
            <w:r>
              <w:rPr>
                <w:lang w:val="en-GB"/>
              </w:rPr>
            </w:r>
          </w:p>
        </w:tc>
      </w:tr>
    </w:tbl>
    <w:p>
      <w:pPr>
        <w:pStyle w:val="Normal"/>
        <w:widowControl w:val="false"/>
        <w:ind w:left="1417" w:right="0" w:hanging="357"/>
        <w:rPr>
          <w:lang w:val="en-GB"/>
        </w:rPr>
      </w:pPr>
      <w:r>
        <w:rPr>
          <w:lang w:val="en-GB"/>
        </w:rPr>
      </w:r>
    </w:p>
    <w:p>
      <w:pPr>
        <w:pStyle w:val="Normal"/>
        <w:ind w:left="0" w:right="0" w:hanging="0"/>
        <w:rPr>
          <w:vanish/>
        </w:rPr>
      </w:pPr>
      <w:r>
        <w:rPr>
          <w:vanish/>
        </w:rPr>
      </w:r>
    </w:p>
    <w:p>
      <w:pPr>
        <w:pStyle w:val="Normal"/>
        <w:ind w:left="1417" w:right="0" w:hanging="357"/>
        <w:rPr>
          <w:lang w:val="en-GB"/>
        </w:rPr>
      </w:pPr>
      <w:r>
        <w:rPr>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TARGET GROUPS</w:t>
            </w:r>
          </w:p>
        </w:tc>
      </w:tr>
      <w:tr>
        <w:trPr>
          <w:trHeight w:val="3642"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Scientific community</w:t>
            </w:r>
            <w:r>
              <w:rPr>
                <w:i w:val="false"/>
                <w:iCs w:val="false"/>
                <w:color w:val="000000"/>
                <w:lang w:val="en-GB"/>
              </w:rPr>
              <w:t xml:space="preserve"> (Space Geodesy and Geosciences).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 xml:space="preserve">End users/industry </w:t>
            </w:r>
            <w:r>
              <w:rPr>
                <w:i w:val="false"/>
                <w:iCs w:val="false"/>
                <w:color w:val="000000"/>
                <w:lang w:val="en-GB"/>
              </w:rPr>
              <w:t>related to Space applications (e.g. Space Security and Awareness, observing the Earth system,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Graduate and PhD students</w:t>
            </w:r>
            <w:r>
              <w:rPr>
                <w:i w:val="false"/>
                <w:iCs w:val="false"/>
                <w:color w:val="000000"/>
                <w:lang w:val="en-GB"/>
              </w:rPr>
              <w:t>.</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Young Scientists and Engineers</w:t>
            </w:r>
            <w:r>
              <w:rPr>
                <w:i w:val="false"/>
                <w:iCs w:val="false"/>
                <w:color w:val="000000"/>
                <w:lang w:val="en-GB"/>
              </w:rPr>
              <w:t xml:space="preserve"> in the wider field of Geoscienses.</w:t>
            </w:r>
          </w:p>
        </w:tc>
      </w:tr>
    </w:tbl>
    <w:p>
      <w:pPr>
        <w:pStyle w:val="Normal"/>
        <w:widowControl w:val="false"/>
        <w:ind w:left="0" w:right="0" w:hanging="0"/>
        <w:rPr>
          <w:vanish/>
        </w:rPr>
      </w:pPr>
      <w:r>
        <w:rPr>
          <w:vanish/>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OUTCOMES</w:t>
            </w:r>
          </w:p>
        </w:tc>
      </w:tr>
      <w:tr>
        <w:trPr>
          <w:trHeight w:val="3642"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b w:val="false"/>
                <w:b w:val="false"/>
                <w:bCs w:val="false"/>
              </w:rPr>
            </w:pPr>
            <w:r>
              <w:rPr>
                <w:b w:val="false"/>
                <w:bCs w:val="false"/>
              </w:rPr>
              <w:t>Usage of software tools by the scientific community (measured by their attributed DOIs).</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b w:val="false"/>
                <w:b w:val="false"/>
                <w:bCs w:val="false"/>
              </w:rPr>
            </w:pPr>
            <w:r>
              <w:rPr>
                <w:b w:val="false"/>
                <w:bCs w:val="false"/>
              </w:rPr>
              <w:t>Involvement in high prestige international consortia as Associate Analysis Center (for NTUA).</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pPr>
            <w:r>
              <w:rPr>
                <w:b w:val="false"/>
                <w:bCs w:val="false"/>
              </w:rPr>
              <w:t xml:space="preserve">High use of the scientific papers published </w:t>
            </w:r>
            <w:r>
              <w:rPr/>
              <w:t>(measured with the relative rate of citation index of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Increased visibility and international standing of NTUA in the field of Space Geodesy and Geosciences.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Creation of a highly experienced and skilled task force in the host institute.</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Establishment of a task force in the host institute, with extended networking capabilities and international reach (in a European and international level).</w:t>
            </w:r>
          </w:p>
        </w:tc>
      </w:tr>
    </w:tbl>
    <w:p>
      <w:pPr>
        <w:pStyle w:val="Normal"/>
        <w:widowControl w:val="false"/>
        <w:ind w:left="0" w:right="0" w:hanging="0"/>
        <w:rPr>
          <w:vanish/>
        </w:rPr>
      </w:pPr>
      <w:r>
        <w:rPr>
          <w:vanish/>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IMPACTS</w:t>
            </w:r>
          </w:p>
        </w:tc>
      </w:tr>
      <w:tr>
        <w:trPr>
          <w:trHeight w:val="3642"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i/>
                <w:iCs/>
                <w:color w:val="000000"/>
              </w:rPr>
            </w:pPr>
            <w:r>
              <w:rPr>
                <w:b/>
                <w:bCs/>
                <w:i/>
                <w:iCs/>
                <w:color w:val="000000"/>
                <w:lang w:val="en-GB"/>
              </w:rPr>
              <w:t>S</w:t>
            </w:r>
            <w:r>
              <w:rPr>
                <w:b/>
                <w:bCs/>
                <w:i w:val="false"/>
                <w:iCs w:val="false"/>
                <w:color w:val="000000"/>
                <w:lang w:val="en-GB"/>
              </w:rPr>
              <w:t xml:space="preserve">ocietal: </w:t>
            </w:r>
            <w:r>
              <w:rPr>
                <w:i w:val="false"/>
                <w:iCs w:val="false"/>
                <w:color w:val="000000"/>
                <w:lang w:val="en-GB"/>
              </w:rPr>
              <w:t>Quenching of the crowding-out effect of young scientists experienced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Creation of a centre of excellence for Space Geodesy in Greece, with elevated international standing.</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Boost involvement, innovation and expertise for Space studies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Economic/Scientific:</w:t>
            </w:r>
            <w:r>
              <w:rPr>
                <w:i w:val="false"/>
                <w:iCs w:val="false"/>
                <w:color w:val="000000"/>
                <w:lang w:val="en-GB"/>
              </w:rPr>
              <w:t xml:space="preserve"> Boost host institute’s success rate in research funding bids.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rPr>
            </w:pPr>
            <w:r>
              <w:rPr>
                <w:b/>
                <w:bCs/>
                <w:i w:val="false"/>
                <w:iCs w:val="false"/>
                <w:color w:val="000000"/>
                <w:lang w:val="en-GB"/>
              </w:rPr>
              <w:t>Scientific:</w:t>
            </w:r>
            <w:r>
              <w:rPr>
                <w:i w:val="false"/>
                <w:iCs w:val="false"/>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lang w:val="en-GB"/>
        </w:rPr>
      </w:pPr>
      <w:r>
        <w:rPr>
          <w:lang w:val="en-GB"/>
        </w:rPr>
      </w:r>
    </w:p>
    <w:p>
      <w:pPr>
        <w:sectPr>
          <w:headerReference w:type="even" r:id="rId16"/>
          <w:headerReference w:type="default" r:id="rId17"/>
          <w:headerReference w:type="first" r:id="rId18"/>
          <w:footerReference w:type="default" r:id="rId19"/>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ind w:left="0" w:right="0" w:hanging="0"/>
        <w:jc w:val="both"/>
        <w:rPr/>
      </w:pPr>
      <w:r>
        <w:rPr>
          <w:rFonts w:cs="Arial"/>
          <w:color w:val="B5B5B5"/>
          <w:sz w:val="18"/>
          <w:szCs w:val="16"/>
        </w:rPr>
        <w:t>#§IMP-ACT-IA§#</w:t>
      </w:r>
    </w:p>
    <w:p>
      <w:pPr>
        <w:pStyle w:val="Normal"/>
        <w:numPr>
          <w:ilvl w:val="0"/>
          <w:numId w:val="12"/>
        </w:numPr>
        <w:spacing w:before="0" w:after="200"/>
        <w:ind w:left="720" w:right="0" w:hanging="360"/>
        <w:jc w:val="both"/>
        <w:rPr>
          <w:lang w:val="en-GB"/>
        </w:rPr>
      </w:pPr>
      <w:r>
        <w:rPr>
          <w:b/>
          <w:bCs/>
          <w:lang w:val="en-GB"/>
        </w:rPr>
        <w:t xml:space="preserve">Quality and efficiency of the implementation </w:t>
      </w:r>
      <w:r>
        <w:rPr>
          <w:rFonts w:cs="Arial"/>
          <w:caps/>
          <w:color w:val="B5B5B5"/>
          <w:sz w:val="18"/>
          <w:szCs w:val="16"/>
          <w:lang w:eastAsia="it-IT"/>
        </w:rPr>
        <w:t xml:space="preserve">#@QUA-LIT-QL@# </w:t>
      </w:r>
      <w:r>
        <w:rPr>
          <w:rFonts w:cs="Arial"/>
          <w:color w:val="B5B5B5"/>
          <w:sz w:val="18"/>
          <w:szCs w:val="16"/>
        </w:rPr>
        <w:t>#@WRK-PLA-WP@#</w:t>
      </w:r>
    </w:p>
    <w:tbl>
      <w:tblPr>
        <w:tblW w:w="9242" w:type="dxa"/>
        <w:jc w:val="left"/>
        <w:tblInd w:w="-114" w:type="dxa"/>
        <w:tblLayout w:type="fixed"/>
        <w:tblCellMar>
          <w:top w:w="0" w:type="dxa"/>
          <w:left w:w="108" w:type="dxa"/>
          <w:bottom w:w="0" w:type="dxa"/>
          <w:right w:w="108" w:type="dxa"/>
        </w:tblCellMar>
      </w:tblPr>
      <w:tblGrid>
        <w:gridCol w:w="9242"/>
      </w:tblGrid>
      <w:tr>
        <w:trPr>
          <w:trHeight w:val="1782" w:hRule="atLeast"/>
        </w:trPr>
        <w:tc>
          <w:tcPr>
            <w:tcW w:w="92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i/>
              </w:rPr>
              <w:t>Quality and efficiency of the implementation – aspects to be taken into account</w:t>
            </w:r>
          </w:p>
          <w:p>
            <w:pPr>
              <w:pStyle w:val="ListParagraph"/>
              <w:widowControl w:val="false"/>
              <w:numPr>
                <w:ilvl w:val="0"/>
                <w:numId w:val="11"/>
              </w:numPr>
              <w:tabs>
                <w:tab w:val="clear" w:pos="720"/>
              </w:tabs>
              <w:bidi w:val="0"/>
              <w:spacing w:before="0" w:after="200"/>
              <w:ind w:left="720" w:right="0" w:hanging="360"/>
              <w:contextualSpacing/>
              <w:jc w:val="both"/>
              <w:rPr/>
            </w:pPr>
            <w:r>
              <w:rPr>
                <w:i/>
              </w:rPr>
              <w:t>Quality and effectiveness of the work plan, assessment of risks, and appropriateness of the effort assigned to work packages, and the resources overall.</w:t>
            </w:r>
          </w:p>
          <w:p>
            <w:pPr>
              <w:pStyle w:val="ListParagraph"/>
              <w:widowControl w:val="false"/>
              <w:numPr>
                <w:ilvl w:val="0"/>
                <w:numId w:val="11"/>
              </w:numPr>
              <w:tabs>
                <w:tab w:val="clear" w:pos="720"/>
              </w:tabs>
              <w:bidi w:val="0"/>
              <w:spacing w:before="0" w:after="200"/>
              <w:ind w:left="720" w:right="0" w:hanging="360"/>
              <w:contextualSpacing/>
              <w:jc w:val="both"/>
              <w:rPr/>
            </w:pPr>
            <w:r>
              <w:rPr>
                <w:i/>
              </w:rPr>
              <w:t>Capacity and role of each participant, and extent to which the consortium as a whole brings together the necessary expertise.</w:t>
            </w:r>
          </w:p>
        </w:tc>
      </w:tr>
    </w:tbl>
    <w:p>
      <w:pPr>
        <w:pStyle w:val="Normal"/>
        <w:widowControl w:val="false"/>
        <w:spacing w:before="0" w:after="200"/>
        <w:ind w:left="0" w:right="0" w:hanging="0"/>
        <w:jc w:val="both"/>
        <w:rPr>
          <w:b/>
          <w:b/>
          <w:lang w:val="en-GB"/>
        </w:rPr>
      </w:pPr>
      <w:r>
        <w:rPr>
          <w:b/>
          <w:lang w:val="en-GB"/>
        </w:rPr>
      </w:r>
    </w:p>
    <w:p>
      <w:pPr>
        <w:pStyle w:val="Normal"/>
        <w:spacing w:before="0" w:after="200"/>
        <w:ind w:left="720" w:right="0" w:hanging="720"/>
        <w:jc w:val="both"/>
        <w:rPr>
          <w:lang w:val="en-GB"/>
        </w:rPr>
      </w:pPr>
      <w:r>
        <w:rPr>
          <w:b/>
          <w:lang w:val="en-GB"/>
        </w:rPr>
        <w:t>3.1</w:t>
        <w:tab/>
        <w:t xml:space="preserve">Work plan and resources </w:t>
      </w:r>
    </w:p>
    <w:p>
      <w:pPr>
        <w:pStyle w:val="Normal"/>
        <w:spacing w:before="0" w:after="120"/>
        <w:ind w:left="0" w:right="0" w:hanging="0"/>
        <w:jc w:val="both"/>
        <w:rPr>
          <w:lang w:val="en-GB"/>
        </w:rPr>
      </w:pPr>
      <w:r>
        <w:rPr>
          <w:lang w:val="en-GB"/>
        </w:rPr>
        <w:t xml:space="preserve">The work plan for ACRONYM is heavily focused on an seamless, one-way transfer of </w:t>
      </w:r>
      <w:r>
        <w:rPr/>
        <w:t>excellence between the top-class consortium partners and NTUA. Project administration activities are placed in an individual Working Package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120"/>
        <w:ind w:left="0" w:right="0" w:hanging="0"/>
        <w:jc w:val="both"/>
        <w:rPr/>
      </w:pPr>
      <w:r>
        <w:rPr/>
        <mc:AlternateContent>
          <mc:Choice Requires="wps">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6479540" cy="4783455"/>
                <wp:effectExtent l="0" t="0" r="0" b="0"/>
                <wp:wrapSquare wrapText="bothSides"/>
                <wp:docPr id="12" name="Frame17"/>
                <a:graphic xmlns:a="http://schemas.openxmlformats.org/drawingml/2006/main">
                  <a:graphicData uri="http://schemas.microsoft.com/office/word/2010/wordprocessingShape">
                    <wps:wsp>
                      <wps:cNvSpPr/>
                      <wps:spPr>
                        <a:xfrm>
                          <a:off x="0" y="0"/>
                          <a:ext cx="6479640" cy="478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479540" cy="452120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20"/>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510.15pt;height:376.6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479540" cy="45212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21"/>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v:textbox>
                <w10:wrap type="square"/>
              </v:rect>
            </w:pict>
          </mc:Fallback>
        </mc:AlternateContent>
      </w:r>
    </w:p>
    <w:p>
      <w:pPr>
        <w:pStyle w:val="Normal"/>
        <w:widowControl/>
        <w:spacing w:before="0" w:after="200"/>
        <w:ind w:left="0" w:right="0" w:hanging="0"/>
        <w:jc w:val="both"/>
        <w:rPr/>
      </w:pPr>
      <w:r>
        <w:rPr/>
      </w:r>
    </w:p>
    <w:p>
      <w:pPr>
        <w:pStyle w:val="Normal"/>
        <w:widowControl/>
        <w:spacing w:before="0" w:after="200"/>
        <w:ind w:left="0" w:right="0" w:hanging="0"/>
        <w:jc w:val="both"/>
        <w:rPr/>
      </w:pPr>
      <w:r>
        <w:rPr/>
      </w:r>
    </w:p>
    <w:p>
      <w:pPr>
        <w:pStyle w:val="Normal"/>
        <w:ind w:left="0" w:right="0" w:hanging="0"/>
        <w:rPr>
          <w:lang w:val="en-GB"/>
        </w:rPr>
      </w:pPr>
      <w:r>
        <w:rPr>
          <w:i/>
          <w:lang w:val="en-GB"/>
        </w:rPr>
        <w:t xml:space="preserve"> </w:t>
      </w:r>
    </w:p>
    <w:p>
      <w:pPr>
        <w:pStyle w:val="Normal"/>
        <w:spacing w:before="0" w:after="200"/>
        <w:ind w:left="0" w:right="0" w:hanging="0"/>
        <w:jc w:val="both"/>
        <w:rPr>
          <w:lang w:val="en-GB"/>
        </w:rPr>
      </w:pPr>
      <w:r>
        <w:rPr>
          <w:b/>
          <w:lang w:val="en-GB"/>
        </w:rPr>
        <w:t>3.2</w:t>
        <w:tab/>
        <w:t xml:space="preserve">Capacity of participants and consortium as a whole </w:t>
      </w:r>
      <w:r>
        <w:rPr>
          <w:rFonts w:cs="Arial"/>
          <w:color w:val="B5B5B5"/>
          <w:sz w:val="18"/>
          <w:szCs w:val="16"/>
        </w:rPr>
        <w:t>#@CON-SOR-CS@# #@PRJ-MGT-PM@#</w:t>
      </w:r>
      <w:r>
        <w:rPr>
          <w:i/>
          <w:lang w:val="en-GB"/>
        </w:rPr>
        <w:t xml:space="preserve"> [e.g. 3 pages] </w:t>
      </w:r>
    </w:p>
    <w:p>
      <w:pPr>
        <w:pStyle w:val="Normal"/>
        <w:spacing w:before="0" w:after="200"/>
        <w:ind w:left="0" w:right="0" w:hanging="0"/>
        <w:jc w:val="both"/>
        <w:rPr>
          <w:i/>
          <w:i/>
          <w:lang w:val="en-GB"/>
        </w:rPr>
      </w:pPr>
      <w:r>
        <w:rPr/>
        <w:drawing>
          <wp:inline distT="0" distB="0" distL="0" distR="0">
            <wp:extent cx="129540" cy="12954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22"/>
                    <a:stretch>
                      <a:fillRect/>
                    </a:stretch>
                  </pic:blipFill>
                  <pic:spPr bwMode="auto">
                    <a:xfrm>
                      <a:off x="0" y="0"/>
                      <a:ext cx="129540" cy="129540"/>
                    </a:xfrm>
                    <a:prstGeom prst="rect">
                      <a:avLst/>
                    </a:prstGeom>
                  </pic:spPr>
                </pic:pic>
              </a:graphicData>
            </a:graphic>
          </wp:inline>
        </w:drawing>
      </w:r>
    </w:p>
    <w:p>
      <w:pPr>
        <w:pStyle w:val="Normal"/>
        <w:spacing w:before="0" w:after="200"/>
        <w:ind w:left="0" w:right="0" w:hanging="0"/>
        <w:jc w:val="both"/>
        <w:rPr/>
      </w:pPr>
      <w:r>
        <w:rPr>
          <w:rFonts w:cs="Arial"/>
          <w:color w:val="B5B5B5"/>
          <w:sz w:val="18"/>
          <w:szCs w:val="16"/>
        </w:rPr>
        <w:t>#§CON-SOR-CS§# #§PRJ-MGT-PM§#</w:t>
      </w:r>
      <w:r>
        <w:br w:type="page"/>
      </w:r>
    </w:p>
    <w:p>
      <w:pPr>
        <w:pStyle w:val="Normal"/>
        <w:spacing w:lineRule="auto" w:line="276" w:before="0" w:after="240"/>
        <w:ind w:left="0" w:right="0" w:hanging="0"/>
        <w:jc w:val="both"/>
        <w:rPr>
          <w:lang w:val="en-GB"/>
        </w:rPr>
      </w:pPr>
      <w:r>
        <w:rPr>
          <w:b/>
          <w:bCs/>
          <w:lang w:val="en-GB"/>
        </w:rPr>
        <w:t>Tables for section 3.1</w:t>
      </w:r>
    </w:p>
    <w:p>
      <w:pPr>
        <w:pStyle w:val="Normal"/>
        <w:spacing w:before="0" w:after="240"/>
        <w:ind w:left="0" w:right="0" w:hanging="0"/>
        <w:rPr>
          <w:lang w:val="en-GB"/>
        </w:rPr>
      </w:pPr>
      <w:r>
        <w:rPr>
          <w:b/>
          <w:bCs/>
          <w:lang w:val="en-GB"/>
        </w:rPr>
        <w:t xml:space="preserve">Table 3.1a: </w:t>
        <w:tab/>
        <w:t>List of work packages</w:t>
      </w:r>
    </w:p>
    <w:p>
      <w:pPr>
        <w:pStyle w:val="Normal"/>
        <w:ind w:left="0" w:right="0" w:hanging="0"/>
        <w:rPr>
          <w:lang w:val="en-GB"/>
        </w:rPr>
      </w:pPr>
      <w:r>
        <w:rPr>
          <w:lang w:val="en-GB"/>
        </w:rPr>
      </w:r>
    </w:p>
    <w:tbl>
      <w:tblPr>
        <w:tblW w:w="8678" w:type="dxa"/>
        <w:jc w:val="center"/>
        <w:tblInd w:w="0" w:type="dxa"/>
        <w:tblLayout w:type="fixed"/>
        <w:tblCellMar>
          <w:top w:w="0" w:type="dxa"/>
          <w:left w:w="108" w:type="dxa"/>
          <w:bottom w:w="0" w:type="dxa"/>
          <w:right w:w="108" w:type="dxa"/>
        </w:tblCellMar>
      </w:tblPr>
      <w:tblGrid>
        <w:gridCol w:w="1100"/>
        <w:gridCol w:w="1988"/>
        <w:gridCol w:w="1250"/>
        <w:gridCol w:w="1350"/>
        <w:gridCol w:w="1087"/>
        <w:gridCol w:w="990"/>
        <w:gridCol w:w="912"/>
      </w:tblGrid>
      <w:tr>
        <w:trPr>
          <w:cantSplit w:val="true"/>
        </w:trPr>
        <w:tc>
          <w:tcPr>
            <w:tcW w:w="110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No</w:t>
            </w:r>
          </w:p>
        </w:tc>
        <w:tc>
          <w:tcPr>
            <w:tcW w:w="198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Title</w:t>
            </w:r>
          </w:p>
        </w:tc>
        <w:tc>
          <w:tcPr>
            <w:tcW w:w="12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No</w:t>
            </w:r>
          </w:p>
        </w:tc>
        <w:tc>
          <w:tcPr>
            <w:tcW w:w="13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Short Name</w:t>
            </w:r>
          </w:p>
        </w:tc>
        <w:tc>
          <w:tcPr>
            <w:tcW w:w="108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Person-Months</w:t>
            </w:r>
          </w:p>
        </w:tc>
        <w:tc>
          <w:tcPr>
            <w:tcW w:w="99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Start Month</w:t>
            </w:r>
          </w:p>
        </w:tc>
        <w:tc>
          <w:tcPr>
            <w:tcW w:w="91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End month</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spacing w:before="0" w:after="240"/>
        <w:ind w:left="0" w:right="0" w:hanging="0"/>
        <w:rPr>
          <w:b/>
          <w:b/>
          <w:bCs/>
          <w:lang w:val="en-GB"/>
        </w:rPr>
      </w:pPr>
      <w:r>
        <w:rPr>
          <w:b/>
          <w:bCs/>
          <w:lang w:val="en-GB"/>
        </w:rPr>
      </w:r>
      <w:r>
        <w:br w:type="page"/>
      </w:r>
    </w:p>
    <w:p>
      <w:pPr>
        <w:pStyle w:val="Normal"/>
        <w:spacing w:before="0" w:after="200"/>
        <w:ind w:left="0" w:right="0" w:hanging="0"/>
        <w:rPr>
          <w:lang w:val="en-GB"/>
        </w:rPr>
      </w:pPr>
      <w:r>
        <w:rPr>
          <w:b/>
          <w:bCs/>
          <w:lang w:val="en-GB"/>
        </w:rPr>
        <w:t>Table 3.1b:</w:t>
        <w:tab/>
        <w:t xml:space="preserve">Work package description </w:t>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Project Management &amp; Coordination</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b/>
                <w:lang w:val="en-GB"/>
              </w:rPr>
              <w:t>Objectives</w:t>
            </w:r>
          </w:p>
          <w:p>
            <w:pPr>
              <w:pStyle w:val="Normal"/>
              <w:widowControl w:val="false"/>
              <w:tabs>
                <w:tab w:val="clear" w:pos="720"/>
              </w:tabs>
              <w:spacing w:before="60" w:after="60"/>
              <w:ind w:left="0" w:right="0" w:hanging="0"/>
              <w:rPr>
                <w:lang w:val="en-GB"/>
              </w:rPr>
            </w:pPr>
            <w:r>
              <w:rPr>
                <w:lang w:val="en-GB"/>
              </w:rPr>
              <w:t xml:space="preserve">The objectives of this WP are to: (1) Establish a strong project management scheme; (2) Establish the appropriate </w:t>
            </w:r>
            <w:r>
              <w:rPr/>
              <w:t>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p>
            <w:pPr>
              <w:pStyle w:val="Normal"/>
              <w:widowControl w:val="false"/>
              <w:tabs>
                <w:tab w:val="clear" w:pos="720"/>
              </w:tabs>
              <w:spacing w:before="60" w:after="60"/>
              <w:ind w:left="0" w:right="0" w:hanging="0"/>
              <w:rPr>
                <w:lang w:val="en-GB"/>
              </w:rPr>
            </w:pPr>
            <w:r>
              <w:rPr>
                <w:lang w:val="en-GB"/>
              </w:rPr>
            </w:r>
          </w:p>
        </w:tc>
      </w:tr>
    </w:tbl>
    <w:p>
      <w:pPr>
        <w:pStyle w:val="Normal"/>
        <w:widowControl w:val="false"/>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partners. Through these channels, the expert nodes will introduce the host institute to their respective fields of expertise, and lay the groundwork and work-schedule for research capacity building.</w:t>
            </w:r>
          </w:p>
          <w:p>
            <w:pPr>
              <w:pStyle w:val="Normal"/>
              <w:widowControl w:val="false"/>
              <w:tabs>
                <w:tab w:val="clear" w:pos="720"/>
              </w:tabs>
              <w:spacing w:before="60" w:after="60"/>
              <w:ind w:left="0" w:right="0" w:hanging="0"/>
              <w:jc w:val="both"/>
              <w:rPr/>
            </w:pPr>
            <w:r>
              <w:rPr/>
              <w:t>Additionally, a task force will be established in the host institute and trained by the expert partners with the aim of boosting its success rate in research funding bids.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highlight w:val="none"/>
                <w:shd w:fill="FFFF00" w:val="clear"/>
              </w:rPr>
            </w:pPr>
            <w:r>
              <w:rPr>
                <w:shd w:fill="FFFF00" w:val="clear"/>
                <w:lang w:val="en-GB"/>
              </w:rPr>
              <w:t>The transferring of scientific knowledge from the partners to the host, will involve experienced personnel from the respective knowledge nodes on the one hand, and personnel, NTUA Professors and PhD/post-doc students on the other endpoint. Each of the consortium partners, will undertake the task of transferring knowledge, via:</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series of on-line, remote presentations and classes in a one-to-many sense, where different members of the top-level institute's personnel will teach a targeted subgroup of the host's staff, technique-specific details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seamless communication channel, via which the host's staff will be able to request assistance in technique-specific matters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number of short term visits from the host's staff to the partners. During these visits, there will be a transfer of knowledge and expertise based on a hands-on approach. Host institute's personnel will be able to inspect and be taught and informed on the specialized software tools used by the top-level partners for each technique of interest. Crucial scientific output will be generated and the host can incorporate lessons learned using a best-practices approach.</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number of short term visits from the partners to the host institute. These visits are expected to consolidate a sound, solid communication channel between the parties. Additionally, the expert partners will perform lectures and seminars on technical matters as well as inspect progress of WP3</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Via the established communication channels, transfer of administrative knowledge and skills from  the partners to the host institution, will also take place, aiming at increasing the host's capacity in claiming and managing research-intensive projects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The host institute along with IPGP and CLS will establish a task force (with members of all three involved institutes) and the (online) means through which this force will maintain a long-term sound communication and collaboration, at least for the duration of ACRONYM. The expert partners will introduce the DORIS technique to their peers in the host institute via online webinars, venture labs and one short term encounter of all three involved partners. This encounter will be hosted by IPGP and will include the schooling of the host’s personnel and its training on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thus strengthening ties and synergies.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Exploiting the expertise of the top-class institutes (IPGP and CLS), the partners will lay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(online) means through which this force will maintain a long-term, solid communication channel, at least for the duration of ACRONYM. The expert partner will introduce the SLR technique to its peers in the host institute via online webinars, venture labs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OSO and NTUA will establish a task force (with members of both involved institutes) and the (online) means through which this force will maintain a long-term, sound communication channel, at least for the duration of ACRONYM. The expert partner will introduce the VLBI technique to its peers in the host institute via online webinars, venture labs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Research Funding Capacity (M1-M24); Lead CLS</w:t>
            </w:r>
          </w:p>
          <w:p>
            <w:pPr>
              <w:pStyle w:val="Normal"/>
              <w:widowControl w:val="false"/>
              <w:tabs>
                <w:tab w:val="clear" w:pos="720"/>
              </w:tabs>
              <w:spacing w:before="60" w:after="60"/>
              <w:ind w:left="0" w:right="0" w:hanging="0"/>
              <w:jc w:val="both"/>
              <w:rPr/>
            </w:pPr>
            <w:r>
              <w:rPr>
                <w:lang w:val="en-GB"/>
              </w:rPr>
              <w:t>The host institute will establish a task force, made up of NTUA employees, which will be trained in project funding seeking, proposal submission and research project management. The consortium partners (CLS, IPGP, GFZ and OSO) will transfer technical knowledge, know-how and expertise to NTUA, concerning the writing and submitting of research proposals, as well as the efficient administration of research intensive scientific projects. The expert nodes will introduce the host task force to European research funding pools (e.g. EU, ESA, etc) and the means to significantly enhance its successful proposal submission rate. The task force along with the partners will decide on a strategic plan for two further research proposals to be submitted within the duration of ACRONYM.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p>
            <w:pPr>
              <w:pStyle w:val="Normal"/>
              <w:widowControl w:val="false"/>
              <w:tabs>
                <w:tab w:val="clear" w:pos="720"/>
              </w:tabs>
              <w:spacing w:before="60" w:after="60"/>
              <w:ind w:left="0" w:right="0" w:hanging="0"/>
              <w:jc w:val="both"/>
              <w:rPr>
                <w:highlight w:val="none"/>
                <w:shd w:fill="auto" w:val="clear"/>
              </w:rPr>
            </w:pPr>
            <w:r>
              <w:rPr>
                <w:shd w:fill="auto" w:val="clear"/>
                <w:lang w:val="en-GB"/>
              </w:rPr>
              <w:t>The consortium will adhere to a free and open-source policy for all software tools to be built within the framework of this WP. Software implementation will be carried out on the public domain via dedicated repositories (hosted e.g. on gitlab) so at to enable a rigorous development platform for the consortium partners, easy and efficient progress monitoring (including the Commission) and instantaneous sharing with the scientific community.</w:t>
            </w:r>
          </w:p>
          <w:p>
            <w:pPr>
              <w:pStyle w:val="Normal"/>
              <w:widowControl w:val="false"/>
              <w:tabs>
                <w:tab w:val="clear" w:pos="720"/>
              </w:tabs>
              <w:spacing w:before="60" w:after="60"/>
              <w:ind w:left="0" w:right="0" w:hanging="0"/>
              <w:jc w:val="both"/>
              <w:rPr/>
            </w:pPr>
            <w:r>
              <w:rPr/>
              <w:t>Dissemination will also aim in improving capacity and involvement of the Widening  country in Space Geodesy and the wider field of Space studies in general, via promoting know-how, innovation and familiarization with trending and future applications relevant to field. Target audience will be both the public and the private sector.</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training,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2.1,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IDS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2.2,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ILRS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 w:val="false"/>
                <w:bCs w:val="false"/>
              </w:rPr>
            </w:pPr>
            <w:r>
              <w:rPr>
                <w:b w:val="false"/>
                <w:bCs w:val="false"/>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the significant enhancement of the host institute’s international standing and prestige via dissemination and communication activities. Publications in top-tier scientific journals and conferences will further increase NTUA’s visibility and prominence in the scientific community and strengthen the potential for future collaborations nationally and beyond borders. Communication and exploitation activities will help in boosting innovation in the Space and Geosciences fields in Greece, and appeal to young scientists. Focus will be placed in endorsing and promoting the achievements of ACRONYM and the newly established center of excellence.</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 xml:space="preserve">Th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The host institute will organize one on-line webinar and one seminar/workshop in NTUA’s facilities, for the endorsement of ACRONYM, dissemination of its scientific output and results and promotion of innovation in the field of Space Geodesy, Orbit Determination, Space Studies and Geosciences in general. The expert partners will introduce and present novelties and current and future trends and applications that can have an effect in the related market. Both seminars will be open to any interested parties and especially 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(M12-M36);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Hence, by the end of ACRONYM, three high impact factor publications will have been produced, adhering to an open-access policy.</w:t>
            </w:r>
          </w:p>
          <w:p>
            <w:pPr>
              <w:pStyle w:val="Normal"/>
              <w:widowControl w:val="false"/>
              <w:tabs>
                <w:tab w:val="clear" w:pos="720"/>
              </w:tabs>
              <w:spacing w:before="60" w:after="60"/>
              <w:ind w:left="0" w:right="0" w:hanging="0"/>
              <w:jc w:val="both"/>
              <w:rPr/>
            </w:pPr>
            <w:r>
              <w:rPr>
                <w:lang w:val="en-GB"/>
              </w:rPr>
              <w:t>Additionally, members of the consortium will present relevant publications in at least three international conferences, targeting when possible technique-related workshops (e.g. Analysis Centre Workshops organized by IDS and/or ILRS).</w:t>
            </w:r>
          </w:p>
        </w:tc>
      </w:tr>
    </w:tbl>
    <w:p>
      <w:pPr>
        <w:pStyle w:val="Normal"/>
        <w:spacing w:before="0" w:after="240"/>
        <w:ind w:left="0" w:right="0" w:hanging="0"/>
        <w:rPr>
          <w:lang w:val="en-GB"/>
        </w:rPr>
      </w:pPr>
      <w:r>
        <w:rPr>
          <w:lang w:val="en-GB"/>
        </w:rPr>
      </w:r>
    </w:p>
    <w:p>
      <w:pPr>
        <w:pStyle w:val="Normal"/>
        <w:spacing w:before="0" w:after="240"/>
        <w:ind w:left="0" w:right="0" w:hanging="0"/>
        <w:rPr>
          <w:lang w:val="en-GB"/>
        </w:rPr>
      </w:pPr>
      <w:r>
        <w:rPr>
          <w:b/>
          <w:bCs/>
          <w:lang w:val="en-GB"/>
        </w:rPr>
        <w:t>Table 3.1c:</w:t>
        <w:tab/>
        <w:t>List of Deliverables</w:t>
      </w:r>
      <w:r>
        <w:rPr>
          <w:rStyle w:val="FootnoteAnchor"/>
          <w:b/>
          <w:bCs/>
          <w:vertAlign w:val="superscript"/>
          <w:lang w:val="en-GB"/>
        </w:rPr>
        <w:footnoteReference w:id="3"/>
      </w:r>
    </w:p>
    <w:p>
      <w:pPr>
        <w:pStyle w:val="Normal"/>
        <w:spacing w:before="0" w:after="240"/>
        <w:ind w:left="0" w:right="0" w:hanging="0"/>
        <w:jc w:val="both"/>
        <w:rPr>
          <w:highlight w:val="none"/>
          <w:shd w:fill="FFFF00" w:val="clear"/>
        </w:rPr>
      </w:pPr>
      <w:r>
        <w:rPr>
          <w:bCs/>
          <w:shd w:fill="FFFF00" w:val="clear"/>
          <w:lang w:val="en-GB"/>
        </w:rPr>
        <w:t>Need to sort these by delivery date</w:t>
      </w:r>
    </w:p>
    <w:tbl>
      <w:tblPr>
        <w:tblW w:w="10100" w:type="dxa"/>
        <w:jc w:val="center"/>
        <w:tblInd w:w="0" w:type="dxa"/>
        <w:tblLayout w:type="fixed"/>
        <w:tblCellMar>
          <w:top w:w="0" w:type="dxa"/>
          <w:left w:w="108" w:type="dxa"/>
          <w:bottom w:w="0" w:type="dxa"/>
          <w:right w:w="108" w:type="dxa"/>
        </w:tblCellMar>
      </w:tblPr>
      <w:tblGrid>
        <w:gridCol w:w="834"/>
        <w:gridCol w:w="1417"/>
        <w:gridCol w:w="2691"/>
        <w:gridCol w:w="994"/>
        <w:gridCol w:w="1285"/>
        <w:gridCol w:w="709"/>
        <w:gridCol w:w="1046"/>
        <w:gridCol w:w="1122"/>
      </w:tblGrid>
      <w:tr>
        <w:trPr/>
        <w:tc>
          <w:tcPr>
            <w:tcW w:w="83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Number</w:t>
            </w:r>
          </w:p>
        </w:tc>
        <w:tc>
          <w:tcPr>
            <w:tcW w:w="141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Deliverable name</w:t>
            </w:r>
          </w:p>
        </w:tc>
        <w:tc>
          <w:tcPr>
            <w:tcW w:w="269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Short description</w:t>
            </w:r>
          </w:p>
        </w:tc>
        <w:tc>
          <w:tcPr>
            <w:tcW w:w="99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Work package number</w:t>
            </w:r>
          </w:p>
        </w:tc>
        <w:tc>
          <w:tcPr>
            <w:tcW w:w="12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Short name of lead participant</w:t>
            </w:r>
          </w:p>
        </w:tc>
        <w:tc>
          <w:tcPr>
            <w:tcW w:w="70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Type</w:t>
            </w:r>
          </w:p>
        </w:tc>
        <w:tc>
          <w:tcPr>
            <w:tcW w:w="104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Dissemination level</w:t>
            </w:r>
          </w:p>
        </w:tc>
        <w:tc>
          <w:tcPr>
            <w:tcW w:w="112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Delivery date</w:t>
            </w:r>
          </w:p>
          <w:p>
            <w:pPr>
              <w:pStyle w:val="Normal"/>
              <w:widowControl w:val="false"/>
              <w:tabs>
                <w:tab w:val="clear" w:pos="720"/>
              </w:tabs>
              <w:spacing w:before="120" w:after="0"/>
              <w:ind w:left="0" w:right="0" w:hanging="0"/>
              <w:jc w:val="center"/>
              <w:rPr>
                <w:lang w:val="en-GB"/>
              </w:rPr>
            </w:pPr>
            <w:r>
              <w:rPr>
                <w:b/>
                <w:lang w:val="en-GB"/>
              </w:rPr>
              <w:t>(in months)</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6, 24, 36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auto" w:val="clear"/>
              </w:rPr>
            </w:pPr>
            <w:r>
              <w:rPr>
                <w:shd w:fill="auto" w:val="clear"/>
                <w:lang w:val="en-GB"/>
              </w:rPr>
              <w:t>Validation tests for EOP  precise handling</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 w:val="false"/>
                <w:bCs w:val="false"/>
              </w:rPr>
            </w:pPr>
            <w:r>
              <w:rPr>
                <w:b w:val="false"/>
                <w:bCs w:val="false"/>
              </w:rPr>
              <w:t>Long term plan for center of excellence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5"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2"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ind w:left="0" w:right="0" w:hanging="0"/>
        <w:rPr>
          <w:lang w:val="en-GB"/>
        </w:rPr>
      </w:pPr>
      <w:r>
        <w:rPr>
          <w:lang w:val="en-GB"/>
        </w:rPr>
      </w:r>
    </w:p>
    <w:p>
      <w:pPr>
        <w:pStyle w:val="Normal"/>
        <w:spacing w:lineRule="auto" w:line="276" w:before="0" w:after="120"/>
        <w:ind w:left="0" w:right="0" w:hanging="0"/>
        <w:jc w:val="both"/>
        <w:rPr>
          <w:lang w:val="en-GB"/>
        </w:rPr>
      </w:pPr>
      <w:r>
        <w:rPr>
          <w:b/>
          <w:bCs/>
          <w:lang w:val="en-GB"/>
        </w:rPr>
        <w:t>Table 3.1d:</w:t>
        <w:tab/>
        <w:t xml:space="preserve">List of milestones </w:t>
      </w:r>
    </w:p>
    <w:tbl>
      <w:tblPr>
        <w:tblW w:w="10348" w:type="dxa"/>
        <w:jc w:val="left"/>
        <w:tblInd w:w="-147" w:type="dxa"/>
        <w:tblLayout w:type="fixed"/>
        <w:tblCellMar>
          <w:top w:w="0" w:type="dxa"/>
          <w:left w:w="108" w:type="dxa"/>
          <w:bottom w:w="0" w:type="dxa"/>
          <w:right w:w="108" w:type="dxa"/>
        </w:tblCellMar>
      </w:tblPr>
      <w:tblGrid>
        <w:gridCol w:w="1465"/>
        <w:gridCol w:w="1638"/>
        <w:gridCol w:w="2262"/>
        <w:gridCol w:w="2248"/>
        <w:gridCol w:w="2735"/>
      </w:tblGrid>
      <w:tr>
        <w:trPr/>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number</w:t>
            </w:r>
          </w:p>
        </w:tc>
        <w:tc>
          <w:tcPr>
            <w:tcW w:w="163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name</w:t>
            </w:r>
          </w:p>
        </w:tc>
        <w:tc>
          <w:tcPr>
            <w:tcW w:w="22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Related work package(s)</w:t>
            </w:r>
          </w:p>
        </w:tc>
        <w:tc>
          <w:tcPr>
            <w:tcW w:w="224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Due date (in month)</w:t>
            </w:r>
          </w:p>
        </w:tc>
        <w:tc>
          <w:tcPr>
            <w:tcW w:w="273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Means of verification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ind w:left="0" w:right="0" w:hanging="0"/>
        <w:jc w:val="center"/>
        <w:rPr>
          <w:lang w:val="en-GB"/>
        </w:rPr>
      </w:pPr>
      <w:r>
        <w:rPr>
          <w:lang w:val="en-GB"/>
        </w:rPr>
      </w:r>
    </w:p>
    <w:p>
      <w:pPr>
        <w:pStyle w:val="Normal"/>
        <w:ind w:left="0" w:right="0" w:hanging="0"/>
        <w:jc w:val="center"/>
        <w:rPr>
          <w:lang w:val="en-GB"/>
        </w:rPr>
      </w:pPr>
      <w:r>
        <w:rPr>
          <w:lang w:val="en-GB"/>
        </w:rPr>
      </w:r>
    </w:p>
    <w:p>
      <w:pPr>
        <w:pStyle w:val="Normal"/>
        <w:spacing w:before="0" w:after="120"/>
        <w:ind w:left="0" w:right="0" w:hanging="0"/>
        <w:rPr>
          <w:lang w:val="en-GB"/>
        </w:rPr>
      </w:pPr>
      <w:r>
        <w:rPr>
          <w:b/>
          <w:bCs/>
          <w:lang w:val="en-GB"/>
        </w:rPr>
        <w:t>Table 3.1e:</w:t>
        <w:tab/>
        <w:t xml:space="preserve">Critical risks for implementation </w:t>
      </w:r>
      <w:r>
        <w:rPr>
          <w:rFonts w:cs="Arial"/>
          <w:color w:val="B5B5B5"/>
          <w:sz w:val="18"/>
          <w:szCs w:val="16"/>
        </w:rPr>
        <w:t>#@RSK-MGT-RM@#</w:t>
      </w:r>
    </w:p>
    <w:tbl>
      <w:tblPr>
        <w:tblW w:w="10348" w:type="dxa"/>
        <w:jc w:val="left"/>
        <w:tblInd w:w="-147" w:type="dxa"/>
        <w:tblLayout w:type="fixed"/>
        <w:tblCellMar>
          <w:top w:w="0" w:type="dxa"/>
          <w:left w:w="108" w:type="dxa"/>
          <w:bottom w:w="0" w:type="dxa"/>
          <w:right w:w="108" w:type="dxa"/>
        </w:tblCellMar>
      </w:tblPr>
      <w:tblGrid>
        <w:gridCol w:w="3969"/>
        <w:gridCol w:w="2409"/>
        <w:gridCol w:w="3970"/>
      </w:tblGrid>
      <w:tr>
        <w:trPr/>
        <w:tc>
          <w:tcPr>
            <w:tcW w:w="39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Description of risk (indicate level of (i) likelihood, and (ii) severity: Low/Medium/High)</w:t>
            </w:r>
          </w:p>
        </w:tc>
        <w:tc>
          <w:tcPr>
            <w:tcW w:w="24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Work package(s) involved</w:t>
            </w:r>
          </w:p>
        </w:tc>
        <w:tc>
          <w:tcPr>
            <w:tcW w:w="39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Proposed risk-mitigation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bl>
    <w:p>
      <w:pPr>
        <w:pStyle w:val="Normal"/>
        <w:widowControl w:val="false"/>
        <w:spacing w:lineRule="auto" w:line="360"/>
        <w:ind w:left="0" w:right="0" w:hanging="0"/>
        <w:rPr>
          <w:rFonts w:ascii="Arial" w:hAnsi="Arial" w:cs="Arial"/>
          <w:b/>
          <w:b/>
          <w:bCs/>
          <w:lang w:val="en-GB"/>
        </w:rPr>
      </w:pPr>
      <w:r>
        <w:rPr>
          <w:rFonts w:cs="Arial" w:ascii="Arial" w:hAnsi="Arial"/>
          <w:b/>
          <w:bCs/>
          <w:lang w:val="en-GB"/>
        </w:rPr>
      </w:r>
    </w:p>
    <w:p>
      <w:pPr>
        <w:pStyle w:val="Normal"/>
        <w:widowControl w:val="false"/>
        <w:spacing w:lineRule="auto" w:line="360"/>
        <w:ind w:left="0" w:right="0" w:hanging="0"/>
        <w:rPr/>
      </w:pPr>
      <w:r>
        <w:rPr>
          <w:rFonts w:cs="Arial"/>
          <w:color w:val="B5B5B5"/>
          <w:sz w:val="18"/>
          <w:szCs w:val="16"/>
        </w:rPr>
        <w:t>#§RSK-MGT-RM§#</w:t>
      </w:r>
      <w:r>
        <w:br w:type="page"/>
      </w:r>
    </w:p>
    <w:p>
      <w:pPr>
        <w:pStyle w:val="Normal"/>
        <w:spacing w:lineRule="auto" w:line="276" w:before="0" w:after="120"/>
        <w:ind w:left="0" w:right="0" w:hanging="0"/>
        <w:jc w:val="both"/>
        <w:rPr>
          <w:lang w:val="en-GB"/>
        </w:rPr>
      </w:pPr>
      <w:r>
        <w:rPr>
          <w:b/>
          <w:bCs/>
          <w:lang w:val="en-GB"/>
        </w:rPr>
        <w:t xml:space="preserve">Table 3.1f: </w:t>
        <w:tab/>
        <w:t>Summary of staff effort</w:t>
      </w:r>
    </w:p>
    <w:p>
      <w:pPr>
        <w:pStyle w:val="Normal"/>
        <w:spacing w:before="0" w:after="240"/>
        <w:ind w:left="0" w:right="0" w:hanging="0"/>
        <w:jc w:val="both"/>
        <w:rPr>
          <w:lang w:val="en-GB"/>
        </w:rPr>
      </w:pPr>
      <w:r>
        <w:rPr>
          <w:i/>
          <w:lang w:val="en-GB"/>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b/>
          <w:b/>
          <w:i/>
          <w:i/>
          <w:lang w:val="en-GB" w:eastAsia="fr-BE"/>
        </w:rPr>
      </w:pPr>
      <w:r>
        <w:rPr>
          <w:b/>
          <w:i/>
          <w:lang w:val="en-GB" w:eastAsia="fr-BE"/>
        </w:rPr>
      </w:r>
    </w:p>
    <w:tbl>
      <w:tblPr>
        <w:tblW w:w="9639" w:type="dxa"/>
        <w:jc w:val="left"/>
        <w:tblInd w:w="0" w:type="dxa"/>
        <w:tblLayout w:type="fixed"/>
        <w:tblCellMar>
          <w:top w:w="0" w:type="dxa"/>
          <w:left w:w="108" w:type="dxa"/>
          <w:bottom w:w="0" w:type="dxa"/>
          <w:right w:w="108" w:type="dxa"/>
        </w:tblCellMar>
      </w:tblPr>
      <w:tblGrid>
        <w:gridCol w:w="2403"/>
        <w:gridCol w:w="1468"/>
        <w:gridCol w:w="1469"/>
        <w:gridCol w:w="1468"/>
        <w:gridCol w:w="2831"/>
      </w:tblGrid>
      <w:tr>
        <w:trPr/>
        <w:tc>
          <w:tcPr>
            <w:tcW w:w="2403" w:type="dxa"/>
            <w:tcBorders>
              <w:bottom w:val="single" w:sz="4" w:space="0" w:color="000000"/>
              <w:right w:val="single" w:sz="4" w:space="0" w:color="000000"/>
            </w:tcBorders>
          </w:tcPr>
          <w:p>
            <w:pPr>
              <w:pStyle w:val="Normal"/>
              <w:widowControl w:val="false"/>
              <w:tabs>
                <w:tab w:val="clear" w:pos="720"/>
              </w:tabs>
              <w:ind w:left="0" w:right="0" w:hanging="0"/>
              <w:rPr>
                <w:b/>
                <w:b/>
                <w:bCs/>
                <w:lang w:val="en-GB"/>
              </w:rPr>
            </w:pPr>
            <w:r>
              <w:rPr>
                <w:b/>
                <w:bCs/>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w:t>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WPn+1</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WPn+2</w:t>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Total Person-</w:t>
            </w:r>
          </w:p>
          <w:p>
            <w:pPr>
              <w:pStyle w:val="Normal"/>
              <w:widowControl w:val="false"/>
              <w:tabs>
                <w:tab w:val="clear" w:pos="720"/>
              </w:tabs>
              <w:ind w:left="0" w:right="0" w:hanging="0"/>
              <w:jc w:val="center"/>
              <w:rPr>
                <w:lang w:val="en-GB"/>
              </w:rPr>
            </w:pPr>
            <w:r>
              <w:rPr>
                <w:b/>
                <w:bCs/>
                <w:lang w:val="en-GB"/>
              </w:rPr>
              <w:t>Months per Participant</w:t>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Cs/>
                <w:lang w:val="en-GB"/>
              </w:rPr>
            </w:pPr>
            <w:r>
              <w:rPr>
                <w:bCs/>
                <w:lang w:val="en-GB"/>
              </w:rPr>
            </w:r>
          </w:p>
        </w:tc>
      </w:tr>
      <w:tr>
        <w:trPr>
          <w:trHeight w:val="506" w:hRule="atLeast"/>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before="0" w:after="480"/>
              <w:ind w:left="1191" w:right="0" w:hanging="1191"/>
              <w:jc w:val="right"/>
              <w:rPr>
                <w:lang w:val="en-GB"/>
              </w:rPr>
            </w:pPr>
            <w:r>
              <w:rPr>
                <w:b/>
                <w:lang w:val="en-GB"/>
              </w:rPr>
              <w:t>Total Person Months</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3.1g:</w:t>
        <w:tab/>
      </w:r>
      <w:r>
        <w:rPr>
          <w:b/>
          <w:bCs/>
          <w:lang w:val="en-GB"/>
        </w:rPr>
        <w:t>‘Subcontracting co</w:t>
      </w:r>
      <w:r>
        <w:rPr>
          <w:b/>
          <w:lang w:val="en-GB"/>
        </w:rPr>
        <w:t xml:space="preserve">sts’ items </w:t>
      </w:r>
    </w:p>
    <w:p>
      <w:pPr>
        <w:pStyle w:val="Normal"/>
        <w:ind w:left="0" w:right="0" w:hanging="0"/>
        <w:rPr>
          <w:lang w:val="en-GB"/>
        </w:rPr>
      </w:pPr>
      <w:r>
        <w:rPr>
          <w:lang w:val="en-GB"/>
        </w:rPr>
      </w:r>
    </w:p>
    <w:p>
      <w:pPr>
        <w:pStyle w:val="Normal"/>
        <w:ind w:left="0" w:right="0" w:hanging="0"/>
        <w:rPr>
          <w:lang w:val="en-GB"/>
        </w:rPr>
      </w:pPr>
      <w:r>
        <w:rPr>
          <w:lang w:val="en-GB"/>
        </w:rPr>
        <w:t>For each participant describe and justify the tasks to be subcontracted (please note that core tasks of the project should not be sub-contracted).</w:t>
      </w:r>
    </w:p>
    <w:p>
      <w:pPr>
        <w:pStyle w:val="Normal"/>
        <w:ind w:left="0" w:right="0" w:hanging="0"/>
        <w:rPr>
          <w:lang w:val="en-GB"/>
        </w:rPr>
      </w:pPr>
      <w:r>
        <w:rPr>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3.1h:</w:t>
        <w:tab/>
      </w:r>
      <w:r>
        <w:rPr>
          <w:b/>
          <w:bCs/>
          <w:lang w:val="en-GB"/>
        </w:rPr>
        <w:t>‘</w:t>
      </w:r>
      <w:r>
        <w:rPr>
          <w:b/>
          <w:lang w:val="en-GB"/>
        </w:rPr>
        <w:t xml:space="preserve">Purchase costs’ items (travel and subsistence, equipment and other goods, works and services) </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left w:val="single" w:sz="4" w:space="0" w:color="000000"/>
            </w:tcBorders>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lang w:val="en-GB"/>
        </w:rPr>
      </w:pPr>
      <w:r>
        <w:rPr>
          <w:b/>
          <w:lang w:val="en-GB"/>
        </w:rPr>
        <w:t>Table 3.1i:</w:t>
        <w:tab/>
        <w:t>‘Other costs categories’ items (e.g. internally invoiced goods and services)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would like to declare costs under other costs categories (e.g. internally invoiced goods and services), irrespective of the percentage of personnel costs. </w:t>
      </w:r>
    </w:p>
    <w:tbl>
      <w:tblPr>
        <w:tblW w:w="10237" w:type="dxa"/>
        <w:jc w:val="left"/>
        <w:tblInd w:w="-114"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1023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mc:AlternateContent>
                <mc:Choice Requires="wps">
                  <w:drawing>
                    <wp:anchor behindDoc="0" distT="0" distB="0" distL="0" distR="0" simplePos="0" locked="0" layoutInCell="0" allowOverlap="1" relativeHeight="85">
                      <wp:simplePos x="0" y="0"/>
                      <wp:positionH relativeFrom="column">
                        <wp:posOffset>-537845</wp:posOffset>
                      </wp:positionH>
                      <wp:positionV relativeFrom="paragraph">
                        <wp:posOffset>3850640</wp:posOffset>
                      </wp:positionV>
                      <wp:extent cx="7560310" cy="991235"/>
                      <wp:effectExtent l="0" t="0" r="0" b="0"/>
                      <wp:wrapNone/>
                      <wp:docPr id="17" name="Frame19"/>
                      <a:graphic xmlns:a="http://schemas.openxmlformats.org/drawingml/2006/main">
                        <a:graphicData uri="http://schemas.microsoft.com/office/word/2010/wordprocessingShape">
                          <wps:wsp>
                            <wps:cNvSpPr/>
                            <wps:spPr>
                              <a:xfrm>
                                <a:off x="0" y="0"/>
                                <a:ext cx="7560360" cy="991080"/>
                              </a:xfrm>
                              <a:prstGeom prst="rect">
                                <a:avLst/>
                              </a:prstGeom>
                              <a:noFill/>
                              <a:ln w="0">
                                <a:noFill/>
                              </a:ln>
                            </wps:spPr>
                            <wps:style>
                              <a:lnRef idx="0"/>
                              <a:fillRef idx="0"/>
                              <a:effectRef idx="0"/>
                              <a:fontRef idx="minor"/>
                            </wps:style>
                            <wps:txb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wps:txbx>
                            <wps:bodyPr anchor="t">
                              <a:noAutofit/>
                            </wps:bodyPr>
                          </wps:wsp>
                        </a:graphicData>
                      </a:graphic>
                    </wp:anchor>
                  </w:drawing>
                </mc:Choice>
                <mc:Fallback>
                  <w:pict>
                    <v:rect id="shape_0" ID="Frame19" path="m0,0l-2147483645,0l-2147483645,-2147483646l0,-2147483646xe" stroked="f" o:allowincell="f" style="position:absolute;margin-left:-42.35pt;margin-top:303.2pt;width:595.25pt;height:78pt;mso-wrap-style:square;v-text-anchor:top">
                      <v:fill o:detectmouseclick="t" on="false"/>
                      <v:stroke color="#3465a4" joinstyle="round" endcap="flat"/>
                      <v:textbo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v:textbox>
                      <w10:wrap type="none"/>
                    </v:rect>
                  </w:pict>
                </mc:Fallback>
              </mc:AlternateContent>
            </w:r>
          </w:p>
        </w:tc>
      </w:tr>
    </w:tbl>
    <w:p>
      <w:pPr>
        <w:pStyle w:val="Normal"/>
        <w:widowControl w:val="false"/>
        <w:spacing w:before="0" w:after="240"/>
        <w:ind w:left="0" w:right="0" w:hanging="0"/>
        <w:jc w:val="both"/>
        <w:rPr>
          <w:b/>
          <w:b/>
          <w:lang w:val="en-GB"/>
        </w:rPr>
      </w:pPr>
      <w:r>
        <w:rPr>
          <w:b/>
          <w:lang w:val="en-GB"/>
        </w:rPr>
      </w:r>
    </w:p>
    <w:p>
      <w:pPr>
        <w:pStyle w:val="Normal"/>
        <w:ind w:left="0" w:right="0" w:hanging="0"/>
        <w:rPr>
          <w:lang w:val="en-GB"/>
        </w:rPr>
      </w:pPr>
      <w:r>
        <w:rPr>
          <w:b/>
          <w:lang w:val="en-GB"/>
        </w:rPr>
        <w:t>Table 3.1j:</w:t>
        <w:tab/>
        <w:t>‘In-kind contributions’ provided by third parties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 </w:t>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b/>
                <w:bCs/>
                <w:lang w:val="en-GB"/>
              </w:rPr>
              <w:t>Select between</w:t>
            </w:r>
          </w:p>
          <w:p>
            <w:pPr>
              <w:pStyle w:val="Normal"/>
              <w:widowControl w:val="false"/>
              <w:tabs>
                <w:tab w:val="clear" w:pos="720"/>
              </w:tabs>
              <w:spacing w:before="120" w:after="120"/>
              <w:ind w:left="0" w:right="0" w:hanging="0"/>
              <w:rPr/>
            </w:pPr>
            <w:r>
              <w:rPr>
                <w:rFonts w:cs="Arial"/>
                <w:bCs/>
                <w:color w:val="595959"/>
                <w:sz w:val="18"/>
                <w:szCs w:val="18"/>
              </w:rPr>
              <w:t>Seconded personnel</w:t>
            </w:r>
          </w:p>
          <w:p>
            <w:pPr>
              <w:pStyle w:val="Normal"/>
              <w:widowControl w:val="false"/>
              <w:tabs>
                <w:tab w:val="clear" w:pos="720"/>
              </w:tabs>
              <w:spacing w:before="120" w:after="120"/>
              <w:ind w:left="0" w:right="0" w:hanging="0"/>
              <w:rPr/>
            </w:pPr>
            <w:r>
              <w:rPr>
                <w:rFonts w:cs="Arial"/>
                <w:bCs/>
                <w:color w:val="595959"/>
                <w:sz w:val="18"/>
                <w:szCs w:val="18"/>
              </w:rPr>
              <w:t>Travel and subsistence</w:t>
            </w:r>
          </w:p>
          <w:p>
            <w:pPr>
              <w:pStyle w:val="Normal"/>
              <w:widowControl w:val="false"/>
              <w:tabs>
                <w:tab w:val="clear" w:pos="720"/>
              </w:tabs>
              <w:spacing w:before="120" w:after="120"/>
              <w:ind w:left="0" w:right="0" w:hanging="0"/>
              <w:rPr/>
            </w:pPr>
            <w:r>
              <w:rPr>
                <w:rFonts w:cs="Arial"/>
                <w:bCs/>
                <w:color w:val="595959"/>
                <w:sz w:val="18"/>
                <w:szCs w:val="18"/>
              </w:rPr>
              <w:t>Equipment</w:t>
            </w:r>
          </w:p>
          <w:p>
            <w:pPr>
              <w:pStyle w:val="Normal"/>
              <w:widowControl w:val="false"/>
              <w:tabs>
                <w:tab w:val="clear" w:pos="720"/>
              </w:tabs>
              <w:spacing w:before="120" w:after="120"/>
              <w:ind w:left="0" w:right="0" w:hanging="0"/>
              <w:rPr/>
            </w:pPr>
            <w:r>
              <w:rPr>
                <w:rFonts w:cs="Arial"/>
                <w:bCs/>
                <w:color w:val="595959"/>
                <w:sz w:val="18"/>
                <w:szCs w:val="18"/>
              </w:rPr>
              <w:t>Other goods, works and services</w:t>
            </w:r>
          </w:p>
          <w:p>
            <w:pPr>
              <w:pStyle w:val="Normal"/>
              <w:widowControl w:val="false"/>
              <w:tabs>
                <w:tab w:val="clear" w:pos="720"/>
              </w:tabs>
              <w:spacing w:before="120" w:after="120"/>
              <w:ind w:left="0" w:right="0" w:hanging="0"/>
              <w:rPr/>
            </w:pPr>
            <w:r>
              <w:rPr>
                <w:rFonts w:cs="Arial"/>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spacing w:before="0" w:after="200"/>
        <w:ind w:left="0" w:right="0" w:hanging="0"/>
        <w:rPr>
          <w:lang w:val="en-GB"/>
        </w:rPr>
      </w:pPr>
      <w:r>
        <w:rPr>
          <w:rFonts w:cs="Arial"/>
          <w:caps/>
          <w:color w:val="B5B5B5"/>
          <w:sz w:val="18"/>
          <w:szCs w:val="16"/>
          <w:lang w:val="en-GB" w:eastAsia="it-IT"/>
        </w:rPr>
        <w:t xml:space="preserve">#§QUA-LIT-QL§# </w:t>
      </w:r>
      <w:r>
        <w:rPr>
          <w:rFonts w:cs="Arial"/>
          <w:color w:val="B5B5B5"/>
          <w:sz w:val="18"/>
          <w:szCs w:val="16"/>
        </w:rPr>
        <w:t>#§WRK-PLA-WP§#</w:t>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ind w:left="0" w:right="0" w:hanging="0"/>
        <w:rPr>
          <w:lang w:val="en-GB"/>
        </w:rPr>
      </w:pPr>
      <w:r>
        <w:rPr>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bl>
    <w:p>
      <w:pPr>
        <w:pStyle w:val="Normal"/>
        <w:widowControl w:val="false"/>
        <w:spacing w:before="0" w:after="200"/>
        <w:ind w:left="0" w:right="0" w:hanging="0"/>
        <w:rPr>
          <w:rFonts w:ascii="Times New Roman" w:hAnsi="Times New Roman"/>
          <w:lang w:val="en-GB"/>
        </w:rPr>
      </w:pPr>
      <w:r>
        <w:rPr>
          <w:rFonts w:ascii="Times New Roman" w:hAnsi="Times New Roman"/>
          <w:lang w:val="en-GB"/>
        </w:rPr>
      </w:r>
    </w:p>
    <w:p>
      <w:pPr>
        <w:pStyle w:val="Normal"/>
        <w:ind w:left="0" w:right="0" w:hanging="0"/>
        <w:jc w:val="both"/>
        <w:rPr>
          <w:b/>
          <w:b/>
          <w:lang w:val="en-GB"/>
        </w:rPr>
      </w:pPr>
      <w:r>
        <w:rPr>
          <w:b/>
          <w:lang w:val="en-GB"/>
        </w:rPr>
      </w:r>
      <w:r>
        <w:br w:type="page"/>
      </w:r>
    </w:p>
    <w:p>
      <w:pPr>
        <w:pStyle w:val="Paragraph"/>
        <w:bidi w:val="0"/>
        <w:spacing w:beforeAutospacing="1" w:afterAutospacing="1"/>
        <w:ind w:left="0" w:right="0" w:hanging="0"/>
        <w:jc w:val="both"/>
        <w:textAlignment w:val="baseline"/>
        <w:rPr>
          <w:lang w:val="en-US"/>
        </w:rPr>
      </w:pPr>
      <w:r>
        <w:rPr>
          <w:b/>
          <w:spacing w:val="1"/>
          <w:sz w:val="22"/>
          <w:szCs w:val="22"/>
          <w:lang w:val="en-US" w:eastAsia="en-US"/>
        </w:rPr>
        <w:t>ANNEXES TO PROPOSAL PART B</w:t>
      </w:r>
      <w:r>
        <w:rPr>
          <w:rStyle w:val="Eop"/>
          <w:rFonts w:eastAsia="Courier New" w:cs="Calibri"/>
          <w:sz w:val="22"/>
          <w:lang w:val="en-GB"/>
        </w:rPr>
        <w:t> </w:t>
      </w:r>
    </w:p>
    <w:p>
      <w:pPr>
        <w:pStyle w:val="Paragraph"/>
        <w:bidi w:val="0"/>
        <w:spacing w:beforeAutospacing="1" w:afterAutospacing="1"/>
        <w:ind w:left="0" w:right="0" w:hanging="0"/>
        <w:jc w:val="both"/>
        <w:textAlignment w:val="baseline"/>
        <w:rPr>
          <w:rFonts w:ascii="Segoe UI" w:hAnsi="Segoe UI" w:cs="Segoe UI"/>
          <w:sz w:val="18"/>
          <w:szCs w:val="18"/>
          <w:lang w:val="en-GB"/>
        </w:rPr>
      </w:pPr>
      <w:r>
        <w:rPr>
          <w:rFonts w:cs="Segoe UI" w:ascii="Segoe UI" w:hAnsi="Segoe UI"/>
          <w:sz w:val="18"/>
          <w:szCs w:val="18"/>
          <w:lang w:val="en-GB"/>
        </w:rPr>
      </w:r>
    </w:p>
    <w:p>
      <w:pPr>
        <w:pStyle w:val="Paragraph"/>
        <w:bidi w:val="0"/>
        <w:spacing w:beforeAutospacing="1" w:afterAutospacing="1"/>
        <w:ind w:left="0" w:right="0" w:hanging="0"/>
        <w:jc w:val="both"/>
        <w:textAlignment w:val="baseline"/>
        <w:rPr>
          <w:lang w:val="en-US"/>
        </w:rPr>
      </w:pPr>
      <w:r>
        <w:rPr>
          <w:sz w:val="22"/>
          <w:szCs w:val="22"/>
          <w:lang w:val="en-US" w:eastAsia="en-US"/>
        </w:rPr>
        <w:t>Some calls may ask to upload annexes to proposal part B. The annexes must be uploaded as separate documents in the submission system. The most common annexes to be uploaded in Horizon Europe are (standard templates are published in the Funding &amp; Tenders portal): </w:t>
      </w:r>
    </w:p>
    <w:p>
      <w:pPr>
        <w:pStyle w:val="Paragraph"/>
        <w:bidi w:val="0"/>
        <w:spacing w:beforeAutospacing="1" w:afterAutospacing="1"/>
        <w:ind w:left="0" w:right="0" w:hanging="0"/>
        <w:jc w:val="both"/>
        <w:textAlignment w:val="baseline"/>
        <w:rPr>
          <w:rFonts w:ascii="Times New Roman" w:hAnsi="Times New Roman"/>
          <w:lang w:val="en-US" w:eastAsia="en-US"/>
        </w:rPr>
      </w:pPr>
      <w:r>
        <w:rPr>
          <w:rFonts w:ascii="Times New Roman" w:hAnsi="Times New Roman"/>
          <w:lang w:val="en-US" w:eastAsia="en-US"/>
        </w:rPr>
      </w:r>
    </w:p>
    <w:p>
      <w:pPr>
        <w:pStyle w:val="Normal"/>
        <w:widowControl/>
        <w:ind w:left="0" w:right="0" w:hanging="0"/>
        <w:jc w:val="both"/>
        <w:textAlignment w:val="baseline"/>
        <w:rPr>
          <w:rFonts w:cs="Calibri"/>
          <w:lang w:val="en-GB" w:eastAsia="fr-BE"/>
        </w:rPr>
      </w:pPr>
      <w:r>
        <w:rPr>
          <w:rFonts w:cs="Calibri"/>
          <w:lang w:val="en-GB" w:eastAsia="fr-BE"/>
        </w:rPr>
      </w:r>
    </w:p>
    <w:p>
      <w:pPr>
        <w:pStyle w:val="Normal"/>
        <w:widowControl/>
        <w:numPr>
          <w:ilvl w:val="0"/>
          <w:numId w:val="13"/>
        </w:numPr>
        <w:tabs>
          <w:tab w:val="left" w:pos="720" w:leader="none"/>
        </w:tabs>
        <w:ind w:left="360" w:right="0" w:hanging="0"/>
        <w:jc w:val="both"/>
        <w:textAlignment w:val="baseline"/>
        <w:rPr/>
      </w:pPr>
      <w:r>
        <w:rPr>
          <w:rFonts w:cs="Calibri"/>
          <w:b/>
          <w:bCs/>
          <w:lang w:eastAsia="fr-BE"/>
        </w:rPr>
        <w:t xml:space="preserve">FINANCIAL SUPPORT TO THIRD PARTIES: </w:t>
      </w:r>
      <w:r>
        <w:rPr>
          <w:rFonts w:cs="Calibri"/>
          <w:lang w:eastAsia="fr-BE"/>
        </w:rPr>
        <w:t>Annex with information on financial support to third parties.</w:t>
      </w:r>
      <w:r>
        <w:rPr>
          <w:rFonts w:cs="Calibri"/>
          <w:lang w:val="en-GB" w:eastAsia="fr-BE"/>
        </w:rPr>
        <w:t> </w:t>
      </w:r>
    </w:p>
    <w:p>
      <w:pPr>
        <w:pStyle w:val="Normal"/>
        <w:widowControl/>
        <w:numPr>
          <w:ilvl w:val="0"/>
          <w:numId w:val="13"/>
        </w:numPr>
        <w:tabs>
          <w:tab w:val="left" w:pos="720" w:leader="none"/>
        </w:tabs>
        <w:ind w:left="360" w:right="0" w:hanging="0"/>
        <w:jc w:val="both"/>
        <w:textAlignment w:val="baseline"/>
        <w:rPr>
          <w:lang w:val="en-GB"/>
        </w:rPr>
      </w:pPr>
      <w:r>
        <w:rPr>
          <w:rFonts w:cs="Calibri"/>
          <w:b/>
          <w:bCs/>
          <w:lang w:val="en-GB" w:eastAsia="fr-BE"/>
        </w:rPr>
        <w:t xml:space="preserve">CALLS FLAGGED AS SECURITY SENSITIVE: </w:t>
      </w:r>
      <w:r>
        <w:rPr>
          <w:rFonts w:cs="Calibri"/>
          <w:lang w:eastAsia="fr-BE"/>
        </w:rPr>
        <w:t>Annex with information on security aspects.</w:t>
      </w:r>
      <w:r>
        <w:rPr>
          <w:rFonts w:cs="Calibri"/>
          <w:lang w:val="en-GB" w:eastAsia="fr-BE"/>
        </w:rPr>
        <w:t> </w:t>
      </w:r>
    </w:p>
    <w:p>
      <w:pPr>
        <w:pStyle w:val="Normal"/>
        <w:widowControl/>
        <w:numPr>
          <w:ilvl w:val="0"/>
          <w:numId w:val="14"/>
        </w:numPr>
        <w:tabs>
          <w:tab w:val="left" w:pos="720" w:leader="none"/>
        </w:tabs>
        <w:ind w:left="720" w:right="0" w:hanging="360"/>
        <w:jc w:val="both"/>
        <w:textAlignment w:val="baseline"/>
        <w:rPr/>
      </w:pPr>
      <w:r>
        <w:rPr>
          <w:rFonts w:cs="Calibri"/>
          <w:b/>
          <w:bCs/>
          <w:lang w:eastAsia="fr-BE"/>
        </w:rPr>
        <w:t>ETHICS:</w:t>
      </w:r>
      <w:r>
        <w:rPr>
          <w:rFonts w:cs="Calibri"/>
          <w:lang w:eastAsia="fr-BE"/>
        </w:rPr>
        <w:t xml:space="preserve"> ethics self-assessment should be included in proposal part A. However, in calls where several serious ethics issues are expected, the character limited in this section of proposal part A may not be sufficient for participants to give all necessary information. In those cases, participants may include additional information in an annex to proposal part B. </w:t>
      </w:r>
      <w:r>
        <w:rPr>
          <w:rFonts w:cs="Calibri"/>
          <w:lang w:val="en-GB" w:eastAsia="fr-BE"/>
        </w:rPr>
        <w:t> </w:t>
      </w:r>
    </w:p>
    <w:p>
      <w:pPr>
        <w:pStyle w:val="Normal"/>
        <w:ind w:left="0" w:right="0" w:hanging="0"/>
        <w:rPr>
          <w:b/>
          <w:b/>
          <w:lang w:val="en-GB"/>
        </w:rPr>
      </w:pPr>
      <w:r>
        <w:rPr>
          <w:b/>
          <w:lang w:val="en-GB"/>
        </w:rPr>
      </w:r>
    </w:p>
    <w:p>
      <w:pPr>
        <w:pStyle w:val="Normal"/>
        <w:spacing w:before="0" w:after="240"/>
        <w:ind w:left="0" w:right="0" w:hanging="0"/>
        <w:jc w:val="both"/>
        <w:rPr>
          <w:b/>
          <w:b/>
          <w:lang w:val="en-GB"/>
        </w:rPr>
      </w:pPr>
      <w:r>
        <w:rPr>
          <w:b/>
          <w:lang w:val="en-GB"/>
        </w:rPr>
      </w:r>
    </w:p>
    <w:p>
      <w:pPr>
        <w:pStyle w:val="Normal"/>
        <w:rPr/>
      </w:pPr>
      <w:r>
        <w:rPr>
          <w:rFonts w:ascii="Times New Roman" w:hAnsi="Times New Roman"/>
          <w:b/>
          <w:sz w:val="40"/>
          <w:szCs w:val="40"/>
          <w:lang w:val="en-GB"/>
        </w:rPr>
        <w:t>Proposal template Part B: technical description</w:t>
      </w:r>
    </w:p>
    <w:p>
      <w:pPr>
        <w:pStyle w:val="Normal"/>
        <w:spacing w:before="0" w:after="120"/>
        <w:ind w:left="0" w:right="0" w:hanging="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4"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4"/>
    </w:p>
    <w:p>
      <w:pPr>
        <w:pStyle w:val="Normal"/>
        <w:spacing w:before="0" w:after="200"/>
        <w:ind w:left="0" w:right="0" w:hanging="0"/>
        <w:jc w:val="both"/>
        <w:rPr>
          <w:lang w:val="en-GB"/>
        </w:rPr>
      </w:pPr>
      <w:r>
        <w:rPr>
          <w:rFonts w:ascii="Times New Roman" w:hAnsi="Times New Roman"/>
          <w:b/>
          <w:lang w:val="en-GB"/>
        </w:rPr>
        <w:t>List of participants</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lang w:val="en-GB"/>
              </w:rPr>
              <w:t>1 (Coordinator)</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2</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3</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76" w:after="0"/>
        <w:ind w:left="916" w:right="0" w:hanging="0"/>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pPr>
      <w:r>
        <w:rPr>
          <w:rFonts w:cs="Calibri"/>
          <w:color w:val="B5B5B5"/>
          <w:sz w:val="18"/>
          <w:szCs w:val="16"/>
        </w:rPr>
        <w:t>#§PRJ-OBJ-PO§#</w:t>
      </w:r>
    </w:p>
    <w:p>
      <w:pPr>
        <w:pStyle w:val="Normal"/>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ind w:left="0" w:right="0" w:hanging="0"/>
        <w:jc w:val="both"/>
        <w:rPr>
          <w:lang w:val="en-GB"/>
        </w:rPr>
      </w:pPr>
      <w:r>
        <w:rPr>
          <w:rFonts w:ascii="Times New Roman" w:hAnsi="Times New Roman"/>
          <w:b/>
          <w:bCs/>
          <w:lang w:val="en-GB"/>
        </w:rPr>
        <w:t>2.</w:t>
        <w:tab/>
        <w:t>Impact</w:t>
      </w:r>
    </w:p>
    <w:p>
      <w:pPr>
        <w:pStyle w:val="Normal"/>
        <w:spacing w:before="0" w:after="200"/>
        <w:ind w:left="0" w:right="0" w:hanging="0"/>
        <w:jc w:val="both"/>
        <w:rPr>
          <w:lang w:val="en-GB"/>
        </w:rPr>
      </w:pPr>
      <w:r>
        <w:rPr>
          <w:rFonts w:ascii="Times New Roman" w:hAnsi="Times New Roman"/>
          <w:b/>
          <w:lang w:val="en-GB"/>
        </w:rPr>
        <w:t>2.1</w:t>
        <w:tab/>
        <w:t>Project’s pathways towards impact</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ind w:left="0" w:right="0" w:hanging="0"/>
        <w:jc w:val="both"/>
        <w:rPr>
          <w:lang w:val="en-GB"/>
        </w:rPr>
      </w:pPr>
      <w:r>
        <w:rPr>
          <w:rFonts w:ascii="Times New Roman" w:hAnsi="Times New Roman"/>
          <w:lang w:val="en-GB"/>
        </w:rPr>
        <w:t>Insert here text for your proposal</w:t>
      </w:r>
    </w:p>
    <w:p>
      <w:pPr>
        <w:sectPr>
          <w:headerReference w:type="even" r:id="rId23"/>
          <w:headerReference w:type="default" r:id="rId24"/>
          <w:headerReference w:type="first" r:id="rId25"/>
          <w:footerReference w:type="default" r:id="rId26"/>
          <w:footerReference w:type="first" r:id="rId27"/>
          <w:footnotePr>
            <w:numFmt w:val="decimal"/>
          </w:footnotePr>
          <w:type w:val="nextPage"/>
          <w:pgSz w:w="11906" w:h="16838"/>
          <w:pgMar w:left="851" w:right="851" w:gutter="0" w:header="720" w:top="851" w:footer="720" w:bottom="851"/>
          <w:pgNumType w:fmt="decimal"/>
          <w:formProt w:val="false"/>
          <w:titlePg/>
          <w:textDirection w:val="lrTb"/>
          <w:docGrid w:type="default" w:linePitch="100" w:charSpace="8396"/>
        </w:sectPr>
        <w:pStyle w:val="Normal"/>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ind w:left="0" w:right="0" w:hanging="0"/>
        <w:rPr/>
      </w:pPr>
      <w:r>
        <w:rPr>
          <w:rFonts w:ascii="Times New Roman" w:hAnsi="Times New Roman"/>
          <w:b/>
          <w:color w:val="00B0F0"/>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rPr>
            </w:pPr>
            <w:r>
              <w:rPr>
                <w:rFonts w:ascii="Times New Roman" w:hAnsi="Times New Roman"/>
                <w:i/>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b/>
          <w:b/>
          <w:color w:val="00B0F0"/>
        </w:rPr>
      </w:pPr>
      <w:r>
        <w:rPr>
          <w:rFonts w:ascii="Times New Roman" w:hAnsi="Times New Roman"/>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do you expect to generate by the end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ind w:left="1417" w:right="0" w:hanging="357"/>
        <w:rPr>
          <w:rFonts w:ascii="Times New Roman" w:hAnsi="Times New Roman"/>
          <w:lang w:val="en-GB"/>
        </w:rPr>
      </w:pPr>
      <w:r>
        <w:rPr>
          <w:rFonts w:ascii="Times New Roman" w:hAnsi="Times New Roman"/>
          <w:lang w:val="en-GB"/>
        </w:rPr>
      </w:r>
    </w:p>
    <w:p>
      <w:pPr>
        <w:pStyle w:val="Normal"/>
        <w:ind w:left="0" w:right="0" w:hanging="0"/>
        <w:rPr>
          <w:rFonts w:ascii="Times New Roman" w:hAnsi="Times New Roman"/>
          <w:vanish/>
        </w:rPr>
      </w:pPr>
      <w:r>
        <w:rPr>
          <w:rFonts w:ascii="Times New Roman" w:hAnsi="Times New Roman"/>
          <w:vanish w:val="false"/>
        </w:rPr>
      </w:r>
    </w:p>
    <w:p>
      <w:pPr>
        <w:pStyle w:val="Normal"/>
        <w:ind w:left="1417" w:right="0" w:hanging="357"/>
        <w:rPr>
          <w:rFonts w:ascii="Times New Roman" w:hAnsi="Times New Roman"/>
          <w:lang w:val="en-GB"/>
        </w:rPr>
      </w:pPr>
      <w:r>
        <w:rPr>
          <w:rFonts w:ascii="Times New Roman" w:hAnsi="Times New Roman"/>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rFonts w:ascii="Times New Roman" w:hAnsi="Times New Roman"/>
                <w:b/>
                <w:b/>
              </w:rPr>
            </w:pPr>
            <w:r>
              <w:rPr>
                <w:rFonts w:ascii="Times New Roman" w:hAnsi="Times New Roman"/>
                <w: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color w:val="00B0F0"/>
              </w:rPr>
            </w:pPr>
            <w:r>
              <w:rPr>
                <w:rFonts w:ascii="Times New Roman" w:hAnsi="Times New Roman"/>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28"/>
          <w:footerReference w:type="default" r:id="rId29"/>
          <w:footnotePr>
            <w:numFmt w:val="decimal"/>
          </w:footnotePr>
          <w:type w:val="nextPage"/>
          <w:pgSz w:w="16838" w:h="11906"/>
          <w:pgMar w:left="851" w:right="851" w:gutter="0" w:header="720" w:top="851" w:footer="720" w:bottom="851"/>
          <w:pgNumType w:fmt="decimal"/>
          <w:formProt w:val="false"/>
          <w:textDirection w:val="lrTb"/>
          <w:docGrid w:type="default" w:linePitch="100" w:charSpace="8396"/>
        </w:sectPr>
        <w:pStyle w:val="Normal"/>
        <w:widowControl w:val="false"/>
        <w:spacing w:before="0" w:after="200"/>
        <w:ind w:left="0" w:right="0" w:hanging="0"/>
        <w:jc w:val="both"/>
        <w:rPr/>
      </w:pPr>
      <w:r>
        <w:rPr>
          <w:rFonts w:cs="Arial"/>
          <w:color w:val="B5B5B5"/>
          <w:sz w:val="18"/>
          <w:szCs w:val="16"/>
        </w:rPr>
        <w:t>#§IMP-ACT-IA§#</w:t>
      </w:r>
    </w:p>
    <w:p>
      <w:pPr>
        <w:pStyle w:val="Normal"/>
        <w:spacing w:before="0" w:after="20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5" w:name="_Hlk106802800"/>
      <w:r>
        <w:rPr>
          <w:rFonts w:cs="Arial"/>
          <w:caps/>
          <w:color w:val="B5B5B5"/>
          <w:sz w:val="18"/>
          <w:szCs w:val="16"/>
          <w:lang w:eastAsia="it-IT"/>
        </w:rPr>
        <w:t xml:space="preserve">#@QUA-LIT-QL@# </w:t>
      </w:r>
      <w:r>
        <w:rPr>
          <w:rFonts w:cs="Arial"/>
          <w:color w:val="B5B5B5"/>
          <w:sz w:val="18"/>
          <w:szCs w:val="16"/>
        </w:rPr>
        <w:t>#@WRK-PLA-WP@#</w:t>
      </w:r>
      <w:bookmarkEnd w:id="25"/>
    </w:p>
    <w:p>
      <w:pPr>
        <w:pStyle w:val="Normal"/>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6" w:name="_Hlk106802819"/>
      <w:r>
        <w:rPr>
          <w:rFonts w:cs="Arial"/>
          <w:color w:val="B5B5B5"/>
          <w:sz w:val="18"/>
          <w:szCs w:val="16"/>
        </w:rPr>
        <w:t>#@CON-SOR-CS@# #@PRJ-MGT-PM@#</w:t>
      </w:r>
      <w:bookmarkEnd w:id="26"/>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lineRule="auto" w:line="276" w:before="0" w:after="24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0" w:right="0" w:hanging="0"/>
        <w:rPr/>
      </w:pPr>
      <w:bookmarkStart w:id="27" w:name="_Hlk106802840"/>
      <w:r>
        <w:rPr>
          <w:rFonts w:cs="Arial"/>
          <w:color w:val="B5B5B5"/>
          <w:sz w:val="18"/>
          <w:szCs w:val="16"/>
        </w:rPr>
        <w:t>#§CON-SOR-CS§# #§PRJ-MGT-PM§#</w:t>
      </w:r>
      <w:bookmarkEnd w:id="27"/>
    </w:p>
    <w:p>
      <w:pPr>
        <w:pStyle w:val="Normal"/>
        <w:ind w:left="0" w:right="0" w:hanging="0"/>
        <w:rPr/>
      </w:pPr>
      <w:r>
        <w:rPr/>
      </w:r>
      <w:r>
        <w:br w:type="page"/>
      </w:r>
    </w:p>
    <w:p>
      <w:pPr>
        <w:pStyle w:val="Normal"/>
        <w:spacing w:lineRule="auto" w:line="276" w:before="0" w:after="240"/>
        <w:ind w:left="0" w:right="0" w:hanging="0"/>
        <w:jc w:val="both"/>
        <w:rPr>
          <w:lang w:val="en-GB"/>
        </w:rPr>
      </w:pPr>
      <w:r>
        <w:rPr>
          <w:rFonts w:ascii="Times New Roman" w:hAnsi="Times New Roman"/>
          <w:b/>
          <w:bCs/>
          <w:lang w:val="en-GB"/>
        </w:rPr>
        <w:t>Tables for section 3.1</w:t>
      </w:r>
    </w:p>
    <w:p>
      <w:pPr>
        <w:pStyle w:val="Normal"/>
        <w:spacing w:before="0" w:after="240"/>
        <w:ind w:left="0" w:right="0" w:hanging="0"/>
        <w:rPr>
          <w:lang w:val="en-GB"/>
        </w:rPr>
      </w:pPr>
      <w:r>
        <w:rPr>
          <w:rFonts w:ascii="Times New Roman" w:hAnsi="Times New Roman"/>
          <w:b/>
          <w:bCs/>
          <w:lang w:val="en-GB"/>
        </w:rPr>
        <w:t xml:space="preserve">Table 3.1a: </w:t>
        <w:tab/>
        <w:t>List of work packages</w:t>
      </w:r>
    </w:p>
    <w:tbl>
      <w:tblPr>
        <w:tblW w:w="8678" w:type="dxa"/>
        <w:jc w:val="center"/>
        <w:tblInd w:w="0" w:type="dxa"/>
        <w:tblLayout w:type="fixed"/>
        <w:tblCellMar>
          <w:top w:w="0" w:type="dxa"/>
          <w:left w:w="108" w:type="dxa"/>
          <w:bottom w:w="0" w:type="dxa"/>
          <w:right w:w="108" w:type="dxa"/>
        </w:tblCellMar>
      </w:tblPr>
      <w:tblGrid>
        <w:gridCol w:w="884"/>
        <w:gridCol w:w="1415"/>
        <w:gridCol w:w="1417"/>
        <w:gridCol w:w="1418"/>
        <w:gridCol w:w="1277"/>
        <w:gridCol w:w="1132"/>
        <w:gridCol w:w="1134"/>
      </w:tblGrid>
      <w:tr>
        <w:trPr>
          <w:cantSplit w:val="true"/>
        </w:trPr>
        <w:tc>
          <w:tcPr>
            <w:tcW w:w="88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Short Name</w:t>
            </w:r>
          </w:p>
        </w:tc>
        <w:tc>
          <w:tcPr>
            <w:tcW w:w="127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Person-Months</w:t>
            </w:r>
          </w:p>
        </w:tc>
        <w:tc>
          <w:tcPr>
            <w:tcW w:w="113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End month</w:t>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bl>
    <w:p>
      <w:pPr>
        <w:pStyle w:val="Normal"/>
        <w:widowControl w:val="false"/>
        <w:spacing w:before="0" w:after="240"/>
        <w:ind w:left="0" w:right="0" w:hanging="0"/>
        <w:rPr>
          <w:rFonts w:ascii="Times New Roman" w:hAnsi="Times New Roman"/>
          <w:b/>
          <w:b/>
          <w:bCs/>
        </w:rPr>
      </w:pPr>
      <w:r>
        <w:rPr>
          <w:rFonts w:ascii="Times New Roman" w:hAnsi="Times New Roman"/>
          <w:b/>
          <w:bCs/>
        </w:rPr>
      </w:r>
      <w:r>
        <w:br w:type="page"/>
      </w:r>
    </w:p>
    <w:p>
      <w:pPr>
        <w:pStyle w:val="Normal"/>
        <w:spacing w:before="0" w:after="200"/>
        <w:ind w:left="0" w:right="0" w:hanging="0"/>
        <w:rPr>
          <w:lang w:val="en-GB"/>
        </w:rPr>
      </w:pPr>
      <w:r>
        <w:rPr>
          <w:rFonts w:ascii="Times New Roman" w:hAnsi="Times New Roman"/>
          <w:b/>
          <w:bCs/>
          <w:lang w:val="en-GB"/>
        </w:rPr>
        <w:t>Table 3.1b:</w:t>
        <w:tab/>
        <w:t xml:space="preserve">Work package description </w:t>
      </w:r>
    </w:p>
    <w:p>
      <w:pPr>
        <w:pStyle w:val="Normal"/>
        <w:spacing w:before="60" w:after="120"/>
        <w:ind w:left="0" w:right="0" w:hanging="0"/>
        <w:rPr>
          <w:lang w:val="en-GB"/>
        </w:rPr>
      </w:pPr>
      <w:r>
        <w:rPr>
          <w:rFonts w:ascii="Times New Roman" w:hAnsi="Times New Roman"/>
          <w:b/>
          <w:lang w:val="en-GB"/>
        </w:rPr>
        <w:t xml:space="preserve">For each work package: </w:t>
      </w:r>
    </w:p>
    <w:tbl>
      <w:tblPr>
        <w:tblW w:w="9853" w:type="dxa"/>
        <w:jc w:val="left"/>
        <w:tblInd w:w="-114" w:type="dxa"/>
        <w:tblLayout w:type="fixed"/>
        <w:tblCellMar>
          <w:top w:w="0" w:type="dxa"/>
          <w:left w:w="108" w:type="dxa"/>
          <w:bottom w:w="0" w:type="dxa"/>
          <w:right w:w="108" w:type="dxa"/>
        </w:tblCellMar>
      </w:tblPr>
      <w:tblGrid>
        <w:gridCol w:w="3368"/>
        <w:gridCol w:w="6484"/>
      </w:tblGrid>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b/>
          <w:b/>
          <w:lang w:val="en-GB"/>
        </w:rPr>
      </w:pPr>
      <w:r>
        <w:rPr>
          <w:rFonts w:ascii="Times New Roman" w:hAnsi="Times New Roman"/>
          <w:b/>
          <w:lang w:val="en-GB"/>
        </w:rPr>
      </w:r>
    </w:p>
    <w:tbl>
      <w:tblPr>
        <w:tblW w:w="9855" w:type="dxa"/>
        <w:jc w:val="left"/>
        <w:tblInd w:w="-117"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17"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ind w:left="0" w:right="0" w:hanging="0"/>
        <w:rPr>
          <w:rFonts w:ascii="Times New Roman" w:hAnsi="Times New Roman"/>
          <w:lang w:val="en-GB"/>
        </w:rPr>
      </w:pPr>
      <w:r>
        <w:rPr>
          <w:rFonts w:ascii="Times New Roman" w:hAnsi="Times New Roman"/>
          <w:lang w:val="en-GB"/>
        </w:rPr>
      </w:r>
      <w:r>
        <w:br w:type="page"/>
      </w:r>
    </w:p>
    <w:p>
      <w:pPr>
        <w:pStyle w:val="Normal"/>
        <w:ind w:left="0" w:right="0" w:hanging="0"/>
        <w:rPr>
          <w:lang w:val="en-GB"/>
        </w:rPr>
      </w:pPr>
      <w:r>
        <w:rPr>
          <w:rFonts w:ascii="Times New Roman" w:hAnsi="Times New Roman"/>
          <w:b/>
          <w:lang w:val="en-GB"/>
        </w:rPr>
        <w:t>Table 3.1c:</w:t>
        <w:tab/>
        <w:t xml:space="preserve">List of Deliverables  </w:t>
      </w:r>
    </w:p>
    <w:p>
      <w:pPr>
        <w:pStyle w:val="Normal"/>
        <w:ind w:left="0" w:right="0" w:hanging="0"/>
        <w:rPr>
          <w:rFonts w:ascii="Times New Roman" w:hAnsi="Times New Roman"/>
          <w:b/>
          <w:b/>
          <w:lang w:val="en-GB"/>
        </w:rPr>
      </w:pPr>
      <w:r>
        <w:rPr>
          <w:rFonts w:ascii="Times New Roman" w:hAnsi="Times New Roman"/>
          <w:b/>
          <w:lang w:val="en-GB"/>
        </w:rPr>
      </w:r>
    </w:p>
    <w:tbl>
      <w:tblPr>
        <w:tblW w:w="10185" w:type="dxa"/>
        <w:jc w:val="center"/>
        <w:tblInd w:w="0" w:type="dxa"/>
        <w:tblLayout w:type="fixed"/>
        <w:tblCellMar>
          <w:top w:w="0" w:type="dxa"/>
          <w:left w:w="108" w:type="dxa"/>
          <w:bottom w:w="0" w:type="dxa"/>
          <w:right w:w="108" w:type="dxa"/>
        </w:tblCellMar>
      </w:tblPr>
      <w:tblGrid>
        <w:gridCol w:w="1159"/>
        <w:gridCol w:w="2078"/>
        <w:gridCol w:w="1293"/>
        <w:gridCol w:w="1385"/>
        <w:gridCol w:w="1386"/>
        <w:gridCol w:w="1751"/>
        <w:gridCol w:w="1132"/>
      </w:tblGrid>
      <w:tr>
        <w:trPr/>
        <w:tc>
          <w:tcPr>
            <w:tcW w:w="115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Short name of lead participant</w:t>
            </w:r>
          </w:p>
        </w:tc>
        <w:tc>
          <w:tcPr>
            <w:tcW w:w="13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Type</w:t>
            </w:r>
          </w:p>
        </w:tc>
        <w:tc>
          <w:tcPr>
            <w:tcW w:w="175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Dissemination level</w:t>
            </w:r>
          </w:p>
        </w:tc>
        <w:tc>
          <w:tcPr>
            <w:tcW w:w="113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spacing w:before="120" w:after="0"/>
              <w:ind w:left="0" w:right="0" w:hanging="0"/>
              <w:jc w:val="center"/>
              <w:rPr>
                <w:lang w:val="en-GB"/>
              </w:rPr>
            </w:pPr>
            <w:r>
              <w:rPr>
                <w:rFonts w:ascii="Times New Roman" w:hAnsi="Times New Roman"/>
                <w:b/>
                <w:lang w:val="en-GB"/>
              </w:rPr>
              <w:t>(in months)</w:t>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3.1d:</w:t>
        <w:tab/>
        <w:t xml:space="preserve">List of milestones </w:t>
      </w:r>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1316"/>
        <w:gridCol w:w="1645"/>
        <w:gridCol w:w="2250"/>
        <w:gridCol w:w="2260"/>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name</w:t>
            </w:r>
          </w:p>
        </w:tc>
        <w:tc>
          <w:tcPr>
            <w:tcW w:w="225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Related work package(s)</w:t>
            </w:r>
          </w:p>
        </w:tc>
        <w:tc>
          <w:tcPr>
            <w:tcW w:w="226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3.1e:</w:t>
        <w:tab/>
        <w:t xml:space="preserve">Critical risks for implementation </w:t>
      </w:r>
      <w:bookmarkStart w:id="28" w:name="_Hlk106802874"/>
      <w:r>
        <w:rPr>
          <w:rFonts w:cs="Arial"/>
          <w:color w:val="B5B5B5"/>
          <w:sz w:val="18"/>
          <w:szCs w:val="16"/>
        </w:rPr>
        <w:t>#@RSK-MGT-RM@#</w:t>
      </w:r>
      <w:bookmarkEnd w:id="28"/>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3816"/>
        <w:gridCol w:w="2421"/>
        <w:gridCol w:w="3828"/>
      </w:tblGrid>
      <w:tr>
        <w:trPr/>
        <w:tc>
          <w:tcPr>
            <w:tcW w:w="38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risk (indicate level of (i) likelihood, and (ii) severity: Low/Medium/High)</w:t>
            </w:r>
          </w:p>
        </w:tc>
        <w:tc>
          <w:tcPr>
            <w:tcW w:w="242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Proposed risk-mitigation measures</w:t>
            </w:r>
          </w:p>
        </w:tc>
      </w:tr>
      <w:tr>
        <w:trPr/>
        <w:tc>
          <w:tcPr>
            <w:tcW w:w="38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spacing w:before="0" w:after="240"/>
        <w:ind w:left="0" w:right="0" w:hanging="0"/>
        <w:rPr/>
      </w:pPr>
      <w:bookmarkStart w:id="29" w:name="_Hlk106802885"/>
      <w:r>
        <w:rPr>
          <w:rFonts w:cs="Arial"/>
          <w:color w:val="B5B5B5"/>
          <w:sz w:val="18"/>
          <w:szCs w:val="16"/>
        </w:rPr>
        <w:t>#§RSK-MGT-RM§#</w:t>
      </w:r>
      <w:bookmarkEnd w:id="29"/>
    </w:p>
    <w:p>
      <w:pPr>
        <w:pStyle w:val="Normal"/>
        <w:ind w:left="0" w:right="0" w:hanging="0"/>
        <w:rPr>
          <w:lang w:val="en-GB"/>
        </w:rPr>
      </w:pPr>
      <w:r>
        <w:rPr>
          <w:rFonts w:ascii="Times New Roman" w:hAnsi="Times New Roman"/>
          <w:b/>
          <w:lang w:val="en-GB"/>
        </w:rPr>
        <w:t xml:space="preserve">Table 3.1f: </w:t>
        <w:tab/>
        <w:t>Summary of staff effort</w:t>
      </w:r>
    </w:p>
    <w:p>
      <w:pPr>
        <w:pStyle w:val="Normal"/>
        <w:ind w:left="0" w:right="0" w:hanging="0"/>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399"/>
        <w:gridCol w:w="1478"/>
        <w:gridCol w:w="1467"/>
        <w:gridCol w:w="1457"/>
        <w:gridCol w:w="3123"/>
      </w:tblGrid>
      <w:tr>
        <w:trPr/>
        <w:tc>
          <w:tcPr>
            <w:tcW w:w="2399" w:type="dxa"/>
            <w:tcBorders>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7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WPn+1</w:t>
            </w:r>
          </w:p>
        </w:tc>
        <w:tc>
          <w:tcPr>
            <w:tcW w:w="145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WPn+2</w:t>
            </w:r>
          </w:p>
        </w:tc>
        <w:tc>
          <w:tcPr>
            <w:tcW w:w="312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w:t>
            </w:r>
          </w:p>
          <w:p>
            <w:pPr>
              <w:pStyle w:val="Normal"/>
              <w:widowControl w:val="false"/>
              <w:tabs>
                <w:tab w:val="clear" w:pos="720"/>
              </w:tabs>
              <w:ind w:left="0" w:right="0" w:hanging="0"/>
              <w:rPr>
                <w:lang w:val="en-GB"/>
              </w:rPr>
            </w:pPr>
            <w:r>
              <w:rPr>
                <w:rFonts w:ascii="Times New Roman" w:hAnsi="Times New Roman"/>
                <w:b/>
                <w:lang w:val="en-GB"/>
              </w:rPr>
              <w:t>Months per Participant</w:t>
            </w:r>
          </w:p>
        </w:tc>
      </w:tr>
      <w:tr>
        <w:trPr/>
        <w:tc>
          <w:tcPr>
            <w:tcW w:w="239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c>
          <w:tcPr>
            <w:tcW w:w="14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rHeight w:val="506" w:hRule="atLeast"/>
        </w:trPr>
        <w:tc>
          <w:tcPr>
            <w:tcW w:w="239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39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39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 Months</w:t>
            </w:r>
          </w:p>
        </w:tc>
        <w:tc>
          <w:tcPr>
            <w:tcW w:w="147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3.1g:</w:t>
        <w:tab/>
        <w:t xml:space="preserve">‘Subcontracting costs’ items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3.1i:</w:t>
        <w:tab/>
        <w:t>‘Other costs categories’ items (e.g. internally invoiced goods and services)</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3.1j:</w:t>
        <w:tab/>
        <w:t>‘In-kind contributions’ provided by third parties</w:t>
      </w:r>
    </w:p>
    <w:p>
      <w:pPr>
        <w:pStyle w:val="Normal"/>
        <w:ind w:left="0" w:right="0" w:hanging="0"/>
        <w:rPr>
          <w:rFonts w:ascii="Times New Roman" w:hAnsi="Times New Roman"/>
          <w:b/>
          <w:b/>
          <w:lang w:val="en-GB"/>
        </w:rPr>
      </w:pPr>
      <w:r>
        <w:rPr>
          <w:rFonts w:ascii="Times New Roman" w:hAnsi="Times New Roman"/>
          <w:b/>
          <w:lang w:val="en-GB"/>
        </w:rPr>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rFonts w:ascii="Times New Roman" w:hAnsi="Times New Roman"/>
                <w:b/>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spacing w:before="120" w:after="120"/>
              <w:ind w:left="0" w:right="0" w:hanging="0"/>
              <w:rPr/>
            </w:pPr>
            <w:r>
              <w:rPr>
                <w:rFonts w:ascii="Times New Roman" w:hAnsi="Times New Roman"/>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bookmarkStart w:id="30" w:name="_Hlk106802899"/>
      <w:r>
        <w:rPr>
          <w:rFonts w:cs="Arial"/>
          <w:caps/>
          <w:color w:val="B5B5B5"/>
          <w:sz w:val="18"/>
          <w:szCs w:val="16"/>
          <w:lang w:val="en-GB" w:eastAsia="it-IT"/>
        </w:rPr>
        <w:t xml:space="preserve">#§QUA-LIT-QL§# </w:t>
      </w:r>
      <w:r>
        <w:rPr>
          <w:rFonts w:cs="Arial"/>
          <w:color w:val="B5B5B5"/>
          <w:sz w:val="18"/>
          <w:szCs w:val="16"/>
        </w:rPr>
        <w:t>#§WRK-PLA-WP§#</w:t>
      </w:r>
      <w:bookmarkEnd w:id="30"/>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lang w:val="en-GB"/>
        </w:rPr>
      </w:pPr>
      <w:r>
        <w:rPr>
          <w:rFonts w:ascii="Times New Roman" w:hAnsi="Times New Roman"/>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bl>
    <w:p>
      <w:pPr>
        <w:pStyle w:val="Normal"/>
        <w:widowControl w:val="false"/>
        <w:ind w:left="0" w:right="0" w:hanging="0"/>
        <w:rPr/>
      </w:pPr>
      <w:r>
        <w:rPr/>
      </w:r>
    </w:p>
    <w:sectPr>
      <w:headerReference w:type="default" r:id="rId30"/>
      <w:footerReference w:type="default" r:id="rId31"/>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Segoe UI">
    <w:charset w:val="01"/>
    <w:family w:val="roman"/>
    <w:pitch w:val="variable"/>
  </w:font>
  <w:font w:name="0">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5">
              <wp:simplePos x="0" y="0"/>
              <wp:positionH relativeFrom="column">
                <wp:posOffset>2869565</wp:posOffset>
              </wp:positionH>
              <wp:positionV relativeFrom="paragraph">
                <wp:posOffset>10391775</wp:posOffset>
              </wp:positionV>
              <wp:extent cx="842010" cy="287655"/>
              <wp:effectExtent l="0" t="635" r="0" b="0"/>
              <wp:wrapNone/>
              <wp:docPr id="3" name="Rectangle 10"/>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7">
              <wp:simplePos x="0" y="0"/>
              <wp:positionH relativeFrom="column">
                <wp:posOffset>2869565</wp:posOffset>
              </wp:positionH>
              <wp:positionV relativeFrom="paragraph">
                <wp:posOffset>10391775</wp:posOffset>
              </wp:positionV>
              <wp:extent cx="842010" cy="287655"/>
              <wp:effectExtent l="0" t="635" r="0" b="0"/>
              <wp:wrapNone/>
              <wp:docPr id="4" name="Rectangle 1"/>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73">
              <wp:simplePos x="0" y="0"/>
              <wp:positionH relativeFrom="column">
                <wp:posOffset>0</wp:posOffset>
              </wp:positionH>
              <wp:positionV relativeFrom="paragraph">
                <wp:posOffset>635</wp:posOffset>
              </wp:positionV>
              <wp:extent cx="6616700" cy="267335"/>
              <wp:effectExtent l="5080" t="5715" r="5080" b="4445"/>
              <wp:wrapNone/>
              <wp:docPr id="7"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84">
              <wp:simplePos x="0" y="0"/>
              <wp:positionH relativeFrom="column">
                <wp:posOffset>2869565</wp:posOffset>
              </wp:positionH>
              <wp:positionV relativeFrom="paragraph">
                <wp:posOffset>10391775</wp:posOffset>
              </wp:positionV>
              <wp:extent cx="842010" cy="287655"/>
              <wp:effectExtent l="0" t="635" r="0" b="0"/>
              <wp:wrapNone/>
              <wp:docPr id="9" name="Rectangle 2"/>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2"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70">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27</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53">
              <wp:simplePos x="0" y="0"/>
              <wp:positionH relativeFrom="column">
                <wp:posOffset>0</wp:posOffset>
              </wp:positionH>
              <wp:positionV relativeFrom="paragraph">
                <wp:posOffset>635</wp:posOffset>
              </wp:positionV>
              <wp:extent cx="6616700" cy="267335"/>
              <wp:effectExtent l="5080" t="5715" r="5080" b="4445"/>
              <wp:wrapNone/>
              <wp:docPr id="19" name="Frame21"/>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1"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25">
              <wp:simplePos x="0" y="0"/>
              <wp:positionH relativeFrom="column">
                <wp:posOffset>0</wp:posOffset>
              </wp:positionH>
              <wp:positionV relativeFrom="paragraph">
                <wp:posOffset>635</wp:posOffset>
              </wp:positionV>
              <wp:extent cx="6616700" cy="267335"/>
              <wp:effectExtent l="5080" t="5715" r="5080" b="4445"/>
              <wp:wrapNone/>
              <wp:docPr id="21" name="Frame23"/>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3"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13">
              <wp:simplePos x="0" y="0"/>
              <wp:positionH relativeFrom="column">
                <wp:posOffset>0</wp:posOffset>
              </wp:positionH>
              <wp:positionV relativeFrom="paragraph">
                <wp:posOffset>635</wp:posOffset>
              </wp:positionV>
              <wp:extent cx="6616700" cy="267335"/>
              <wp:effectExtent l="5080" t="5715" r="5080" b="4445"/>
              <wp:wrapNone/>
              <wp:docPr id="23" name="Frame2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Times New Roman" w:hAnsi="Times New Roman"/>
          <w:color w:val="000000"/>
          <w:sz w:val="16"/>
          <w:szCs w:val="16"/>
          <w:lang w:val="en-IE"/>
        </w:rPr>
        <w:t xml:space="preserve"> </w:t>
      </w:r>
      <w:r>
        <w:rPr>
          <w:rFonts w:ascii="Times New Roman" w:hAnsi="Times New Roman"/>
          <w:i/>
          <w:color w:val="000000"/>
          <w:sz w:val="16"/>
          <w:szCs w:val="16"/>
          <w:lang w:val="en-IE"/>
        </w:rPr>
        <w:t>For further guidance on communicating EU research and innovation for project participants, please refer to the Online Manual on the Funding &amp; Tenders Portal</w:t>
      </w:r>
    </w:p>
  </w:footnote>
  <w:footnote w:id="3">
    <w:p>
      <w:pPr>
        <w:pStyle w:val="Footnote"/>
        <w:rPr/>
      </w:pPr>
      <w:r>
        <w:rPr>
          <w:rStyle w:val="FootnoteCharacters"/>
        </w:rPr>
        <w:footnoteRef/>
      </w:r>
      <w:r>
        <w:rPr/>
        <w:t xml:space="preserve">You must include a data management plan (DMP) and a ‘plan for dissemination and exploitation including communication activities as distinct deliverables within the first 6 months of the project.  The DMP will evolve during the lifetime of the project in order to present the status of the project's reflections on data management.  A template for such a plan is available in the </w:t>
      </w:r>
      <w:hyperlink r:id="rId1">
        <w:r>
          <w:rPr>
            <w:rFonts w:ascii="Times New Roman" w:hAnsi="Times New Roman"/>
            <w:color w:val="0088CC"/>
            <w:sz w:val="24"/>
            <w:szCs w:val="24"/>
            <w:u w:val="single"/>
          </w:rPr>
          <w:t>Online Manual</w:t>
        </w:r>
      </w:hyperlink>
      <w:r>
        <w:rPr/>
        <w:t xml:space="preserve"> on the Funding &amp; Tenders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80235" cy="93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93281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start w:val="1"/>
      <w:numFmt w:val="bullet"/>
      <w:lvlText w:val=""/>
      <w:lvlJc w:val="left"/>
      <w:pPr>
        <w:tabs>
          <w:tab w:val="num" w:pos="0"/>
        </w:tabs>
        <w:ind w:left="781" w:hanging="360"/>
      </w:pPr>
      <w:rPr>
        <w:rFonts w:ascii="0" w:hAnsi="0" w:cs="0" w:hint="default"/>
      </w:rPr>
    </w:lvl>
    <w:lvl w:ilvl="1">
      <w:start w:val="1"/>
      <w:numFmt w:val="bullet"/>
      <w:lvlText w:val="o"/>
      <w:lvlJc w:val="left"/>
      <w:pPr>
        <w:tabs>
          <w:tab w:val="num" w:pos="0"/>
        </w:tabs>
        <w:ind w:left="1501" w:hanging="360"/>
      </w:pPr>
      <w:rPr>
        <w:rFonts w:ascii="0" w:hAnsi="0" w:cs="0" w:hint="default"/>
      </w:rPr>
    </w:lvl>
    <w:lvl w:ilvl="2">
      <w:start w:val="1"/>
      <w:numFmt w:val="bullet"/>
      <w:lvlText w:val=""/>
      <w:lvlJc w:val="left"/>
      <w:pPr>
        <w:tabs>
          <w:tab w:val="num" w:pos="0"/>
        </w:tabs>
        <w:ind w:left="2221" w:hanging="360"/>
      </w:pPr>
      <w:rPr>
        <w:rFonts w:ascii="0" w:hAnsi="0" w:cs="0" w:hint="default"/>
      </w:rPr>
    </w:lvl>
    <w:lvl w:ilvl="3">
      <w:start w:val="1"/>
      <w:numFmt w:val="bullet"/>
      <w:lvlText w:val=""/>
      <w:lvlJc w:val="left"/>
      <w:pPr>
        <w:tabs>
          <w:tab w:val="num" w:pos="0"/>
        </w:tabs>
        <w:ind w:left="2941" w:hanging="360"/>
      </w:pPr>
      <w:rPr>
        <w:rFonts w:ascii="0" w:hAnsi="0" w:cs="0" w:hint="default"/>
      </w:rPr>
    </w:lvl>
    <w:lvl w:ilvl="4">
      <w:start w:val="1"/>
      <w:numFmt w:val="bullet"/>
      <w:lvlText w:val="o"/>
      <w:lvlJc w:val="left"/>
      <w:pPr>
        <w:tabs>
          <w:tab w:val="num" w:pos="0"/>
        </w:tabs>
        <w:ind w:left="3661" w:hanging="360"/>
      </w:pPr>
      <w:rPr>
        <w:rFonts w:ascii="0" w:hAnsi="0" w:cs="0" w:hint="default"/>
      </w:rPr>
    </w:lvl>
    <w:lvl w:ilvl="5">
      <w:start w:val="1"/>
      <w:numFmt w:val="bullet"/>
      <w:lvlText w:val=""/>
      <w:lvlJc w:val="left"/>
      <w:pPr>
        <w:tabs>
          <w:tab w:val="num" w:pos="0"/>
        </w:tabs>
        <w:ind w:left="4381" w:hanging="360"/>
      </w:pPr>
      <w:rPr>
        <w:rFonts w:ascii="0" w:hAnsi="0" w:cs="0" w:hint="default"/>
      </w:rPr>
    </w:lvl>
    <w:lvl w:ilvl="6">
      <w:start w:val="1"/>
      <w:numFmt w:val="bullet"/>
      <w:lvlText w:val=""/>
      <w:lvlJc w:val="left"/>
      <w:pPr>
        <w:tabs>
          <w:tab w:val="num" w:pos="0"/>
        </w:tabs>
        <w:ind w:left="5101" w:hanging="360"/>
      </w:pPr>
      <w:rPr>
        <w:rFonts w:ascii="0" w:hAnsi="0" w:cs="0" w:hint="default"/>
      </w:rPr>
    </w:lvl>
    <w:lvl w:ilvl="7">
      <w:start w:val="1"/>
      <w:numFmt w:val="bullet"/>
      <w:lvlText w:val="o"/>
      <w:lvlJc w:val="left"/>
      <w:pPr>
        <w:tabs>
          <w:tab w:val="num" w:pos="0"/>
        </w:tabs>
        <w:ind w:left="5821" w:hanging="360"/>
      </w:pPr>
      <w:rPr>
        <w:rFonts w:ascii="0" w:hAnsi="0" w:cs="0" w:hint="default"/>
      </w:rPr>
    </w:lvl>
    <w:lvl w:ilvl="8">
      <w:start w:val="1"/>
      <w:numFmt w:val="bullet"/>
      <w:lvlText w:val=""/>
      <w:lvlJc w:val="left"/>
      <w:pPr>
        <w:tabs>
          <w:tab w:val="num" w:pos="0"/>
        </w:tabs>
        <w:ind w:left="6541"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o"/>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o"/>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o"/>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bullet"/>
      <w:lvlText w:val="•"/>
      <w:lvlPicBulletId w:val="0"/>
      <w:lvlJc w:val="left"/>
      <w:pPr>
        <w:tabs>
          <w:tab w:val="num" w:pos="0"/>
        </w:tabs>
        <w:ind w:left="720" w:hanging="360"/>
      </w:pPr>
      <w:rPr>
        <w:rFonts w:ascii="0" w:hAnsi="0" w:cs="0" w:hint="default"/>
      </w:rPr>
    </w:lvl>
    <w:lvl w:ilvl="1">
      <w:start w:val="1"/>
      <w:numFmt w:val="bullet"/>
      <w:lvlText w:val=""/>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4">
    <w:lvl w:ilvl="0">
      <w:start w:val="1"/>
      <w:numFmt w:val="bullet"/>
      <w:lvlText w:val="•"/>
      <w:lvlPicBulletId w:val="0"/>
      <w:lvlJc w:val="left"/>
      <w:pPr>
        <w:tabs>
          <w:tab w:val="num" w:pos="0"/>
        </w:tabs>
        <w:ind w:left="1637" w:hanging="360"/>
      </w:pPr>
      <w:rPr>
        <w:rFonts w:ascii="0" w:hAnsi="0" w:cs="0" w:hint="default"/>
      </w:rPr>
    </w:lvl>
    <w:lvl w:ilvl="1">
      <w:start w:val="0"/>
      <w:numFmt w:val="bullet"/>
      <w:lvlText w:val="•"/>
      <w:lvlJc w:val="left"/>
      <w:pPr>
        <w:tabs>
          <w:tab w:val="num" w:pos="0"/>
        </w:tabs>
        <w:ind w:left="219" w:hanging="690"/>
      </w:pPr>
      <w:rPr>
        <w:rFonts w:ascii="0" w:hAnsi="0" w:cs="0" w:hint="default"/>
      </w:rPr>
    </w:lvl>
    <w:lvl w:ilvl="2">
      <w:start w:val="1"/>
      <w:numFmt w:val="bullet"/>
      <w:lvlText w:val=""/>
      <w:lvlJc w:val="left"/>
      <w:pPr>
        <w:tabs>
          <w:tab w:val="num" w:pos="0"/>
        </w:tabs>
        <w:ind w:left="609" w:hanging="360"/>
      </w:pPr>
      <w:rPr>
        <w:rFonts w:ascii="0" w:hAnsi="0" w:cs="0" w:hint="default"/>
      </w:rPr>
    </w:lvl>
    <w:lvl w:ilvl="3">
      <w:start w:val="1"/>
      <w:numFmt w:val="bullet"/>
      <w:lvlText w:val=""/>
      <w:lvlJc w:val="left"/>
      <w:pPr>
        <w:tabs>
          <w:tab w:val="num" w:pos="0"/>
        </w:tabs>
        <w:ind w:left="1329" w:hanging="360"/>
      </w:pPr>
      <w:rPr>
        <w:rFonts w:ascii="0" w:hAnsi="0" w:cs="0" w:hint="default"/>
      </w:rPr>
    </w:lvl>
    <w:lvl w:ilvl="4">
      <w:start w:val="1"/>
      <w:numFmt w:val="bullet"/>
      <w:lvlText w:val=""/>
      <w:lvlJc w:val="left"/>
      <w:pPr>
        <w:tabs>
          <w:tab w:val="num" w:pos="0"/>
        </w:tabs>
        <w:ind w:left="2049" w:hanging="360"/>
      </w:pPr>
      <w:rPr>
        <w:rFonts w:ascii="0" w:hAnsi="0" w:cs="0" w:hint="default"/>
      </w:rPr>
    </w:lvl>
    <w:lvl w:ilvl="5">
      <w:start w:val="1"/>
      <w:numFmt w:val="bullet"/>
      <w:lvlText w:val=""/>
      <w:lvlJc w:val="left"/>
      <w:pPr>
        <w:tabs>
          <w:tab w:val="num" w:pos="0"/>
        </w:tabs>
        <w:ind w:left="2769" w:hanging="360"/>
      </w:pPr>
      <w:rPr>
        <w:rFonts w:ascii="0" w:hAnsi="0" w:cs="0" w:hint="default"/>
      </w:rPr>
    </w:lvl>
    <w:lvl w:ilvl="6">
      <w:start w:val="1"/>
      <w:numFmt w:val="bullet"/>
      <w:lvlText w:val=""/>
      <w:lvlJc w:val="left"/>
      <w:pPr>
        <w:tabs>
          <w:tab w:val="num" w:pos="0"/>
        </w:tabs>
        <w:ind w:left="3489" w:hanging="360"/>
      </w:pPr>
      <w:rPr>
        <w:rFonts w:ascii="0" w:hAnsi="0" w:cs="0" w:hint="default"/>
      </w:rPr>
    </w:lvl>
    <w:lvl w:ilvl="7">
      <w:start w:val="1"/>
      <w:numFmt w:val="bullet"/>
      <w:lvlText w:val=""/>
      <w:lvlJc w:val="left"/>
      <w:pPr>
        <w:tabs>
          <w:tab w:val="num" w:pos="0"/>
        </w:tabs>
        <w:ind w:left="4209" w:hanging="360"/>
      </w:pPr>
      <w:rPr>
        <w:rFonts w:ascii="0" w:hAnsi="0" w:cs="0" w:hint="default"/>
      </w:rPr>
    </w:lvl>
    <w:lvl w:ilvl="8">
      <w:start w:val="1"/>
      <w:numFmt w:val="bullet"/>
      <w:lvlText w:val=""/>
      <w:lvlJc w:val="left"/>
      <w:pPr>
        <w:tabs>
          <w:tab w:val="num" w:pos="0"/>
        </w:tabs>
        <w:ind w:left="4929" w:hanging="360"/>
      </w:pPr>
      <w:rPr>
        <w:rFonts w:ascii="0" w:hAnsi="0" w:cs="0" w:hint="default"/>
      </w:rPr>
    </w:lvl>
  </w:abstractNum>
  <w:abstractNum w:abstractNumId="5">
    <w:lvl w:ilvl="0">
      <w:start w:val="1"/>
      <w:numFmt w:val="bullet"/>
      <w:lvlText w:val=""/>
      <w:lvlJc w:val="left"/>
      <w:pPr>
        <w:tabs>
          <w:tab w:val="num" w:pos="0"/>
        </w:tabs>
        <w:ind w:left="360" w:hanging="360"/>
      </w:pPr>
      <w:rPr>
        <w:rFonts w:ascii="0" w:hAnsi="0" w:cs="0" w:hint="default"/>
      </w:rPr>
    </w:lvl>
    <w:lvl w:ilvl="1">
      <w:start w:val="1"/>
      <w:numFmt w:val="bullet"/>
      <w:lvlText w:val="o"/>
      <w:lvlJc w:val="left"/>
      <w:pPr>
        <w:tabs>
          <w:tab w:val="num" w:pos="0"/>
        </w:tabs>
        <w:ind w:left="1080" w:hanging="360"/>
      </w:pPr>
      <w:rPr>
        <w:rFonts w:ascii="0" w:hAnsi="0" w:cs="0" w:hint="default"/>
      </w:rPr>
    </w:lvl>
    <w:lvl w:ilvl="2">
      <w:start w:val="1"/>
      <w:numFmt w:val="bullet"/>
      <w:lvlText w:val=""/>
      <w:lvlJc w:val="left"/>
      <w:pPr>
        <w:tabs>
          <w:tab w:val="num" w:pos="0"/>
        </w:tabs>
        <w:ind w:left="1800" w:hanging="360"/>
      </w:pPr>
      <w:rPr>
        <w:rFonts w:ascii="0" w:hAnsi="0" w:cs="0" w:hint="default"/>
      </w:rPr>
    </w:lvl>
    <w:lvl w:ilvl="3">
      <w:start w:val="1"/>
      <w:numFmt w:val="bullet"/>
      <w:lvlText w:val=""/>
      <w:lvlJc w:val="left"/>
      <w:pPr>
        <w:tabs>
          <w:tab w:val="num" w:pos="0"/>
        </w:tabs>
        <w:ind w:left="2520" w:hanging="360"/>
      </w:pPr>
      <w:rPr>
        <w:rFonts w:ascii="0" w:hAnsi="0" w:cs="0" w:hint="default"/>
      </w:rPr>
    </w:lvl>
    <w:lvl w:ilvl="4">
      <w:start w:val="1"/>
      <w:numFmt w:val="bullet"/>
      <w:lvlText w:val="o"/>
      <w:lvlJc w:val="left"/>
      <w:pPr>
        <w:tabs>
          <w:tab w:val="num" w:pos="0"/>
        </w:tabs>
        <w:ind w:left="3240" w:hanging="360"/>
      </w:pPr>
      <w:rPr>
        <w:rFonts w:ascii="0" w:hAnsi="0" w:cs="0" w:hint="default"/>
      </w:rPr>
    </w:lvl>
    <w:lvl w:ilvl="5">
      <w:start w:val="1"/>
      <w:numFmt w:val="bullet"/>
      <w:lvlText w:val=""/>
      <w:lvlJc w:val="left"/>
      <w:pPr>
        <w:tabs>
          <w:tab w:val="num" w:pos="0"/>
        </w:tabs>
        <w:ind w:left="3960" w:hanging="360"/>
      </w:pPr>
      <w:rPr>
        <w:rFonts w:ascii="0" w:hAnsi="0" w:cs="0" w:hint="default"/>
      </w:rPr>
    </w:lvl>
    <w:lvl w:ilvl="6">
      <w:start w:val="1"/>
      <w:numFmt w:val="bullet"/>
      <w:lvlText w:val=""/>
      <w:lvlJc w:val="left"/>
      <w:pPr>
        <w:tabs>
          <w:tab w:val="num" w:pos="0"/>
        </w:tabs>
        <w:ind w:left="4680" w:hanging="360"/>
      </w:pPr>
      <w:rPr>
        <w:rFonts w:ascii="0" w:hAnsi="0" w:cs="0" w:hint="default"/>
      </w:rPr>
    </w:lvl>
    <w:lvl w:ilvl="7">
      <w:start w:val="1"/>
      <w:numFmt w:val="bullet"/>
      <w:lvlText w:val="o"/>
      <w:lvlJc w:val="left"/>
      <w:pPr>
        <w:tabs>
          <w:tab w:val="num" w:pos="0"/>
        </w:tabs>
        <w:ind w:left="5400" w:hanging="360"/>
      </w:pPr>
      <w:rPr>
        <w:rFonts w:ascii="0" w:hAnsi="0" w:cs="0" w:hint="default"/>
      </w:rPr>
    </w:lvl>
    <w:lvl w:ilvl="8">
      <w:start w:val="1"/>
      <w:numFmt w:val="bullet"/>
      <w:lvlText w:val=""/>
      <w:lvlJc w:val="left"/>
      <w:pPr>
        <w:tabs>
          <w:tab w:val="num" w:pos="0"/>
        </w:tabs>
        <w:ind w:left="6120" w:hanging="360"/>
      </w:pPr>
      <w:rPr>
        <w:rFonts w:ascii="0" w:hAnsi="0" w:cs="0" w:hint="default"/>
      </w:rPr>
    </w:lvl>
  </w:abstractNum>
  <w:abstractNum w:abstractNumId="6">
    <w:lvl w:ilvl="0">
      <w:start w:val="1"/>
      <w:numFmt w:val="bullet"/>
      <w:lvlText w:val="•"/>
      <w:lvlPicBulletId w:val="0"/>
      <w:lvlJc w:val="left"/>
      <w:pPr>
        <w:tabs>
          <w:tab w:val="num" w:pos="0"/>
        </w:tabs>
        <w:ind w:left="1353" w:hanging="360"/>
      </w:pPr>
      <w:rPr>
        <w:rFonts w:ascii="0" w:hAnsi="0" w:cs="0" w:hint="default"/>
      </w:rPr>
    </w:lvl>
    <w:lvl w:ilvl="1">
      <w:start w:val="1"/>
      <w:numFmt w:val="bullet"/>
      <w:lvlText w:val=""/>
      <w:lvlJc w:val="left"/>
      <w:pPr>
        <w:tabs>
          <w:tab w:val="num" w:pos="0"/>
        </w:tabs>
        <w:ind w:left="2073" w:hanging="360"/>
      </w:pPr>
      <w:rPr>
        <w:rFonts w:ascii="0" w:hAnsi="0" w:cs="0" w:hint="default"/>
      </w:rPr>
    </w:lvl>
    <w:lvl w:ilvl="2">
      <w:start w:val="1"/>
      <w:numFmt w:val="bullet"/>
      <w:lvlText w:val=""/>
      <w:lvlJc w:val="left"/>
      <w:pPr>
        <w:tabs>
          <w:tab w:val="num" w:pos="0"/>
        </w:tabs>
        <w:ind w:left="2793" w:hanging="360"/>
      </w:pPr>
      <w:rPr>
        <w:rFonts w:ascii="0" w:hAnsi="0" w:cs="0" w:hint="default"/>
      </w:rPr>
    </w:lvl>
    <w:lvl w:ilvl="3">
      <w:start w:val="1"/>
      <w:numFmt w:val="bullet"/>
      <w:lvlText w:val=""/>
      <w:lvlJc w:val="left"/>
      <w:pPr>
        <w:tabs>
          <w:tab w:val="num" w:pos="0"/>
        </w:tabs>
        <w:ind w:left="3513" w:hanging="360"/>
      </w:pPr>
      <w:rPr>
        <w:rFonts w:ascii="0" w:hAnsi="0" w:cs="0" w:hint="default"/>
      </w:rPr>
    </w:lvl>
    <w:lvl w:ilvl="4">
      <w:start w:val="1"/>
      <w:numFmt w:val="bullet"/>
      <w:lvlText w:val=""/>
      <w:lvlJc w:val="left"/>
      <w:pPr>
        <w:tabs>
          <w:tab w:val="num" w:pos="0"/>
        </w:tabs>
        <w:ind w:left="4233" w:hanging="360"/>
      </w:pPr>
      <w:rPr>
        <w:rFonts w:ascii="0" w:hAnsi="0" w:cs="0" w:hint="default"/>
      </w:rPr>
    </w:lvl>
    <w:lvl w:ilvl="5">
      <w:start w:val="1"/>
      <w:numFmt w:val="bullet"/>
      <w:lvlText w:val=""/>
      <w:lvlJc w:val="left"/>
      <w:pPr>
        <w:tabs>
          <w:tab w:val="num" w:pos="0"/>
        </w:tabs>
        <w:ind w:left="4953" w:hanging="360"/>
      </w:pPr>
      <w:rPr>
        <w:rFonts w:ascii="0" w:hAnsi="0" w:cs="0" w:hint="default"/>
      </w:rPr>
    </w:lvl>
    <w:lvl w:ilvl="6">
      <w:start w:val="1"/>
      <w:numFmt w:val="bullet"/>
      <w:lvlText w:val=""/>
      <w:lvlJc w:val="left"/>
      <w:pPr>
        <w:tabs>
          <w:tab w:val="num" w:pos="0"/>
        </w:tabs>
        <w:ind w:left="5673" w:hanging="360"/>
      </w:pPr>
      <w:rPr>
        <w:rFonts w:ascii="0" w:hAnsi="0" w:cs="0" w:hint="default"/>
      </w:rPr>
    </w:lvl>
    <w:lvl w:ilvl="7">
      <w:start w:val="1"/>
      <w:numFmt w:val="bullet"/>
      <w:lvlText w:val=""/>
      <w:lvlJc w:val="left"/>
      <w:pPr>
        <w:tabs>
          <w:tab w:val="num" w:pos="0"/>
        </w:tabs>
        <w:ind w:left="6393" w:hanging="360"/>
      </w:pPr>
      <w:rPr>
        <w:rFonts w:ascii="0" w:hAnsi="0" w:cs="0" w:hint="default"/>
      </w:rPr>
    </w:lvl>
    <w:lvl w:ilvl="8">
      <w:start w:val="1"/>
      <w:numFmt w:val="bullet"/>
      <w:lvlText w:val=""/>
      <w:lvlJc w:val="left"/>
      <w:pPr>
        <w:tabs>
          <w:tab w:val="num" w:pos="0"/>
        </w:tabs>
        <w:ind w:left="7113" w:hanging="360"/>
      </w:pPr>
      <w:rPr>
        <w:rFonts w:ascii="0" w:hAnsi="0" w:cs="0" w:hint="default"/>
      </w:rPr>
    </w:lvl>
  </w:abstractNum>
  <w:abstractNum w:abstractNumId="7">
    <w:lvl w:ilvl="0">
      <w:start w:val="1"/>
      <w:numFmt w:val="bullet"/>
      <w:lvlText w:val=""/>
      <w:lvlJc w:val="left"/>
      <w:pPr>
        <w:tabs>
          <w:tab w:val="num" w:pos="0"/>
        </w:tabs>
        <w:ind w:left="1713" w:hanging="360"/>
      </w:pPr>
      <w:rPr>
        <w:rFonts w:ascii="0" w:hAnsi="0" w:cs="0" w:hint="default"/>
      </w:rPr>
    </w:lvl>
    <w:lvl w:ilvl="1">
      <w:start w:val="1"/>
      <w:numFmt w:val="bullet"/>
      <w:lvlText w:val="o"/>
      <w:lvlJc w:val="left"/>
      <w:pPr>
        <w:tabs>
          <w:tab w:val="num" w:pos="0"/>
        </w:tabs>
        <w:ind w:left="2433" w:hanging="360"/>
      </w:pPr>
      <w:rPr>
        <w:rFonts w:ascii="0" w:hAnsi="0" w:cs="0" w:hint="default"/>
      </w:rPr>
    </w:lvl>
    <w:lvl w:ilvl="2">
      <w:start w:val="1"/>
      <w:numFmt w:val="bullet"/>
      <w:lvlText w:val=""/>
      <w:lvlJc w:val="left"/>
      <w:pPr>
        <w:tabs>
          <w:tab w:val="num" w:pos="0"/>
        </w:tabs>
        <w:ind w:left="3153" w:hanging="360"/>
      </w:pPr>
      <w:rPr>
        <w:rFonts w:ascii="0" w:hAnsi="0" w:cs="0" w:hint="default"/>
      </w:rPr>
    </w:lvl>
    <w:lvl w:ilvl="3">
      <w:start w:val="1"/>
      <w:numFmt w:val="bullet"/>
      <w:lvlText w:val=""/>
      <w:lvlJc w:val="left"/>
      <w:pPr>
        <w:tabs>
          <w:tab w:val="num" w:pos="0"/>
        </w:tabs>
        <w:ind w:left="3873" w:hanging="360"/>
      </w:pPr>
      <w:rPr>
        <w:rFonts w:ascii="0" w:hAnsi="0" w:cs="0" w:hint="default"/>
      </w:rPr>
    </w:lvl>
    <w:lvl w:ilvl="4">
      <w:start w:val="1"/>
      <w:numFmt w:val="bullet"/>
      <w:lvlText w:val="o"/>
      <w:lvlJc w:val="left"/>
      <w:pPr>
        <w:tabs>
          <w:tab w:val="num" w:pos="0"/>
        </w:tabs>
        <w:ind w:left="4593" w:hanging="360"/>
      </w:pPr>
      <w:rPr>
        <w:rFonts w:ascii="0" w:hAnsi="0" w:cs="0" w:hint="default"/>
      </w:rPr>
    </w:lvl>
    <w:lvl w:ilvl="5">
      <w:start w:val="1"/>
      <w:numFmt w:val="bullet"/>
      <w:lvlText w:val=""/>
      <w:lvlJc w:val="left"/>
      <w:pPr>
        <w:tabs>
          <w:tab w:val="num" w:pos="0"/>
        </w:tabs>
        <w:ind w:left="5313" w:hanging="360"/>
      </w:pPr>
      <w:rPr>
        <w:rFonts w:ascii="0" w:hAnsi="0" w:cs="0" w:hint="default"/>
      </w:rPr>
    </w:lvl>
    <w:lvl w:ilvl="6">
      <w:start w:val="1"/>
      <w:numFmt w:val="bullet"/>
      <w:lvlText w:val=""/>
      <w:lvlJc w:val="left"/>
      <w:pPr>
        <w:tabs>
          <w:tab w:val="num" w:pos="0"/>
        </w:tabs>
        <w:ind w:left="6033" w:hanging="360"/>
      </w:pPr>
      <w:rPr>
        <w:rFonts w:ascii="0" w:hAnsi="0" w:cs="0" w:hint="default"/>
      </w:rPr>
    </w:lvl>
    <w:lvl w:ilvl="7">
      <w:start w:val="1"/>
      <w:numFmt w:val="bullet"/>
      <w:lvlText w:val="o"/>
      <w:lvlJc w:val="left"/>
      <w:pPr>
        <w:tabs>
          <w:tab w:val="num" w:pos="0"/>
        </w:tabs>
        <w:ind w:left="6753" w:hanging="360"/>
      </w:pPr>
      <w:rPr>
        <w:rFonts w:ascii="0" w:hAnsi="0" w:cs="0" w:hint="default"/>
      </w:rPr>
    </w:lvl>
    <w:lvl w:ilvl="8">
      <w:start w:val="1"/>
      <w:numFmt w:val="bullet"/>
      <w:lvlText w:val=""/>
      <w:lvlJc w:val="left"/>
      <w:pPr>
        <w:tabs>
          <w:tab w:val="num" w:pos="0"/>
        </w:tabs>
        <w:ind w:left="7473" w:hanging="360"/>
      </w:pPr>
      <w:rPr>
        <w:rFonts w:ascii="0" w:hAnsi="0" w:cs="0" w:hint="default"/>
      </w:rPr>
    </w:lvl>
  </w:abstractNum>
  <w:abstractNum w:abstractNumId="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PicBulletId w:val="0"/>
      <w:lvlJc w:val="left"/>
      <w:pPr>
        <w:tabs>
          <w:tab w:val="num" w:pos="0"/>
        </w:tabs>
        <w:ind w:left="1701" w:hanging="360"/>
      </w:pPr>
      <w:rPr>
        <w:rFonts w:ascii="0" w:hAnsi="0" w:cs="0" w:hint="default"/>
      </w:rPr>
    </w:lvl>
    <w:lvl w:ilvl="1">
      <w:start w:val="1"/>
      <w:numFmt w:val="bullet"/>
      <w:lvlText w:val="o"/>
      <w:lvlJc w:val="left"/>
      <w:pPr>
        <w:tabs>
          <w:tab w:val="num" w:pos="0"/>
        </w:tabs>
        <w:ind w:left="2421" w:hanging="360"/>
      </w:pPr>
      <w:rPr>
        <w:rFonts w:ascii="0" w:hAnsi="0" w:cs="0" w:hint="default"/>
      </w:rPr>
    </w:lvl>
    <w:lvl w:ilvl="2">
      <w:start w:val="1"/>
      <w:numFmt w:val="bullet"/>
      <w:lvlText w:val=""/>
      <w:lvlJc w:val="left"/>
      <w:pPr>
        <w:tabs>
          <w:tab w:val="num" w:pos="0"/>
        </w:tabs>
        <w:ind w:left="3141" w:hanging="360"/>
      </w:pPr>
      <w:rPr>
        <w:rFonts w:ascii="0" w:hAnsi="0" w:cs="0" w:hint="default"/>
      </w:rPr>
    </w:lvl>
    <w:lvl w:ilvl="3">
      <w:start w:val="1"/>
      <w:numFmt w:val="bullet"/>
      <w:lvlText w:val=""/>
      <w:lvlJc w:val="left"/>
      <w:pPr>
        <w:tabs>
          <w:tab w:val="num" w:pos="0"/>
        </w:tabs>
        <w:ind w:left="3861" w:hanging="360"/>
      </w:pPr>
      <w:rPr>
        <w:rFonts w:ascii="0" w:hAnsi="0" w:cs="0" w:hint="default"/>
      </w:rPr>
    </w:lvl>
    <w:lvl w:ilvl="4">
      <w:start w:val="1"/>
      <w:numFmt w:val="bullet"/>
      <w:lvlText w:val="o"/>
      <w:lvlJc w:val="left"/>
      <w:pPr>
        <w:tabs>
          <w:tab w:val="num" w:pos="0"/>
        </w:tabs>
        <w:ind w:left="4581" w:hanging="360"/>
      </w:pPr>
      <w:rPr>
        <w:rFonts w:ascii="0" w:hAnsi="0" w:cs="0" w:hint="default"/>
      </w:rPr>
    </w:lvl>
    <w:lvl w:ilvl="5">
      <w:start w:val="1"/>
      <w:numFmt w:val="bullet"/>
      <w:lvlText w:val=""/>
      <w:lvlJc w:val="left"/>
      <w:pPr>
        <w:tabs>
          <w:tab w:val="num" w:pos="0"/>
        </w:tabs>
        <w:ind w:left="5301" w:hanging="360"/>
      </w:pPr>
      <w:rPr>
        <w:rFonts w:ascii="0" w:hAnsi="0" w:cs="0" w:hint="default"/>
      </w:rPr>
    </w:lvl>
    <w:lvl w:ilvl="6">
      <w:start w:val="1"/>
      <w:numFmt w:val="bullet"/>
      <w:lvlText w:val=""/>
      <w:lvlJc w:val="left"/>
      <w:pPr>
        <w:tabs>
          <w:tab w:val="num" w:pos="0"/>
        </w:tabs>
        <w:ind w:left="6021" w:hanging="360"/>
      </w:pPr>
      <w:rPr>
        <w:rFonts w:ascii="0" w:hAnsi="0" w:cs="0" w:hint="default"/>
      </w:rPr>
    </w:lvl>
    <w:lvl w:ilvl="7">
      <w:start w:val="1"/>
      <w:numFmt w:val="bullet"/>
      <w:lvlText w:val="o"/>
      <w:lvlJc w:val="left"/>
      <w:pPr>
        <w:tabs>
          <w:tab w:val="num" w:pos="0"/>
        </w:tabs>
        <w:ind w:left="6741" w:hanging="360"/>
      </w:pPr>
      <w:rPr>
        <w:rFonts w:ascii="0" w:hAnsi="0" w:cs="0" w:hint="default"/>
      </w:rPr>
    </w:lvl>
    <w:lvl w:ilvl="8">
      <w:start w:val="1"/>
      <w:numFmt w:val="bullet"/>
      <w:lvlText w:val=""/>
      <w:lvlJc w:val="left"/>
      <w:pPr>
        <w:tabs>
          <w:tab w:val="num" w:pos="0"/>
        </w:tabs>
        <w:ind w:left="7461" w:hanging="360"/>
      </w:pPr>
      <w:rPr>
        <w:rFonts w:ascii="0" w:hAnsi="0" w:cs="0" w:hint="default"/>
      </w:rPr>
    </w:lvl>
  </w:abstractNum>
  <w:abstractNum w:abstractNumId="10">
    <w:lvl w:ilvl="0">
      <w:start w:val="1"/>
      <w:numFmt w:val="lowerLetter"/>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3."/>
      <w:lvlJc w:val="right"/>
      <w:pPr>
        <w:tabs>
          <w:tab w:val="num" w:pos="0"/>
        </w:tabs>
        <w:ind w:left="2520" w:hanging="180"/>
      </w:pPr>
      <w:rPr>
        <w:rFonts w:cs="Times New Roman"/>
      </w:rPr>
    </w:lvl>
    <w:lvl w:ilvl="3">
      <w:start w:val="1"/>
      <w:numFmt w:val="decimal"/>
      <w:lvlText w:val="%4."/>
      <w:lvlJc w:val="left"/>
      <w:pPr>
        <w:tabs>
          <w:tab w:val="num" w:pos="0"/>
        </w:tabs>
        <w:ind w:left="3240" w:hanging="360"/>
      </w:pPr>
      <w:rPr>
        <w:rFonts w:cs="Times New Roman"/>
      </w:rPr>
    </w:lvl>
    <w:lvl w:ilvl="4">
      <w:start w:val="1"/>
      <w:numFmt w:val="lowerLetter"/>
      <w:lvlText w:val="%5."/>
      <w:lvlJc w:val="left"/>
      <w:pPr>
        <w:tabs>
          <w:tab w:val="num" w:pos="0"/>
        </w:tabs>
        <w:ind w:left="3960" w:hanging="360"/>
      </w:pPr>
      <w:rPr>
        <w:rFonts w:cs="Times New Roman"/>
      </w:rPr>
    </w:lvl>
    <w:lvl w:ilvl="5">
      <w:start w:val="1"/>
      <w:numFmt w:val="lowerRoman"/>
      <w:lvlText w:val="%6."/>
      <w:lvlJc w:val="right"/>
      <w:pPr>
        <w:tabs>
          <w:tab w:val="num" w:pos="0"/>
        </w:tabs>
        <w:ind w:left="4680" w:hanging="180"/>
      </w:pPr>
      <w:rPr>
        <w:rFonts w:cs="Times New Roman"/>
      </w:rPr>
    </w:lvl>
    <w:lvl w:ilvl="6">
      <w:start w:val="1"/>
      <w:numFmt w:val="decimal"/>
      <w:lvlText w:val="%7."/>
      <w:lvlJc w:val="left"/>
      <w:pPr>
        <w:tabs>
          <w:tab w:val="num" w:pos="0"/>
        </w:tabs>
        <w:ind w:left="5400" w:hanging="360"/>
      </w:pPr>
      <w:rPr>
        <w:rFonts w:cs="Times New Roman"/>
      </w:rPr>
    </w:lvl>
    <w:lvl w:ilvl="7">
      <w:start w:val="1"/>
      <w:numFmt w:val="lowerLetter"/>
      <w:lvlText w:val="%8."/>
      <w:lvlJc w:val="left"/>
      <w:pPr>
        <w:tabs>
          <w:tab w:val="num" w:pos="0"/>
        </w:tabs>
        <w:ind w:left="6120" w:hanging="360"/>
      </w:pPr>
      <w:rPr>
        <w:rFonts w:cs="Times New Roman"/>
      </w:rPr>
    </w:lvl>
    <w:lvl w:ilvl="8">
      <w:start w:val="1"/>
      <w:numFmt w:val="lowerRoman"/>
      <w:lvlText w:val="%9."/>
      <w:lvlJc w:val="right"/>
      <w:pPr>
        <w:tabs>
          <w:tab w:val="num" w:pos="0"/>
        </w:tabs>
        <w:ind w:left="6840" w:hanging="180"/>
      </w:pPr>
      <w:rPr>
        <w:rFonts w:cs="Times New Roman"/>
      </w:rPr>
    </w:lvl>
  </w:abstractNum>
  <w:abstractNum w:abstractNumId="11">
    <w:lvl w:ilvl="0">
      <w:start w:val="1"/>
      <w:numFmt w:val="bullet"/>
      <w:lvlText w:val="‒"/>
      <w:lvlJc w:val="left"/>
      <w:pPr>
        <w:tabs>
          <w:tab w:val="num" w:pos="0"/>
        </w:tabs>
        <w:ind w:left="720" w:hanging="360"/>
      </w:pPr>
      <w:rPr>
        <w:rFonts w:ascii="0" w:hAnsi="0" w:cs="0" w:hint="default"/>
        <w:i w:val="false"/>
        <w:b w:val="false"/>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2">
    <w:lvl w:ilvl="0">
      <w:start w:val="3"/>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qFormat/>
    <w:pPr>
      <w:keepNext w:val="true"/>
      <w:spacing w:before="9" w:after="120"/>
    </w:pPr>
    <w:rPr>
      <w:rFonts w:ascii="EC Square Sans Pro Light" w:hAnsi="EC Square Sans Pro Light" w:eastAsia="Times New Roman" w:cs="Lohit Devanagari"/>
      <w:color w:val="458DCB"/>
      <w:sz w:val="30"/>
      <w:szCs w:val="30"/>
      <w:lang w:val="en-GB"/>
    </w:rPr>
  </w:style>
  <w:style w:type="paragraph" w:styleId="Heading2">
    <w:name w:val="Heading 2"/>
    <w:basedOn w:val="Normal"/>
    <w:qFormat/>
    <w:pPr>
      <w:ind w:left="3442" w:hanging="0"/>
    </w:pPr>
    <w:rPr>
      <w:rFonts w:ascii="Verdana" w:hAnsi="Verdana"/>
      <w:sz w:val="40"/>
      <w:szCs w:val="40"/>
    </w:rPr>
  </w:style>
  <w:style w:type="paragraph" w:styleId="Heading3">
    <w:name w:val="Heading 3"/>
    <w:basedOn w:val="Normal"/>
    <w:qFormat/>
    <w:pPr>
      <w:spacing w:before="2" w:after="0"/>
      <w:ind w:left="429" w:hanging="283"/>
    </w:pPr>
    <w:rPr>
      <w:rFonts w:ascii="Arial" w:hAnsi="Arial"/>
      <w:sz w:val="34"/>
      <w:szCs w:val="34"/>
    </w:rPr>
  </w:style>
  <w:style w:type="paragraph" w:styleId="Heading4">
    <w:name w:val="Heading 4"/>
    <w:basedOn w:val="Normal"/>
    <w:qFormat/>
    <w:pPr>
      <w:ind w:left="146" w:hanging="0"/>
    </w:pPr>
    <w:rPr>
      <w:rFonts w:ascii="EC Square Sans Pro Light" w:hAnsi="EC Square Sans Pro Light"/>
      <w:sz w:val="30"/>
      <w:szCs w:val="30"/>
    </w:rPr>
  </w:style>
  <w:style w:type="paragraph" w:styleId="Heading5">
    <w:name w:val="Heading 5"/>
    <w:basedOn w:val="Normal"/>
    <w:qFormat/>
    <w:pPr>
      <w:ind w:left="833" w:hanging="0"/>
    </w:pPr>
    <w:rPr>
      <w:b/>
      <w:bCs/>
      <w:sz w:val="24"/>
      <w:szCs w:val="24"/>
    </w:rPr>
  </w:style>
  <w:style w:type="paragraph" w:styleId="Heading6">
    <w:name w:val="Heading 6"/>
    <w:basedOn w:val="Normal"/>
    <w:qFormat/>
    <w:pPr>
      <w:ind w:left="833" w:hanging="0"/>
    </w:pPr>
    <w:rPr>
      <w:b/>
      <w:bCs/>
      <w:i/>
      <w:sz w:val="24"/>
      <w:szCs w:val="24"/>
    </w:rPr>
  </w:style>
  <w:style w:type="paragraph" w:styleId="Heading7">
    <w:name w:val="Heading 7"/>
    <w:basedOn w:val="Normal"/>
    <w:next w:val="Normal"/>
    <w:qFormat/>
    <w:pPr>
      <w:widowControl/>
      <w:spacing w:before="240" w:after="60"/>
      <w:ind w:left="4748" w:hanging="708"/>
      <w:jc w:val="both"/>
    </w:pPr>
    <w:rPr>
      <w:rFonts w:ascii="Arial" w:hAnsi="Arial"/>
      <w:sz w:val="20"/>
      <w:szCs w:val="20"/>
      <w:lang w:val="en-GB" w:eastAsia="en-GB"/>
    </w:rPr>
  </w:style>
  <w:style w:type="paragraph" w:styleId="Heading8">
    <w:name w:val="Heading 8"/>
    <w:basedOn w:val="Normal"/>
    <w:next w:val="Normal"/>
    <w:qFormat/>
    <w:pPr>
      <w:widowControl/>
      <w:spacing w:before="240" w:after="60"/>
      <w:ind w:left="5456" w:hanging="708"/>
      <w:jc w:val="both"/>
    </w:pPr>
    <w:rPr>
      <w:rFonts w:ascii="Arial" w:hAnsi="Arial"/>
      <w:i/>
      <w:sz w:val="20"/>
      <w:szCs w:val="20"/>
      <w:lang w:val="en-GB" w:eastAsia="en-GB"/>
    </w:rPr>
  </w:style>
  <w:style w:type="paragraph" w:styleId="Heading9">
    <w:name w:val="Heading 9"/>
    <w:basedOn w:val="Normal"/>
    <w:next w:val="Normal"/>
    <w:qFormat/>
    <w:pPr>
      <w:widowControl/>
      <w:spacing w:before="240" w:after="60"/>
      <w:ind w:left="6164" w:hanging="708"/>
      <w:jc w:val="both"/>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s="Times New Roman"/>
      <w:color w:val="458DCB"/>
      <w:sz w:val="30"/>
      <w:szCs w:val="24"/>
    </w:rPr>
  </w:style>
  <w:style w:type="character" w:styleId="Heading2Char">
    <w:name w:val="Heading 2 Char"/>
    <w:basedOn w:val="DefaultParagraphFont"/>
    <w:qFormat/>
    <w:rPr>
      <w:rFonts w:ascii="Verdana" w:hAnsi="Verdana" w:eastAsia="Times New Roman" w:cs="Times New Roman"/>
      <w:color w:val="000000"/>
      <w:sz w:val="40"/>
      <w:szCs w:val="24"/>
    </w:rPr>
  </w:style>
  <w:style w:type="character" w:styleId="Heading3Char">
    <w:name w:val="Heading 3 Char"/>
    <w:basedOn w:val="DefaultParagraphFont"/>
    <w:qFormat/>
    <w:rPr>
      <w:rFonts w:ascii="Arial" w:hAnsi="Arial" w:eastAsia="Times New Roman" w:cs="Times New Roman"/>
      <w:color w:val="000000"/>
      <w:sz w:val="34"/>
      <w:szCs w:val="24"/>
    </w:rPr>
  </w:style>
  <w:style w:type="character" w:styleId="Heading4Char">
    <w:name w:val="Heading 4 Char"/>
    <w:basedOn w:val="DefaultParagraphFont"/>
    <w:qFormat/>
    <w:rPr>
      <w:rFonts w:ascii="EC Square Sans Pro Light" w:hAnsi="EC Square Sans Pro Light" w:eastAsia="Times New Roman" w:cs="Times New Roman"/>
      <w:color w:val="000000"/>
      <w:sz w:val="30"/>
      <w:szCs w:val="24"/>
    </w:rPr>
  </w:style>
  <w:style w:type="character" w:styleId="Heading5Char">
    <w:name w:val="Heading 5 Char"/>
    <w:basedOn w:val="DefaultParagraphFont"/>
    <w:qFormat/>
    <w:rPr>
      <w:rFonts w:ascii="Times New Roman" w:hAnsi="Times New Roman" w:eastAsia="Times New Roman" w:cs="Times New Roman"/>
      <w:b/>
      <w:color w:val="000000"/>
      <w:sz w:val="24"/>
      <w:szCs w:val="24"/>
    </w:rPr>
  </w:style>
  <w:style w:type="character" w:styleId="Heading6Char">
    <w:name w:val="Heading 6 Char"/>
    <w:basedOn w:val="DefaultParagraphFont"/>
    <w:qFormat/>
    <w:rPr>
      <w:rFonts w:ascii="Times New Roman" w:hAnsi="Times New Roman" w:eastAsia="Times New Roman" w:cs="Times New Roman"/>
      <w:b/>
      <w:i/>
      <w:color w:val="000000"/>
      <w:sz w:val="24"/>
      <w:szCs w:val="24"/>
    </w:rPr>
  </w:style>
  <w:style w:type="character" w:styleId="Heading7Char">
    <w:name w:val="Heading 7 Char"/>
    <w:basedOn w:val="DefaultParagraphFont"/>
    <w:qFormat/>
    <w:rPr>
      <w:rFonts w:ascii="Arial" w:hAnsi="Arial" w:eastAsia="Times New Roman" w:cs="Times New Roman"/>
      <w:color w:val="000000"/>
      <w:sz w:val="24"/>
      <w:szCs w:val="24"/>
    </w:rPr>
  </w:style>
  <w:style w:type="character" w:styleId="Heading8Char">
    <w:name w:val="Heading 8 Char"/>
    <w:basedOn w:val="DefaultParagraphFont"/>
    <w:qFormat/>
    <w:rPr>
      <w:rFonts w:ascii="Arial" w:hAnsi="Arial" w:eastAsia="Times New Roman" w:cs="Times New Roman"/>
      <w:i/>
      <w:color w:val="000000"/>
      <w:sz w:val="24"/>
      <w:szCs w:val="24"/>
    </w:rPr>
  </w:style>
  <w:style w:type="character" w:styleId="Heading9Char">
    <w:name w:val="Heading 9 Char"/>
    <w:basedOn w:val="DefaultParagraphFont"/>
    <w:qFormat/>
    <w:rPr>
      <w:rFonts w:ascii="Arial" w:hAnsi="Arial" w:eastAsia="Times New Roman" w:cs="Times New Roman"/>
      <w:i/>
      <w:color w:val="000000"/>
      <w:sz w:val="18"/>
      <w:szCs w:val="24"/>
    </w:rPr>
  </w:style>
  <w:style w:type="character" w:styleId="BodyTextChar">
    <w:name w:val="Body Text Char"/>
    <w:basedOn w:val="DefaultParagraphFont"/>
    <w:qFormat/>
    <w:rPr>
      <w:rFonts w:ascii="Times New Roman" w:hAnsi="Times New Roman" w:eastAsia="Times New Roman" w:cs="Times New Roman"/>
      <w:color w:val="000000"/>
      <w:sz w:val="24"/>
      <w:szCs w:val="24"/>
    </w:rPr>
  </w:style>
  <w:style w:type="character" w:styleId="HeaderChar">
    <w:name w:val="Header Char"/>
    <w:basedOn w:val="DefaultParagraphFont"/>
    <w:qFormat/>
    <w:rPr>
      <w:rFonts w:ascii="Times New Roman" w:hAnsi="Times New Roman" w:eastAsia="Times New Roman" w:cs="Times New Roman"/>
      <w:color w:val="000000"/>
      <w:sz w:val="24"/>
      <w:szCs w:val="24"/>
    </w:rPr>
  </w:style>
  <w:style w:type="character" w:styleId="FooterChar">
    <w:name w:val="Footer Char"/>
    <w:basedOn w:val="DefaultParagraphFont"/>
    <w:qFormat/>
    <w:rPr>
      <w:rFonts w:ascii="Times New Roman" w:hAnsi="Times New Roman" w:eastAsia="Times New Roman" w:cs="Times New Roman"/>
      <w:color w:val="000000"/>
      <w:sz w:val="24"/>
      <w:szCs w:val="24"/>
    </w:rPr>
  </w:style>
  <w:style w:type="character" w:styleId="PlaceholderText">
    <w:name w:val="Placeholder Text"/>
    <w:basedOn w:val="DefaultParagraphFont"/>
    <w:qFormat/>
    <w:rPr>
      <w:rFonts w:ascii="Times New Roman" w:hAnsi="Times New Roman" w:eastAsia="Times New Roman" w:cs="Times New Roman"/>
      <w:color w:val="808080"/>
      <w:sz w:val="24"/>
      <w:szCs w:val="24"/>
    </w:rPr>
  </w:style>
  <w:style w:type="character" w:styleId="BalloonTextChar">
    <w:name w:val="Balloon Text Char"/>
    <w:basedOn w:val="DefaultParagraphFont"/>
    <w:qFormat/>
    <w:rPr>
      <w:rFonts w:ascii="Tahoma" w:hAnsi="Tahoma" w:eastAsia="Times New Roman" w:cs="Times New Roman"/>
      <w:color w:val="000000"/>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eastAsia="Times New Roman" w:cs="Times New Roman"/>
      <w:color w:val="000000"/>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eastAsia="Times New Roman" w:cs="Times New Roman"/>
      <w:color w:val="000000"/>
      <w:sz w:val="16"/>
      <w:szCs w:val="24"/>
    </w:rPr>
  </w:style>
  <w:style w:type="character" w:styleId="CommentTextChar">
    <w:name w:val="Comment Text Char"/>
    <w:basedOn w:val="DefaultParagraphFont"/>
    <w:qFormat/>
    <w:rPr>
      <w:rFonts w:ascii="Times New Roman" w:hAnsi="Times New Roman" w:eastAsia="Times New Roman" w:cs="Times New Roman"/>
      <w:color w:val="000000"/>
      <w:sz w:val="24"/>
      <w:szCs w:val="24"/>
    </w:rPr>
  </w:style>
  <w:style w:type="character" w:styleId="CommentSubjectChar">
    <w:name w:val="Comment Subject Char"/>
    <w:basedOn w:val="CommentTextChar"/>
    <w:qFormat/>
    <w:rPr>
      <w:rFonts w:ascii="Times New Roman" w:hAnsi="Times New Roman" w:eastAsia="Times New Roman" w:cs="Times New Roman"/>
      <w:b/>
      <w:color w:val="000000"/>
      <w:sz w:val="24"/>
      <w:szCs w:val="24"/>
    </w:rPr>
  </w:style>
  <w:style w:type="character" w:styleId="InternetLink">
    <w:name w:val="Hyperlink"/>
    <w:basedOn w:val="DefaultParagraphFont"/>
    <w:rPr>
      <w:rFonts w:ascii="Times New Roman" w:hAnsi="Times New Roman" w:eastAsia="Times New Roman" w:cs="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eastAsia="Times New Roman" w:cs="Times New Roman"/>
      <w:color w:val="000000"/>
      <w:sz w:val="24"/>
      <w:szCs w:val="24"/>
      <w:lang w:val="en-GB" w:eastAsia="en-GB"/>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VisitedInternetLink">
    <w:name w:val="FollowedHyperlink"/>
    <w:basedOn w:val="DefaultParagraphFont"/>
    <w:rPr>
      <w:rFonts w:ascii="Times New Roman" w:hAnsi="Times New Roman" w:eastAsia="Times New Roman" w:cs="Times New Roman"/>
      <w:color w:val="800080"/>
      <w:sz w:val="24"/>
      <w:szCs w:val="24"/>
      <w:u w:val="single"/>
    </w:rPr>
  </w:style>
  <w:style w:type="character" w:styleId="TitleChar">
    <w:name w:val="Title Char"/>
    <w:basedOn w:val="DefaultParagraphFont"/>
    <w:qFormat/>
    <w:rPr>
      <w:rFonts w:ascii="Arial" w:hAnsi="Arial" w:eastAsia="Times New Roman" w:cs="Times New Roman"/>
      <w:b/>
      <w:color w:val="000000"/>
      <w:sz w:val="48"/>
      <w:szCs w:val="24"/>
      <w:lang w:val="en-GB" w:eastAsia="en-GB"/>
    </w:rPr>
  </w:style>
  <w:style w:type="character" w:styleId="EndnoteTextChar">
    <w:name w:val="Endnote Text Char"/>
    <w:basedOn w:val="DefaultParagraphFont"/>
    <w:qFormat/>
    <w:rPr>
      <w:rFonts w:ascii="Times New Roman" w:hAnsi="Times New Roman" w:eastAsia="Times New Roman" w:cs="Times New Roman"/>
      <w:color w:val="000000"/>
      <w:sz w:val="24"/>
      <w:szCs w:val="24"/>
      <w:lang w:val="en-GB" w:eastAsia="en-GB"/>
    </w:rPr>
  </w:style>
  <w:style w:type="character" w:styleId="DocumentMapChar">
    <w:name w:val="Document Map Char"/>
    <w:basedOn w:val="DefaultParagraphFont"/>
    <w:qFormat/>
    <w:rPr>
      <w:rFonts w:ascii="Tahoma" w:hAnsi="Tahoma" w:eastAsia="Times New Roman" w:cs="Times New Roman"/>
      <w:color w:val="000000"/>
      <w:sz w:val="24"/>
      <w:szCs w:val="24"/>
      <w:shd w:fill="000080" w:val="clear"/>
      <w:lang w:val="en-GB" w:eastAsia="en-GB"/>
    </w:rPr>
  </w:style>
  <w:style w:type="character" w:styleId="SignatureChar">
    <w:name w:val="Signature Char"/>
    <w:basedOn w:val="DefaultParagraphFont"/>
    <w:qFormat/>
    <w:rPr>
      <w:rFonts w:ascii="Times New Roman" w:hAnsi="Times New Roman" w:eastAsia="Times New Roman" w:cs="Times New Roman"/>
      <w:color w:val="000000"/>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eastAsia="Times New Roman" w:cs="Times New Roman"/>
      <w:i/>
      <w:color w:val="000000"/>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eastAsia="Times New Roman" w:cs="Times New Roman"/>
      <w:b/>
      <w:color w:val="000000"/>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ascii="Times New Roman" w:hAnsi="Times New Roman" w:eastAsia="Times New Roman" w:cs="Times New Roman"/>
      <w:color w:val="5A5A5A"/>
      <w:spacing w:val="15"/>
      <w:sz w:val="24"/>
      <w:szCs w:val="24"/>
    </w:rPr>
  </w:style>
  <w:style w:type="character" w:styleId="Normaltextrun">
    <w:name w:val="normaltextrun"/>
    <w:basedOn w:val="DefaultParagraphFont"/>
    <w:qFormat/>
    <w:rPr>
      <w:rFonts w:ascii="Times New Roman" w:hAnsi="Times New Roman" w:eastAsia="Times New Roman" w:cs="Times New Roman"/>
      <w:color w:val="000000"/>
      <w:sz w:val="24"/>
      <w:szCs w:val="24"/>
    </w:rPr>
  </w:style>
  <w:style w:type="character" w:styleId="Eop">
    <w:name w:val="eop"/>
    <w:basedOn w:val="DefaultParagraphFont"/>
    <w:qFormat/>
    <w:rPr>
      <w:rFonts w:ascii="Times New Roman" w:hAnsi="Times New Roman" w:eastAsia="Times New Roman" w:cs="Times New Roman"/>
      <w:color w:val="000000"/>
      <w:sz w:val="24"/>
      <w:szCs w:val="24"/>
    </w:rPr>
  </w:style>
  <w:style w:type="character" w:styleId="TagsChar">
    <w:name w:val="Tags Char"/>
    <w:basedOn w:val="DefaultParagraphFont"/>
    <w:qFormat/>
    <w:rPr>
      <w:rFonts w:ascii="Arial" w:hAnsi="Arial" w:eastAsia="Times New Roman"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ind w:left="1193" w:hanging="360"/>
    </w:pPr>
    <w:rPr>
      <w:rFonts w:cs="Lohit Devanagari"/>
      <w:sz w:val="24"/>
      <w:szCs w:val="24"/>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pPr>
    <w:rPr>
      <w:rFonts w:ascii="ArialNarrow" w:hAnsi="ArialNarrow" w:cs="ArialNarrow"/>
      <w:b/>
      <w:bCs/>
      <w:color w:val="000080"/>
      <w:sz w:val="24"/>
      <w:szCs w:val="24"/>
      <w:lang w:val="en-GB" w:eastAsia="en-GB"/>
    </w:rPr>
  </w:style>
  <w:style w:type="paragraph" w:styleId="Heading31">
    <w:name w:val="Heading3"/>
    <w:basedOn w:val="Normal"/>
    <w:qFormat/>
    <w:pPr>
      <w:widowControl/>
      <w:jc w:val="both"/>
    </w:pPr>
    <w:rPr>
      <w:rFonts w:ascii="ArialNarrow" w:hAnsi="ArialNarrow" w:cs="ArialNarrow"/>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keepNext w:val="true"/>
      <w:widowControl/>
      <w:spacing w:before="9" w:after="240"/>
      <w:ind w:left="483" w:hanging="483"/>
      <w:jc w:val="both"/>
    </w:pPr>
    <w:rPr>
      <w:rFonts w:ascii="EC Square Sans Pro Light" w:hAnsi="EC Square Sans Pro Light" w:eastAsia="Times New Roman" w:cs="Lohit Devanagari"/>
      <w:color w:val="458DCB"/>
      <w:sz w:val="24"/>
      <w:szCs w:val="20"/>
      <w:lang w:val="en-GB" w:eastAsia="en-GB"/>
    </w:rPr>
  </w:style>
  <w:style w:type="paragraph" w:styleId="NumPar2">
    <w:name w:val="NumPar 2"/>
    <w:basedOn w:val="Heading2"/>
    <w:qFormat/>
    <w:pPr>
      <w:widowControl/>
      <w:spacing w:before="0" w:after="240"/>
      <w:ind w:left="3442" w:hanging="0"/>
      <w:jc w:val="both"/>
    </w:pPr>
    <w:rPr>
      <w:rFonts w:ascii="Verdana" w:hAnsi="Verdana"/>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rFonts w:ascii="EC Square Sans Pro Light" w:hAnsi="EC Square Sans Pro Light"/>
      <w:sz w:val="30"/>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tabs>
        <w:tab w:val="clear" w:pos="720"/>
        <w:tab w:val="left" w:pos="360" w:leader="none"/>
      </w:tabs>
      <w:spacing w:before="240" w:after="120"/>
      <w:ind w:left="360" w:hanging="360"/>
      <w:jc w:val="both"/>
    </w:pPr>
    <w:rPr>
      <w:rFonts w:ascii="EC Square Sans Pro Light" w:hAnsi="EC Square Sans Pro Light" w:eastAsia="Times New Roman" w:cs="Lohit Devanagari"/>
      <w:b/>
      <w:color w:val="458DCB"/>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cs="EUAlbertina"/>
      <w:color w:val="000000"/>
      <w:sz w:val="24"/>
      <w:szCs w:val="24"/>
      <w:lang w:val="en-GB" w:eastAsia="en-GB"/>
    </w:rPr>
  </w:style>
  <w:style w:type="paragraph" w:styleId="CM3">
    <w:name w:val="CM3"/>
    <w:basedOn w:val="Default"/>
    <w:next w:val="Default"/>
    <w:qFormat/>
    <w:pPr>
      <w:widowControl/>
    </w:pPr>
    <w:rPr>
      <w:rFonts w:ascii="EUAlbertina" w:hAnsi="EUAlbertina" w:cs="EUAlbertina"/>
      <w:color w:val="000000"/>
      <w:sz w:val="24"/>
      <w:szCs w:val="24"/>
      <w:lang w:val="en-GB" w:eastAsia="en-GB"/>
    </w:rPr>
  </w:style>
  <w:style w:type="paragraph" w:styleId="CM4">
    <w:name w:val="CM4"/>
    <w:basedOn w:val="Default"/>
    <w:next w:val="Default"/>
    <w:qFormat/>
    <w:pPr>
      <w:widowControl/>
    </w:pPr>
    <w:rPr>
      <w:rFonts w:ascii="EUAlbertina" w:hAnsi="EUAlbertina" w:cs="EUAlbertina"/>
      <w:color w:val="000000"/>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sz w:val="20"/>
      <w:szCs w:val="20"/>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Figure">
    <w:name w:val="Figure"/>
    <w:basedOn w:val="Caption"/>
    <w:qFormat/>
    <w:pPr>
      <w:spacing w:before="120" w:after="120"/>
    </w:pPr>
    <w:rPr>
      <w:rFonts w:cs="Lohit Devanagari"/>
      <w:i/>
      <w:iCs/>
      <w:sz w:val="24"/>
      <w:szCs w:val="24"/>
    </w:rPr>
  </w:style>
  <w:style w:type="paragraph" w:styleId="TableContents">
    <w:name w:val="Table Contents"/>
    <w:basedOn w:val="Normal"/>
    <w:qFormat/>
    <w:pPr/>
    <w:rPr/>
  </w:style>
  <w:style w:type="paragraph" w:styleId="TableHeading">
    <w:name w:val="Table Heading"/>
    <w:basedOn w:val="TableContents"/>
    <w:qFormat/>
    <w:pP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s://doi.org/10.22541%2Fessoar.167327866.67198225%2Fv1" TargetMode="External"/><Relationship Id="rId15" Type="http://schemas.openxmlformats.org/officeDocument/2006/relationships/hyperlink" Target=""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5.xml"/><Relationship Id="rId20" Type="http://schemas.openxmlformats.org/officeDocument/2006/relationships/image" Target="media/image4.png"/><Relationship Id="rId21" Type="http://schemas.openxmlformats.org/officeDocument/2006/relationships/image" Target="media/image4.png"/><Relationship Id="rId22" Type="http://schemas.openxmlformats.org/officeDocument/2006/relationships/image" Target="media/image3.png"/><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header" Target="header12.xml"/><Relationship Id="rId29" Type="http://schemas.openxmlformats.org/officeDocument/2006/relationships/footer" Target="footer8.xml"/><Relationship Id="rId30" Type="http://schemas.openxmlformats.org/officeDocument/2006/relationships/header" Target="header13.xml"/><Relationship Id="rId31" Type="http://schemas.openxmlformats.org/officeDocument/2006/relationships/footer" Target="footer9.xml"/><Relationship Id="rId32" Type="http://schemas.openxmlformats.org/officeDocument/2006/relationships/footnotes" Target="footnote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c.europa.eu/info/funding-tenders/opportunities/docs/2021-2027/common/guidance/om_en.pdf"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4936</TotalTime>
  <Application>LibreOffice/7.4.6.2$Linux_X86_64 LibreOffice_project/40$Build-2</Application>
  <AppVersion>15.0000</AppVersion>
  <Pages>41</Pages>
  <Words>11864</Words>
  <Characters>68131</Characters>
  <CharactersWithSpaces>79320</CharactersWithSpaces>
  <Paragraphs>765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2023-07-10T15:17:05Z</dcterms:modified>
  <cp:revision>464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