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1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34151"/>
            <w:bookmarkStart w:id="1" w:name="_Toc443645004"/>
            <w:bookmarkStart w:id="2" w:name="_Toc445930535"/>
            <w:bookmarkStart w:id="3" w:name="_Toc448828577"/>
            <w:bookmarkStart w:id="4" w:name="_Toc448828797"/>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3645005"/>
            <w:bookmarkStart w:id="6" w:name="_Toc445930536"/>
            <w:bookmarkStart w:id="7" w:name="_Toc448828578"/>
            <w:bookmarkStart w:id="8" w:name="_Toc448828798"/>
            <w:bookmarkStart w:id="9" w:name="_Toc448834152"/>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3645006"/>
            <w:bookmarkStart w:id="11" w:name="_Toc445930537"/>
            <w:bookmarkStart w:id="12" w:name="_Toc448828579"/>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3645007"/>
            <w:bookmarkStart w:id="16" w:name="_Toc445930538"/>
            <w:bookmarkStart w:id="17" w:name="_Toc448828580"/>
            <w:bookmarkStart w:id="18" w:name="_Toc448828800"/>
            <w:bookmarkStart w:id="19" w:name="_Toc448834154"/>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_Copy_1"/>
      <w:bookmarkStart w:id="21" w:name="_Toc448834156"/>
      <w:bookmarkStart w:id="22" w:name="_Toc448834156_Copy_1"/>
      <w:bookmarkStart w:id="23" w:name="_Toc448834156"/>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data/photos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 xml:space="preserve">Consortium partners (other than the host), are hand-picked prestigious internationally leading experts in a series of Space Geodetic techniques, </w:t>
      </w:r>
      <w:r>
        <w:rPr/>
        <w:t>collectively constituting the fundamental observational techniques of Space Geodesy</w:t>
      </w:r>
      <w:r>
        <w:rPr/>
        <w:t>. Through the synergy with these institutes, NTUA will be able to:</w:t>
      </w:r>
    </w:p>
    <w:p>
      <w:pPr>
        <w:pStyle w:val="Normal"/>
        <w:widowControl/>
        <w:numPr>
          <w:ilvl w:val="0"/>
          <w:numId w:val="17"/>
        </w:numPr>
        <w:spacing w:before="0" w:after="200"/>
        <w:jc w:val="both"/>
        <w:rPr/>
      </w:pPr>
      <w:r>
        <w:rPr/>
        <w:t xml:space="preserve">Significantly enhance its research capacity, </w:t>
      </w:r>
      <w:r>
        <w:rPr/>
        <w:t>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S</w:t>
      </w:r>
      <w:r>
        <w:rPr/>
        <w:t xml:space="preserve">ignificantly increase its international standing </w:t>
      </w:r>
      <w:r>
        <w:rPr/>
        <w:t xml:space="preserve">and visibility </w:t>
      </w:r>
      <w:r>
        <w:rPr/>
        <w:t>in the research community.</w:t>
      </w:r>
    </w:p>
    <w:p>
      <w:pPr>
        <w:pStyle w:val="Normal"/>
        <w:widowControl/>
        <w:numPr>
          <w:ilvl w:val="0"/>
          <w:numId w:val="1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International DORIS Service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node, since it has a longstanding contribution in the technique, evident by its involvement in the International Laser Ranging Service (ILRS) as an Analysis Center. </w:t>
      </w:r>
    </w:p>
    <w:p>
      <w:pPr>
        <w:pStyle w:val="Normal"/>
        <w:spacing w:before="0" w:after="200"/>
        <w:ind w:right="0" w:hanging="0"/>
        <w:jc w:val="both"/>
        <w:rPr/>
      </w:pPr>
      <w:r>
        <w:rPr/>
        <w:t>OSO/Chalmers will act as the VLBI knowledge node. OSO hosts one of the few VLBI sites in Europe and is a prominent member of the International VLBI Service for Geodesy and Astrometry.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 xml:space="preserve">This second phase of capacity building, will also include dedicated webinars </w:t>
      </w:r>
      <w:r>
        <w:rPr/>
        <w:t xml:space="preserve">and venture labs </w:t>
      </w:r>
      <w:r>
        <w:rPr/>
        <w:t>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 xml:space="preserve">s research capacity </w:t>
      </w:r>
      <w:r>
        <w:rPr/>
        <w:t>and funding capabilities and resources</w:t>
      </w:r>
      <w:r>
        <w:rPr/>
        <w:t xml:space="preserve">, knowledge and expertise transfer will expand beyond technical matters, to include coaching on research proposal preparation/writing, submission and management (WP2). </w:t>
      </w:r>
      <w:r>
        <w:rPr/>
        <w:t>A dedicated task force will be established at NTUA, that will be targeting funding bids on a national and European level, with the aim of enhancing its ability to claim funding bids.</w:t>
      </w:r>
      <w:r>
        <w:rPr/>
        <w:t xml:space="preserve">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lang w:val="en-GB"/>
        </w:rPr>
      </w:pPr>
      <w:r>
        <w:rPr>
          <w:lang w:val="en-GB"/>
        </w:rPr>
      </w:r>
    </w:p>
    <w:p>
      <w:pPr>
        <w:sectPr>
          <w:headerReference w:type="even" r:id="rId14"/>
          <w:headerReference w:type="default" r:id="rId15"/>
          <w:headerReference w:type="first" r:id="rId16"/>
          <w:footerReference w:type="default" r:id="rId17"/>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 xml:space="preserve">excellence between the top-class consortium partners and NTUA. Project administration activities are placed in an individual Working Package to allow for its efficient management, coordination </w:t>
      </w:r>
      <w:r>
        <w:rPr/>
        <w:t>and progress checking</w:t>
      </w:r>
      <w:r>
        <w:rPr/>
        <w:t xml:space="preserve">. Capacity building is split into two Working Packages, each with its own focus and goals; WP2 targets the establishment of networking channels, </w:t>
      </w:r>
      <w:r>
        <w:rPr/>
        <w:t>task forces</w:t>
      </w:r>
      <w:r>
        <w:rPr/>
        <w:t xml:space="preserve">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8"/>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0"/>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 xml:space="preserve">The objective of this WP is to establish efficient, solid, seamless communication and networking channels between the host and the twining </w:t>
            </w:r>
            <w:r>
              <w:rPr/>
              <w:t>partners</w:t>
            </w:r>
            <w:r>
              <w:rPr/>
              <w:t>.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highlight w:val="none"/>
                <w:shd w:fill="FFFF00" w:val="clear"/>
              </w:rPr>
            </w:pPr>
            <w:r>
              <w:rPr>
                <w:shd w:fill="FFFF00" w:val="clea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 xml:space="preserve">The host institute along with IPGP and CLS will establish a task force (with members of all three involved institutes) and the (online) means through which this force will maintain a long-term sound communication </w:t>
            </w:r>
            <w:r>
              <w:rPr>
                <w:lang w:val="en-GB"/>
              </w:rPr>
              <w:t>and collaboration</w:t>
            </w:r>
            <w:r>
              <w:rPr>
                <w:lang w:val="en-GB"/>
              </w:rPr>
              <w:t xml:space="preserve">, at least for the duration of ACRONYM. The expert partners will introduce the DORIS technique to their peers in the host institute via online webinars, </w:t>
            </w:r>
            <w:r>
              <w:rPr>
                <w:lang w:val="en-GB"/>
              </w:rPr>
              <w:t>venture labs</w:t>
            </w:r>
            <w:r>
              <w:rPr>
                <w:lang w:val="en-GB"/>
              </w:rPr>
              <w:t xml:space="preserve"> and one short term encounter of all three involved partners. This encounter will be hosted by IPGP and will include the schooling of the host’s personnel </w:t>
            </w:r>
            <w:r>
              <w:rPr>
                <w:lang w:val="en-GB"/>
              </w:rPr>
              <w:t>and its training on</w:t>
            </w:r>
            <w:r>
              <w:rPr>
                <w:lang w:val="en-GB"/>
              </w:rPr>
              <w:t xml:space="preserve">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 xml:space="preserve">The partners will also decide on a technique-specific PhD thesis and one Post-Doc Thesis, which they will co-supervise, </w:t>
            </w:r>
            <w:r>
              <w:rPr/>
              <w:t>thus strengthening ties and synergies</w:t>
            </w:r>
            <w:r>
              <w:rPr/>
              <w:t>.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w:t>
            </w:r>
            <w:r>
              <w:rPr>
                <w:lang w:val="en-GB"/>
              </w:rPr>
              <w:t>lid</w:t>
            </w:r>
            <w:r>
              <w:rPr>
                <w:lang w:val="en-GB"/>
              </w:rPr>
              <w:t xml:space="preserve"> communication </w:t>
            </w:r>
            <w:r>
              <w:rPr>
                <w:lang w:val="en-GB"/>
              </w:rPr>
              <w:t>channel</w:t>
            </w:r>
            <w:r>
              <w:rPr>
                <w:lang w:val="en-GB"/>
              </w:rPr>
              <w:t xml:space="preserve">, at least for the duration of ACRONYM. The expert partner will introduce the SLR technique to its peers in the host institute via online webinars, </w:t>
            </w:r>
            <w:r>
              <w:rPr>
                <w:lang w:val="en-GB"/>
              </w:rPr>
              <w:t>venture labs</w:t>
            </w:r>
            <w:r>
              <w:rPr>
                <w:lang w:val="en-GB"/>
              </w:rPr>
              <w:t xml:space="preserve">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 xml:space="preserve">OSO and NTUA will establish a task force (with members of both involved institutes) and the (online) means through which this force will maintain a long-term, sound communication </w:t>
            </w:r>
            <w:r>
              <w:rPr>
                <w:lang w:val="en-GB"/>
              </w:rPr>
              <w:t>channel</w:t>
            </w:r>
            <w:r>
              <w:rPr>
                <w:lang w:val="en-GB"/>
              </w:rPr>
              <w:t xml:space="preserve">, at least for the duration of ACRONYM. The expert partner will introduce the VLBI technique to its peers in the host institute via online webinars, </w:t>
            </w:r>
            <w:r>
              <w:rPr>
                <w:lang w:val="en-GB"/>
              </w:rPr>
              <w:t>venture labs</w:t>
            </w:r>
            <w:r>
              <w:rPr>
                <w:lang w:val="en-GB"/>
              </w:rPr>
              <w:t xml:space="preserve">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w:t>
            </w:r>
            <w:r>
              <w:rPr>
                <w:lang w:val="en-GB"/>
              </w:rPr>
              <w:t>and training</w:t>
            </w:r>
            <w:r>
              <w:rPr>
                <w:lang w:val="en-GB"/>
              </w:rPr>
              <w:t xml:space="preserve">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 xml:space="preserve">Task 2.4 Enhancing </w:t>
            </w:r>
            <w:r>
              <w:rPr>
                <w:b/>
                <w:bCs/>
                <w:lang w:val="en-GB"/>
              </w:rPr>
              <w:t>Research Funding</w:t>
            </w:r>
            <w:r>
              <w:rPr>
                <w:b/>
                <w:bCs/>
                <w:lang w:val="en-GB"/>
              </w:rPr>
              <w:t xml:space="preserve"> Capacity (M1-M24); Lead CLS</w:t>
            </w:r>
          </w:p>
          <w:p>
            <w:pPr>
              <w:pStyle w:val="Normal"/>
              <w:widowControl w:val="false"/>
              <w:tabs>
                <w:tab w:val="clear" w:pos="720"/>
              </w:tabs>
              <w:spacing w:before="60" w:after="60"/>
              <w:ind w:left="0" w:right="0" w:hanging="0"/>
              <w:jc w:val="both"/>
              <w:rPr/>
            </w:pPr>
            <w:r>
              <w:rPr>
                <w:lang w:val="en-GB"/>
              </w:rPr>
              <w:t xml:space="preserve">The host institute will establish a task force, made up of NTUA employees, which will be trained in project funding seeking, proposal submission and research project management. </w:t>
            </w:r>
            <w:r>
              <w:rPr>
                <w:lang w:val="en-GB"/>
              </w:rPr>
              <w:t xml:space="preserve">The consortium partners (CLS, IPGP, GFZ and OSO) will transfer technical knowledge, know-how and expertise to NTUA, concerning the writing and submitting of research proposals, as well as the efficient administration of research intensive scientific projects. </w:t>
            </w:r>
            <w:r>
              <w:rPr>
                <w:lang w:val="en-GB"/>
              </w:rPr>
              <w:t>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w:t>
            </w:r>
            <w:r>
              <w:rPr>
                <w:shd w:fill="auto" w:val="clear"/>
                <w:lang w:val="en-GB"/>
              </w:rPr>
              <w:t xml:space="preserve"> will adhere to a free and open-source policy for all software tools to be built within the framework of this WP. Software implementation will be carried out on the public domain via dedicated repositories (hosted e.g. on gitlab) so at to enable a rigorous development platform for the consortium part</w:t>
            </w:r>
            <w:r>
              <w:rPr>
                <w:shd w:fill="auto" w:val="clear"/>
                <w:lang w:val="en-GB"/>
              </w:rPr>
              <w:t>ners,</w:t>
            </w:r>
            <w:r>
              <w:rPr>
                <w:shd w:fill="auto" w:val="clear"/>
                <w:lang w:val="en-GB"/>
              </w:rPr>
              <w:t xml:space="preserve"> easy </w:t>
            </w:r>
            <w:r>
              <w:rPr>
                <w:shd w:fill="auto" w:val="clear"/>
                <w:lang w:val="en-GB"/>
              </w:rPr>
              <w:t xml:space="preserve">and efficient </w:t>
            </w:r>
            <w:r>
              <w:rPr>
                <w:shd w:fill="auto" w:val="clear"/>
                <w:lang w:val="en-GB"/>
              </w:rPr>
              <w:t xml:space="preserve">progress monitoring (including the Commission) </w:t>
            </w:r>
            <w:r>
              <w:rPr>
                <w:shd w:fill="auto" w:val="clear"/>
                <w:lang w:val="en-GB"/>
              </w:rPr>
              <w:t>and instantaneous sharing with the scientific community</w:t>
            </w:r>
            <w:r>
              <w:rPr>
                <w:shd w:fill="auto" w:val="clear"/>
                <w:lang w:val="en-GB"/>
              </w:rPr>
              <w:t xml:space="preserve">. </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 xml:space="preserve">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w:t>
            </w:r>
            <w:r>
              <w:rPr>
                <w:lang w:val="en-GB"/>
              </w:rPr>
              <w:t>training</w:t>
            </w:r>
            <w:r>
              <w:rPr>
                <w:lang w:val="en-GB"/>
              </w:rPr>
              <w:t>,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 xml:space="preserve">The objective of this WP is </w:t>
            </w:r>
            <w:r>
              <w:rPr/>
              <w:t>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w:t>
            </w:r>
            <w:r>
              <w:rPr>
                <w:lang w:val="en-GB"/>
              </w:rPr>
              <w:t>promotion and communication of activities taking place in the framework of the project</w:t>
            </w:r>
            <w:r>
              <w:rPr>
                <w:lang w:val="en-GB"/>
              </w:rPr>
              <w:t xml:space="preserve">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 xml:space="preserve">Lectures and presentations prepared by the consortium experts (see WP2) will be made available (on-line, free access) to any interested parties, on demand. Users will be able to browse content and watch video-lectures, </w:t>
            </w:r>
            <w:r>
              <w:rPr>
                <w:lang w:val="en-GB"/>
              </w:rPr>
              <w:t>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 xml:space="preserve">The host institute will organize </w:t>
            </w:r>
            <w:r>
              <w:rPr>
                <w:lang w:val="en-GB"/>
              </w:rPr>
              <w:t>one</w:t>
            </w:r>
            <w:r>
              <w:rPr>
                <w:lang w:val="en-GB"/>
              </w:rPr>
              <w:t xml:space="preserve"> </w:t>
            </w:r>
            <w:r>
              <w:rPr>
                <w:lang w:val="en-GB"/>
              </w:rPr>
              <w:t>on-line w</w:t>
            </w:r>
            <w:r>
              <w:rPr>
                <w:lang w:val="en-GB"/>
              </w:rPr>
              <w:t>e</w:t>
            </w:r>
            <w:r>
              <w:rPr>
                <w:lang w:val="en-GB"/>
              </w:rPr>
              <w:t>b</w:t>
            </w:r>
            <w:r>
              <w:rPr>
                <w:lang w:val="en-GB"/>
              </w:rPr>
              <w:t xml:space="preserve">inar </w:t>
            </w:r>
            <w:r>
              <w:rPr>
                <w:lang w:val="en-GB"/>
              </w:rPr>
              <w:t>and one seminar/workshop in NTUA’s facilities</w:t>
            </w:r>
            <w:r>
              <w:rPr>
                <w:lang w:val="en-GB"/>
              </w:rPr>
              <w:t xml:space="preserve">, for the </w:t>
            </w:r>
            <w:r>
              <w:rPr>
                <w:lang w:val="en-GB"/>
              </w:rPr>
              <w:t>endorsement</w:t>
            </w:r>
            <w:r>
              <w:rPr>
                <w:lang w:val="en-GB"/>
              </w:rPr>
              <w:t xml:space="preserve"> of ACRONYM, dissemination of its scientific output and results and promot</w:t>
            </w:r>
            <w:r>
              <w:rPr>
                <w:lang w:val="en-GB"/>
              </w:rPr>
              <w:t>ion of</w:t>
            </w:r>
            <w:r>
              <w:rPr>
                <w:lang w:val="en-GB"/>
              </w:rPr>
              <w:t xml:space="preserve"> innovation in the field of Space Geodesy, Orbit Determination, Space Studies </w:t>
            </w:r>
            <w:r>
              <w:rPr>
                <w:lang w:val="en-GB"/>
              </w:rPr>
              <w:t>and Geosciences</w:t>
            </w:r>
            <w:r>
              <w:rPr>
                <w:lang w:val="en-GB"/>
              </w:rPr>
              <w:t xml:space="preserve"> in general. The expert partners will introduce and present novelties and current and future trends and applications that can have an effect in the related market. </w:t>
            </w:r>
            <w:r>
              <w:rPr>
                <w:lang w:val="en-GB"/>
              </w:rPr>
              <w:t>Both</w:t>
            </w:r>
            <w:r>
              <w:rPr>
                <w:lang w:val="en-GB"/>
              </w:rPr>
              <w:t xml:space="preserve"> seminar</w:t>
            </w:r>
            <w:r>
              <w:rPr>
                <w:lang w:val="en-GB"/>
              </w:rPr>
              <w:t>s</w:t>
            </w:r>
            <w:r>
              <w:rPr>
                <w:lang w:val="en-GB"/>
              </w:rPr>
              <w:t xml:space="preserve"> will be open </w:t>
            </w:r>
            <w:r>
              <w:rPr>
                <w:lang w:val="en-GB"/>
              </w:rPr>
              <w:t xml:space="preserve">to any interested parties </w:t>
            </w:r>
            <w:r>
              <w:rPr>
                <w:lang w:val="en-GB"/>
              </w:rPr>
              <w:t xml:space="preserve">and </w:t>
            </w:r>
            <w:r>
              <w:rPr>
                <w:lang w:val="en-GB"/>
              </w:rPr>
              <w:t xml:space="preserve">especially </w:t>
            </w:r>
            <w:r>
              <w:rPr>
                <w:lang w:val="en-GB"/>
              </w:rPr>
              <w:t>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w:t>
            </w:r>
            <w:r>
              <w:rPr>
                <w:b/>
                <w:bCs/>
                <w:lang w:val="en-GB"/>
              </w:rPr>
              <w:t>2</w:t>
            </w:r>
            <w:r>
              <w:rPr>
                <w:b/>
                <w:bCs/>
                <w:lang w:val="en-GB"/>
              </w:rPr>
              <w:t>-M36); Lead NTUA</w:t>
            </w:r>
          </w:p>
          <w:p>
            <w:pPr>
              <w:pStyle w:val="Normal"/>
              <w:widowControl w:val="false"/>
              <w:tabs>
                <w:tab w:val="clear" w:pos="720"/>
              </w:tabs>
              <w:spacing w:before="60" w:after="60"/>
              <w:ind w:left="0" w:right="0" w:hanging="0"/>
              <w:jc w:val="both"/>
              <w:rPr/>
            </w:pPr>
            <w:r>
              <w:rPr>
                <w:lang w:val="en-GB"/>
              </w:rPr>
              <w:t xml:space="preserve">Each of the expert partners will collaborate with the host institution in the co-authorship of one scientific paper (in their respective fields of expertise), to be published in peer-reviewed journal. </w:t>
            </w:r>
            <w:r>
              <w:rPr>
                <w:lang w:val="en-GB"/>
              </w:rPr>
              <w:t>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pPr>
            <w:r>
              <w:rPr>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3"/>
        <w:gridCol w:w="709"/>
        <w:gridCol w:w="1046"/>
        <w:gridCol w:w="1124"/>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 xml:space="preserve">Validation tests for EOP  precise handling </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3">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1"/>
          <w:headerReference w:type="default" r:id="rId22"/>
          <w:headerReference w:type="first" r:id="rId23"/>
          <w:footerReference w:type="default" r:id="rId24"/>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5"/>
          <w:footerReference w:type="default" r:id="rId26"/>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2"/>
        <w:gridCol w:w="2258"/>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8"/>
        <w:gridCol w:w="2419"/>
        <w:gridCol w:w="3828"/>
      </w:tblGrid>
      <w:tr>
        <w:trPr/>
        <w:tc>
          <w:tcPr>
            <w:tcW w:w="38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1"/>
        <w:gridCol w:w="1476"/>
        <w:gridCol w:w="1467"/>
        <w:gridCol w:w="1459"/>
        <w:gridCol w:w="3121"/>
      </w:tblGrid>
      <w:tr>
        <w:trPr/>
        <w:tc>
          <w:tcPr>
            <w:tcW w:w="2401"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5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7"/>
      <w:footerReference w:type="default" r:id="rId28"/>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3">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4">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71">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8">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8">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26</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3">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header" Target="header13.xml"/><Relationship Id="rId28" Type="http://schemas.openxmlformats.org/officeDocument/2006/relationships/footer" Target="footer8.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1920</TotalTime>
  <Application>LibreOffice/7.4.6.2$Linux_X86_64 LibreOffice_project/40$Build-2</Application>
  <AppVersion>15.0000</AppVersion>
  <Pages>40</Pages>
  <Words>10833</Words>
  <Characters>62128</Characters>
  <CharactersWithSpaces>72296</CharactersWithSpaces>
  <Paragraphs>751</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2023-07-07T15:16:02Z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