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6.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footer8.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1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8834151"/>
            <w:bookmarkStart w:id="1" w:name="_Toc448828797"/>
            <w:bookmarkStart w:id="2" w:name="_Toc448828577"/>
            <w:bookmarkStart w:id="3" w:name="_Toc445930535"/>
            <w:bookmarkStart w:id="4" w:name="_Toc443645004"/>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8834152"/>
            <w:bookmarkStart w:id="6" w:name="_Toc448828798"/>
            <w:bookmarkStart w:id="7" w:name="_Toc448828578"/>
            <w:bookmarkStart w:id="8" w:name="_Toc445930536"/>
            <w:bookmarkStart w:id="9" w:name="_Toc443645005"/>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8834153"/>
            <w:bookmarkStart w:id="11" w:name="_Toc448828799"/>
            <w:bookmarkStart w:id="12" w:name="_Toc44882857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8834154"/>
            <w:bookmarkStart w:id="16" w:name="_Toc448828800"/>
            <w:bookmarkStart w:id="17" w:name="_Toc448828580"/>
            <w:bookmarkStart w:id="18" w:name="_Toc445930538"/>
            <w:bookmarkStart w:id="19" w:name="_Toc443645007"/>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footerReference w:type="default" r:id="rId6"/>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
      <w:bookmarkStart w:id="21" w:name="_Toc448834156_Copy_1"/>
      <w:bookmarkStart w:id="22" w:name="_Toc448834156"/>
      <w:bookmarkStart w:id="23" w:name="_Toc448834156_Copy_1"/>
      <w:bookmarkEnd w:id="22"/>
      <w:bookmarkEnd w:id="23"/>
    </w:p>
    <w:p>
      <w:pPr>
        <w:pStyle w:val="Normal"/>
        <w:ind w:left="0" w:right="0" w:hanging="0"/>
        <w:jc w:val="center"/>
        <w:rPr>
          <w:rFonts w:ascii="Arial" w:hAnsi="Arial" w:cs="Arial"/>
          <w:b/>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9"/>
          <w:headerReference w:type="default" r:id="rId10"/>
          <w:headerReference w:type="first" r:id="rId11"/>
          <w:footerReference w:type="default" r:id="rId12"/>
          <w:footerReference w:type="first" r:id="rId13"/>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8"/>
        <w:gridCol w:w="5808"/>
        <w:gridCol w:w="1292"/>
      </w:tblGrid>
      <w:tr>
        <w:trPr>
          <w:trHeight w:val="266"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8"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8"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8"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8"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data/photos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Through the synergy with these institutes, NTUA will be able to:</w:t>
      </w:r>
    </w:p>
    <w:p>
      <w:pPr>
        <w:pStyle w:val="Normal"/>
        <w:widowControl/>
        <w:numPr>
          <w:ilvl w:val="0"/>
          <w:numId w:val="17"/>
        </w:numPr>
        <w:spacing w:before="0" w:after="200"/>
        <w:jc w:val="both"/>
        <w:rPr/>
      </w:pPr>
      <w:r>
        <w:rPr/>
        <w:t>significantly enhance its research capacity, both in terms of technical knowledge, skills and toolsets (e.g. software tools) as well as in terms of research project submission/claiming and management.</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thus severely enhancing its international prestige. Such strategic networking (established via ACRONYM)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w:t>
      </w:r>
    </w:p>
    <w:p>
      <w:pPr>
        <w:pStyle w:val="Normal"/>
        <w:spacing w:before="0" w:after="200"/>
        <w:ind w:right="0" w:hanging="0"/>
        <w:jc w:val="both"/>
        <w:rPr/>
      </w:pPr>
      <w:r>
        <w:rPr/>
        <w:t>This highly-skilled work force will in turn disperse the knowledge gained, via NTUA's academic capacity, to the future Space- and Geo-scientists of Greece, significantly boosting innovation and the country's involvement in the growing satellite-based application market.</w:t>
      </w:r>
    </w:p>
    <w:p>
      <w:pPr>
        <w:pStyle w:val="Normal"/>
        <w:spacing w:before="0" w:after="200"/>
        <w:ind w:right="0" w:hanging="0"/>
        <w:jc w:val="both"/>
        <w:rPr/>
      </w:pPr>
      <w:r>
        <w:rPr/>
        <w:t>For a more efficient transfer of knowledge and expertise, a twofold approach is adopted within ACRONYM. A more “theoretical” approach will be implemented by means of on-line webinars, lectures and schooling from the expertise nodes to the host’s staff. Knowledge transfer here will place focus on the internals and details of the techniques themselves, methods and methodologies used, models, error sources and mitigation, best practices, limitations, application range, and recent trends and research frontiers. Visits of the host’s institute personnel to the top-class institutes and vice versa will also take place, substantially helping the transfer of knowledge. These visits will be in the order of two weeks, with a well established task schedule, focused on hard to grasp, complex problems and their analysis. The work program for these visits will be co-decided by the respective pair (host and expert node), thus additionally tackling any issues that come up in the remote process. These visits are expected to further consolidate the establishment of solid, seamless communication channels between the host institute’s stuff and its peers in the expert nodes, thus boosting one-on-one communication and networking.</w:t>
      </w:r>
    </w:p>
    <w:p>
      <w:pPr>
        <w:pStyle w:val="Normal"/>
        <w:spacing w:before="0" w:after="200"/>
        <w:ind w:right="0" w:hanging="0"/>
        <w:jc w:val="both"/>
        <w:rPr/>
      </w:pPr>
      <w:r>
        <w:rPr/>
        <w:t>In addition to the above described “theoretical” approach, the host institute will aim at significantly enhancing its research capacity via the building of a collection of software tools, to target Space Geodetic problems, thus adopting a more “hand-on” approach. This collection of tools will allow the analysis of space geodetic data (both DORIS and SLR) to perform precise orbit determination, positioning, and estimation of a series of geodetic parameters of interest. The expert nodes will contribute to that end, by transferring knowledge and best practices for their respective fields of expertise. Here,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Software development will also be based on partner networking activities. The consortium will initially lay out a work plan for the development phases, setting goals and milestones for each step. Dedicated webinars on specific technical issues (e.g. modeling approaches) will be carried out by personnel of the expert nodes, while one-on-one consulting will be performed to assist in or validate problem treatment. The top-class partners already have state-of-the-art software tools, developed in their respective institutes, to handle the analysis of Space Geodetic data. During host staff visits to the expert nodes, DSO personnel will get acquainted with these tools and their usage, identify advantages and limitations and gain knowledge on respective best-practices, under the guidance of the partners. This first-hand experience is expected to boost efficiency and robustness of the software development phase.</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right="0" w:hanging="0"/>
        <w:jc w:val="both"/>
        <w:rPr/>
      </w:pPr>
      <w:r>
        <w:rPr/>
        <w:t>IGN and CLS will act as the DORIS expertise node. Both institutes are leading experts in the field, heavily involved in the technique since its introduction. Their role and contribution is underpinned by their status as Analysis Centers, and involvement in the International DORIS Service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 xml:space="preserve">GFZ will act as the SLR node, since it has a longstanding contribution in the technique, evident by its involvement in the International Laser Ranging Service (ILRS) as an Analysis Center. </w:t>
      </w:r>
    </w:p>
    <w:p>
      <w:pPr>
        <w:pStyle w:val="Normal"/>
        <w:spacing w:before="0" w:after="200"/>
        <w:ind w:right="0" w:hanging="0"/>
        <w:jc w:val="both"/>
        <w:rPr/>
      </w:pPr>
      <w:r>
        <w:rPr/>
        <w:t>OSO/Chalmers will act as the VLBI knowledge node. OSO hosts one of the few VLBI sites in Europe and is a prominent member of the International VLBI Service for Geodesy and Astrometry. OSO will undertake the task of transferring technique-specific knowledge and expertise to the host institute.</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0000"/>
                <w:lang w:val="en-GB"/>
              </w:rPr>
              <w:t xml:space="preserve">Enhance host institute’s </w:t>
            </w:r>
            <w:r>
              <w:rPr>
                <w:b/>
                <w:bCs/>
                <w:i/>
                <w:color w:val="000000"/>
                <w:lang w:val="en-GB"/>
              </w:rPr>
              <w:t>research and project administration capacity</w:t>
            </w:r>
            <w:r>
              <w:rPr>
                <w:i/>
                <w:color w:val="000000"/>
                <w:lang w:val="en-GB"/>
              </w:rPr>
              <w:t xml:space="preserve"> in the fast growing field of Space Geodesy.</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i/>
                <w:color w:val="00B0F0"/>
                <w:lang w:val="en-GB"/>
              </w:rPr>
              <w:t>Establish and secure the host institute’s role as a key player in the field in the long run.</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i/>
                <w:color w:val="00B0F0"/>
                <w:lang w:val="en-GB"/>
              </w:rPr>
            </w:pPr>
            <w:r>
              <w:rPr>
                <w:i/>
                <w:color w:val="00B0F0"/>
                <w:lang w:val="en-GB"/>
              </w:rPr>
            </w:r>
          </w:p>
          <w:p>
            <w:pPr>
              <w:pStyle w:val="Normal"/>
              <w:widowControl w:val="false"/>
              <w:tabs>
                <w:tab w:val="clear" w:pos="720"/>
              </w:tabs>
              <w:ind w:left="0" w:right="0" w:hanging="0"/>
              <w:rPr>
                <w:i/>
                <w:i/>
                <w:color w:val="00B0F0"/>
                <w:lang w:val="en-GB"/>
              </w:rPr>
            </w:pPr>
            <w:r>
              <w:rPr>
                <w:i/>
                <w:color w:val="00B0F0"/>
                <w:lang w:val="en-GB"/>
              </w:rPr>
            </w:r>
          </w:p>
          <w:p>
            <w:pPr>
              <w:pStyle w:val="Normal"/>
              <w:widowControl w:val="false"/>
              <w:tabs>
                <w:tab w:val="clear" w:pos="720"/>
              </w:tabs>
              <w:ind w:left="0" w:right="0" w:hanging="0"/>
              <w:rPr>
                <w:i/>
                <w:i/>
                <w:color w:val="00B0F0"/>
                <w:lang w:val="en-GB"/>
              </w:rPr>
            </w:pPr>
            <w:r>
              <w:rPr>
                <w:i/>
                <w:color w:val="00B0F0"/>
                <w:lang w:val="en-GB"/>
              </w:rPr>
            </w:r>
          </w:p>
          <w:p>
            <w:pPr>
              <w:pStyle w:val="Normal"/>
              <w:widowControl w:val="false"/>
              <w:tabs>
                <w:tab w:val="clear" w:pos="720"/>
              </w:tabs>
              <w:ind w:left="0" w:right="0" w:hanging="0"/>
              <w:rPr>
                <w:i/>
                <w:i/>
                <w:color w:val="00B0F0"/>
                <w:lang w:val="en-GB"/>
              </w:rPr>
            </w:pPr>
            <w:r>
              <w:rPr>
                <w:i/>
                <w:color w:val="00B0F0"/>
                <w:lang w:val="en-GB"/>
              </w:rPr>
            </w:r>
          </w:p>
          <w:p>
            <w:pPr>
              <w:pStyle w:val="Normal"/>
              <w:widowControl w:val="false"/>
              <w:tabs>
                <w:tab w:val="clear" w:pos="720"/>
              </w:tabs>
              <w:ind w:left="0" w:right="0" w:hanging="0"/>
              <w:rPr>
                <w:i/>
                <w:i/>
                <w:color w:val="00B0F0"/>
              </w:rPr>
            </w:pPr>
            <w:r>
              <w:rPr>
                <w:i/>
                <w:color w:val="00B0F0"/>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color w:val="00B0F0"/>
              </w:rPr>
              <w:t>What dissemination, exploitation and communication measures will you apply to the results?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lang w:val="en-GB"/>
              </w:rPr>
            </w:pPr>
            <w:r>
              <w:rPr>
                <w:b/>
                <w:lang w:val="en-GB"/>
              </w:rPr>
              <w:t>Exploitation:</w:t>
            </w:r>
            <w:r>
              <w:rPr>
                <w:lang w:val="en-GB"/>
              </w:rPr>
              <w:t xml:space="preserve"> Patenting the algorithmic model.</w:t>
            </w:r>
          </w:p>
          <w:p>
            <w:pPr>
              <w:pStyle w:val="Normal"/>
              <w:widowControl w:val="false"/>
              <w:tabs>
                <w:tab w:val="clear" w:pos="720"/>
              </w:tabs>
              <w:ind w:left="0" w:right="0" w:hanging="0"/>
              <w:rPr>
                <w:color w:val="00B0F0"/>
              </w:rPr>
            </w:pPr>
            <w:r>
              <w:rPr>
                <w:color w:val="00B0F0"/>
              </w:rPr>
            </w:r>
          </w:p>
          <w:p>
            <w:pPr>
              <w:pStyle w:val="Normal"/>
              <w:widowControl w:val="false"/>
              <w:tabs>
                <w:tab w:val="clear" w:pos="720"/>
              </w:tabs>
              <w:ind w:left="0" w:right="0" w:hanging="0"/>
              <w:rPr>
                <w:lang w:val="en-GB"/>
              </w:rPr>
            </w:pPr>
            <w:r>
              <w:rPr>
                <w:b/>
                <w:lang w:val="en-GB"/>
              </w:rPr>
              <w:t>Dissemination towards the scientific community and airports</w:t>
            </w:r>
            <w:r>
              <w:rPr>
                <w:lang w:val="en-GB"/>
              </w:rPr>
              <w:t>: Scientific publication with the results of the large-scale demonstration.</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Communication towards citizens:</w:t>
            </w:r>
            <w:r>
              <w:rPr>
                <w:lang w:val="en-GB"/>
              </w:rPr>
              <w:t xml:space="preserve"> An event in a shopping mall to show how the outcomes of the action are relevant to our everyday lives.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lang w:val="en-GB"/>
              </w:rPr>
            </w:pPr>
            <w:r>
              <w:rPr>
                <w:b/>
                <w:lang w:val="en-GB"/>
              </w:rPr>
              <w:t xml:space="preserve">Exploitation of the new product:  </w:t>
            </w:r>
            <w:r>
              <w:rPr>
                <w:lang w:val="en-GB"/>
              </w:rPr>
              <w:t>Patenting the new product;</w:t>
            </w:r>
          </w:p>
          <w:p>
            <w:pPr>
              <w:pStyle w:val="Normal"/>
              <w:widowControl w:val="false"/>
              <w:tabs>
                <w:tab w:val="clear" w:pos="720"/>
              </w:tabs>
              <w:ind w:left="0" w:right="0" w:hanging="0"/>
              <w:rPr>
                <w:lang w:val="en-GB"/>
              </w:rPr>
            </w:pPr>
            <w:r>
              <w:rPr>
                <w:lang w:val="en-GB"/>
              </w:rPr>
              <w:t>Licencing to major electronic companies.</w:t>
            </w:r>
          </w:p>
          <w:p>
            <w:pPr>
              <w:pStyle w:val="Normal"/>
              <w:widowControl w:val="false"/>
              <w:tabs>
                <w:tab w:val="clear" w:pos="720"/>
              </w:tabs>
              <w:ind w:left="0" w:right="0" w:hanging="0"/>
              <w:rPr>
                <w:color w:val="00B0F0"/>
                <w:lang w:val="en-GB"/>
              </w:rPr>
            </w:pPr>
            <w:r>
              <w:rPr>
                <w:color w:val="00B0F0"/>
                <w:lang w:val="en-GB"/>
              </w:rPr>
            </w:r>
          </w:p>
          <w:p>
            <w:pPr>
              <w:pStyle w:val="Normal"/>
              <w:widowControl w:val="false"/>
              <w:tabs>
                <w:tab w:val="clear" w:pos="720"/>
              </w:tabs>
              <w:ind w:left="0" w:right="0" w:hanging="0"/>
              <w:rPr>
                <w:lang w:val="en-GB"/>
              </w:rPr>
            </w:pPr>
            <w:r>
              <w:rPr>
                <w:b/>
                <w:lang w:val="en-GB"/>
              </w:rPr>
              <w:t>Dissemination towards the scientific community and industry:</w:t>
            </w:r>
          </w:p>
          <w:p>
            <w:pPr>
              <w:pStyle w:val="Normal"/>
              <w:widowControl w:val="false"/>
              <w:tabs>
                <w:tab w:val="clear" w:pos="720"/>
              </w:tabs>
              <w:ind w:left="0" w:right="0" w:hanging="0"/>
              <w:rPr>
                <w:lang w:val="en-GB"/>
              </w:rPr>
            </w:pPr>
            <w:r>
              <w:rPr>
                <w:lang w:val="en-GB"/>
              </w:rPr>
              <w:t>Participating at conferences; Developing a platform of material compositions for industry; Participation at EC project portfolios to disseminate the results as part of a group and maximise the visibility vis-à-vis companies.</w:t>
            </w:r>
          </w:p>
          <w:p>
            <w:pPr>
              <w:pStyle w:val="Normal"/>
              <w:widowControl w:val="false"/>
              <w:tabs>
                <w:tab w:val="clear" w:pos="720"/>
              </w:tabs>
              <w:ind w:left="0" w:right="0" w:hanging="0"/>
              <w:rPr>
                <w:color w:val="00B0F0"/>
                <w:lang w:val="en-GB"/>
              </w:rPr>
            </w:pPr>
            <w:r>
              <w:rPr>
                <w:color w:val="00B0F0"/>
                <w:lang w:val="en-GB"/>
              </w:rPr>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color w:val="00B0F0"/>
              </w:rPr>
              <w:t>What do you expect to generate by the end of the project?</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lang w:val="en-GB"/>
              </w:rPr>
            </w:pPr>
            <w:r>
              <w:rPr>
                <w:b/>
                <w:lang w:val="en-GB"/>
              </w:rPr>
              <w:t>Successful large-scale demonstrator:</w:t>
            </w:r>
          </w:p>
          <w:p>
            <w:pPr>
              <w:pStyle w:val="Normal"/>
              <w:widowControl w:val="false"/>
              <w:tabs>
                <w:tab w:val="clear" w:pos="720"/>
              </w:tabs>
              <w:ind w:left="0" w:right="0" w:hanging="0"/>
              <w:rPr>
                <w:lang w:val="en-GB"/>
              </w:rPr>
            </w:pPr>
            <w:r>
              <w:rPr>
                <w:b/>
                <w:lang w:val="en-GB"/>
              </w:rPr>
              <w:t xml:space="preserve">Successful large-scale demonstrator: </w:t>
            </w:r>
            <w:r>
              <w:rPr>
                <w:lang w:val="en-GB"/>
              </w:rPr>
              <w:t>Trial with 3 airports of an advanced forecasting system for proactive airport passenger flow management.</w:t>
            </w:r>
          </w:p>
          <w:p>
            <w:pPr>
              <w:pStyle w:val="Normal"/>
              <w:widowControl w:val="false"/>
              <w:tabs>
                <w:tab w:val="clear" w:pos="720"/>
              </w:tabs>
              <w:ind w:left="0" w:right="0" w:hanging="0"/>
              <w:rPr>
                <w:color w:val="00B0F0"/>
              </w:rPr>
            </w:pPr>
            <w:r>
              <w:rPr>
                <w:color w:val="00B0F0"/>
              </w:rPr>
            </w:r>
          </w:p>
          <w:p>
            <w:pPr>
              <w:pStyle w:val="Normal"/>
              <w:widowControl w:val="false"/>
              <w:tabs>
                <w:tab w:val="clear" w:pos="720"/>
              </w:tabs>
              <w:ind w:left="0" w:right="0" w:hanging="0"/>
              <w:rPr>
                <w:lang w:val="en-GB"/>
              </w:rPr>
            </w:pPr>
            <w:r>
              <w:rPr>
                <w:b/>
                <w:lang w:val="en-GB"/>
              </w:rPr>
              <w:t>Algorithmic model:</w:t>
            </w:r>
          </w:p>
          <w:p>
            <w:pPr>
              <w:pStyle w:val="Normal"/>
              <w:widowControl w:val="false"/>
              <w:tabs>
                <w:tab w:val="clear" w:pos="720"/>
              </w:tabs>
              <w:ind w:left="0" w:right="0" w:hanging="0"/>
              <w:rPr>
                <w:lang w:val="en-GB"/>
              </w:rPr>
            </w:pPr>
            <w:r>
              <w:rPr>
                <w:lang w:val="en-GB"/>
              </w:rPr>
              <w:t>Novel algorithmic model for proactive airport passenger flow management.</w:t>
            </w:r>
          </w:p>
          <w:p>
            <w:pPr>
              <w:pStyle w:val="Normal"/>
              <w:widowControl w:val="false"/>
              <w:tabs>
                <w:tab w:val="clear" w:pos="720"/>
              </w:tabs>
              <w:ind w:left="0" w:right="0" w:hanging="0"/>
              <w:rPr>
                <w:color w:val="00B0F0"/>
                <w:lang w:val="en-GB"/>
              </w:rPr>
            </w:pPr>
            <w:r>
              <w:rPr>
                <w:color w:val="00B0F0"/>
                <w:lang w:val="en-GB"/>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lang w:val="en-GB"/>
              </w:rPr>
            </w:pPr>
            <w:r>
              <w:rPr>
                <w:lang w:val="en-GB"/>
              </w:rPr>
              <w:t xml:space="preserve">Publication of a </w:t>
            </w:r>
            <w:r>
              <w:rPr>
                <w:b/>
                <w:lang w:val="en-GB"/>
              </w:rPr>
              <w:t>scientific discovery on transparent electronics.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New product:</w:t>
            </w:r>
            <w:r>
              <w:rPr>
                <w:lang w:val="en-GB"/>
              </w:rPr>
              <w:t xml:space="preserve"> More sustainable electronic circuits.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Three PhD students trained.</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lang w:val="en-GB"/>
              </w:rPr>
            </w:pPr>
            <w:r>
              <w:rPr>
                <w:b/>
                <w:lang w:val="en-GB"/>
              </w:rPr>
              <w:t>9 European airports</w:t>
            </w:r>
            <w:r>
              <w:rPr>
                <w:lang w:val="en-GB"/>
              </w:rPr>
              <w:t>:</w:t>
            </w:r>
          </w:p>
          <w:p>
            <w:pPr>
              <w:pStyle w:val="Normal"/>
              <w:widowControl w:val="false"/>
              <w:tabs>
                <w:tab w:val="clear" w:pos="720"/>
              </w:tabs>
              <w:ind w:left="0" w:right="0" w:hanging="0"/>
              <w:rPr>
                <w:lang w:val="en-GB"/>
              </w:rPr>
            </w:pPr>
            <w:r>
              <w:rPr>
                <w:lang w:val="en-GB"/>
              </w:rPr>
              <w:t>Schiphol, Brussels airport, etc.</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The European Union aviation safety agency.</w:t>
            </w:r>
          </w:p>
          <w:p>
            <w:pPr>
              <w:pStyle w:val="Normal"/>
              <w:widowControl w:val="false"/>
              <w:tabs>
                <w:tab w:val="clear" w:pos="720"/>
              </w:tabs>
              <w:ind w:left="0" w:right="0" w:hanging="0"/>
              <w:rPr>
                <w:color w:val="00B0F0"/>
              </w:rPr>
            </w:pPr>
            <w:r>
              <w:rPr>
                <w:color w:val="00B0F0"/>
              </w:rPr>
            </w:r>
          </w:p>
          <w:p>
            <w:pPr>
              <w:pStyle w:val="Normal"/>
              <w:widowControl w:val="false"/>
              <w:tabs>
                <w:tab w:val="clear" w:pos="720"/>
              </w:tabs>
              <w:ind w:left="0" w:right="0" w:hanging="0"/>
              <w:rPr>
                <w:lang w:val="en-GB"/>
              </w:rPr>
            </w:pPr>
            <w:r>
              <w:rPr>
                <w:b/>
                <w:lang w:val="en-GB"/>
              </w:rPr>
              <w:t>Air passengers (indirect).</w:t>
            </w:r>
          </w:p>
          <w:p>
            <w:pPr>
              <w:pStyle w:val="Normal"/>
              <w:widowControl w:val="false"/>
              <w:tabs>
                <w:tab w:val="clear" w:pos="720"/>
              </w:tabs>
              <w:ind w:left="0" w:right="0" w:hanging="0"/>
              <w:rPr>
                <w:color w:val="00B0F0"/>
              </w:rPr>
            </w:pPr>
            <w:r>
              <w:rPr>
                <w:color w:val="00B0F0"/>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lang w:val="en-GB"/>
              </w:rPr>
            </w:pPr>
            <w:r>
              <w:rPr>
                <w:b/>
                <w:lang w:val="en-GB"/>
              </w:rPr>
              <w:t>End-users</w:t>
            </w:r>
            <w:r>
              <w:rPr>
                <w:lang w:val="en-GB"/>
              </w:rPr>
              <w:t>: consumers of electronic devices.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Major electronic companies</w:t>
            </w:r>
            <w:r>
              <w:rPr>
                <w:lang w:val="en-GB"/>
              </w:rPr>
              <w:t>: Samsung, Apple, etc.</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Scientific community</w:t>
            </w:r>
            <w:r>
              <w:rPr>
                <w:lang w:val="en-GB"/>
              </w:rPr>
              <w:t xml:space="preserve"> (field of transparent electronics).</w:t>
            </w:r>
          </w:p>
          <w:p>
            <w:pPr>
              <w:pStyle w:val="Normal"/>
              <w:widowControl w:val="false"/>
              <w:tabs>
                <w:tab w:val="clear" w:pos="720"/>
              </w:tabs>
              <w:ind w:left="0" w:right="0" w:hanging="0"/>
              <w:rPr>
                <w:color w:val="00B0F0"/>
                <w:lang w:val="en-GB"/>
              </w:rPr>
            </w:pPr>
            <w:r>
              <w:rPr>
                <w:color w:val="00B0F0"/>
                <w:lang w:val="en-GB"/>
              </w:rPr>
            </w:r>
          </w:p>
          <w:p>
            <w:pPr>
              <w:pStyle w:val="Normal"/>
              <w:widowControl w:val="false"/>
              <w:tabs>
                <w:tab w:val="clear" w:pos="720"/>
              </w:tabs>
              <w:ind w:left="0" w:right="0" w:hanging="0"/>
              <w:rPr>
                <w:color w:val="00B0F0"/>
                <w:lang w:val="en-GB"/>
              </w:rPr>
            </w:pPr>
            <w:r>
              <w:rPr>
                <w:color w:val="00B0F0"/>
                <w:lang w:val="en-GB"/>
              </w:rPr>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b/>
                <w:b/>
              </w:rPr>
            </w:pPr>
            <w:r>
              <w:rPr>
                <w:b/>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pPr>
            <w:r>
              <w:rPr>
                <w:b/>
              </w:rPr>
              <w:t>Up-take by airports:</w:t>
            </w:r>
            <w:r>
              <w:rPr/>
              <w:t xml:space="preserve"> 9 European airports adopt the advanced forecasting system demonstrated during the project.</w:t>
            </w:r>
          </w:p>
          <w:p>
            <w:pPr>
              <w:pStyle w:val="Normal"/>
              <w:widowControl w:val="false"/>
              <w:tabs>
                <w:tab w:val="clear" w:pos="720"/>
              </w:tabs>
              <w:ind w:left="0" w:right="0" w:hanging="0"/>
              <w:rPr/>
            </w:pPr>
            <w:r>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pPr>
            <w:r>
              <w:rPr>
                <w:b/>
              </w:rPr>
              <w:t>High use of the scientific discovery published</w:t>
            </w:r>
            <w:r>
              <w:rPr/>
              <w:t xml:space="preserve"> (measured with the relative rate of citation index of project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 xml:space="preserve">A </w:t>
            </w:r>
            <w:r>
              <w:rPr>
                <w:b/>
              </w:rPr>
              <w:t>major electronic company</w:t>
            </w:r>
            <w:r>
              <w:rPr/>
              <w:t xml:space="preserve"> (Samsung or Apple) </w:t>
            </w:r>
            <w:r>
              <w:rPr>
                <w:b/>
              </w:rPr>
              <w:t>exploits/uses the new product</w:t>
            </w:r>
            <w:r>
              <w:rPr/>
              <w:t xml:space="preserve"> in their manufacturing.</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B0F0"/>
              </w:rPr>
            </w:pPr>
            <w:r>
              <w:rPr>
                <w:color w:val="00B0F0"/>
              </w:rPr>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i/>
                <w:i/>
                <w:color w:val="385623"/>
              </w:rPr>
            </w:pPr>
            <w:r>
              <w:rPr>
                <w:i/>
                <w:color w:val="385623"/>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lang w:val="en-GB"/>
              </w:rPr>
            </w:pPr>
            <w:r>
              <w:rPr>
                <w:b/>
                <w:lang w:val="en-GB"/>
              </w:rPr>
              <w:t xml:space="preserve">Scientific: </w:t>
            </w:r>
            <w:r>
              <w:rPr>
                <w:lang w:val="en-GB"/>
              </w:rPr>
              <w:t xml:space="preserve"> New breakthrough scientific discovery on passenger forecast modelling.</w:t>
            </w:r>
          </w:p>
          <w:p>
            <w:pPr>
              <w:pStyle w:val="Normal"/>
              <w:widowControl w:val="false"/>
              <w:tabs>
                <w:tab w:val="clear" w:pos="720"/>
              </w:tabs>
              <w:ind w:left="0" w:right="0" w:hanging="0"/>
              <w:rPr>
                <w:b/>
                <w:b/>
                <w:lang w:val="en-GB"/>
              </w:rPr>
            </w:pPr>
            <w:r>
              <w:rPr>
                <w:b/>
                <w:lang w:val="en-GB"/>
              </w:rPr>
            </w:r>
          </w:p>
          <w:p>
            <w:pPr>
              <w:pStyle w:val="Normal"/>
              <w:widowControl w:val="false"/>
              <w:tabs>
                <w:tab w:val="clear" w:pos="720"/>
              </w:tabs>
              <w:ind w:left="0" w:right="0" w:hanging="0"/>
              <w:rPr>
                <w:lang w:val="en-GB"/>
              </w:rPr>
            </w:pPr>
            <w:r>
              <w:rPr>
                <w:b/>
                <w:lang w:val="en-GB"/>
              </w:rPr>
              <w:t>Economic:</w:t>
            </w:r>
            <w:r>
              <w:rPr>
                <w:lang w:val="en-GB"/>
              </w:rPr>
              <w:t xml:space="preserve"> Increased airport efficiency</w:t>
            </w:r>
          </w:p>
          <w:p>
            <w:pPr>
              <w:pStyle w:val="Normal"/>
              <w:widowControl w:val="false"/>
              <w:tabs>
                <w:tab w:val="clear" w:pos="720"/>
              </w:tabs>
              <w:ind w:left="0" w:right="0" w:hanging="0"/>
              <w:rPr>
                <w:lang w:val="en-GB"/>
              </w:rPr>
            </w:pPr>
            <w:r>
              <w:rPr>
                <w:lang w:val="en-GB"/>
              </w:rPr>
              <w:t>Size: 15% increase of maximum passenger capacity in  European airports,  leading to a 28% reduction in infrastructure expansion costs.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lang w:val="en-GB"/>
              </w:rPr>
            </w:pPr>
            <w:r>
              <w:rPr>
                <w:b/>
                <w:lang w:val="en-GB"/>
              </w:rPr>
              <w:t>Scientific:</w:t>
            </w:r>
            <w:r>
              <w:rPr>
                <w:lang w:val="en-GB"/>
              </w:rPr>
              <w:t xml:space="preserve"> New breakthrough scientific discovery on transparent electronics.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Economic/Technological:</w:t>
            </w:r>
            <w:r>
              <w:rPr>
                <w:lang w:val="en-GB"/>
              </w:rPr>
              <w:t xml:space="preserve"> A new market for touch enabled electronic devices.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Societal:</w:t>
            </w:r>
            <w:r>
              <w:rPr>
                <w:lang w:val="en-GB"/>
              </w:rPr>
              <w:t xml:space="preserve"> Lower climate impact of electronics manufacturing (including through material sourcing and waste management).</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lang w:val="en-GB"/>
        </w:rPr>
      </w:pPr>
      <w:r>
        <w:rPr>
          <w:lang w:val="en-GB"/>
        </w:rPr>
      </w:r>
    </w:p>
    <w:p>
      <w:pPr>
        <w:sectPr>
          <w:headerReference w:type="even" r:id="rId14"/>
          <w:headerReference w:type="default" r:id="rId15"/>
          <w:headerReference w:type="first" r:id="rId16"/>
          <w:footerReference w:type="default" r:id="rId17"/>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excellence between the top-class consortium partners and NTUA. Project administration activities are placed in an individual Working Package to allow for its efficient management and coordination. Capacity building is split into two Working Packages, each with its own focus and goals; WP2 targets the transfer of knowledge via webinars, on-line and in-situ coaching (including consortium visits) and the establishment of synergies (e.g. co-supervision of PhD Thesis).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6479540" cy="4783455"/>
                <wp:effectExtent l="0" t="0" r="0" b="0"/>
                <wp:wrapSquare wrapText="bothSides"/>
                <wp:docPr id="12"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8"/>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9"/>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20"/>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research institutions. Through these channels, the expert nodes will introduce the host institute to their respective fields of expertise, and lay the groundwork and work-schedule for research capacity building.</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pPr>
            <w:r>
              <w:rP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pPr>
            <w:r>
              <w:rPr>
                <w:lang w:val="en-GB"/>
              </w:rPr>
              <w:t xml:space="preserve"> </w:t>
            </w:r>
            <w:r>
              <w:rP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pPr>
            <w:r>
              <w:rP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pPr>
            <w:r>
              <w:rPr>
                <w:lang w:val="en-GB"/>
              </w:rPr>
              <w:t xml:space="preserve"> </w:t>
            </w:r>
            <w:r>
              <w:rP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pPr>
            <w:r>
              <w:rPr>
                <w:lang w:val="en-GB"/>
              </w:rPr>
              <w:t xml:space="preserve"> </w:t>
            </w:r>
            <w:r>
              <w:rP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 xml:space="preserve">The host institute along with IPGP and CLS will establish a task force (with members of all three involved institutes) and the (online) means through which this force will maintain a long-term sound communication, at least for the duration of ACRONYM. </w:t>
            </w:r>
            <w:r>
              <w:rPr>
                <w:lang w:val="en-GB"/>
              </w:rPr>
              <w:t>T</w:t>
            </w:r>
            <w:r>
              <w:rPr>
                <w:lang w:val="en-GB"/>
              </w:rPr>
              <w:t>he expert partners will introduce the DORIS technique to their peers in the host institute via online webinars and one short term encounter of all three involved partners. This encounter will be hosted by IPGP and will include the schooling of the host’s personnel in software tools used by the expert nodes in their respective instit</w:t>
            </w:r>
            <w:r>
              <w:rPr>
                <w:lang w:val="en-GB"/>
              </w:rPr>
              <w:t>utes</w:t>
            </w:r>
            <w:r>
              <w:rPr>
                <w:lang w:val="en-GB"/>
              </w:rPr>
              <w:t>.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w:t>
            </w:r>
            <w:r>
              <w:rPr/>
              <w:t>n</w:t>
            </w:r>
            <w:r>
              <w:rPr/>
              <w:t xml:space="preserve"> Analysis Center processing quality. </w:t>
            </w:r>
            <w:r>
              <w:rPr/>
              <w:t>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xml:space="preserve">, </w:t>
            </w:r>
            <w:r>
              <w:rPr>
                <w:lang w:val="en-GB"/>
              </w:rPr>
              <w:t>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w:t>
            </w:r>
            <w:r>
              <w:rPr>
                <w:b/>
                <w:bCs/>
                <w:lang w:val="en-GB"/>
              </w:rPr>
              <w:t>12</w:t>
            </w:r>
            <w:r>
              <w:rPr>
                <w:b/>
                <w:bCs/>
                <w:lang w:val="en-GB"/>
              </w:rPr>
              <w:t>); Lead GFZ</w:t>
            </w:r>
          </w:p>
          <w:p>
            <w:pPr>
              <w:pStyle w:val="Normal"/>
              <w:widowControl w:val="false"/>
              <w:tabs>
                <w:tab w:val="clear" w:pos="720"/>
              </w:tabs>
              <w:spacing w:before="60" w:after="60"/>
              <w:ind w:left="0" w:right="0" w:hanging="0"/>
              <w:jc w:val="both"/>
              <w:rPr/>
            </w:pPr>
            <w:r>
              <w:rPr>
                <w:lang w:val="en-GB"/>
              </w:rPr>
              <w:t>GFZ and NTUA</w:t>
            </w:r>
            <w:r>
              <w:rPr>
                <w:lang w:val="en-GB"/>
              </w:rPr>
              <w:t xml:space="preserve"> will establish a task force (with members o</w:t>
            </w:r>
            <w:r>
              <w:rPr>
                <w:lang w:val="en-GB"/>
              </w:rPr>
              <w:t>f both</w:t>
            </w:r>
            <w:r>
              <w:rPr>
                <w:lang w:val="en-GB"/>
              </w:rPr>
              <w:t xml:space="preserve"> involved institutes) and the (online) means through which this force will maintain a long-term sound communication, at least for the duration of ACRONYM. </w:t>
            </w:r>
            <w:r>
              <w:rPr>
                <w:lang w:val="en-GB"/>
              </w:rPr>
              <w:t>T</w:t>
            </w:r>
            <w:r>
              <w:rPr>
                <w:lang w:val="en-GB"/>
              </w:rPr>
              <w:t xml:space="preserve">he expert partner will introduce the </w:t>
            </w:r>
            <w:r>
              <w:rPr>
                <w:lang w:val="en-GB"/>
              </w:rPr>
              <w:t>SLR</w:t>
            </w:r>
            <w:r>
              <w:rPr>
                <w:lang w:val="en-GB"/>
              </w:rPr>
              <w:t xml:space="preserve"> technique to </w:t>
            </w:r>
            <w:r>
              <w:rPr>
                <w:lang w:val="en-GB"/>
              </w:rPr>
              <w:t>its</w:t>
            </w:r>
            <w:r>
              <w:rPr>
                <w:lang w:val="en-GB"/>
              </w:rPr>
              <w:t xml:space="preserve"> peers in the host institute via online webinars and one short term encounter, hosted by </w:t>
            </w:r>
            <w:r>
              <w:rPr>
                <w:lang w:val="en-GB"/>
              </w:rPr>
              <w:t>GFZ. During this visit, NTUA personnel will make a guided in-situ visit to the SLR station in Potsdam (operated by GFZ), where they will be introduced to the instrumentation and operational aspects of the site. Additionally, the visit</w:t>
            </w:r>
            <w:r>
              <w:rPr>
                <w:lang w:val="en-GB"/>
              </w:rPr>
              <w:t xml:space="preserve"> will include the schooling of the host’s personnel in software tools </w:t>
            </w:r>
            <w:r>
              <w:rPr>
                <w:lang w:val="en-GB"/>
              </w:rPr>
              <w:t>developed and</w:t>
            </w:r>
            <w:r>
              <w:rPr>
                <w:lang w:val="en-GB"/>
              </w:rPr>
              <w:t xml:space="preserve"> used by the expert node </w:t>
            </w:r>
            <w:r>
              <w:rPr>
                <w:lang w:val="en-GB"/>
              </w:rPr>
              <w:t>to process SLR data for precise orbit determination and estimation of geodetic parameters</w:t>
            </w:r>
            <w:r>
              <w:rPr>
                <w:lang w:val="en-GB"/>
              </w:rPr>
              <w:t>.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 xml:space="preserve">The partners will also decide on a technique-specific PhD thesis which they will co-supervise. </w:t>
            </w:r>
            <w:r>
              <w:rPr/>
              <w:t>The</w:t>
            </w:r>
            <w:r>
              <w:rPr/>
              <w:t xml:space="preserv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 xml:space="preserve">Exploiting the expertise of </w:t>
            </w:r>
            <w:r>
              <w:rPr/>
              <w:t>GFZ</w:t>
            </w:r>
            <w:r>
              <w:rPr/>
              <w:t>, the partners will lay out a detailed plan on significantly enhancing the host’s research capacity, through designing and implementing a</w:t>
            </w:r>
            <w:r>
              <w:rPr/>
              <w:t>n SLR</w:t>
            </w:r>
            <w:r>
              <w:rPr/>
              <w:t xml:space="preserve"> data analysis toolbox. This plan will include state-of-the-art standards and models to be used, as well as testing and validation cases. Tasks will be hierarchically ordered in a precision ordered fashion, eventually leading to achieving a</w:t>
            </w:r>
            <w:r>
              <w:rPr/>
              <w:t>n</w:t>
            </w:r>
            <w:r>
              <w:rPr/>
              <w:t xml:space="preserve"> Analysis Center processing quality. </w:t>
            </w:r>
            <w:r>
              <w:rPr/>
              <w:t>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w:t>
            </w:r>
            <w:r>
              <w:rPr>
                <w:lang w:val="en-GB"/>
              </w:rPr>
              <w:t xml:space="preserve"> will introduce the host to the </w:t>
            </w:r>
            <w:r>
              <w:rPr>
                <w:lang w:val="en-GB"/>
              </w:rPr>
              <w:t>ILRS</w:t>
            </w:r>
            <w:r>
              <w:rPr>
                <w:lang w:val="en-GB"/>
              </w:rPr>
              <w:t xml:space="preserve"> consortium, </w:t>
            </w:r>
            <w:r>
              <w:rPr>
                <w:lang w:val="en-GB"/>
              </w:rPr>
              <w:t>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w:t>
            </w:r>
            <w:r>
              <w:rPr>
                <w:b/>
                <w:bCs/>
                <w:lang w:val="en-GB"/>
              </w:rPr>
              <w:t>12</w:t>
            </w:r>
            <w:r>
              <w:rPr>
                <w:b/>
                <w:bCs/>
                <w:lang w:val="en-GB"/>
              </w:rPr>
              <w:t>); Lead OSO</w:t>
            </w:r>
          </w:p>
          <w:p>
            <w:pPr>
              <w:pStyle w:val="Normal"/>
              <w:widowControl w:val="false"/>
              <w:tabs>
                <w:tab w:val="clear" w:pos="720"/>
              </w:tabs>
              <w:spacing w:before="60" w:after="60"/>
              <w:ind w:left="0" w:right="0" w:hanging="0"/>
              <w:jc w:val="both"/>
              <w:rPr/>
            </w:pPr>
            <w:r>
              <w:rPr>
                <w:lang w:val="en-GB"/>
              </w:rPr>
              <w:t>OSO and NTUA</w:t>
            </w:r>
            <w:r>
              <w:rPr>
                <w:lang w:val="en-GB"/>
              </w:rPr>
              <w:t xml:space="preserve"> will establish a task force (with members o</w:t>
            </w:r>
            <w:r>
              <w:rPr>
                <w:lang w:val="en-GB"/>
              </w:rPr>
              <w:t>f both</w:t>
            </w:r>
            <w:r>
              <w:rPr>
                <w:lang w:val="en-GB"/>
              </w:rPr>
              <w:t xml:space="preserve"> involved institutes) and the (online) means through which this force will maintain a long-term sound communication, at least for the duration of ACRONYM. </w:t>
            </w:r>
            <w:r>
              <w:rPr>
                <w:lang w:val="en-GB"/>
              </w:rPr>
              <w:t>T</w:t>
            </w:r>
            <w:r>
              <w:rPr>
                <w:lang w:val="en-GB"/>
              </w:rPr>
              <w:t xml:space="preserve">he expert partner will introduce the </w:t>
            </w:r>
            <w:r>
              <w:rPr>
                <w:lang w:val="en-GB"/>
              </w:rPr>
              <w:t>VLBI</w:t>
            </w:r>
            <w:r>
              <w:rPr>
                <w:lang w:val="en-GB"/>
              </w:rPr>
              <w:t xml:space="preserve"> technique to </w:t>
            </w:r>
            <w:r>
              <w:rPr>
                <w:lang w:val="en-GB"/>
              </w:rPr>
              <w:t>its</w:t>
            </w:r>
            <w:r>
              <w:rPr>
                <w:lang w:val="en-GB"/>
              </w:rPr>
              <w:t xml:space="preserve"> peers in the host institute via online webinars and one short term encounter, hosted by </w:t>
            </w:r>
            <w:r>
              <w:rPr>
                <w:lang w:val="en-GB"/>
              </w:rPr>
              <w:t>OSO. During this visit, NTUA personnel will make a guided in-situ visit to the VLBI site in Onsala (operated by OSO), where they will be introduced to the instrumentation and operational aspects of the site. Additionally, the visit</w:t>
            </w:r>
            <w:r>
              <w:rPr>
                <w:lang w:val="en-GB"/>
              </w:rPr>
              <w:t xml:space="preserve"> will include the schooling of the host’s personnel in software tools </w:t>
            </w:r>
            <w:r>
              <w:rPr>
                <w:lang w:val="en-GB"/>
              </w:rPr>
              <w:t>developed and</w:t>
            </w:r>
            <w:r>
              <w:rPr>
                <w:lang w:val="en-GB"/>
              </w:rPr>
              <w:t xml:space="preserve"> used by the expert node </w:t>
            </w:r>
            <w:r>
              <w:rPr>
                <w:lang w:val="en-GB"/>
              </w:rPr>
              <w:t>to process VLBI data for the estimation of Earth orientation parameters</w:t>
            </w:r>
            <w:r>
              <w:rPr>
                <w:lang w:val="en-GB"/>
              </w:rPr>
              <w:t>.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 xml:space="preserve">The partners will also decide on a technique-specific PhD thesis which they will co-supervise. </w:t>
            </w:r>
            <w:r>
              <w:rPr/>
              <w:t>The</w:t>
            </w:r>
            <w:r>
              <w:rPr/>
              <w:t xml:space="preserv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 xml:space="preserve">Exploiting the expertise of </w:t>
            </w:r>
            <w:r>
              <w:rPr/>
              <w:t>OSO</w:t>
            </w:r>
            <w:r>
              <w:rPr/>
              <w:t xml:space="preserve">, the partners will lay out a detailed plan on significantly enhancing the host’s research capacity, through designing and implementing a </w:t>
            </w:r>
            <w:r>
              <w:rPr/>
              <w:t>geodetic</w:t>
            </w:r>
            <w:r>
              <w:rPr/>
              <w:t xml:space="preserve"> toolbox, </w:t>
            </w:r>
            <w:r>
              <w:rPr/>
              <w:t>specifically aiming an efficient and accurate handling of Earth orientation parameters, celestial and terrestrial reference frame transformations and tidal phenomena</w:t>
            </w:r>
            <w:r>
              <w:rPr/>
              <w:t xml:space="preserve">. This plan will include state-of-the-art standards and models to be used, as well as testing and validation cases. Tasks will be hierarchically ordered in a precision ordered fashion, eventually leading to achieving </w:t>
            </w:r>
            <w:r>
              <w:rPr/>
              <w:t>utmost</w:t>
            </w:r>
            <w:r>
              <w:rPr/>
              <w:t xml:space="preserve"> quality. </w:t>
            </w:r>
            <w:r>
              <w:rPr/>
              <w:t>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w:t>
            </w:r>
            <w:r>
              <w:rPr>
                <w:lang w:val="en-GB"/>
              </w:rPr>
              <w:t xml:space="preserve"> will introduce the host to the </w:t>
            </w:r>
            <w:r>
              <w:rPr>
                <w:lang w:val="en-GB"/>
              </w:rPr>
              <w:t>IVS</w:t>
            </w:r>
            <w:r>
              <w:rPr>
                <w:lang w:val="en-GB"/>
              </w:rPr>
              <w:t xml:space="preserve"> consortium, </w:t>
            </w:r>
            <w:r>
              <w:rPr>
                <w:lang w:val="en-GB"/>
              </w:rPr>
              <w:t>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Management Capacity (M1-M</w:t>
            </w:r>
            <w:r>
              <w:rPr>
                <w:b/>
                <w:bCs/>
                <w:lang w:val="en-GB"/>
              </w:rPr>
              <w:t>24</w:t>
            </w:r>
            <w:r>
              <w:rPr>
                <w:b/>
                <w:bCs/>
                <w:lang w:val="en-GB"/>
              </w:rPr>
              <w:t>); Lead CLS</w:t>
            </w:r>
          </w:p>
          <w:p>
            <w:pPr>
              <w:pStyle w:val="Normal"/>
              <w:widowControl w:val="false"/>
              <w:tabs>
                <w:tab w:val="clear" w:pos="720"/>
              </w:tabs>
              <w:spacing w:before="60" w:after="60"/>
              <w:ind w:left="0" w:right="0" w:hanging="0"/>
              <w:jc w:val="both"/>
              <w:rPr/>
            </w:pPr>
            <w:r>
              <w:rPr>
                <w:lang w:val="en-GB"/>
              </w:rPr>
              <w:t xml:space="preserve">The </w:t>
            </w:r>
            <w:r>
              <w:rPr>
                <w:lang w:val="en-GB"/>
              </w:rPr>
              <w:t>consortium</w:t>
            </w:r>
            <w:r>
              <w:rPr>
                <w:lang w:val="en-GB"/>
              </w:rPr>
              <w:t xml:space="preserve"> partners (CLS, IPGP, GFZ and OSO) will transfer technical knowledge, know-how and expertise to NTUA, concerning the writing and submitting of research proposals, as well as the efficient administration of research intensive scientific projects.</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close to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lang w:val="en-GB"/>
              </w:rPr>
              <w:t>Since both DORIS and SLR processing is tailored to the specifics of each observed space vehicle, the consortium will hand pick a minimum of three satellites, with payload capacity for both techniques, for the software development. Design principles though will conform to extensibility, so that NTUA will be later able to incorporate more satellites (for each technique) on its own, with minimal cost.</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lang w:val="en-GB"/>
              </w:rPr>
              <w:t>The software will be specifically targeted towards precise orbit determination and estimation of geodetic parameters. All involved partners will assist the host institute in reaching this goal, via individual contributions in their respective areas of expertise.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lang w:val="en-GB"/>
              </w:rPr>
              <w:t>NTUA will adhere to a free and open-source policy for all software tools to be built within the framework of this WP. Software implementation will be carried out on the public domain via dedicated repositories (hosted e.g. on [gitlab](https://about.gitlab.com/) so at to enable a rigorous development platform for the consortium parties and easy progress monitoring (including the Commission).</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 xml:space="preserve">Task 3.1 </w:t>
            </w:r>
            <w:r>
              <w:rPr>
                <w:b/>
                <w:bCs/>
                <w:lang w:val="en-GB"/>
              </w:rPr>
              <w:t>Building research capacity via</w:t>
            </w:r>
            <w:r>
              <w:rPr>
                <w:b/>
                <w:bCs/>
                <w:lang w:val="en-GB"/>
              </w:rPr>
              <w:t xml:space="preserve"> DORIS (M1</w:t>
            </w:r>
            <w:r>
              <w:rPr>
                <w:b/>
                <w:bCs/>
                <w:lang w:val="en-GB"/>
              </w:rPr>
              <w:t>2</w:t>
            </w:r>
            <w:r>
              <w:rPr>
                <w:b/>
                <w:bCs/>
                <w:lang w:val="en-GB"/>
              </w:rPr>
              <w:t>-M36); Lead CLS</w:t>
            </w:r>
          </w:p>
          <w:p>
            <w:pPr>
              <w:pStyle w:val="Normal"/>
              <w:widowControl w:val="false"/>
              <w:tabs>
                <w:tab w:val="clear" w:pos="720"/>
              </w:tabs>
              <w:spacing w:before="60" w:after="60"/>
              <w:ind w:left="0" w:right="0" w:hanging="0"/>
              <w:jc w:val="both"/>
              <w:rPr/>
            </w:pPr>
            <w:r>
              <w:rPr>
                <w:lang w:val="en-GB"/>
              </w:rPr>
              <w:t xml:space="preserve">CLS and IPGP will provide assistance to NTUA aiming at the upgrade and refinement of its own DORIS analysis software, to perform precise orbit determination and estimation of geodetic parameters. </w:t>
            </w:r>
            <w:r>
              <w:rPr>
                <w:lang w:val="en-GB"/>
              </w:rPr>
              <w:t>Both expert nodes will assist NTUA’s personnel via online webinars, one-on-one and one-to-many schooling,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 xml:space="preserve">Task 3.2 </w:t>
            </w:r>
            <w:r>
              <w:rPr>
                <w:b/>
                <w:bCs/>
                <w:lang w:val="en-GB"/>
              </w:rPr>
              <w:t>Building research capacity via</w:t>
            </w:r>
            <w:r>
              <w:rPr>
                <w:b/>
                <w:bCs/>
                <w:lang w:val="en-GB"/>
              </w:rPr>
              <w:t xml:space="preserve"> SLR (M1</w:t>
            </w:r>
            <w:r>
              <w:rPr>
                <w:b/>
                <w:bCs/>
                <w:lang w:val="en-GB"/>
              </w:rPr>
              <w:t>2</w:t>
            </w:r>
            <w:r>
              <w:rPr>
                <w:b/>
                <w:bCs/>
                <w:lang w:val="en-GB"/>
              </w:rPr>
              <w:t>-M36); Lead GFZ</w:t>
            </w:r>
          </w:p>
          <w:p>
            <w:pPr>
              <w:pStyle w:val="Normal"/>
              <w:widowControl w:val="false"/>
              <w:tabs>
                <w:tab w:val="clear" w:pos="720"/>
              </w:tabs>
              <w:spacing w:before="60" w:after="60"/>
              <w:ind w:left="0" w:right="0" w:hanging="0"/>
              <w:jc w:val="both"/>
              <w:rPr/>
            </w:pPr>
            <w:r>
              <w:rPr>
                <w:lang w:val="en-GB"/>
              </w:rPr>
              <w:t>GFZ</w:t>
            </w:r>
            <w:r>
              <w:rPr>
                <w:lang w:val="en-GB"/>
              </w:rPr>
              <w:t xml:space="preserve"> will provide assistance to NTUA aiming at t</w:t>
            </w:r>
            <w:r>
              <w:rPr>
                <w:lang w:val="en-GB"/>
              </w:rPr>
              <w:t>he development</w:t>
            </w:r>
            <w:r>
              <w:rPr>
                <w:lang w:val="en-GB"/>
              </w:rPr>
              <w:t xml:space="preserve"> of its own </w:t>
            </w:r>
            <w:r>
              <w:rPr>
                <w:lang w:val="en-GB"/>
              </w:rPr>
              <w:t>SLR</w:t>
            </w:r>
            <w:r>
              <w:rPr>
                <w:lang w:val="en-GB"/>
              </w:rPr>
              <w:t xml:space="preserve"> analysis software, to perform precise orbit determination and estimation of geodetic parameters. </w:t>
            </w:r>
            <w:r>
              <w:rPr>
                <w:lang w:val="en-GB"/>
              </w:rPr>
              <w:t>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 xml:space="preserve">Task 3.3 </w:t>
            </w:r>
            <w:r>
              <w:rPr>
                <w:b/>
                <w:bCs/>
                <w:lang w:val="en-GB"/>
              </w:rPr>
              <w:t>Building research capacity via VLBI</w:t>
            </w:r>
            <w:r>
              <w:rPr>
                <w:b/>
                <w:bCs/>
                <w:lang w:val="en-GB"/>
              </w:rPr>
              <w:t xml:space="preserve"> (M1</w:t>
            </w:r>
            <w:r>
              <w:rPr>
                <w:b/>
                <w:bCs/>
                <w:lang w:val="en-GB"/>
              </w:rPr>
              <w:t>2</w:t>
            </w:r>
            <w:r>
              <w:rPr>
                <w:b/>
                <w:bCs/>
                <w:lang w:val="en-GB"/>
              </w:rPr>
              <w:t>-M36); Lead OSO</w:t>
            </w:r>
          </w:p>
          <w:p>
            <w:pPr>
              <w:pStyle w:val="Normal"/>
              <w:widowControl w:val="false"/>
              <w:tabs>
                <w:tab w:val="clear" w:pos="720"/>
              </w:tabs>
              <w:spacing w:before="60" w:after="60"/>
              <w:ind w:left="0" w:right="0" w:hanging="0"/>
              <w:jc w:val="both"/>
              <w:rPr/>
            </w:pPr>
            <w:r>
              <w:rPr>
                <w:lang w:val="en-GB"/>
              </w:rPr>
              <w:t xml:space="preserve">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w:t>
            </w:r>
            <w:r>
              <w:rPr>
                <w:lang w:val="en-GB"/>
              </w:rPr>
              <w:t>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 w:val="false"/>
                <w:bCs w:val="false"/>
              </w:rPr>
            </w:pPr>
            <w:r>
              <w:rPr>
                <w:b w:val="false"/>
                <w:bCs w:val="false"/>
              </w:rPr>
              <w:t xml:space="preserve">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 </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the dissemination of scientific output and results gained throughout the coarse of ACRONYM. The consortium will adhere to an open-science policy, sharing scientific outcome with all interested parties. To allow for efficient sharing, both among the consortium partners and with the scientific  community in general, a dedicated web site will be cr</w:t>
            </w:r>
            <w:r>
              <w:rPr/>
              <w:t>e</w:t>
            </w:r>
            <w:r>
              <w:rPr/>
              <w:t>ated granting open access and browsing of the project's intermediate progress/outcome.</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Th host institute will design and implement a dedicated web site for the project, assisting partner networking capabilities and efficiency as well as dissemination of ACRONYM outcomes and results and in general outreach material.</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a seminar to take place in Greece, for the presentation of ACRONYM, dissemination of its scientific output and results and promote innovation in the field of Space Geodesy, Orbit Determination and Space Studies in general. The expert partners will introduce and present novelties and current and future trends and applications that can have an effect in the related market. The seminar will be open and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and at least one scientific publication submitted to an international conference. The scientific papers to be published will be open-access.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78"/>
        <w:gridCol w:w="709"/>
        <w:gridCol w:w="1046"/>
        <w:gridCol w:w="1129"/>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Software toolbox for the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 xml:space="preserve">Software tests validated by expert nodes; publicly available via software repository (version 1.0) </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 xml:space="preserve">Software tests validated by expert nodes; publicly available via software repository (version 2.0) </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 xml:space="preserve">Software tests validated by expert nodes; publicly available via software repository (version 3.0) </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 xml:space="preserve">WP2 </w:t>
            </w:r>
            <w:r>
              <w:rPr>
                <w:lang w:val="en-GB"/>
              </w:rPr>
              <w:t>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w:t>
            </w:r>
            <w:r>
              <w:rPr>
                <w:lang w:val="en-GB"/>
              </w:rPr>
              <w:t xml:space="preserve">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5"/>
        <w:gridCol w:w="1467"/>
        <w:gridCol w:w="1468"/>
        <w:gridCol w:w="1468"/>
        <w:gridCol w:w="2831"/>
      </w:tblGrid>
      <w:tr>
        <w:trPr/>
        <w:tc>
          <w:tcPr>
            <w:tcW w:w="2405" w:type="dxa"/>
            <w:tcBorders>
              <w:bottom w:val="single" w:sz="4" w:space="0" w:color="000000"/>
              <w:right w:val="single" w:sz="4" w:space="0" w:color="000000"/>
            </w:tcBorders>
          </w:tcPr>
          <w:p>
            <w:pPr>
              <w:pStyle w:val="Normal"/>
              <w:widowControl w:val="false"/>
              <w:tabs>
                <w:tab w:val="clear" w:pos="720"/>
              </w:tabs>
              <w:ind w:left="0" w:right="0" w:hanging="0"/>
              <w:rPr>
                <w:b/>
                <w:b/>
                <w:bCs/>
                <w:lang w:val="en-GB"/>
              </w:rPr>
            </w:pPr>
            <w:r>
              <w:rPr>
                <w:b/>
                <w:bCs/>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0" allowOverlap="1" relativeHeight="83">
                      <wp:simplePos x="0" y="0"/>
                      <wp:positionH relativeFrom="column">
                        <wp:posOffset>-537845</wp:posOffset>
                      </wp:positionH>
                      <wp:positionV relativeFrom="paragraph">
                        <wp:posOffset>3850640</wp:posOffset>
                      </wp:positionV>
                      <wp:extent cx="7560310" cy="991235"/>
                      <wp:effectExtent l="0" t="0" r="0" b="0"/>
                      <wp:wrapNone/>
                      <wp:docPr id="17"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b/>
          <w:lang w:val="en-GB"/>
        </w:rPr>
      </w:pPr>
      <w:r>
        <w:rPr>
          <w:b/>
          <w:lang w:val="en-GB"/>
        </w:rPr>
      </w:r>
    </w:p>
    <w:p>
      <w:pPr>
        <w:pStyle w:val="Normal"/>
        <w:spacing w:before="0" w:after="240"/>
        <w:ind w:left="0" w:right="0" w:hanging="0"/>
        <w:jc w:val="both"/>
        <w:rPr>
          <w:b/>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8"/>
        <w:gridCol w:w="5808"/>
        <w:gridCol w:w="1292"/>
      </w:tblGrid>
      <w:tr>
        <w:trPr>
          <w:trHeight w:val="266"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1"/>
          <w:headerReference w:type="default" r:id="rId22"/>
          <w:headerReference w:type="first" r:id="rId23"/>
          <w:footerReference w:type="default" r:id="rId24"/>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5"/>
          <w:footerReference w:type="default" r:id="rId26"/>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8"/>
        <w:gridCol w:w="1643"/>
        <w:gridCol w:w="2257"/>
        <w:gridCol w:w="2253"/>
        <w:gridCol w:w="2594"/>
      </w:tblGrid>
      <w:tr>
        <w:trPr/>
        <w:tc>
          <w:tcPr>
            <w:tcW w:w="13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5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5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23"/>
        <w:gridCol w:w="2414"/>
        <w:gridCol w:w="3828"/>
      </w:tblGrid>
      <w:tr>
        <w:trPr/>
        <w:tc>
          <w:tcPr>
            <w:tcW w:w="382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1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6"/>
        <w:gridCol w:w="1471"/>
        <w:gridCol w:w="1467"/>
        <w:gridCol w:w="1464"/>
        <w:gridCol w:w="3116"/>
      </w:tblGrid>
      <w:tr>
        <w:trPr/>
        <w:tc>
          <w:tcPr>
            <w:tcW w:w="2406"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7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6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40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rHeight w:val="506" w:hRule="atLeast"/>
        </w:trPr>
        <w:tc>
          <w:tcPr>
            <w:tcW w:w="240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27"/>
      <w:footerReference w:type="default" r:id="rId28"/>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3">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4">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71">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8">
              <wp:simplePos x="0" y="0"/>
              <wp:positionH relativeFrom="column">
                <wp:posOffset>2869565</wp:posOffset>
              </wp:positionH>
              <wp:positionV relativeFrom="paragraph">
                <wp:posOffset>10391775</wp:posOffset>
              </wp:positionV>
              <wp:extent cx="842010" cy="287655"/>
              <wp:effectExtent l="0" t="635" r="0" b="0"/>
              <wp:wrapNone/>
              <wp:docPr id="9"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7">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53">
              <wp:simplePos x="0" y="0"/>
              <wp:positionH relativeFrom="column">
                <wp:posOffset>0</wp:posOffset>
              </wp:positionH>
              <wp:positionV relativeFrom="paragraph">
                <wp:posOffset>635</wp:posOffset>
              </wp:positionV>
              <wp:extent cx="6616700" cy="267335"/>
              <wp:effectExtent l="5080" t="5715" r="5080" b="4445"/>
              <wp:wrapNone/>
              <wp:docPr id="19"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25">
              <wp:simplePos x="0" y="0"/>
              <wp:positionH relativeFrom="column">
                <wp:posOffset>0</wp:posOffset>
              </wp:positionH>
              <wp:positionV relativeFrom="paragraph">
                <wp:posOffset>635</wp:posOffset>
              </wp:positionV>
              <wp:extent cx="6616700" cy="267335"/>
              <wp:effectExtent l="5080" t="5715" r="5080" b="4445"/>
              <wp:wrapNone/>
              <wp:docPr id="21"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37</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13">
              <wp:simplePos x="0" y="0"/>
              <wp:positionH relativeFrom="column">
                <wp:posOffset>0</wp:posOffset>
              </wp:positionH>
              <wp:positionV relativeFrom="paragraph">
                <wp:posOffset>635</wp:posOffset>
              </wp:positionV>
              <wp:extent cx="6616700" cy="267335"/>
              <wp:effectExtent l="5080" t="5715" r="5080" b="4445"/>
              <wp:wrapNone/>
              <wp:docPr id="23"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3.png"/><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6.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header" Target="header13.xml"/><Relationship Id="rId28" Type="http://schemas.openxmlformats.org/officeDocument/2006/relationships/footer" Target="footer8.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1058</TotalTime>
  <Application>LibreOffice/7.4.6.2$Linux_X86_64 LibreOffice_project/40$Build-2</Application>
  <AppVersion>15.0000</AppVersion>
  <Pages>40</Pages>
  <Words>10190</Words>
  <Characters>58319</Characters>
  <CharactersWithSpaces>67844</CharactersWithSpaces>
  <Paragraphs>758</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2023-06-30T15:52:23Z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