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95"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8828577"/>
            <w:bookmarkStart w:id="1" w:name="_Toc445930535"/>
            <w:bookmarkStart w:id="2" w:name="_Toc443645004"/>
            <w:bookmarkStart w:id="3" w:name="_Toc448834151"/>
            <w:bookmarkStart w:id="4" w:name="_Toc448828797"/>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3645006"/>
            <w:bookmarkStart w:id="11" w:name="_Toc445930537"/>
            <w:bookmarkStart w:id="12" w:name="_Toc448828799"/>
            <w:bookmarkStart w:id="13" w:name="_Toc448834153"/>
            <w:bookmarkStart w:id="14" w:name="_Toc448828579"/>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1.1.1 Space Geodesy and Earth Observation</w:t>
      </w:r>
    </w:p>
    <w:p>
      <w:pPr>
        <w:pStyle w:val="TextBody"/>
        <w:ind w:left="0" w:hanging="0"/>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TextBody"/>
        <w:ind w:left="0" w:hanging="0"/>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TextBody"/>
        <w:ind w:left="0" w:hanging="0"/>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TextBody"/>
        <w:ind w:left="0" w:hanging="0"/>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TextBody"/>
        <w:ind w:left="0" w:hanging="0"/>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TextBody"/>
        <w:ind w:left="0" w:hanging="0"/>
        <w:rPr>
          <w:rStyle w:val="Strong"/>
          <w:b w:val="false"/>
          <w:b w:val="false"/>
          <w:bCs w:val="false"/>
        </w:rPr>
      </w:pPr>
      <w:r>
        <w:rPr>
          <w:b w:val="false"/>
          <w:bCs w:val="false"/>
        </w:rPr>
      </w:r>
    </w:p>
    <w:p>
      <w:pPr>
        <w:pStyle w:val="Normal"/>
        <w:widowControl/>
        <w:spacing w:before="0" w:after="200"/>
        <w:jc w:val="both"/>
        <w:rPr>
          <w:b/>
          <w:b/>
          <w:bCs/>
        </w:rPr>
      </w:pPr>
      <w:r>
        <w:rPr>
          <w:b/>
          <w:bCs/>
        </w:rPr>
        <w:t>1.1.2 NTUA and Space Geodesy in Greece</w:t>
      </w:r>
    </w:p>
    <w:p>
      <w:pPr>
        <w:pStyle w:val="TextBody"/>
        <w:ind w:left="0" w:hanging="0"/>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TextBody"/>
        <w:ind w:left="0" w:hanging="0"/>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TextBody"/>
        <w:ind w:left="0" w:hanging="0"/>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TextBody"/>
        <w:ind w:left="0" w:hanging="0"/>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TextBody"/>
        <w:ind w:left="0" w:hanging="0"/>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TextBody"/>
        <w:ind w:left="0" w:hanging="0"/>
        <w:rPr/>
      </w:pPr>
      <w:r>
        <w:rPr/>
      </w:r>
    </w:p>
    <w:p>
      <w:pPr>
        <w:pStyle w:val="Normal"/>
        <w:widowControl/>
        <w:spacing w:before="0" w:after="200"/>
        <w:jc w:val="both"/>
        <w:rPr>
          <w:b/>
          <w:b/>
          <w:bCs/>
        </w:rPr>
      </w:pPr>
      <w:r>
        <w:rPr>
          <w:b/>
          <w:bCs/>
        </w:rPr>
        <w:t>1.1.3 ACRONYM Objectives</w:t>
      </w:r>
    </w:p>
    <w:p>
      <w:pPr>
        <w:pStyle w:val="TextBody"/>
        <w:ind w:left="0" w:hanging="0"/>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TextBody"/>
        <w:ind w:left="0" w:hanging="0"/>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TextBody"/>
        <w:numPr>
          <w:ilvl w:val="0"/>
          <w:numId w:val="7"/>
        </w:numPr>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TextBody"/>
        <w:numPr>
          <w:ilvl w:val="0"/>
          <w:numId w:val="7"/>
        </w:numPr>
        <w:rPr/>
      </w:pPr>
      <w:r>
        <w:rPr/>
        <w:t>Mitigate the technological/scientific gap between the host institute and its partners, transforming it to an attractive center of excellence for new scientists, a center of excellence and innovation in the field of space-based geosciences.</w:t>
      </w:r>
    </w:p>
    <w:p>
      <w:pPr>
        <w:pStyle w:val="TextBody"/>
        <w:numPr>
          <w:ilvl w:val="0"/>
          <w:numId w:val="7"/>
        </w:numPr>
        <w:rPr/>
      </w:pPr>
      <w:r>
        <w:rPr/>
        <w:t>Significantly increase its international standing and visibility in the research community. Create a network of international collaborators, get involved in high-caliber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TextBody"/>
        <w:numPr>
          <w:ilvl w:val="0"/>
          <w:numId w:val="7"/>
        </w:numPr>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TextBody"/>
        <w:numPr>
          <w:ilvl w:val="0"/>
          <w:numId w:val="7"/>
        </w:numPr>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p>
      <w:pPr>
        <w:pStyle w:val="TextBody"/>
        <w:numPr>
          <w:ilvl w:val="0"/>
          <w:numId w:val="0"/>
        </w:numPr>
        <w:ind w:left="720" w:hanging="0"/>
        <w:rPr/>
      </w:pPr>
      <w:r>
        <w:rPr/>
      </w:r>
    </w:p>
    <w:tbl>
      <w:tblPr>
        <w:tblW w:w="9675" w:type="dxa"/>
        <w:jc w:val="left"/>
        <w:tblInd w:w="55" w:type="dxa"/>
        <w:tblLayout w:type="fixed"/>
        <w:tblCellMar>
          <w:top w:w="55" w:type="dxa"/>
          <w:left w:w="55" w:type="dxa"/>
          <w:bottom w:w="55" w:type="dxa"/>
          <w:right w:w="55" w:type="dxa"/>
        </w:tblCellMar>
      </w:tblPr>
      <w:tblGrid>
        <w:gridCol w:w="2470"/>
        <w:gridCol w:w="1719"/>
        <w:gridCol w:w="5486"/>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9"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54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Improving excellence capacity</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Creation of highly skilled workforce (in Coordinator)</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0"/>
              </w:numPr>
              <w:rPr/>
            </w:pPr>
            <w:r>
              <w:rPr/>
              <w:t>Number of host institute staff trained</w:t>
            </w:r>
          </w:p>
          <w:p>
            <w:pPr>
              <w:pStyle w:val="TextBody"/>
              <w:widowControl w:val="false"/>
              <w:numPr>
                <w:ilvl w:val="0"/>
                <w:numId w:val="10"/>
              </w:numPr>
              <w:rPr/>
            </w:pPr>
            <w:r>
              <w:rPr/>
              <w:t>Number of host institute staff involved in software development</w:t>
            </w:r>
          </w:p>
          <w:p>
            <w:pPr>
              <w:pStyle w:val="TextBody"/>
              <w:widowControl w:val="false"/>
              <w:numPr>
                <w:ilvl w:val="0"/>
                <w:numId w:val="10"/>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Recruit and train new/young scientists</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0"/>
              </w:numPr>
              <w:rPr/>
            </w:pPr>
            <w:r>
              <w:rPr/>
              <w:t>Number of PhD and PostDoc students trained</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Research capacity enhancement via in-house software &amp;</w:t>
            </w:r>
          </w:p>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reaching scientific excellence</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of software tools to accommodate:</w:t>
            </w:r>
          </w:p>
          <w:p>
            <w:pPr>
              <w:pStyle w:val="TextBody"/>
              <w:widowControl w:val="false"/>
              <w:numPr>
                <w:ilvl w:val="0"/>
                <w:numId w:val="10"/>
              </w:numPr>
              <w:rPr/>
            </w:pPr>
            <w:r>
              <w:rPr/>
              <w:t>analysis of DORIS observations</w:t>
            </w:r>
          </w:p>
          <w:p>
            <w:pPr>
              <w:pStyle w:val="TextBody"/>
              <w:widowControl w:val="false"/>
              <w:numPr>
                <w:ilvl w:val="0"/>
                <w:numId w:val="10"/>
              </w:numPr>
              <w:rPr/>
            </w:pPr>
            <w:r>
              <w:rPr/>
              <w:t>analysis of SLR observations</w:t>
            </w:r>
          </w:p>
          <w:p>
            <w:pPr>
              <w:pStyle w:val="TextBody"/>
              <w:widowControl w:val="false"/>
              <w:numPr>
                <w:ilvl w:val="0"/>
                <w:numId w:val="10"/>
              </w:numPr>
              <w:rPr/>
            </w:pPr>
            <w:r>
              <w:rPr/>
              <w:t>state-of-the-art handling of EOPs</w:t>
            </w:r>
          </w:p>
          <w:p>
            <w:pPr>
              <w:pStyle w:val="TextBody"/>
              <w:widowControl w:val="false"/>
              <w:ind w:left="0" w:hanging="0"/>
              <w:rPr/>
            </w:pPr>
            <w:r>
              <w:rPr/>
            </w:r>
          </w:p>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p>
            <w:pPr>
              <w:pStyle w:val="TextBody"/>
              <w:widowControl w:val="false"/>
              <w:numPr>
                <w:ilvl w:val="0"/>
                <w:numId w:val="10"/>
              </w:numPr>
              <w:rPr/>
            </w:pPr>
            <w:r>
              <w:rPr/>
              <w:t>number of satellite missions successfully incorporated in validation tests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Raised reputation, research profile and attractiveness of the Coordinator and the research profile of its staff</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WP2,WP3, WP5 and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international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Attractive center of excellence for young scientists</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 WP5 and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1"/>
              </w:numPr>
              <w:rPr/>
            </w:pPr>
            <w:r>
              <w:rPr/>
              <w:t>Number of applicants for PhD, PostDoc and (possible) tenure open positions. Expected to take place gradually after the start of ACRONYM.</w:t>
            </w:r>
          </w:p>
          <w:p>
            <w:pPr>
              <w:pStyle w:val="TextBody"/>
              <w:widowControl w:val="false"/>
              <w:numPr>
                <w:ilvl w:val="0"/>
                <w:numId w:val="11"/>
              </w:numPr>
              <w:rPr/>
            </w:pPr>
            <w:r>
              <w:rPr/>
              <w:t>Number of funding bids submitted including PhD and PostDoc studies (carried out in host institute)</w:t>
            </w:r>
          </w:p>
          <w:p>
            <w:pPr>
              <w:pStyle w:val="TextBody"/>
              <w:widowControl w:val="false"/>
              <w:numPr>
                <w:ilvl w:val="0"/>
                <w:numId w:val="11"/>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 WP5,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3"/>
              </w:numPr>
              <w:rPr/>
            </w:pPr>
            <w:r>
              <w:rPr/>
              <w:t>Number of conferences/workshops attended</w:t>
            </w:r>
          </w:p>
          <w:p>
            <w:pPr>
              <w:pStyle w:val="TextBody"/>
              <w:widowControl w:val="false"/>
              <w:numPr>
                <w:ilvl w:val="0"/>
                <w:numId w:val="13"/>
              </w:numPr>
              <w:rPr/>
            </w:pPr>
            <w:r>
              <w:rPr/>
              <w:t>Number of scientific publications in high-impact journals</w:t>
            </w:r>
          </w:p>
          <w:p>
            <w:pPr>
              <w:pStyle w:val="TextBody"/>
              <w:widowControl w:val="false"/>
              <w:numPr>
                <w:ilvl w:val="0"/>
                <w:numId w:val="13"/>
              </w:numPr>
              <w:rPr/>
            </w:pPr>
            <w:r>
              <w:rPr/>
              <w:t>Impact factor of scientific journals publishing results of ACRONYM</w:t>
            </w:r>
          </w:p>
          <w:p>
            <w:pPr>
              <w:pStyle w:val="TextBody"/>
              <w:widowControl w:val="false"/>
              <w:numPr>
                <w:ilvl w:val="0"/>
                <w:numId w:val="13"/>
              </w:numPr>
              <w:rPr/>
            </w:pPr>
            <w:r>
              <w:rPr/>
              <w:t>Level of involvement in International Association of Geodesy (IAG) and GGOS</w:t>
            </w:r>
          </w:p>
          <w:p>
            <w:pPr>
              <w:pStyle w:val="TextBody"/>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b/>
                <w:b/>
                <w:bCs/>
              </w:rPr>
            </w:pPr>
            <w:r>
              <w:rPr>
                <w:b/>
                <w:bCs/>
              </w:rPr>
              <w:t>Increased mobility (inwards and outwards) of qualified scientists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3"/>
              </w:numPr>
              <w:rPr/>
            </w:pPr>
            <w:r>
              <w:rPr/>
              <w:t>Number of Coordinator staff visiting ACRONYM partnership</w:t>
            </w:r>
          </w:p>
          <w:p>
            <w:pPr>
              <w:pStyle w:val="TextBody"/>
              <w:widowControl w:val="false"/>
              <w:numPr>
                <w:ilvl w:val="0"/>
                <w:numId w:val="13"/>
              </w:numPr>
              <w:rPr/>
            </w:pPr>
            <w:r>
              <w:rPr/>
              <w:t>Number of partner staff visiting NTUA</w:t>
            </w:r>
          </w:p>
          <w:p>
            <w:pPr>
              <w:pStyle w:val="TextBody"/>
              <w:widowControl w:val="false"/>
              <w:numPr>
                <w:ilvl w:val="0"/>
                <w:numId w:val="13"/>
              </w:numPr>
              <w:rPr/>
            </w:pPr>
            <w:r>
              <w:rPr/>
              <w:t>Mobility activities included in successfully bid for research proposals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Strengthen research management, administrative and funding capacity of the Coordinator</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4"/>
              </w:numPr>
              <w:rPr/>
            </w:pPr>
            <w:r>
              <w:rPr/>
              <w:t>Number of host institute staff trained (included in research administration unit)</w:t>
            </w:r>
          </w:p>
          <w:p>
            <w:pPr>
              <w:pStyle w:val="TextBody"/>
              <w:widowControl w:val="false"/>
              <w:numPr>
                <w:ilvl w:val="0"/>
                <w:numId w:val="14"/>
              </w:numPr>
              <w:rPr/>
            </w:pPr>
            <w:r>
              <w:rPr/>
              <w:t>Number of research proposals submitted (within the time span of ACRONYM)</w:t>
            </w:r>
          </w:p>
          <w:p>
            <w:pPr>
              <w:pStyle w:val="TextBody"/>
              <w:widowControl w:val="false"/>
              <w:numPr>
                <w:ilvl w:val="0"/>
                <w:numId w:val="14"/>
              </w:numPr>
              <w:rPr/>
            </w:pPr>
            <w:r>
              <w:rPr/>
              <w:t>Diversity of funding pools targeted</w:t>
            </w:r>
          </w:p>
          <w:p>
            <w:pPr>
              <w:pStyle w:val="TextBody"/>
              <w:widowControl w:val="false"/>
              <w:numPr>
                <w:ilvl w:val="0"/>
                <w:numId w:val="14"/>
              </w:numPr>
              <w:rPr/>
            </w:pPr>
            <w:r>
              <w:rPr/>
              <w:t>Success rate of funding bids submitted</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b/>
                <w:b/>
                <w:bCs/>
              </w:rPr>
            </w:pPr>
            <w:r>
              <w:rPr>
                <w:b/>
                <w:bCs/>
              </w:rPr>
              <w:t>Establish a national (Greek) ecosystem of space-based geosciences related stakeholders and promote R&amp;I</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WP5</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2"/>
              </w:numPr>
              <w:rPr/>
            </w:pPr>
            <w:r>
              <w:rPr/>
              <w:t>Number of stakeholders present in info-days and seminars.</w:t>
            </w:r>
          </w:p>
          <w:p>
            <w:pPr>
              <w:pStyle w:val="TextBody"/>
              <w:widowControl w:val="false"/>
              <w:numPr>
                <w:ilvl w:val="0"/>
                <w:numId w:val="12"/>
              </w:numPr>
              <w:rPr/>
            </w:pPr>
            <w:r>
              <w:rPr/>
              <w:t>Number of stakeholders included in research proposals submitted</w:t>
            </w:r>
          </w:p>
          <w:p>
            <w:pPr>
              <w:pStyle w:val="TextBody"/>
              <w:widowControl w:val="false"/>
              <w:numPr>
                <w:ilvl w:val="0"/>
                <w:numId w:val="12"/>
              </w:numPr>
              <w:rPr/>
            </w:pPr>
            <w:r>
              <w:rPr/>
              <w:t>Number of stakeholders interested in and/or subscribed to the ACRONYM newsletter</w:t>
            </w:r>
          </w:p>
          <w:p>
            <w:pPr>
              <w:pStyle w:val="TextBody"/>
              <w:widowControl w:val="false"/>
              <w:numPr>
                <w:ilvl w:val="0"/>
                <w:numId w:val="12"/>
              </w:numPr>
              <w:rPr>
                <w:highlight w:val="none"/>
                <w:shd w:fill="FFFF00" w:val="clear"/>
              </w:rPr>
            </w:pPr>
            <w:r>
              <w:rPr>
                <w:shd w:fill="FFFF00" w:val="clear"/>
              </w:rPr>
              <w:t>Number of stakeholders requesting/accessing online lectures and training videos (via ACRONYM’s website)</w:t>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
          <w:bCs/>
        </w:rPr>
      </w:pPr>
      <w:r>
        <w:rPr>
          <w:b/>
          <w:bCs/>
        </w:rPr>
        <w:t>1.2.1 General Concept and Overview</w:t>
      </w:r>
    </w:p>
    <w:p>
      <w:pPr>
        <w:pStyle w:val="TextBody"/>
        <w:ind w:left="0" w:hanging="0"/>
        <w:rPr>
          <w:b w:val="false"/>
          <w:b w:val="false"/>
          <w:bCs w:val="false"/>
        </w:rPr>
      </w:pPr>
      <w:r>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TextBody"/>
        <w:ind w:left="0" w:hanging="0"/>
        <w:rPr/>
      </w:pPr>
      <w:r>
        <w:rPr>
          <w:b w:val="false"/>
          <w:bCs w:val="false"/>
        </w:rPr>
        <w:t>A second pillar is the s</w:t>
      </w:r>
      <w:r>
        <w:rPr/>
        <w:t>trengthening of research management capacity and administrative skills of the staff working in the Coordinator  institute. Furthermore, this task aims at significantly broadening possible funding pools (available or targeted by the host institute) and capabilities and increase mobility (inwards and outwards) of qualified scientists.</w:t>
      </w:r>
    </w:p>
    <w:p>
      <w:pPr>
        <w:pStyle w:val="TextBody"/>
        <w:ind w:left="0" w:hanging="0"/>
        <w:rPr/>
      </w:pPr>
      <w:r>
        <w:rPr/>
        <w:t>Finally, a third pillar focuses on networking activities and involvement of the Coordinator in international, high prestige consortia, raising NTUA’s reputation and visibility. Additionally, a Greek space-based geosciences ecosystem will be established, aiming at promoting relevant technology, innovation and collaboration of stakeholders on a national level.</w:t>
      </w:r>
    </w:p>
    <w:p>
      <w:pPr>
        <w:pStyle w:val="TextBody"/>
        <w:ind w:left="0" w:hanging="0"/>
        <w:rPr/>
      </w:pPr>
      <w:r>
        <w:rPr>
          <w:b w:val="false"/>
          <w:bCs w:val="false"/>
        </w:rPr>
        <w:t>Dedicated dissemination and communication activities are also included, aiming at promoting activities and results of ACRONYM, maximizing its impact and exploiting its outomces</w:t>
      </w:r>
      <w:r>
        <w:rPr/>
        <w:t>.</w:t>
      </w:r>
    </w:p>
    <w:p>
      <w:pPr>
        <w:pStyle w:val="TextBody"/>
        <w:ind w:left="0" w:hanging="0"/>
        <w:rPr/>
      </w:pPr>
      <w:r>
        <w:rPr/>
      </w:r>
    </w:p>
    <w:p>
      <w:pPr>
        <w:pStyle w:val="Normal"/>
        <w:spacing w:before="0" w:after="200"/>
        <w:jc w:val="both"/>
        <w:rPr>
          <w:b/>
          <w:b/>
          <w:bCs/>
        </w:rPr>
      </w:pPr>
      <w:r>
        <w:rPr>
          <w:b/>
          <w:bCs/>
        </w:rPr>
        <w:t>1.2.2 Enhancing Research Capacity and Achieving Scientific Excellence</w:t>
      </w:r>
    </w:p>
    <w:p>
      <w:pPr>
        <w:pStyle w:val="TextBody"/>
        <w:ind w:left="0" w:hanging="0"/>
        <w:rPr>
          <w:rFonts w:ascii="Nimbus Roman" w:hAnsi="Nimbus Roman"/>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TextBody"/>
        <w:ind w:left="0" w:hanging="0"/>
        <w:rPr>
          <w:rFonts w:ascii="Nimbus Roman" w:hAnsi="Nimbus Roman"/>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TextBody"/>
        <w:ind w:left="0" w:hanging="0"/>
        <w:rPr>
          <w:rFonts w:ascii="Nimbus Roman" w:hAnsi="Nimbus Roman"/>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TextBody"/>
        <w:ind w:left="0" w:hanging="0"/>
        <w:rPr>
          <w:rFonts w:ascii="Nimbus Roman" w:hAnsi="Nimbus Roman"/>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its research capabilities at the field, as well as its ability to drive innovation for the country in a fast growing market related to Space.</w:t>
      </w:r>
    </w:p>
    <w:p>
      <w:pPr>
        <w:pStyle w:val="TextBody"/>
        <w:ind w:left="0" w:hanging="0"/>
        <w:rPr>
          <w:rFonts w:ascii="Nimbus Roman" w:hAnsi="Nimbus Roman"/>
        </w:rPr>
      </w:pPr>
      <w:r>
        <w:rPr/>
        <w:t>Within the framework of ACRONYM, synergies are proposed with leading experts in the techniques of DORIS, SLR and VLBI with the aim of closing the knowledge and technological gap. A strategic aim of ACRONYM is that by the end of the project’s lifespan, the host institute will have an in-house collection of software tools and a highly-skilled workforce to support high-end research in the field of Space Geodesy and Earth observation. The bulk of the effort for this goal will be undertaken in WP2 and WP3.</w:t>
      </w:r>
    </w:p>
    <w:p>
      <w:pPr>
        <w:pStyle w:val="TextBody"/>
        <w:ind w:left="0" w:hanging="0"/>
        <w:rPr>
          <w:rFonts w:ascii="Nimbus Roman" w:hAnsi="Nimbus Roman"/>
          <w:b/>
          <w:b/>
          <w:bCs/>
          <w:u w:val="single"/>
        </w:rPr>
      </w:pPr>
      <w:r>
        <w:rPr>
          <w:b/>
          <w:bCs/>
          <w:u w:val="single"/>
        </w:rPr>
      </w:r>
    </w:p>
    <w:p>
      <w:pPr>
        <w:pStyle w:val="TextBody"/>
        <w:ind w:left="0" w:hanging="0"/>
        <w:rPr>
          <w:rFonts w:ascii="Nimbus Roman" w:hAnsi="Nimbus Roman"/>
          <w:b/>
          <w:b/>
          <w:bCs/>
          <w:u w:val="single"/>
        </w:rPr>
      </w:pPr>
      <w:r>
        <w:rPr>
          <w:b/>
          <w:bCs/>
          <w:u w:val="single"/>
        </w:rPr>
        <w:t>Expert Nodes</w:t>
      </w:r>
    </w:p>
    <w:p>
      <w:pPr>
        <w:pStyle w:val="TextBody"/>
        <w:ind w:left="0" w:hanging="0"/>
        <w:rPr>
          <w:rFonts w:ascii="Nimbus Roman" w:hAnsi="Nimbus Roman"/>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TextBody"/>
        <w:ind w:left="0" w:hanging="0"/>
        <w:rPr>
          <w:rFonts w:ascii="Nimbus Roman" w:hAnsi="Nimbus Roman"/>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TextBody"/>
        <w:ind w:left="0" w:hanging="0"/>
        <w:rPr>
          <w:rFonts w:ascii="Nimbus Roman" w:hAnsi="Nimbus Roman"/>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TextBody"/>
        <w:ind w:left="0" w:hanging="0"/>
        <w:rPr>
          <w:rFonts w:ascii="Nimbus Roman" w:hAnsi="Nimbus Roman"/>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TextBody"/>
        <w:ind w:left="0" w:hanging="0"/>
        <w:rPr>
          <w:rFonts w:ascii="Nimbus Roman" w:hAnsi="Nimbus Roman"/>
        </w:rPr>
      </w:pPr>
      <w:r>
        <w:rPr/>
        <w:t>GFZ will act as the SLR expertise node, since it has a longstanding contribution in the technique, evident by its involvement in the ILRS as an Analysis Center and a long list of relevant scientific publications.</w:t>
      </w:r>
    </w:p>
    <w:p>
      <w:pPr>
        <w:pStyle w:val="TextBody"/>
        <w:ind w:left="0" w:hanging="0"/>
        <w:rPr>
          <w:rFonts w:ascii="Nimbus Roman" w:hAnsi="Nimbus Roman"/>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TextBody"/>
        <w:ind w:left="0" w:hanging="0"/>
        <w:rPr>
          <w:rFonts w:ascii="Nimbus Roman" w:hAnsi="Nimbus Roman"/>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TextBody"/>
        <w:ind w:left="0" w:hanging="0"/>
        <w:rPr>
          <w:rFonts w:ascii="Nimbus Roman" w:hAnsi="Nimbus Roman"/>
        </w:rPr>
      </w:pPr>
      <w:r>
        <w:rPr/>
      </w:r>
    </w:p>
    <w:p>
      <w:pPr>
        <w:pStyle w:val="TextBody"/>
        <w:ind w:left="0" w:hanging="0"/>
        <w:rPr>
          <w:u w:val="single"/>
        </w:rPr>
      </w:pPr>
      <w:r>
        <w:rPr>
          <w:b/>
          <w:bCs/>
          <w:u w:val="single"/>
        </w:rPr>
        <w:t>Achieving Scientific Excellence Phase I</w:t>
      </w:r>
    </w:p>
    <w:p>
      <w:pPr>
        <w:pStyle w:val="TextBody"/>
        <w:ind w:left="0" w:hanging="0"/>
        <w:rPr>
          <w:rFonts w:ascii="Nimbus Roman" w:hAnsi="Nimbus Roman"/>
        </w:rPr>
      </w:pPr>
      <w:r>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TextBody"/>
        <w:ind w:left="0" w:hanging="0"/>
        <w:rPr>
          <w:rFonts w:ascii="Nimbus Roman" w:hAnsi="Nimbus Roman"/>
        </w:rPr>
      </w:pPr>
      <w:r>
        <w:rPr/>
        <w:t>Knowledge transfer will be performed by means of:</w:t>
      </w:r>
    </w:p>
    <w:p>
      <w:pPr>
        <w:pStyle w:val="TextBody"/>
        <w:numPr>
          <w:ilvl w:val="0"/>
          <w:numId w:val="15"/>
        </w:numPr>
        <w:rPr/>
      </w:pPr>
      <w:r>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TextBody"/>
        <w:numPr>
          <w:ilvl w:val="0"/>
          <w:numId w:val="15"/>
        </w:numPr>
        <w:rPr/>
      </w:pPr>
      <w:r>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TextBody"/>
        <w:numPr>
          <w:ilvl w:val="0"/>
          <w:numId w:val="15"/>
        </w:numPr>
        <w:rPr/>
      </w:pPr>
      <w:r>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solidifying networking activities and allow for further one-on-one communication and intercourse.</w:t>
      </w:r>
    </w:p>
    <w:p>
      <w:pPr>
        <w:pStyle w:val="TextBody"/>
        <w:ind w:left="0" w:hanging="0"/>
        <w:rPr>
          <w:rFonts w:ascii="Nimbus Roman" w:hAnsi="Nimbus Roman"/>
        </w:rPr>
      </w:pPr>
      <w:r>
        <w:rPr/>
        <w:t>This first phase will start at the beginning ACRONYM (first month) and will have a duration of one year. 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TextBody"/>
        <w:ind w:left="0" w:hanging="0"/>
        <w:rPr>
          <w:rFonts w:ascii="Nimbus Roman" w:hAnsi="Nimbus Roman"/>
        </w:rPr>
      </w:pPr>
      <w:r>
        <w:rPr/>
      </w:r>
    </w:p>
    <w:p>
      <w:pPr>
        <w:pStyle w:val="TextBody"/>
        <w:ind w:left="0" w:hanging="0"/>
        <w:rPr>
          <w:u w:val="single"/>
        </w:rPr>
      </w:pPr>
      <w:r>
        <w:rPr>
          <w:b/>
          <w:bCs/>
          <w:u w:val="single"/>
        </w:rPr>
        <w:t>Achieving Scientific Excellence Phase II</w:t>
      </w:r>
    </w:p>
    <w:p>
      <w:pPr>
        <w:pStyle w:val="TextBody"/>
        <w:ind w:left="0" w:hanging="0"/>
        <w:rPr>
          <w:rFonts w:ascii="Nimbus Roman" w:hAnsi="Nimbus Roman"/>
        </w:rPr>
      </w:pPr>
      <w:r>
        <w:rPr/>
        <w:t>The next, second phase (WP3) will build on the knowledge gained from the previous phase and will adhere to a more “hands on”, technical approach.  This phase will start by the end of the previous and will last until ACRONYM’s end of life.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TextBody"/>
        <w:ind w:left="0" w:hanging="0"/>
        <w:rPr>
          <w:rFonts w:ascii="Nimbus Roman" w:hAnsi="Nimbus Roman"/>
        </w:rPr>
      </w:pPr>
      <w:r>
        <w:rPr/>
        <w:t xml:space="preserve">Software development will adopt the work plan established in </w:t>
      </w:r>
      <w:r>
        <w:rPr>
          <w:shd w:fill="auto" w:val="clear"/>
        </w:rPr>
        <w:t>the first phase</w:t>
      </w:r>
      <w:r>
        <w:rPr/>
        <w:t>, enabling step-by-step validation. Such a process will enable the efficient administration of the capacity building process,  monitoring progress through well established, timely milestones, goals and validation tests.</w:t>
      </w:r>
    </w:p>
    <w:p>
      <w:pPr>
        <w:pStyle w:val="TextBody"/>
        <w:ind w:left="0" w:hanging="0"/>
        <w:rPr>
          <w:rFonts w:ascii="Nimbus Roman" w:hAnsi="Nimbus Roman"/>
        </w:rPr>
      </w:pPr>
      <w:r>
        <w:rPr/>
        <w:t xml:space="preserve">Focus will be placed on (a) problem solving skills, (b) robust algorithmic approaches and best practices, (c) numerical methodologies, (d) program design and implementation strategies and (e) adoption of state-of-the-art models. </w:t>
      </w:r>
      <w:r>
        <w:rPr>
          <w:lang w:val="en-GB"/>
        </w:rPr>
        <w:t>Knowledge transfer will be performed by means of:</w:t>
      </w:r>
    </w:p>
    <w:p>
      <w:pPr>
        <w:pStyle w:val="TextBody"/>
        <w:numPr>
          <w:ilvl w:val="0"/>
          <w:numId w:val="16"/>
        </w:numPr>
        <w:rPr/>
      </w:pPr>
      <w:r>
        <w:rPr/>
        <w:t xml:space="preserve">remote (on-line) webinars hosted by the expert nodes and attended by the dedicated task force set-up at the Coordinator institution, focusing on implementation and validation of specific specific technical issues, i.e. modelling approaches (according to the roadmap laid out in the technical documents of the previous step). These meets will be performed once every two months. </w:t>
      </w:r>
    </w:p>
    <w:p>
      <w:pPr>
        <w:pStyle w:val="TextBody"/>
        <w:numPr>
          <w:ilvl w:val="0"/>
          <w:numId w:val="16"/>
        </w:numPr>
        <w:rPr/>
      </w:pPr>
      <w:r>
        <w:rPr/>
        <w:t xml:space="preserve">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 </w:t>
      </w:r>
    </w:p>
    <w:p>
      <w:pPr>
        <w:pStyle w:val="TextBody"/>
        <w:numPr>
          <w:ilvl w:val="0"/>
          <w:numId w:val="16"/>
        </w:numPr>
        <w:rPr/>
      </w:pPr>
      <w:r>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TextBody"/>
        <w:ind w:left="0" w:hanging="0"/>
        <w:rPr>
          <w:rFonts w:ascii="Nimbus Roman" w:hAnsi="Nimbus Roman"/>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TextBody"/>
        <w:ind w:left="0" w:hanging="0"/>
        <w:rPr>
          <w:rFonts w:ascii="Nimbus Roman" w:hAnsi="Nimbus Roman"/>
        </w:rPr>
      </w:pPr>
      <w:r>
        <w:rPr/>
      </w:r>
    </w:p>
    <w:p>
      <w:pPr>
        <w:pStyle w:val="TextBody"/>
        <w:ind w:left="0" w:hanging="0"/>
        <w:rPr>
          <w:rFonts w:ascii="Nimbus Roman" w:hAnsi="Nimbus Roman"/>
          <w:highlight w:val="none"/>
          <w:shd w:fill="FFFF00" w:val="clear"/>
        </w:rPr>
      </w:pPr>
      <w:r>
        <w:rPr>
          <w:shd w:fill="FFFF00" w:val="clear"/>
        </w:rPr>
        <w:t>DORIS day etc, where should I put these?</w:t>
      </w:r>
    </w:p>
    <w:p>
      <w:pPr>
        <w:pStyle w:val="TextBody"/>
        <w:ind w:left="0" w:hanging="0"/>
        <w:rPr/>
      </w:pPr>
      <w:r>
        <w:rPr>
          <w:shd w:fill="auto" w:val="clear"/>
        </w:rPr>
        <w:t>Coordinator’s staff, and especially young scientists involved, will seek to attend any virtual and/or on-site training events organized by IGS, IDS, ILRS, IVS and IAG (e.g. DORIS-days organized by IDS).</w:t>
      </w:r>
    </w:p>
    <w:p>
      <w:pPr>
        <w:pStyle w:val="TextBody"/>
        <w:ind w:left="0" w:hanging="0"/>
        <w:rPr>
          <w:rFonts w:ascii="Nimbus Roman" w:hAnsi="Nimbus Roman"/>
        </w:rPr>
      </w:pPr>
      <w:r>
        <w:rPr/>
      </w:r>
    </w:p>
    <w:p>
      <w:pPr>
        <w:pStyle w:val="Normal"/>
        <w:spacing w:before="0" w:after="200"/>
        <w:jc w:val="both"/>
        <w:rPr>
          <w:b/>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TextBody"/>
        <w:ind w:left="0" w:hanging="0"/>
        <w:rPr/>
      </w:pPr>
      <w:r>
        <w:rPr/>
        <w:t xml:space="preserve">In order to further enhance NTUA’s research capacity,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TextBody"/>
        <w:ind w:left="0" w:hanging="0"/>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utilizing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TextBody"/>
        <w:numPr>
          <w:ilvl w:val="0"/>
          <w:numId w:val="17"/>
        </w:numPr>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TextBody"/>
        <w:numPr>
          <w:ilvl w:val="0"/>
          <w:numId w:val="17"/>
        </w:numPr>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submission), seeking greater impact and pathways to achieving it.</w:t>
      </w:r>
    </w:p>
    <w:p>
      <w:pPr>
        <w:pStyle w:val="TextBody"/>
        <w:numPr>
          <w:ilvl w:val="0"/>
          <w:numId w:val="17"/>
        </w:numPr>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TextBody"/>
        <w:ind w:left="0" w:hanging="0"/>
        <w:rPr/>
      </w:pPr>
      <w:r>
        <w:rPr>
          <w:rStyle w:val="Strong"/>
          <w:b w:val="false"/>
          <w:bCs w:val="false"/>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TextBody"/>
        <w:ind w:left="0" w:hanging="0"/>
        <w:rPr/>
      </w:pPr>
      <w:r>
        <w:rPr>
          <w:rStyle w:val="Strong"/>
          <w:b w:val="false"/>
          <w:bCs w:val="false"/>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TextBody"/>
        <w:numPr>
          <w:ilvl w:val="0"/>
          <w:numId w:val="18"/>
        </w:numPr>
        <w:rPr/>
      </w:pPr>
      <w:r>
        <w:rPr>
          <w:rStyle w:val="Strong"/>
          <w:b w:val="false"/>
          <w:bCs w:val="false"/>
        </w:rPr>
        <w:t>two EU large scale research and innovation calls (e.g. HORIZON),</w:t>
      </w:r>
    </w:p>
    <w:p>
      <w:pPr>
        <w:pStyle w:val="TextBody"/>
        <w:numPr>
          <w:ilvl w:val="0"/>
          <w:numId w:val="18"/>
        </w:numPr>
        <w:rPr/>
      </w:pPr>
      <w:r>
        <w:rPr>
          <w:rStyle w:val="Strong"/>
          <w:b w:val="false"/>
          <w:bCs w:val="false"/>
        </w:rPr>
        <w:t>two research proposals targeting young scientists and mobility (e.g. EU MSCA calls)</w:t>
      </w:r>
    </w:p>
    <w:p>
      <w:pPr>
        <w:pStyle w:val="TextBody"/>
        <w:numPr>
          <w:ilvl w:val="0"/>
          <w:numId w:val="18"/>
        </w:numPr>
        <w:rPr/>
      </w:pPr>
      <w:r>
        <w:rPr/>
        <w:t>one funding bid targeting private/public collaboration, including at least one the ecosystem commercial (business) partner</w:t>
      </w:r>
    </w:p>
    <w:p>
      <w:pPr>
        <w:pStyle w:val="TextBody"/>
        <w:ind w:left="0" w:hanging="0"/>
        <w:rPr/>
      </w:pPr>
      <w:r>
        <w:rPr>
          <w:rStyle w:val="Strong"/>
          <w:b w:val="false"/>
          <w:bCs w:val="false"/>
        </w:rPr>
        <w:t>Apart from NTUA, at least two of the ACRONYM partners will be involved in each of the proposals to be submitted, the aim being however for the consortium to be included as a whole.</w:t>
      </w:r>
    </w:p>
    <w:p>
      <w:pPr>
        <w:pStyle w:val="TextBody"/>
        <w:ind w:left="0" w:hanging="0"/>
        <w:rPr>
          <w:rStyle w:val="Strong"/>
          <w:b w:val="false"/>
          <w:b w:val="false"/>
          <w:bCs w:val="false"/>
        </w:rPr>
      </w:pPr>
      <w:r>
        <w:rPr>
          <w:b w:val="false"/>
          <w:bCs w:val="false"/>
        </w:rPr>
      </w:r>
    </w:p>
    <w:p>
      <w:pPr>
        <w:pStyle w:val="Normal"/>
        <w:spacing w:before="0" w:after="200"/>
        <w:jc w:val="both"/>
        <w:rPr>
          <w:highlight w:val="none"/>
          <w:shd w:fill="auto" w:val="clear"/>
        </w:rPr>
      </w:pPr>
      <w:r>
        <w:rPr>
          <w:b/>
          <w:bCs/>
          <w:shd w:fill="auto" w:val="clear"/>
        </w:rPr>
        <w:t>1.2.4 Raising Research profile, Dissemination Activities and Strategic Networking</w:t>
      </w:r>
    </w:p>
    <w:p>
      <w:pPr>
        <w:pStyle w:val="TextBody"/>
        <w:ind w:left="0" w:hanging="0"/>
        <w:rPr/>
      </w:pPr>
      <w:r>
        <w:rPr/>
        <w:t xml:space="preserve">Through the consortium synergy and in the framework of ACRONYM, at least three papers will be published in high impact, peer-reviewed scientific journals (impact factor &gt; 2.4).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 </w:t>
      </w:r>
    </w:p>
    <w:p>
      <w:pPr>
        <w:pStyle w:val="TextBody"/>
        <w:ind w:left="0" w:hanging="0"/>
        <w:rPr/>
      </w:pPr>
      <w:r>
        <w:rPr/>
        <w:t xml:space="preserve">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w:t>
      </w:r>
      <w:r>
        <w:rPr>
          <w:shd w:fill="auto" w:val="clear"/>
        </w:rPr>
        <w:t>Section 1.2.2 and WP2, WP3</w:t>
      </w:r>
      <w:r>
        <w:rPr/>
        <w:t>) and the co-supervision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TextBody"/>
        <w:ind w:left="0" w:hanging="0"/>
        <w:rPr/>
      </w:pPr>
      <w:r>
        <w:rPr/>
        <w:t>Further strengthening of networking activities and scientific prominence will be seeked through the consortium’s presence in at le</w:t>
      </w:r>
      <w:r>
        <w:rPr>
          <w:shd w:fill="auto" w:val="clear"/>
        </w:rPr>
        <w:t xml:space="preserve">ast </w:t>
      </w:r>
      <w:r>
        <w:rPr>
          <w:color w:val="000000"/>
          <w:shd w:fill="auto" w:val="clear"/>
        </w:rPr>
        <w:t>five i</w:t>
      </w:r>
      <w:r>
        <w:rPr>
          <w:shd w:fill="auto" w:val="clear"/>
        </w:rPr>
        <w:t>nternational conferences, where outcomes of ACRONYM will be presented. Presence in technique-specific workshops organized by the respective international services (i.e. IDS, ILRS and IVS) will be prioritized. The partners will also attend at least two IAG  related events, which are known to attract top class scientists in the field.</w:t>
      </w:r>
    </w:p>
    <w:p>
      <w:pPr>
        <w:pStyle w:val="TextBody"/>
        <w:ind w:left="0" w:hanging="0"/>
        <w:rPr>
          <w:highlight w:val="none"/>
          <w:shd w:fill="FFFF00" w:val="clear"/>
        </w:rPr>
      </w:pPr>
      <w:r>
        <w:rPr>
          <w:shd w:fill="FFFF00" w:val="clear"/>
        </w:rPr>
        <w:t>Getting involved IDS ILRS IAG</w:t>
      </w:r>
    </w:p>
    <w:p>
      <w:pPr>
        <w:pStyle w:val="TextBody"/>
        <w:ind w:left="0" w:hanging="0"/>
        <w:rPr>
          <w:shd w:fill="auto" w:val="clear"/>
        </w:rPr>
      </w:pPr>
      <w:r>
        <w:rPr>
          <w:shd w:fill="auto" w:val="clear"/>
        </w:rPr>
      </w:r>
    </w:p>
    <w:p>
      <w:pPr>
        <w:pStyle w:val="Normal"/>
        <w:spacing w:before="0" w:after="200"/>
        <w:jc w:val="both"/>
        <w:rPr>
          <w:b/>
          <w:b/>
          <w:bCs/>
        </w:rPr>
      </w:pPr>
      <w:r>
        <w:rPr>
          <w:b/>
          <w:bCs/>
          <w:shd w:fill="auto" w:val="clear"/>
        </w:rPr>
        <w:t>1.2.5 Establishing a Greek ecosystem of Space-based geosciences and ties between market and academia</w:t>
      </w:r>
    </w:p>
    <w:p>
      <w:pPr>
        <w:pStyle w:val="TextBody"/>
        <w:ind w:left="0" w:hanging="0"/>
        <w:rPr/>
      </w:pPr>
      <w:r>
        <w:rPr/>
        <w:t>The coordinator will take the initiative of bringing together all parties in Greece involved in space-based geosciences and related applications, thus establishing a Greek ecosystem of related partners, in an effort to disperse and disseminate the impact of ACRONYM on a national scale. Through this newly established ecosystem, it will seek further strategic networking, both with research institutions and collaboration agreements with businesses active in the field.</w:t>
      </w:r>
    </w:p>
    <w:p>
      <w:pPr>
        <w:pStyle w:val="TextBody"/>
        <w:ind w:left="0" w:hanging="0"/>
        <w:rPr/>
      </w:pPr>
      <w:r>
        <w:rPr/>
        <w:t>The ecosystem call is expected to attract more than ten participants, including  possible industry partners active in:</w:t>
      </w:r>
    </w:p>
    <w:p>
      <w:pPr>
        <w:pStyle w:val="TextBody"/>
        <w:numPr>
          <w:ilvl w:val="0"/>
          <w:numId w:val="19"/>
        </w:numPr>
        <w:rPr/>
      </w:pPr>
      <w:r>
        <w:rPr>
          <w:lang w:val="en-GB"/>
        </w:rPr>
        <w:t>Space industry, space sciences, space awareness and  security, geosciences, Earth observation, tracking and navigation and related fields (e.g. Libre Space Foundation (</w:t>
      </w:r>
      <w:hyperlink r:id="rId12">
        <w:r>
          <w:rPr>
            <w:rStyle w:val="InternetLink"/>
            <w:lang w:val="en-GB"/>
          </w:rPr>
          <w:t>https://libre.space/</w:t>
        </w:r>
      </w:hyperlink>
      <w:r>
        <w:rPr>
          <w:lang w:val="en-GB"/>
        </w:rPr>
        <w:t>), Geosystems Hellas (</w:t>
      </w:r>
      <w:hyperlink r:id="rId13">
        <w:r>
          <w:rPr>
            <w:rStyle w:val="InternetLink"/>
            <w:lang w:val="en-GB"/>
          </w:rPr>
          <w:t>https://www.geosystems-hellas.gr/</w:t>
        </w:r>
      </w:hyperlink>
      <w:r>
        <w:rPr>
          <w:lang w:val="en-GB"/>
        </w:rPr>
        <w:t>), Planetek Hellas (</w:t>
      </w:r>
      <w:hyperlink r:id="rId14">
        <w:r>
          <w:rPr>
            <w:rStyle w:val="InternetLink"/>
            <w:lang w:val="en-GB"/>
          </w:rPr>
          <w:t>https://www.planetek.gr/</w:t>
        </w:r>
      </w:hyperlink>
      <w:r>
        <w:rPr>
          <w:lang w:val="en-GB"/>
        </w:rPr>
        <w:t xml:space="preserve">)), </w:t>
      </w:r>
    </w:p>
    <w:p>
      <w:pPr>
        <w:pStyle w:val="TextBody"/>
        <w:numPr>
          <w:ilvl w:val="0"/>
          <w:numId w:val="19"/>
        </w:numPr>
        <w:rPr/>
      </w:pPr>
      <w:r>
        <w:rPr>
          <w:lang w:val="en-GB"/>
        </w:rPr>
        <w:t>Governmental agencies and research institutions (e.g. National Observatory of Athens, Beyond Centre (</w:t>
      </w:r>
      <w:hyperlink r:id="rId15">
        <w:r>
          <w:rPr>
            <w:rStyle w:val="InternetLink"/>
            <w:lang w:val="en-GB"/>
          </w:rPr>
          <w:t>http://beyond-eocenter.eu/</w:t>
        </w:r>
      </w:hyperlink>
      <w:r>
        <w:rPr>
          <w:lang w:val="en-GB"/>
        </w:rPr>
        <w:t>), Hellenic Group on Earth Observations (</w:t>
      </w:r>
      <w:hyperlink r:id="rId16">
        <w:r>
          <w:rPr>
            <w:rStyle w:val="InternetLink"/>
            <w:lang w:val="en-GB"/>
          </w:rPr>
          <w:t>https://www.greekgeo.noa.gr/</w:t>
        </w:r>
      </w:hyperlink>
      <w:r>
        <w:rPr>
          <w:lang w:val="en-GB"/>
        </w:rPr>
        <w:t xml:space="preserve">)) </w:t>
      </w:r>
    </w:p>
    <w:p>
      <w:pPr>
        <w:pStyle w:val="TextBody"/>
        <w:numPr>
          <w:ilvl w:val="0"/>
          <w:numId w:val="19"/>
        </w:numPr>
        <w:rPr/>
      </w:pPr>
      <w:r>
        <w:rPr/>
        <w:t>Universities (e.g. Aristotle University of Thessaloniki, National and Kapodistrian University of Athens and the University of West Attica).</w:t>
      </w:r>
    </w:p>
    <w:p>
      <w:pPr>
        <w:pStyle w:val="TextBody"/>
        <w:ind w:left="0" w:hanging="0"/>
        <w:rPr>
          <w:highlight w:val="none"/>
          <w:shd w:fill="auto" w:val="clear"/>
        </w:rPr>
      </w:pPr>
      <w:r>
        <w:rPr/>
        <w:t>Two dedicated (on-site) meetings will be organized by NTUA to take place in Greece, aiming at networking activities and potential collaborations between ecosystem parties.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TextBody"/>
        <w:ind w:left="0" w:hanging="0"/>
        <w:rPr/>
      </w:pPr>
      <w:r>
        <w:rPr/>
        <w:t>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w:t>
      </w:r>
    </w:p>
    <w:p>
      <w:pPr>
        <w:pStyle w:val="TextBody"/>
        <w:ind w:left="0" w:hanging="0"/>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TextBody"/>
        <w:ind w:left="0" w:hanging="0"/>
        <w:rPr/>
      </w:pPr>
      <w: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lang w:val="en-GB"/>
        </w:rPr>
        <w:t>(a) methods and techniques of Space Geodesy they use, (b) application range, (c) datasets and analysis pipelines (d) specific needs in data processing and products (e) research interest, aspirations and future plans.</w:t>
      </w:r>
    </w:p>
    <w:p>
      <w:pPr>
        <w:pStyle w:val="TextBody"/>
        <w:ind w:left="0" w:hanging="0"/>
        <w:rPr>
          <w:b w:val="false"/>
          <w:b w:val="false"/>
          <w:bCs w:val="false"/>
          <w:lang w:val="en-GB"/>
        </w:rPr>
      </w:pPr>
      <w:r>
        <w:rPr>
          <w:b w:val="false"/>
          <w:bCs w:val="false"/>
          <w:lang w:val="en-GB"/>
        </w:rPr>
      </w:r>
    </w:p>
    <w:p>
      <w:pPr>
        <w:pStyle w:val="Normal"/>
        <w:spacing w:before="0" w:after="200"/>
        <w:jc w:val="both"/>
        <w:rPr>
          <w:lang w:val="en-GB"/>
        </w:rPr>
      </w:pPr>
      <w:r>
        <w:rPr>
          <w:b/>
          <w:lang w:val="en-GB"/>
        </w:rPr>
        <w:t>1.3</w:t>
        <w:tab/>
        <w:t>Open Science</w:t>
      </w:r>
    </w:p>
    <w:p>
      <w:pPr>
        <w:pStyle w:val="TextBody"/>
        <w:ind w:left="0" w:hanging="0"/>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TextBody"/>
        <w:ind w:left="0" w:hanging="0"/>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TextBody"/>
        <w:ind w:left="0" w:hanging="0"/>
        <w:rPr/>
      </w:pPr>
      <w:r>
        <w:rPr/>
      </w:r>
    </w:p>
    <w:p>
      <w:pPr>
        <w:pStyle w:val="TextBody"/>
        <w:ind w:left="0" w:hanging="0"/>
        <w:rPr>
          <w:b/>
          <w:b/>
          <w:bCs/>
          <w:highlight w:val="none"/>
          <w:shd w:fill="FFFF00" w:val="clear"/>
        </w:rPr>
      </w:pPr>
      <w:r>
        <w:rPr>
          <w:b/>
          <w:bCs/>
          <w:shd w:fill="FFFF00" w:val="clear"/>
        </w:rPr>
        <w:t>1.4 Gender Equality</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TextBody"/>
        <w:ind w:left="0" w:hanging="0"/>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TextBody"/>
        <w:ind w:left="0" w:hanging="0"/>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TextBody"/>
        <w:ind w:left="0" w:hanging="0"/>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TextBody"/>
        <w:ind w:left="0" w:hanging="0"/>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Space-based geosciences (Section</w:t>
      </w:r>
      <w:r>
        <w:rPr>
          <w:b w:val="false"/>
          <w:bCs w:val="false"/>
          <w:shd w:fill="auto" w:val="clear"/>
        </w:rPr>
        <w:t xml:space="preserve"> 1.2.5)</w:t>
      </w:r>
      <w:r>
        <w:rPr>
          <w:b w:val="false"/>
          <w:bCs w:val="false"/>
          <w:shd w:fill="auto" w:val="clear"/>
        </w:rPr>
        <w:t xml:space="preserve"> the Coordinator will gradually disperse knowledge and help raise expertise and involvement in Earth Observation on a national scale (actions described in Tasks </w:t>
      </w:r>
      <w:r>
        <w:rPr>
          <w:b w:val="false"/>
          <w:bCs w:val="false"/>
          <w:shd w:fill="auto" w:val="clear"/>
        </w:rPr>
        <w:t>5.3 to 5.5</w:t>
      </w:r>
      <w:r>
        <w:rPr>
          <w:b w:val="false"/>
          <w:bCs w:val="false"/>
          <w:shd w:fill="auto" w:val="clear"/>
        </w:rPr>
        <w:t xml:space="preserve">).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b/>
          <w:bCs/>
          <w:u w:val="single"/>
        </w:rPr>
        <w:t>A new set of free and open-source software tools to process space geodesy data.</w:t>
      </w:r>
    </w:p>
    <w:p>
      <w:pPr>
        <w:pStyle w:val="TextBody"/>
        <w:ind w:left="0" w:hanging="0"/>
        <w:rPr/>
      </w:pPr>
      <w:r>
        <w:rPr/>
        <w:t>One results of ACRONYM that is of special importance, is the creation of a new software toolbox to tackle state-of-the-art analysis of Space geodetic data, especially targeting the fundamental DORIS and SLR techniques. The work-flow followed to reach this goal is described in WP3. As noted in Section XX, such software tools are not only few in number, but also either not-free or not open-source or even both. They are usually developed by in-house scientific teams in prestigious, top-class institutes worldwide. Via ACRONYM, the Coordinator with the crucial input of the expert partners will build a set of tools using standards and models of the highest standards and follow a policy of imminent, direct sharing with any interested partners (via development on the public domain using a free and open-source policy).</w:t>
      </w:r>
    </w:p>
    <w:p>
      <w:pPr>
        <w:pStyle w:val="TextBody"/>
        <w:ind w:left="0" w:hanging="0"/>
        <w:rPr/>
      </w:pPr>
      <w:r>
        <w:rPr/>
        <w:t>To place this result into perspective, it is worth noting that for the most recent realization of ITRF, the ILRS contributed data from 7 Analysis Centers (</w:t>
      </w:r>
      <w:r>
        <w:rPr>
          <w:shd w:fill="FFFF00" w:val="clear"/>
        </w:rPr>
        <w:t>Pavlis et al. 2023</w:t>
      </w:r>
      <w:r>
        <w:rPr/>
        <w:t>) including GFZ,  while at the same time the IDS’s contribution was derived from only 4 Analysis Centers (</w:t>
      </w:r>
      <w:r>
        <w:rPr>
          <w:shd w:fill="FFFF00" w:val="clear"/>
        </w:rPr>
        <w:t>Moreaux et al. 2022</w:t>
      </w:r>
      <w:r>
        <w:rPr/>
        <w:t>)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w:t>
      </w:r>
    </w:p>
    <w:p>
      <w:pPr>
        <w:pStyle w:val="Normal"/>
        <w:jc w:val="both"/>
        <w:rPr/>
      </w:pPr>
      <w:r>
        <w:rPr/>
      </w:r>
    </w:p>
    <w:p>
      <w:pPr>
        <w:pStyle w:val="Normal"/>
        <w:rPr/>
      </w:pPr>
      <w:r>
        <w:rPr>
          <w:b/>
          <w:bCs/>
          <w:u w:val="single"/>
        </w:rPr>
        <w:t>Scientific Results.</w:t>
      </w:r>
    </w:p>
    <w:p>
      <w:pPr>
        <w:pStyle w:val="Normal"/>
        <w:jc w:val="both"/>
        <w:rPr>
          <w:highlight w:val="none"/>
          <w:shd w:fill="auto" w:val="clear"/>
        </w:rPr>
      </w:pPr>
      <w:r>
        <w:rPr>
          <w:shd w:fill="auto" w:val="clear"/>
        </w:rPr>
        <w:t xml:space="preserve">Within the lifetime of ACRONYM a series of scientific publications will be issued, tackling open issues (i.e. modeling approaches) used in the fundamental Space Geodetic observation techniques. These include at least three publications in high-impact, peer-reviewed scientific journals and at least five publications in international conferences. It is expected that these publications will either create new knowledge (e.g. adopt/introduce new modeling and/or numerical techniques) or reinforce current approaches through robust validation, experimentation and assessment of their characteristics. </w:t>
      </w:r>
    </w:p>
    <w:p>
      <w:pPr>
        <w:pStyle w:val="Normal"/>
        <w:rPr/>
      </w:pPr>
      <w:r>
        <w:rPr/>
      </w:r>
    </w:p>
    <w:p>
      <w:pPr>
        <w:pStyle w:val="Normal"/>
        <w:jc w:val="both"/>
        <w:rPr>
          <w:b/>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As already described and thoroughly presented in Section 3.</w:t>
      </w:r>
      <w:r>
        <w:rPr>
          <w:b w:val="false"/>
          <w:bCs w:val="false"/>
          <w:u w:val="none"/>
          <w:shd w:fill="auto" w:val="clear"/>
        </w:rPr>
        <w:t>2,</w:t>
      </w:r>
      <w:r>
        <w:rPr>
          <w:b w:val="false"/>
          <w:bCs w:val="false"/>
          <w:u w:val="none"/>
          <w:shd w:fill="auto" w:val="clear"/>
        </w:rPr>
        <w:t xml:space="preserve"> al</w:t>
      </w:r>
      <w:r>
        <w:rPr>
          <w:b w:val="false"/>
          <w:bCs w:val="false"/>
          <w:u w:val="none"/>
          <w:shd w:fill="auto" w:val="clear"/>
        </w:rPr>
        <w:t>l 4 ACRONYM partners (excluding the Coordinator) are world leading experts in Space Geodesy. ACRONYM activities are targeted towards creating solid, seamless networking between the Coordinator and the partners, past the lifetime of this project. On-line meetings and a series of visits (at least two visits from and to the partners) are expected to solidify networking. Additionally, a number of tasks focuses on networking, including (a) co-supervision of PhD and PostDoc students, (b) submission of further (at least five) research proposals including all or a subset of ACRONYM’s consortium, (c) co-authorship of (at least three) research scientific papers and (d) attendance as a group to (at least five) conferences.</w:t>
      </w:r>
    </w:p>
    <w:p>
      <w:pPr>
        <w:pStyle w:val="Normal"/>
        <w:jc w:val="both"/>
        <w:rPr>
          <w:highlight w:val="none"/>
          <w:shd w:fill="FFFF00" w:val="clear"/>
        </w:rPr>
      </w:pPr>
      <w:r>
        <w:rPr>
          <w:b w:val="false"/>
          <w:bCs w:val="false"/>
          <w:u w:val="none"/>
          <w:shd w:fill="FFFF00" w:val="clear"/>
        </w:rPr>
        <w:t>Strategic networking IDS, etc</w:t>
      </w:r>
    </w:p>
    <w:p>
      <w:pPr>
        <w:pStyle w:val="Normal"/>
        <w:jc w:val="both"/>
        <w:rPr/>
      </w:pPr>
      <w:r>
        <w:rPr/>
      </w:r>
    </w:p>
    <w:p>
      <w:pPr>
        <w:pStyle w:val="Normal"/>
        <w:jc w:val="both"/>
        <w:rPr>
          <w:b/>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9"/>
        </w:numPr>
        <w:jc w:val="both"/>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9"/>
        </w:numPr>
        <w:jc w:val="both"/>
        <w:rPr>
          <w:b w:val="false"/>
          <w:b w:val="false"/>
          <w:bCs w:val="false"/>
          <w:u w:val="none"/>
        </w:rPr>
      </w:pPr>
      <w:r>
        <w:rPr>
          <w:b w:val="false"/>
          <w:bCs w:val="false"/>
          <w:u w:val="none"/>
          <w:shd w:fill="auto" w:val="clear"/>
        </w:rPr>
        <w:t xml:space="preserve">significantly enhanced funding capabilities and successful funding bid rate; a series of measures are proposed, such as (a) the establishment of a research administration and management unit in the Coordinator, (b) its training in project seeking, claiming, and proposal submission (see </w:t>
      </w:r>
      <w:r>
        <w:rPr>
          <w:b w:val="false"/>
          <w:bCs w:val="false"/>
          <w:u w:val="none"/>
          <w:shd w:fill="auto" w:val="clear"/>
        </w:rPr>
        <w:t>Task 4.2</w:t>
      </w:r>
      <w:r>
        <w:rPr>
          <w:b w:val="false"/>
          <w:bCs w:val="false"/>
          <w:u w:val="none"/>
          <w:shd w:fill="auto" w:val="clear"/>
        </w:rPr>
        <w:t>), (c) diversification of funding pools and schema (see Task</w:t>
      </w:r>
      <w:r>
        <w:rPr>
          <w:b w:val="false"/>
          <w:bCs w:val="false"/>
          <w:u w:val="none"/>
          <w:shd w:fill="auto" w:val="clear"/>
        </w:rPr>
        <w:t xml:space="preserve"> 4.3) a</w:t>
      </w:r>
      <w:r>
        <w:rPr>
          <w:b w:val="false"/>
          <w:bCs w:val="false"/>
          <w:u w:val="none"/>
          <w:shd w:fill="auto" w:val="clear"/>
        </w:rPr>
        <w:t>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
          <w:bCs/>
          <w:u w:val="single"/>
        </w:rPr>
      </w:pPr>
      <w:r>
        <w:rPr>
          <w:b/>
          <w:bCs/>
          <w:u w:val="single"/>
        </w:rPr>
        <w:t>Strengthened research management capacities and administrative skills of the staff working in institutions from the Widening country.</w:t>
      </w:r>
    </w:p>
    <w:p>
      <w:pPr>
        <w:pStyle w:val="Normal"/>
        <w:jc w:val="both"/>
        <w:rPr>
          <w:b w:val="false"/>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roject preparation, proposal writing and organisational issues and (c) project management and administration (see Section XX). The unit is going to be further trained following a “hands-on” approach, as by the end of ACRONYM it is expected that it will have prepared and submitted at least five research funding proposals, under the guidence of the expert partners.</w:t>
      </w:r>
    </w:p>
    <w:p>
      <w:pPr>
        <w:pStyle w:val="Normal"/>
        <w:jc w:val="both"/>
        <w:rPr>
          <w:b w:val="false"/>
          <w:b w:val="false"/>
          <w:bCs w:val="false"/>
          <w:u w:val="none"/>
        </w:rPr>
      </w:pPr>
      <w:r>
        <w:rPr>
          <w:rStyle w:val="Strong"/>
          <w:b w:val="false"/>
          <w:bCs w:val="false"/>
          <w:u w:val="none"/>
          <w:shd w:fill="auto" w:val="clear"/>
          <w:lang w:val="en-GB"/>
        </w:rPr>
        <w:t>Given the fact that such a unit currently does not exists in NTUA, it is expected to greatly enhance the institution's capacity in managing research projects and substantially help in securing funding for preserving and extending the scope and reach of the institution’s research activities.</w:t>
      </w:r>
    </w:p>
    <w:p>
      <w:pPr>
        <w:pStyle w:val="Normal"/>
        <w:rPr>
          <w:lang w:val="en-GB"/>
        </w:rPr>
      </w:pPr>
      <w:r>
        <w:rPr>
          <w:lang w:val="en-GB"/>
        </w:rPr>
      </w:r>
    </w:p>
    <w:p>
      <w:pPr>
        <w:pStyle w:val="Normal"/>
        <w:jc w:val="both"/>
        <w:rPr>
          <w:highlight w:val="none"/>
          <w:shd w:fill="FFFF00" w:val="clear"/>
        </w:rPr>
      </w:pPr>
      <w:r>
        <w:rPr>
          <w:u w:val="single"/>
          <w:shd w:fill="FFFF00" w:val="clear"/>
        </w:rPr>
        <w:t>I</w:t>
      </w:r>
      <w:r>
        <w:rPr>
          <w:b/>
          <w:bCs/>
          <w:u w:val="single"/>
          <w:shd w:fill="FFFF00" w:val="clear"/>
        </w:rPr>
        <w:t>mproved creativity supported by development of new approaches in Research and Innovation collaboration, increased mobility (inwards and outwards) of qualified scientists.</w:t>
      </w:r>
    </w:p>
    <w:p>
      <w:pPr>
        <w:pStyle w:val="Normal"/>
        <w:spacing w:before="0" w:after="200"/>
        <w:jc w:val="both"/>
        <w:rPr>
          <w:lang w:val="en-GB"/>
        </w:rPr>
      </w:pPr>
      <w:r>
        <w:rPr>
          <w:lang w:val="en-GB"/>
        </w:rPr>
      </w:r>
    </w:p>
    <w:p>
      <w:pPr>
        <w:pStyle w:val="Normal"/>
        <w:jc w:val="both"/>
        <w:rPr>
          <w:b/>
          <w:b/>
          <w:bCs/>
          <w:u w:val="single"/>
        </w:rPr>
      </w:pPr>
      <w:r>
        <w:rPr>
          <w:b/>
          <w:bCs/>
          <w:u w:val="single"/>
        </w:rPr>
        <w:t>A Greek ecosystem of Space-based geosciences stakeholders.</w:t>
      </w:r>
    </w:p>
    <w:p>
      <w:pPr>
        <w:pStyle w:val="TextBody"/>
        <w:ind w:left="0" w:hanging="0"/>
        <w:rPr>
          <w:b/>
          <w:b/>
          <w:bCs/>
          <w:u w:val="single"/>
          <w:lang w:val="en-GB"/>
        </w:rPr>
      </w:pPr>
      <w:r>
        <w:rPr>
          <w:b w:val="false"/>
          <w:bCs w:val="false"/>
          <w:u w:val="none"/>
          <w:lang w:val="en-GB"/>
        </w:rPr>
        <w:t>The Coordinator with the support of ACRONYM partners,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Additionally, scientific and commercial partnerships are hardly ever conducted and there are no ties between the industry and commercial users to the research community. This fact significantly inhibits innovation and the national growth in a growing market.</w:t>
      </w:r>
    </w:p>
    <w:p>
      <w:pPr>
        <w:pStyle w:val="TextBody"/>
        <w:ind w:left="0" w:hanging="0"/>
        <w:rPr>
          <w:b w:val="false"/>
          <w:b w:val="false"/>
          <w:bCs w:val="false"/>
          <w:u w:val="none"/>
        </w:rPr>
      </w:pPr>
      <w:r>
        <w:rPr/>
        <w:t>A major part of WP5 and its Tasks are dedicating to reaching this goal. The Coordinator will make extensive calls to all possible interested parties, for establishing the ecosystem described above. It is expected, that at a first phase at least 10 to 15 individual partners will participate in relevant activities. Two meeting will take place in Greece, to further strengthen ties and enable networking between ecosystem members. ACRONYM will issue a six-month Newsletter, to further attract interest in the ecosystem and at the same time promote and advertise ACRONYM activities and results. Through a series of questionnaires, answered by all members of the ecosystem, an insightful, clear view of all activities relevant to the fields of interest (on a national scale) will be gained.</w:t>
      </w:r>
    </w:p>
    <w:p>
      <w:pPr>
        <w:pStyle w:val="TextBody"/>
        <w:ind w:left="0" w:hanging="0"/>
        <w:rPr>
          <w:b w:val="false"/>
          <w:b w:val="false"/>
          <w:bCs w:val="false"/>
          <w:u w:val="none"/>
        </w:rPr>
      </w:pPr>
      <w:r>
        <w:rPr>
          <w:b w:val="false"/>
          <w:bCs w:val="false"/>
          <w:u w:val="none"/>
        </w:rPr>
      </w:r>
    </w:p>
    <w:p>
      <w:pPr>
        <w:pStyle w:val="Normal"/>
        <w:spacing w:before="0" w:after="200"/>
        <w:jc w:val="both"/>
        <w:rPr>
          <w:highlight w:val="none"/>
          <w:shd w:fill="auto" w:val="clear"/>
        </w:rPr>
      </w:pPr>
      <w:r>
        <w:rPr>
          <w:rFonts w:ascii="Times New Roman" w:hAnsi="Times New Roman"/>
          <w:b/>
          <w:shd w:fill="auto" w:val="clear"/>
          <w:lang w:val="en-GB"/>
        </w:rPr>
        <w:t>2.1.2 ACRONYM Impact</w:t>
      </w:r>
    </w:p>
    <w:p>
      <w:pPr>
        <w:pStyle w:val="Normal"/>
        <w:jc w:val="both"/>
        <w:rPr>
          <w:b/>
          <w:b/>
          <w:bCs/>
          <w:u w:val="single"/>
        </w:rPr>
      </w:pPr>
      <w:r>
        <w:rPr>
          <w:b/>
          <w:bCs/>
          <w:u w:val="single"/>
        </w:rPr>
        <w:t>A Space Geodesy science, technology and academic hub.</w:t>
      </w:r>
    </w:p>
    <w:p>
      <w:pPr>
        <w:pStyle w:val="Normal"/>
        <w:spacing w:before="0" w:after="200"/>
        <w:jc w:val="both"/>
        <w:rPr>
          <w:b/>
          <w:b/>
          <w:bCs/>
          <w:u w:val="single"/>
          <w:lang w:val="en-GB"/>
        </w:rPr>
      </w:pPr>
      <w:r>
        <w:rPr>
          <w:rFonts w:ascii="Times New Roman" w:hAnsi="Times New Roman"/>
          <w:b w:val="false"/>
          <w:bCs w:val="false"/>
          <w:u w:val="none"/>
          <w:shd w:fill="auto" w:val="clear"/>
          <w:lang w:val="en-GB"/>
        </w:rPr>
        <w:t xml:space="preserve">A direct impact of ACRONYM is the establishment of the Coordinator as a new science, technology and academic hub, dedicated to Space Geodesy. While in most European countries the existence of  such hubs are usual (e.g. GFZ in Germany), in Greece no such centre exists. With a highly skilled and prestigious research personnel, the newly found scientific excellence capacity, an elevated international standing and a dedicated research management and administration unit, the Coordinator will be promoted to a highly capable centre of expertise and innovation. </w:t>
      </w:r>
    </w:p>
    <w:p>
      <w:pPr>
        <w:pStyle w:val="Normal"/>
        <w:spacing w:before="0" w:after="200"/>
        <w:jc w:val="both"/>
        <w:rPr>
          <w:highlight w:val="none"/>
          <w:shd w:fill="auto" w:val="clear"/>
        </w:rPr>
      </w:pPr>
      <w:r>
        <w:rPr>
          <w:rFonts w:ascii="Times New Roman" w:hAnsi="Times New Roman"/>
          <w:b/>
          <w:shd w:fill="auto" w:val="clear"/>
          <w:lang w:val="en-GB"/>
        </w:rPr>
        <w:t>Scientific Impact</w:t>
      </w:r>
    </w:p>
    <w:p>
      <w:pPr>
        <w:pStyle w:val="TextBody"/>
        <w:ind w:left="0" w:hanging="0"/>
        <w:rPr>
          <w:b w:val="false"/>
          <w:b w:val="false"/>
          <w:bCs w:val="false"/>
        </w:rPr>
      </w:pPr>
      <w:r>
        <w:rPr/>
        <w:t>With its newly found expertise and research capacity, the highly skilled scientific staff of the Coordinator will be able to significantly contribute to on-going research in the the field of Space Geodesy and Earth Observation. Utilizing its training and its deep understanding of the underlying methods and models, its staff will be able to perform high-impact research in a series of fields such as precise orbit determination, reference spatial and time frames, gravity and geopotential, modeling of non-conservative forces (e.g. atmospheric drag and solar radiation pressure), etc, creating new knowledge, introducing novel approaches and improving efficiency and robustness of algorithms. As already noted, only a few, selected international research teams are able to take up such challenging research areas, hence the Coordinator’s expected scientific input could prove to be crucial.</w:t>
      </w:r>
    </w:p>
    <w:p>
      <w:pPr>
        <w:pStyle w:val="TextBody"/>
        <w:ind w:left="0" w:hanging="0"/>
        <w:rPr>
          <w:b w:val="false"/>
          <w:b w:val="false"/>
          <w:bCs w:val="false"/>
        </w:rPr>
      </w:pPr>
      <w:r>
        <w:rPr/>
        <w:t>High-end scientific contribution will also result from the 3 PhD and 3 PostDoc theses to be implemented (partly) within the framework of ACRONYM. With the co-supervision of the expert partners, this series of theses is expected to target open issues in analysis and modeling approaches of space based geodetic data, specifically targeting DORIS and SLR.</w:t>
      </w:r>
    </w:p>
    <w:p>
      <w:pPr>
        <w:pStyle w:val="TextBody"/>
        <w:ind w:left="0" w:hanging="0"/>
        <w:rPr>
          <w:b w:val="false"/>
          <w:b w:val="false"/>
          <w:bCs w:val="false"/>
        </w:rPr>
      </w:pPr>
      <w:r>
        <w:rPr/>
        <w:t>Apart from ACRONYM’s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 global declared objective of 1mm accuracy and 0.1mm/yr stability for the TRF realization. ACRONYM’s impact is thus expected to significantly support an enhance space geodesy analysis quality and products in the long run, hence indirectly boosting scientific research in a wide range of fields that use its products.</w:t>
      </w:r>
    </w:p>
    <w:p>
      <w:pPr>
        <w:pStyle w:val="TextBody"/>
        <w:ind w:left="0" w:hanging="0"/>
        <w:rPr/>
      </w:pPr>
      <w:r>
        <w:rPr/>
        <w:t>The scope and reach of  ACRONYM’s scientific contribution will be further enhanced by the ability to strategically coordinate and drive a (national) ecosystem of related stakeholders and the dispersion of new knowledge within its established networks. Instead of acting individually and being dependent on (external) expert contribution, which is currently the case, synergies between ecosystem members will be able to lead to high value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pPr>
        <w:pStyle w:val="TextBody"/>
        <w:ind w:left="0" w:hanging="0"/>
        <w:rPr>
          <w:b/>
          <w:b/>
          <w:bCs/>
          <w:u w:val="none"/>
        </w:rPr>
      </w:pPr>
      <w:r>
        <w:rPr>
          <w:rFonts w:ascii="Times New Roman" w:hAnsi="Times New Roman"/>
          <w:b/>
          <w:bCs/>
          <w:u w:val="none"/>
          <w:shd w:fill="FFFF00" w:val="clear"/>
          <w:lang w:val="en-GB"/>
        </w:rPr>
        <w:t>Target Groups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Greek and national scientific community and researchers involved in Space Geodesy, Earth Observation, Geosciences and big list of related disciplines such as climate and atmospheric studies, geophysics, geodynamics, space studies.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International geodetic services and consortia. Young scientists and researchers. The Coordinator and its research and scientific personnel.</w:t>
      </w:r>
    </w:p>
    <w:p>
      <w:pPr>
        <w:pStyle w:val="TextBody"/>
        <w:ind w:left="0" w:hanging="0"/>
        <w:rPr>
          <w:b/>
          <w:b/>
          <w:bCs/>
          <w:u w:val="none"/>
        </w:rPr>
      </w:pPr>
      <w:r>
        <w:rPr/>
      </w:r>
    </w:p>
    <w:p>
      <w:pPr>
        <w:pStyle w:val="Normal"/>
        <w:spacing w:before="0" w:after="200"/>
        <w:jc w:val="both"/>
        <w:rPr>
          <w:highlight w:val="none"/>
          <w:shd w:fill="auto" w:val="clear"/>
        </w:rPr>
      </w:pPr>
      <w:r>
        <w:rPr>
          <w:rFonts w:ascii="Times New Roman" w:hAnsi="Times New Roman"/>
          <w:b/>
          <w:shd w:fill="auto" w:val="clear"/>
          <w:lang w:val="en-GB"/>
        </w:rPr>
        <w:t>Economic/Technological</w:t>
      </w:r>
    </w:p>
    <w:p>
      <w:pPr>
        <w:pStyle w:val="TextBody"/>
        <w:ind w:left="0" w:hanging="0"/>
        <w:rPr>
          <w:highlight w:val="none"/>
          <w:shd w:fill="auto" w:val="clear"/>
        </w:rPr>
      </w:pPr>
      <w:r>
        <w:rPr>
          <w:shd w:fill="auto" w:val="clear"/>
        </w:rPr>
        <w:t xml:space="preserve">One of the main objectives and outcomes of ACRONYM is the creation of a research management and administration unit which will also be extensively trained in seeking and claiming funding bids from diverse pools and schema. Coupled with the established strategic networking and synergies with top-class institutions, as well as an extensive network of Greek stakeholders active in relevant scientific fields (both for research and commercial usage), it is expected that both the Coordinator itself and other national stakeholders (or partnerships) will significantly enhance their funding income and scope. NTUA will have at its disposal the skills to target a significantly wider range of funding bids and apply for bids with a severely boosted success rate. Networking actions are also expected to </w:t>
      </w:r>
      <w:r>
        <w:rPr>
          <w:rFonts w:ascii="Times New Roman" w:hAnsi="Times New Roman"/>
          <w:b w:val="false"/>
          <w:bCs w:val="false"/>
          <w:shd w:fill="auto" w:val="clear"/>
          <w:lang w:val="en-GB"/>
        </w:rPr>
        <w:t xml:space="preserve">stimulate preparation of joint research projects. Given the fact that limited research funding is a major drawback for all Greek institutions, the expected impact is of paramount importance. </w:t>
      </w:r>
    </w:p>
    <w:p>
      <w:pPr>
        <w:pStyle w:val="TextBody"/>
        <w:ind w:left="0" w:hanging="0"/>
        <w:rPr>
          <w:highlight w:val="none"/>
          <w:shd w:fill="auto" w:val="clear"/>
        </w:rPr>
      </w:pPr>
      <w:r>
        <w:rPr/>
        <w:t>Enhanced research funding is expected to also boost the Coordinator’s attractiveness and enhance recruitment capacity and opportunities. Thus NTUA will be able to recruit skilled researches and talented young scientists and significantly increase inward/outward mobility. All the latter are currently severely inhibited by the limited research budget available at NTUA.</w:t>
      </w:r>
    </w:p>
    <w:p>
      <w:pPr>
        <w:pStyle w:val="TextBody"/>
        <w:ind w:left="0" w:hanging="0"/>
        <w:rPr>
          <w:rFonts w:ascii="Nimbus Roman No9 L" w:hAnsi="Nimbus Roman No9 L"/>
        </w:rPr>
      </w:pPr>
      <w:r>
        <w:rPr>
          <w:rFonts w:ascii="Nimbus Roman No9 L" w:hAnsi="Nimbus Roman No9 L"/>
          <w:b w:val="false"/>
          <w:bCs w:val="false"/>
          <w:shd w:fill="auto" w:val="clear"/>
          <w:lang w:val="en-GB"/>
        </w:rPr>
        <w:t xml:space="preserve">ACRONYM is also expected to strengthen ties and synergies between research and commercial users and/or industry, especially on a national scale. Possible commercial users and industry partners could be any agency or firm active in the fields of space industry, space awareness and security, </w:t>
      </w:r>
      <w:r>
        <w:rPr>
          <w:rFonts w:ascii="Nimbus Roman No9 L" w:hAnsi="Nimbus Roman No9 L"/>
          <w:b w:val="false"/>
          <w:bCs w:val="false"/>
          <w:lang w:val="en-GB"/>
        </w:rPr>
        <w:t>monitoring and surveillance solutions</w:t>
      </w:r>
      <w:r>
        <w:rPr>
          <w:rFonts w:ascii="Nimbus Roman No9 L" w:hAnsi="Nimbus Roman No9 L"/>
          <w:b w:val="false"/>
          <w:bCs w:val="false"/>
          <w:shd w:fill="auto" w:val="clear"/>
          <w:lang w:val="en-GB"/>
        </w:rPr>
        <w:t xml:space="preserve"> (including remote sensing, positioning and surveying), navigation, environmental monitoring, maritime surveillance, mobility and energies and infrastructures monitoring. This list is indicative but by no means exhaustive, since Space Geodesy products are used by an ever-growing range of applications. </w:t>
      </w:r>
    </w:p>
    <w:p>
      <w:pPr>
        <w:pStyle w:val="TextBody"/>
        <w:ind w:left="0" w:hanging="0"/>
        <w:rPr>
          <w:highlight w:val="none"/>
          <w:shd w:fill="auto" w:val="clear"/>
        </w:rPr>
      </w:pPr>
      <w:r>
        <w:rPr>
          <w:rFonts w:ascii="Nimbus Roman No9 L" w:hAnsi="Nimbus Roman No9 L"/>
          <w:b w:val="false"/>
          <w:bCs w:val="false"/>
          <w:shd w:fill="auto" w:val="clear"/>
          <w:lang w:val="en-GB"/>
        </w:rPr>
        <w:t>In the long run, s</w:t>
      </w:r>
      <w:r>
        <w:rPr>
          <w:rFonts w:ascii="Nimbus Roman No9 L" w:hAnsi="Nimbus Roman No9 L"/>
          <w:b w:val="false"/>
          <w:bCs w:val="false"/>
          <w:shd w:fill="auto" w:val="clear"/>
          <w:lang w:val="en-GB"/>
        </w:rPr>
        <w:t xml:space="preserve">tronger linkages between academia and business and improved career permeability </w:t>
      </w:r>
      <w:r>
        <w:rPr>
          <w:rFonts w:ascii="Nimbus Roman No9 L" w:hAnsi="Nimbus Roman No9 L"/>
          <w:b w:val="false"/>
          <w:bCs w:val="false"/>
          <w:shd w:fill="auto" w:val="clear"/>
          <w:lang w:val="en-GB"/>
        </w:rPr>
        <w:t>are expected</w:t>
      </w:r>
      <w:r>
        <w:rPr>
          <w:rFonts w:ascii="Nimbus Roman No9 L" w:hAnsi="Nimbus Roman No9 L"/>
          <w:b w:val="false"/>
          <w:bCs w:val="false"/>
          <w:shd w:fill="auto" w:val="clear"/>
          <w:lang w:val="en-GB"/>
        </w:rPr>
        <w:t xml:space="preserve">. Transition from an academic oriented career to a relevant business industry related one and vice versa will be more </w:t>
      </w:r>
      <w:r>
        <w:rPr>
          <w:rFonts w:ascii="Nimbus Roman No9 L" w:hAnsi="Nimbus Roman No9 L"/>
          <w:shd w:fill="auto" w:val="clear"/>
        </w:rPr>
        <w:t xml:space="preserve">easily pursued, thus, providing alternative choices to the Greek researchers for their career paths. </w:t>
      </w:r>
    </w:p>
    <w:p>
      <w:pPr>
        <w:pStyle w:val="TextBody"/>
        <w:ind w:left="0" w:hanging="0"/>
        <w:rPr>
          <w:highlight w:val="none"/>
          <w:shd w:fill="auto" w:val="clear"/>
        </w:rPr>
      </w:pPr>
      <w:r>
        <w:rPr/>
        <w:t>Todate, space-based earth observation studies in Greece are of limited scientific importance and scale (usually confined to small scale, regional studies) owing to the fact of missing relative expertise. Highly skilled personnel is scarce and expertise is sought for through partnerships with leading European institutions. Accordingly, Greece’s share of the relevant market is limited and only recently struggling to make infant steps. Hence, ACRONYM’s impact is expected to be highly significant on a national scale; the Coordinator will be able to disseminate knowledge, provide (via its academic curriculum) the country with new, highly skilled scientists and engineers, support Greece’s autonomy and self-sufficiency in related research and boost its commercial involvement.</w:t>
      </w:r>
    </w:p>
    <w:p>
      <w:pPr>
        <w:pStyle w:val="TextBody"/>
        <w:ind w:left="0" w:hanging="0"/>
        <w:rPr>
          <w:highlight w:val="none"/>
          <w:shd w:fill="auto" w:val="clear"/>
        </w:rPr>
      </w:pPr>
      <w:r>
        <w:rPr/>
        <w:t>The release of state-of-the-art software tools adopting an open-source and free policy, can also have a positive effect for commercial users on an international scale. Agencies active in space data analysis can freely use the tools or parts of it, avoiding purchase cost (relevant software are usually notably expensive), decreasing cost and increasing profit. Via its open-source character, the toolset can be easily repurposed, tailored to meet diverse needs, a fact that could lead to increased efficiency and/or new products/solutions.</w:t>
      </w:r>
    </w:p>
    <w:p>
      <w:pPr>
        <w:pStyle w:val="TextBody"/>
        <w:ind w:left="0" w:hanging="0"/>
        <w:rPr>
          <w:b/>
          <w:b/>
          <w:bCs/>
          <w:u w:val="none"/>
        </w:rPr>
      </w:pPr>
      <w:r>
        <w:rPr>
          <w:rFonts w:ascii="Times New Roman" w:hAnsi="Times New Roman"/>
          <w:b/>
          <w:bCs/>
          <w:u w:val="none"/>
          <w:shd w:fill="FFFF00" w:val="clear"/>
          <w:lang w:val="en-GB"/>
        </w:rPr>
        <w:t>Target Groups: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Coordinator institute and its personnel, Greek ecosystem of space and earth observation actors, Greek space industry and , young scientists and engineers, worldwide commercial users of space geodetic data.</w:t>
      </w:r>
    </w:p>
    <w:p>
      <w:pPr>
        <w:pStyle w:val="TextBody"/>
        <w:ind w:left="0" w:hanging="0"/>
        <w:rPr>
          <w:b/>
          <w:b/>
          <w:bCs/>
          <w:u w:val="none"/>
        </w:rPr>
      </w:pPr>
      <w:r>
        <w:rPr/>
      </w:r>
    </w:p>
    <w:p>
      <w:pPr>
        <w:pStyle w:val="Normal"/>
        <w:spacing w:before="0" w:after="200"/>
        <w:jc w:val="both"/>
        <w:rPr>
          <w:highlight w:val="none"/>
          <w:shd w:fill="auto" w:val="clear"/>
        </w:rPr>
      </w:pPr>
      <w:r>
        <w:rPr>
          <w:rFonts w:ascii="Times New Roman" w:hAnsi="Times New Roman"/>
          <w:b/>
          <w:shd w:fill="auto" w:val="clear"/>
          <w:lang w:val="en-GB"/>
        </w:rPr>
        <w:t>Societal</w:t>
      </w:r>
    </w:p>
    <w:p>
      <w:pPr>
        <w:pStyle w:val="TextBody"/>
        <w:rPr>
          <w:rFonts w:ascii="Nimbus Roman" w:hAnsi="Nimbus Roman"/>
          <w:b w:val="false"/>
          <w:b w:val="false"/>
          <w:bCs w:val="false"/>
        </w:rPr>
      </w:pPr>
      <w:r>
        <w:rPr>
          <w:rFonts w:ascii="Nimbus Roman" w:hAnsi="Nimbus Roman"/>
          <w:b w:val="false"/>
          <w:bCs w:val="false"/>
          <w:shd w:fill="auto" w:val="clear"/>
          <w:lang w:val="en-GB"/>
        </w:rPr>
        <w:t xml:space="preserve">A direct impact of ACRONYM will be the significant </w:t>
      </w:r>
      <w:r>
        <w:rPr>
          <w:rFonts w:ascii="Nimbus Roman" w:hAnsi="Nimbus Roman"/>
          <w:b w:val="false"/>
          <w:bCs w:val="false"/>
          <w:shd w:fill="auto" w:val="clear"/>
          <w:lang w:val="en-GB"/>
        </w:rPr>
        <w:t xml:space="preserve">enhancement of NTUA’s academic capacity. </w:t>
      </w:r>
      <w:r>
        <w:rPr>
          <w:rFonts w:ascii="Nimbus Roman" w:hAnsi="Nimbus Roman"/>
          <w:b w:val="false"/>
          <w:bCs w:val="false"/>
          <w:shd w:fill="auto" w:val="clear"/>
          <w:lang w:val="en-GB"/>
        </w:rPr>
        <w:t>With the new-found expertise and a highly skilled scientific personnel, the Coordinator will be able to upgrade and refine its curriculum, incorporating cutting edge scientific trends, technology and applications. Since NTUA is the most prestigious technical university in Greece, with hundreds of new students each year, the effect will be directly translated to a more skilled scientific and engineering manpower primarily for Greece and the EU.</w:t>
      </w:r>
    </w:p>
    <w:p>
      <w:pPr>
        <w:pStyle w:val="TextBody"/>
        <w:rPr>
          <w:rFonts w:ascii="Nimbus Roman" w:hAnsi="Nimbus Roman"/>
          <w:b w:val="false"/>
          <w:b w:val="false"/>
          <w:bCs w:val="false"/>
        </w:rPr>
      </w:pPr>
      <w:r>
        <w:rPr>
          <w:rFonts w:ascii="Nimbus Roman" w:hAnsi="Nimbus Roman"/>
          <w:b w:val="false"/>
          <w:bCs w:val="false"/>
          <w:shd w:fill="auto" w:val="clear"/>
          <w:lang w:val="en-GB"/>
        </w:rPr>
        <w:t>Additionally, ACRONYM is expected to have an effect in the quenching of the crowding-out effect experienced in the European research area and especially Greece. During the last years and especially after the economic crisis that struck Greece, the country has experienced a sever crowding-out effect especially of young skilled scientists. This fact continues to have severe consequences in the country’s ability to pursue economic growth especially in technology and R&amp;I. ACRONYM can create viable conditions, through raised reputation, enhanced research funding capacity and recruitment ability of the Coordinator, and boosting of the Space Sciences and Earth Observation national market, for partly alleviating the crowding-out effect and accommodating skilled human capital redux.</w:t>
      </w:r>
    </w:p>
    <w:p>
      <w:pPr>
        <w:pStyle w:val="TextBody"/>
        <w:rPr>
          <w:rFonts w:ascii="Nimbus Roman" w:hAnsi="Nimbus Roman"/>
          <w:b w:val="false"/>
          <w:b w:val="false"/>
          <w:bCs w:val="false"/>
        </w:rPr>
      </w:pPr>
      <w:r>
        <w:rPr>
          <w:rFonts w:ascii="Nimbus Roman" w:hAnsi="Nimbus Roman"/>
          <w:b w:val="false"/>
          <w:bCs w:val="false"/>
          <w:shd w:fill="auto" w:val="clear"/>
          <w:lang w:val="en-GB"/>
        </w:rPr>
        <w:t>Finally, ACRONYM will create the potential for boosting scientific advancement in Space Geodesy, which as noted earlier, plays a major role in widely used applications on a worldwide scale. Prominent examples are (a) positioning and navigation, which is heavily dependent on quality orbit determination,  (b) climate change which is coupled with earth observation from space (e.g. from alitmetry missions which are equipped with either LLRs or DORIS antennae) and (c) spatial, global reference frames used throughout all fields  of geosciences and realized via Space Geodesy observations. Hence, in the long-run, ACRONYM can lead to scientific advancements that will improve positioning and navigation accuracy (for scientific and application usage), enhanced Earth monitoring capabilities and climate change impact monitoring.</w:t>
      </w:r>
    </w:p>
    <w:p>
      <w:pPr>
        <w:pStyle w:val="TextBody"/>
        <w:rPr>
          <w:rFonts w:ascii="Nimbus Roman" w:hAnsi="Nimbus Roman"/>
          <w:b w:val="false"/>
          <w:b w:val="false"/>
          <w:bCs w:val="false"/>
        </w:rPr>
      </w:pPr>
      <w:r>
        <w:rPr>
          <w:rFonts w:ascii="Times New Roman" w:hAnsi="Times New Roman"/>
          <w:b/>
          <w:bCs/>
          <w:u w:val="none"/>
          <w:shd w:fill="FFFF00" w:val="clear"/>
          <w:lang w:val="en-GB"/>
        </w:rPr>
        <w:t>Target Groups:</w:t>
      </w:r>
      <w:r>
        <w:rPr>
          <w:rFonts w:ascii="Times New Roman" w:hAnsi="Times New Roman"/>
          <w:b/>
          <w:bCs/>
          <w:u w:val="none"/>
          <w:shd w:fill="auto" w:val="clear"/>
          <w:lang w:val="en-GB"/>
        </w:rPr>
        <w:t xml:space="preserve"> </w:t>
      </w:r>
    </w:p>
    <w:p>
      <w:pPr>
        <w:pStyle w:val="TextBody"/>
        <w:rPr>
          <w:rFonts w:ascii="Times New Roman" w:hAnsi="Times New Roman"/>
          <w:b/>
          <w:b/>
          <w:shd w:fill="auto" w:val="clear"/>
          <w:lang w:val="en-GB"/>
        </w:rPr>
      </w:pPr>
      <w:r>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TextBody"/>
        <w:rPr/>
      </w:pPr>
      <w:r>
        <w:rPr/>
        <w:t>ACRONYM foresees to promote the project itself and the obtained results by carrying out different types of activities, tailored to multiple and diverse targeted audiences.</w:t>
      </w:r>
    </w:p>
    <w:p>
      <w:pPr>
        <w:pStyle w:val="TextBody"/>
        <w:rPr/>
      </w:pPr>
      <w:r>
        <w:rPr/>
        <w:t>As a first step, ACRONYM will develop its logo, establishing its visual identity and promoting recognizability; ACRONYM’s logo will be used in all project-related documents and presentations.</w:t>
      </w:r>
    </w:p>
    <w:p>
      <w:pPr>
        <w:pStyle w:val="TextBody"/>
        <w:rPr/>
      </w:pPr>
      <w:r>
        <w:rPr/>
        <w:t xml:space="preserve">A dedicated, user-friendly ACRONYM website will be created, to act as as a main channel for promoting and providing up-to-date information about the project, partners, activities, results, events and progress. Mandatory sections to be included in the website, relate to general project information (aim, objectives, consortium members), the list of activities and achieved results, news and events, links to dedicated software pages and contact information. The website will be continuously updated during the whole life of ACRONYM project. The </w:t>
      </w:r>
      <w:r>
        <w:rPr>
          <w:u w:val="single"/>
        </w:rPr>
        <w:t>Quality Measurement Board</w:t>
      </w:r>
      <w:r>
        <w:rPr>
          <w:u w:val="none"/>
        </w:rPr>
        <w:t xml:space="preserve"> will periodically collect visitor statistics and if needed provide means to further popularize the website (e.g. change design, introduce media, etc).</w:t>
      </w:r>
    </w:p>
    <w:p>
      <w:pPr>
        <w:pStyle w:val="TextBody"/>
        <w:rPr/>
      </w:pPr>
      <w:r>
        <w:rPr>
          <w:u w:val="none"/>
        </w:rPr>
        <w:t xml:space="preserve">Except from ACRONYM’s website, each of the software tools to be built in the project (Section </w:t>
      </w:r>
      <w:r>
        <w:rPr>
          <w:u w:val="none"/>
          <w:shd w:fill="auto" w:val="clear"/>
        </w:rPr>
        <w:t>1.2.2</w:t>
      </w:r>
      <w:r>
        <w:rPr>
          <w:u w:val="none"/>
        </w:rPr>
        <w:t>) will have a dedicated webpage, including the source code, example usage, help, manual, information and wiki pages. It is expected that this setup can greatly boost the user base, helping in incorporating scientists, researchers and commercial users not highly skilled in programming and/or high-level IT administration skills.</w:t>
      </w:r>
    </w:p>
    <w:p>
      <w:pPr>
        <w:pStyle w:val="TextBody"/>
        <w:rPr/>
      </w:pPr>
      <w:r>
        <w:rPr/>
        <w:t xml:space="preserve">ACRONYM will adopt a free and open-source policy for all of its software products (MIT license). The release of the software however, will be accompanied with a relevant DOI (via zenodo), so that usage of the software tools is trackable and citeable. With the growth of the user community, this fact is expected to significantly boost the partnership’s and especially the Coordinator’s research profile and standing, </w:t>
      </w:r>
      <w:r>
        <w:rPr>
          <w:color w:val="auto"/>
        </w:rPr>
        <w:t>since usage of the tools for research, scientific and commercial reasons will be properly acknowledged with a reference.</w:t>
      </w:r>
    </w:p>
    <w:p>
      <w:pPr>
        <w:pStyle w:val="TextBody"/>
        <w:rPr/>
      </w:pPr>
      <w:r>
        <w:rPr/>
        <w:t>All partners will be proactive in social media engagement; this will involve routinely posting new and updated information, results, progress, milestones achieved, attended and organized events, scientific and technical publications. To reach out to a diverse scientific and commercial audience, all relevant digital platforms will be utilized, i.e. LinkedIn, ResearchGate and Academia. Media engagement will also include Twitter, targeting young talented scientists (e.g. postgraduates) not yet fully networked into scientific media platforms.</w:t>
      </w:r>
    </w:p>
    <w:p>
      <w:pPr>
        <w:pStyle w:val="TextBody"/>
        <w:rPr/>
      </w:pPr>
      <w:r>
        <w:rPr/>
        <w:t>Since all partners with the exception of CLS are either academic institutions or have direct involvement to academic curriculum, they will undertake the task to publicize and promote ACRONYM, especially to young scientists, e.g. graduates, postgraduates and PhD students. This will be performed by incorporating ACRONYM’s results and activities in lectures and using the software tools to be developed in relevant data analysis exercises and training sessions. The latter fact can help in the creation of a vivid user community which can in the future play a key role in greatly expanding the scope, reach, application and product range of the software tools built in ACRONYM.</w:t>
      </w:r>
    </w:p>
    <w:p>
      <w:pPr>
        <w:pStyle w:val="TextBody"/>
        <w:rPr/>
      </w:pPr>
      <w:r>
        <w:rPr>
          <w:shd w:fill="auto" w:val="clear"/>
          <w:lang w:val="en-GB"/>
        </w:rPr>
        <w:t>A dissemination activity of major importance will be the organization of a three-day Summer School that will take place in Greece, for the endorsement of ACRONYM, dissemination of its scientific output a</w:t>
      </w:r>
      <w:r>
        <w:rPr>
          <w:lang w:val="en-GB"/>
        </w:rPr>
        <w:t xml:space="preserve">nd results and promotion of expertise and innovation in the fields of Space Geodesy, Orbit Determination, Space Studies and Geosciences in general. IPGP, GFZ, OSO and CLS will all be involved (via physical attendance), presenting  the space geodetic techniques, current and future trends, applications and challenges. Additionally, </w:t>
      </w:r>
      <w:r>
        <w:rPr>
          <w:shd w:fill="auto" w:val="clear"/>
          <w:lang w:val="en-GB"/>
        </w:rPr>
        <w:t xml:space="preserve">CLS utilizing its decades old involvement in the field of providing space-based solutions, will address issues of providing high value-added products and services related to monitoring and surveillance solutions for Earth. </w:t>
      </w:r>
      <w:r>
        <w:rPr>
          <w:lang w:val="en-GB"/>
        </w:rPr>
        <w:t>The school will target the Greek scientific and research community, commercial users/busineses, industry and the ecosystem of stakeholders that are involved in Space studies and Geosciences.</w:t>
      </w:r>
    </w:p>
    <w:p>
      <w:pPr>
        <w:pStyle w:val="TextBody"/>
        <w:rPr/>
      </w:pPr>
      <w:r>
        <w:rPr/>
        <w:t xml:space="preserve">Communication and dissemination activities specifically targeting the national (Greek) ecosystem of institutions, industry and business that are active in the Space industry and space solutions, earth observation and related applications will also be a focal point. This multidisciplinary ecosystem (described in Section </w:t>
      </w:r>
      <w:r>
        <w:rPr/>
        <w:t>1.2.5</w:t>
      </w:r>
      <w:r>
        <w:rPr/>
        <w:t xml:space="preserve">) will be established during the course of ACRONYM (see WP5) by issuing calls to any interested party. However, membership in the ecosystem will be continuously open and endorsed, expanded beyond the lifetime of ACRONYM, in an effort to establish an enduring, long-standing partnership to efficiently promote space-based geosciences in Greece. </w:t>
      </w:r>
    </w:p>
    <w:p>
      <w:pPr>
        <w:pStyle w:val="TextBody"/>
        <w:rPr/>
      </w:pPr>
      <w:r>
        <w:rPr/>
        <w:t>One dedicated conference and one info-day will be organized and take place in Greece, to enhance networking, and promote both ACRONYM results and most importantly the impact of the project (</w:t>
      </w:r>
      <w:r>
        <w:rPr/>
        <w:t>described in</w:t>
      </w:r>
      <w:r>
        <w:rPr/>
        <w:t xml:space="preserve"> Sectio</w:t>
      </w:r>
      <w:r>
        <w:rPr>
          <w:shd w:fill="auto" w:val="clear"/>
        </w:rPr>
        <w:t xml:space="preserve">n </w:t>
      </w:r>
      <w:r>
        <w:rPr>
          <w:shd w:fill="auto" w:val="clear"/>
        </w:rPr>
        <w:t>1.2.5 and WP5</w:t>
      </w:r>
      <w:r>
        <w:rPr>
          <w:shd w:fill="auto" w:val="clear"/>
        </w:rPr>
        <w:t>)</w:t>
      </w:r>
      <w:r>
        <w:rPr/>
        <w:t>. A Newsletter will be issued and distributed (every six months) to the stakeholders to further raise interest and inform ecosystem members of relevant tasks, events, new challenges, issues and trending new in Space Geodesy and related applications.</w:t>
      </w:r>
    </w:p>
    <w:p>
      <w:pPr>
        <w:pStyle w:val="TextBody"/>
        <w:rPr/>
      </w:pPr>
      <w:r>
        <w:rPr/>
        <w:t xml:space="preserve">The partner will also issue a series of questionnaires, targeting both research institutions and business members of the ecosystem (Section </w:t>
      </w:r>
      <w:r>
        <w:rPr>
          <w:shd w:fill="auto" w:val="clear"/>
        </w:rPr>
        <w:t>1.2.5</w:t>
      </w:r>
      <w:r>
        <w:rPr/>
        <w:t>). The data collected will be thoroughly examined and evaluated so that all ACRONYM partners and especially the Coordinator gain a clear view on research and business demands and needs in the field. Conclusions will play an important role in  further expanding research activities and products; the Coordinator will exploit this knowledge to meet user demands and needs (both via expertise and software solutions) and elevate to a key role for space-based geosciences in the long run.</w:t>
      </w:r>
    </w:p>
    <w:p>
      <w:pPr>
        <w:pStyle w:val="TextBody"/>
        <w:rPr/>
      </w:pPr>
      <w:r>
        <w:rPr/>
        <w:t xml:space="preserve">The impact of the ecosystem is expected to be significant both for the Greek research community and for commercial users/businesses active in the field. Promoting synergies and collaboration, and for the first time bringing together researchers and commercial users, it is expected to create new partnerships, better exploit funding opportunities, improve </w:t>
      </w:r>
      <w:r>
        <w:rPr>
          <w:shd w:fill="auto" w:val="clear"/>
        </w:rPr>
        <w:t>career permeability (between academia and business), expand technological access of businesses to new research results and emerging products/solutions,   boost Greek involvement in relevant scientific fields and R&amp;I, and claim a bigger share of an emerging market for Greek institutions/businesses, thus also creating new job opportunities. Via ACRONYM, NTUA will be able to educate highly skilled new scientists to take up these tasks.</w:t>
      </w:r>
    </w:p>
    <w:p>
      <w:pPr>
        <w:pStyle w:val="TextBody"/>
        <w:rPr/>
      </w:pPr>
      <w:r>
        <w:rPr/>
        <w:t>As already noted, a series of scientific publications will also help disseminate ACRONYM results. These will include at least three scientific publications in peer-reviewed journals, attendance of at least five international conferences, submission of three PhD theses and three PostDoc theses. All of the above, will be published adopting a strict open-access policy.</w:t>
      </w:r>
    </w:p>
    <w:p>
      <w:pPr>
        <w:pStyle w:val="TextBody"/>
        <w:rPr>
          <w:highlight w:val="none"/>
          <w:shd w:fill="FFFF00" w:val="clear"/>
        </w:rPr>
      </w:pPr>
      <w:r>
        <w:rPr>
          <w:shd w:fill="FFFF00" w:val="clear"/>
        </w:rPr>
        <w:t>Summer School</w:t>
      </w:r>
    </w:p>
    <w:p>
      <w:pPr>
        <w:pStyle w:val="Normal"/>
        <w:jc w:val="both"/>
        <w:rPr/>
      </w:pPr>
      <w:r>
        <w:rPr/>
      </w:r>
    </w:p>
    <w:p>
      <w:pPr>
        <w:sectPr>
          <w:headerReference w:type="even" r:id="rId17"/>
          <w:headerReference w:type="default" r:id="rId18"/>
          <w:headerReference w:type="first" r:id="rId19"/>
          <w:footerReference w:type="default" r:id="rId20"/>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and promote research and innovation.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r>
              <w:rPr>
                <w:rFonts w:ascii="Times New Roman" w:hAnsi="Times New Roman"/>
                <w:color w:val="auto"/>
              </w:rPr>
              <w:t xml:space="preserve"> </w:t>
            </w:r>
          </w:p>
          <w:p>
            <w:pPr>
              <w:pStyle w:val="Normal"/>
              <w:widowControl w:val="false"/>
              <w:numPr>
                <w:ilvl w:val="0"/>
                <w:numId w:val="20"/>
              </w:numPr>
              <w:jc w:val="both"/>
              <w:rPr/>
            </w:pPr>
            <w:r>
              <w:rPr>
                <w:rFonts w:ascii="Times New Roman" w:hAnsi="Times New Roman"/>
                <w:color w:val="auto"/>
              </w:rPr>
              <w:t xml:space="preserve">Issue a Newsletter and use social media to promote </w:t>
            </w:r>
            <w:r>
              <w:rPr>
                <w:rFonts w:ascii="Times New Roman" w:hAnsi="Times New Roman"/>
                <w:color w:val="auto"/>
              </w:rPr>
              <w:t>ACRONYM</w:t>
            </w:r>
            <w:r>
              <w:rPr>
                <w:rFonts w:ascii="Times New Roman" w:hAnsi="Times New Roman"/>
                <w:color w:val="auto"/>
              </w:rPr>
              <w:t xml:space="preserve"> and inform the public about its </w:t>
            </w:r>
            <w:r>
              <w:rPr>
                <w:rFonts w:ascii="Times New Roman" w:hAnsi="Times New Roman"/>
                <w:color w:val="auto"/>
              </w:rPr>
              <w:t xml:space="preserve">objectives, </w:t>
            </w:r>
            <w:r>
              <w:rPr>
                <w:rFonts w:ascii="Times New Roman" w:hAnsi="Times New Roman"/>
                <w:color w:val="auto"/>
              </w:rPr>
              <w:t xml:space="preserve">activities, results </w:t>
            </w:r>
            <w:r>
              <w:rPr>
                <w:rFonts w:ascii="Times New Roman" w:hAnsi="Times New Roman"/>
                <w:color w:val="auto"/>
              </w:rPr>
              <w:t>and events</w:t>
            </w:r>
            <w:r>
              <w:rPr>
                <w:rFonts w:ascii="Times New Roman" w:hAnsi="Times New Roman"/>
                <w:color w:val="auto"/>
              </w:rPr>
              <w:t>.</w:t>
            </w:r>
          </w:p>
          <w:p>
            <w:pPr>
              <w:pStyle w:val="Normal"/>
              <w:widowControl w:val="false"/>
              <w:numPr>
                <w:ilvl w:val="0"/>
                <w:numId w:val="20"/>
              </w:numPr>
              <w:jc w:val="both"/>
              <w:rPr/>
            </w:pPr>
            <w:r>
              <w:rPr>
                <w:rFonts w:ascii="Times New Roman" w:hAnsi="Times New Roman"/>
                <w:color w:val="auto"/>
              </w:rPr>
              <w:t xml:space="preserve">Issue calls to any interested party (universities, research institutions, government agencies, businesses, etc) to get involved in a national ecosystem of </w:t>
            </w:r>
            <w:r>
              <w:rPr>
                <w:rFonts w:ascii="Times New Roman" w:hAnsi="Times New Roman"/>
                <w:color w:val="auto"/>
                <w:lang w:val="en-GB"/>
              </w:rPr>
              <w:t>space-based geosciences. Use ACRONYM results and activities to make the call more appealing.</w:t>
            </w:r>
          </w:p>
          <w:p>
            <w:pPr>
              <w:pStyle w:val="Normal"/>
              <w:widowControl w:val="false"/>
              <w:numPr>
                <w:ilvl w:val="0"/>
                <w:numId w:val="20"/>
              </w:numPr>
              <w:jc w:val="both"/>
              <w:rPr>
                <w:rFonts w:ascii="Times New Roman" w:hAnsi="Times New Roman"/>
                <w:color w:val="auto"/>
              </w:rPr>
            </w:pPr>
            <w:r>
              <w:rPr>
                <w:rFonts w:ascii="Times New Roman" w:hAnsi="Times New Roman"/>
                <w:color w:val="auto"/>
                <w:lang w:val="en-GB"/>
              </w:rPr>
              <w:t>Promote ACRONYM to graduate level students in Greece, using NTUA’s academic capacity (e.g. lectures, national meetings and consortia, etc).</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p>
          <w:p>
            <w:pPr>
              <w:pStyle w:val="Normal"/>
              <w:widowControl w:val="false"/>
              <w:numPr>
                <w:ilvl w:val="0"/>
                <w:numId w:val="21"/>
              </w:numPr>
              <w:jc w:val="both"/>
              <w:rPr/>
            </w:pPr>
            <w:r>
              <w:rPr>
                <w:rFonts w:ascii="Times New Roman" w:hAnsi="Times New Roman"/>
                <w:color w:val="000000"/>
                <w:lang w:val="en-GB"/>
              </w:rPr>
              <w:t>Release of DORIS analysis software, attributing a citeable and trackable DOI (e.g. via zenodo). Software release using a public domain software repository/development platform using MIT license.</w:t>
            </w:r>
          </w:p>
          <w:p>
            <w:pPr>
              <w:pStyle w:val="Normal"/>
              <w:widowControl w:val="false"/>
              <w:numPr>
                <w:ilvl w:val="0"/>
                <w:numId w:val="21"/>
              </w:numPr>
              <w:jc w:val="both"/>
              <w:rPr/>
            </w:pPr>
            <w:r>
              <w:rPr>
                <w:color w:val="000000"/>
              </w:rPr>
              <w:t xml:space="preserve">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numPr>
                <w:ilvl w:val="0"/>
                <w:numId w:val="21"/>
              </w:numPr>
              <w:jc w:val="both"/>
              <w:rPr/>
            </w:pPr>
            <w:r>
              <w:rPr>
                <w:color w:val="000000"/>
              </w:rPr>
              <w:t>Scientific publications in high-impact peer-reviewed journals.</w:t>
            </w:r>
          </w:p>
          <w:p>
            <w:pPr>
              <w:pStyle w:val="Normal"/>
              <w:widowControl w:val="false"/>
              <w:numPr>
                <w:ilvl w:val="0"/>
                <w:numId w:val="21"/>
              </w:numPr>
              <w:jc w:val="both"/>
              <w:rPr/>
            </w:pPr>
            <w:r>
              <w:rPr>
                <w:color w:val="000000"/>
              </w:rPr>
              <w:t>Attendance and presentations in international conference.</w:t>
            </w:r>
          </w:p>
          <w:p>
            <w:pPr>
              <w:pStyle w:val="Normal"/>
              <w:widowControl w:val="false"/>
              <w:numPr>
                <w:ilvl w:val="0"/>
                <w:numId w:val="21"/>
              </w:numPr>
              <w:jc w:val="both"/>
              <w:rPr/>
            </w:pPr>
            <w:r>
              <w:rPr>
                <w:color w:val="000000"/>
              </w:rPr>
              <w:t>Summer School on Space Geodesy, Earth Observation and applications</w:t>
            </w:r>
          </w:p>
          <w:p>
            <w:pPr>
              <w:pStyle w:val="Normal"/>
              <w:widowControl w:val="false"/>
              <w:numPr>
                <w:ilvl w:val="0"/>
                <w:numId w:val="21"/>
              </w:numPr>
              <w:jc w:val="both"/>
              <w:rPr/>
            </w:pPr>
            <w:r>
              <w:rPr>
                <w:color w:val="000000"/>
              </w:rPr>
              <w:t>One info-day and one conference in Greece, targeting the Greek ecosystem</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pPr>
            <w:r>
              <w:rPr>
                <w:b/>
                <w:bCs/>
                <w:color w:val="000000"/>
              </w:rPr>
              <w:t>Exploitation:</w:t>
            </w:r>
            <w:r>
              <w:rPr>
                <w:color w:val="000000"/>
              </w:rPr>
              <w:t xml:space="preserve"> </w:t>
            </w:r>
          </w:p>
          <w:p>
            <w:pPr>
              <w:pStyle w:val="Normal"/>
              <w:widowControl w:val="false"/>
              <w:numPr>
                <w:ilvl w:val="0"/>
                <w:numId w:val="22"/>
              </w:numPr>
              <w:jc w:val="both"/>
              <w:rPr/>
            </w:pPr>
            <w:r>
              <w:rPr>
                <w:color w:val="000000"/>
              </w:rPr>
              <w:t xml:space="preserve">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numPr>
                <w:ilvl w:val="0"/>
                <w:numId w:val="22"/>
              </w:numPr>
              <w:jc w:val="both"/>
              <w:rPr/>
            </w:pP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numPr>
                <w:ilvl w:val="0"/>
                <w:numId w:val="22"/>
              </w:numPr>
              <w:jc w:val="both"/>
              <w:rPr/>
            </w:pP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numPr>
                <w:ilvl w:val="0"/>
                <w:numId w:val="22"/>
              </w:numPr>
              <w:jc w:val="both"/>
              <w:rPr/>
            </w:pPr>
            <w:r>
              <w:rPr>
                <w:b w:val="false"/>
                <w:bCs w:val="false"/>
                <w:color w:val="000000"/>
              </w:rPr>
              <w:t>Use synergies within the national ecosystem to</w:t>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trained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 xml:space="preserve">Research and Scientific community </w:t>
            </w:r>
            <w:r>
              <w:rPr>
                <w:b w:val="false"/>
                <w:bCs w:val="false"/>
                <w:color w:val="000000"/>
                <w:lang w:val="en-GB"/>
              </w:rPr>
              <w:t>(Greek and international) in the fields of Space Geodesy and Earth Observation.</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 xml:space="preserve">of stakeholders active in space-based geosciences. </w:t>
            </w:r>
            <w:r>
              <w:rPr>
                <w:b w:val="false"/>
                <w:bCs w:val="false"/>
                <w:color w:val="000000"/>
                <w:lang w:val="en-GB"/>
              </w:rPr>
              <w:t>This includes relative research institutes, commercial users, businesses and industry</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 xml:space="preserve">Involvement </w:t>
            </w:r>
            <w:r>
              <w:rPr/>
              <w:t xml:space="preserve">of Coordinator </w:t>
            </w:r>
            <w:r>
              <w:rPr/>
              <w:t xml:space="preserve">in high prestige international consortia </w:t>
            </w:r>
            <w:r>
              <w:rPr/>
              <w:t>and services, in multiple roles and levels.</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 xml:space="preserve">Establishment of a highly </w:t>
            </w:r>
            <w:r>
              <w:rPr>
                <w:rFonts w:ascii="Times New Roman" w:hAnsi="Times New Roman"/>
                <w:lang w:val="en-GB"/>
              </w:rPr>
              <w:t>s</w:t>
            </w:r>
            <w:r>
              <w:rPr>
                <w:rFonts w:ascii="Times New Roman" w:hAnsi="Times New Roman"/>
                <w:lang w:val="en-GB"/>
              </w:rPr>
              <w:t>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i w:val="false"/>
                <w:i w:val="false"/>
                <w:iCs w:val="false"/>
              </w:rPr>
            </w:pPr>
            <w:r>
              <w:rPr>
                <w:i w:val="false"/>
                <w:iCs w:val="false"/>
                <w:color w:val="000000"/>
                <w:lang w:val="en-GB"/>
              </w:rPr>
              <w:t>Quench the crowding-out effect of young, skilled scientists experienced in Greece, targeting the field of Space Geodesy and Geosciences.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Increase Greece’s share in research funding pools.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 xml:space="preserve">Increase Greece’s awareness, interest and involvement in a rapidly growing international market, that of Space technology and Earth </w:t>
            </w:r>
            <w:r>
              <w:rPr>
                <w:i w:val="false"/>
                <w:iCs w:val="false"/>
                <w:color w:val="000000"/>
                <w:lang w:val="en-GB"/>
              </w:rPr>
              <w:t>O</w:t>
            </w:r>
            <w:r>
              <w:rPr>
                <w:i w:val="false"/>
                <w:iCs w:val="false"/>
                <w:color w:val="000000"/>
                <w:lang w:val="en-GB"/>
              </w:rPr>
              <w:t>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Significantly up-scale academic curriculum and research scope in Greece. Create a pool of experts in Space and studies and Geosciences, boosting innovation and research capacity on a national scale.</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Stimulate NTUA’s collaboration with the private sector, involvement in R&amp;</w:t>
            </w:r>
            <w:r>
              <w:rPr>
                <w:i w:val="false"/>
                <w:iCs w:val="false"/>
                <w:color w:val="000000"/>
                <w:lang w:val="en-GB"/>
              </w:rPr>
              <w:t>I</w:t>
            </w:r>
            <w:r>
              <w:rPr>
                <w:i w:val="false"/>
                <w:iCs w:val="false"/>
                <w:color w:val="000000"/>
                <w:lang w:val="en-GB"/>
              </w:rPr>
              <w:t xml:space="preserve"> and products/solutions targeting Space technology and Earth observation.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Mitigate the currently apparent technological gap between Greece and leading European countries in Space and Earth Observation.</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1"/>
          <w:footerReference w:type="default" r:id="rId22"/>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TextBody"/>
        <w:rPr>
          <w:lang w:val="en-GB"/>
        </w:rPr>
      </w:pPr>
      <w:r>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rFonts w:ascii="Times New Roman" w:hAnsi="Times New Roman"/>
          <w:b/>
          <w:b/>
          <w:lang w:val="en-GB"/>
        </w:rPr>
      </w:pPr>
      <w:r>
        <w:rPr>
          <w:rFonts w:ascii="Times New Roman" w:hAnsi="Times New Roman"/>
          <w:b/>
          <w:lang w:val="en-GB"/>
        </w:rPr>
        <w:t xml:space="preserve">3.2.1 </w:t>
      </w:r>
      <w:r>
        <w:rPr>
          <w:rFonts w:ascii="Times New Roman" w:hAnsi="Times New Roman"/>
          <w:b/>
          <w:lang w:val="en-GB"/>
        </w:rPr>
        <w:t>Capacity of GFZ in the field of SLR and other space geodetic techniques</w:t>
      </w:r>
    </w:p>
    <w:p>
      <w:pPr>
        <w:pStyle w:val="TextBody"/>
        <w:rPr>
          <w:rFonts w:ascii="Nimbus Roman" w:hAnsi="Nimbus Roman"/>
        </w:rPr>
      </w:pPr>
      <w:r>
        <w:rPr>
          <w:rFonts w:ascii="Nimbus Roman" w:hAnsi="Nimbus Roman"/>
        </w:rPr>
        <w:t>GFZ´s Section 1.2 “Global Geomonitoring and Gravity Field” within GFZ´s Department</w:t>
      </w:r>
      <w:r>
        <w:rPr>
          <w:rFonts w:ascii="Nimbus Roman" w:hAnsi="Nimbus Roman"/>
          <w:lang w:val="en-GB"/>
        </w:rPr>
        <w:t xml:space="preserve"> 1 “Geodesy” has </w:t>
      </w:r>
      <w:r>
        <w:rPr>
          <w:rFonts w:ascii="Nimbus Roman" w:hAnsi="Nimbus Roman"/>
        </w:rPr>
        <w:t xml:space="preserve">a long-standing expertise using data from all four space geodetic techniques (SLR, GNSS, Doris, VLBI) to improve the International Terrestrial Reference Frame (ITRF) and to provide numerous Earth system parameters such as Earth orientation or station coordinates and velocities to the international community. The Section actively runs an Analysis Center (AC) for the International Laser Ranging Service (ILRS) and will shortly also become an AC for the International Doris Service (IDS). The Section has developed in house a software package “EPOS” (Earth Parameter and Orbit System) with its nucleus EPOS-OC (Orbit Computation) for data pre-processing, precise orbit determination (POD) of LEO (Low Earth Orbiting), MEO (Medium EO) and HEO (High EO) satellites, orbit integration, orbit prediction, simulation of observations, and normal equation handling and solution. Its periphery comprises data pre-processing, orbit predictions for SLR tracking and mission operations, normal equation handling and solution. EPOS is capable to analyze all kinds of space geodetic tracking data, inter-satellite tracking data as well as 3D accelerometer data to handle non-gravitational forces and star camera attitude data, e.g. for time-variable gravity field determination from GRACE and GRACE-FO mission data. The software always follows most recent standards such as the IERS2010 Conventions or new terrestrial reference frames as the ITRF2020. EPOS-OC is regularly compared to other internationally accepted software package such as GINS (GRGS, Toulouse) or UTOPIA (CSR, Austin).Various simulation studies have recently been performed to improve the ITRF towards the Global Geodetic Observing System (GGOS) requirements (1 mm accuracy and 1 mm per decade long-term stability) either by optimizing the global ground station network for SLR or VLBI or to use so called “space tie satellites” such as the upcoming ESA GENESIS mission by co-locating all four techniques on the same satellite, with the instruments duly calibrated and synchronized. </w:t>
      </w:r>
    </w:p>
    <w:p>
      <w:pPr>
        <w:pStyle w:val="TextBody"/>
        <w:rPr>
          <w:rFonts w:ascii="Nimbus Roman" w:hAnsi="Nimbus Roman"/>
          <w:b w:val="false"/>
          <w:b w:val="false"/>
          <w:bCs w:val="false"/>
          <w:highlight w:val="none"/>
          <w:shd w:fill="auto" w:val="clear"/>
        </w:rPr>
      </w:pPr>
      <w:r>
        <w:rPr>
          <w:rFonts w:ascii="Nimbus Roman" w:hAnsi="Nimbus Roman"/>
          <w:b w:val="false"/>
          <w:bCs w:val="false"/>
          <w:shd w:fill="auto" w:val="clear"/>
          <w:lang w:val="en-GB"/>
        </w:rPr>
        <w:t>The Section also runs a SLR station on the Telegrafenberg in Potsdam which will celebrate its 50</w:t>
      </w:r>
      <w:r>
        <w:rPr>
          <w:rFonts w:ascii="Nimbus Roman" w:hAnsi="Nimbus Roman"/>
          <w:b w:val="false"/>
          <w:bCs w:val="false"/>
          <w:shd w:fill="auto" w:val="clear"/>
          <w:vertAlign w:val="superscript"/>
          <w:lang w:val="en-GB"/>
        </w:rPr>
        <w:t>th</w:t>
      </w:r>
      <w:r>
        <w:rPr>
          <w:rFonts w:ascii="Nimbus Roman" w:hAnsi="Nimbus Roman"/>
          <w:b w:val="false"/>
          <w:bCs w:val="false"/>
          <w:shd w:fill="auto" w:val="clear"/>
          <w:lang w:val="en-GB"/>
        </w:rPr>
        <w:t xml:space="preserve"> anniversary in March 2024. The station is always under the best 10 stations in the world and fulfils the ILRS requirements what concerns, e.g., number of passes, accuracy and latency. The station shall be renewed within the next 2-3 years and will then become the first “MHz-station” in the world.</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Strengthening research management, administration and funding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CLS</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WP5</w:t>
            </w:r>
          </w:p>
        </w:tc>
        <w:tc>
          <w:tcPr>
            <w:tcW w:w="1415" w:type="dxa"/>
            <w:tcBorders>
              <w:left w:val="single" w:sz="2" w:space="0" w:color="000000"/>
              <w:bottom w:val="single" w:sz="2" w:space="0" w:color="000000"/>
              <w:right w:val="single" w:sz="2" w:space="0" w:color="000000"/>
            </w:tcBorders>
          </w:tcPr>
          <w:p>
            <w:pPr>
              <w:pStyle w:val="Normal"/>
              <w:widowControl w:val="false"/>
              <w:rPr>
                <w:lang w:val="en-GB"/>
              </w:rPr>
            </w:pPr>
            <w:r>
              <w:rPr/>
              <w:t>Networking and Ecosystem Activities</w:t>
            </w:r>
          </w:p>
        </w:tc>
        <w:tc>
          <w:tcPr>
            <w:tcW w:w="141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1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4"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r>
      <w:tr>
        <w:trPr>
          <w:cantSplit w:val="true"/>
        </w:trPr>
        <w:tc>
          <w:tcPr>
            <w:tcW w:w="1102"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WP6</w:t>
            </w:r>
          </w:p>
        </w:tc>
        <w:tc>
          <w:tcPr>
            <w:tcW w:w="1415"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t>Dissemination, Exploitation and Communication Activities</w:t>
            </w:r>
          </w:p>
        </w:tc>
        <w:tc>
          <w:tcPr>
            <w:tcW w:w="141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1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GFZ</w:t>
            </w:r>
          </w:p>
        </w:tc>
        <w:tc>
          <w:tcPr>
            <w:tcW w:w="1279"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TextBody"/>
              <w:numPr>
                <w:ilvl w:val="0"/>
                <w:numId w:val="23"/>
              </w:numPr>
              <w:rPr/>
            </w:pPr>
            <w:r>
              <w:rPr/>
              <w:t>Establish a strong project management scheme</w:t>
            </w:r>
          </w:p>
          <w:p>
            <w:pPr>
              <w:pStyle w:val="TextBody"/>
              <w:numPr>
                <w:ilvl w:val="0"/>
                <w:numId w:val="23"/>
              </w:numPr>
              <w:rPr/>
            </w:pPr>
            <w:r>
              <w:rPr/>
              <w:t>Establish appropriate communication and reporting channels to the European Commission</w:t>
            </w:r>
          </w:p>
          <w:p>
            <w:pPr>
              <w:pStyle w:val="TextBody"/>
              <w:numPr>
                <w:ilvl w:val="0"/>
                <w:numId w:val="23"/>
              </w:numPr>
              <w:rPr/>
            </w:pPr>
            <w:r>
              <w:rPr/>
              <w:t>Ensure successful achievement of the project objectives on time and within budget</w:t>
            </w:r>
          </w:p>
          <w:p>
            <w:pPr>
              <w:pStyle w:val="TextBody"/>
              <w:numPr>
                <w:ilvl w:val="0"/>
                <w:numId w:val="23"/>
              </w:numPr>
              <w:rPr/>
            </w:pPr>
            <w:r>
              <w:rPr/>
              <w:t>Establish an efficient electronic service for communications, and document exchanging</w:t>
            </w:r>
          </w:p>
          <w:p>
            <w:pPr>
              <w:pStyle w:val="TextBody"/>
              <w:numPr>
                <w:ilvl w:val="0"/>
                <w:numId w:val="23"/>
              </w:numPr>
              <w:rPr/>
            </w:pPr>
            <w:r>
              <w:rPr/>
              <w:t>Conduct continuous quality assurance activities for the operation of the project and the production of its results within its lifespan</w:t>
            </w:r>
          </w:p>
          <w:p>
            <w:pPr>
              <w:pStyle w:val="TextBody"/>
              <w:numPr>
                <w:ilvl w:val="0"/>
                <w:numId w:val="23"/>
              </w:numPr>
              <w:rPr/>
            </w:pPr>
            <w:r>
              <w:rPr/>
              <w:t>Ensure continuous monitoring of the project’s progress and timely initiation of corrective actions (if needed)</w:t>
            </w:r>
          </w:p>
          <w:p>
            <w:pPr>
              <w:pStyle w:val="TextBody"/>
              <w:numPr>
                <w:ilvl w:val="0"/>
                <w:numId w:val="23"/>
              </w:numPr>
              <w:rPr/>
            </w:pPr>
            <w:r>
              <w:rPr/>
              <w:t>Coordinate the organization and execution of the various project meetings, and/or participation of the project in various external or self-organized events</w:t>
            </w:r>
          </w:p>
          <w:p>
            <w:pPr>
              <w:pStyle w:val="TextBody"/>
              <w:numPr>
                <w:ilvl w:val="0"/>
                <w:numId w:val="23"/>
              </w:numPr>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 xml:space="preserve">Task 1.1: Project </w:t>
            </w:r>
            <w:r>
              <w:rPr>
                <w:b/>
                <w:bCs/>
              </w:rPr>
              <w:t>i</w:t>
            </w:r>
            <w:r>
              <w:rPr>
                <w:b/>
                <w:bCs/>
              </w:rPr>
              <w:t xml:space="preserve">mplementation </w:t>
            </w:r>
            <w:r>
              <w:rPr>
                <w:b/>
                <w:bCs/>
              </w:rPr>
              <w:t>p</w:t>
            </w:r>
            <w:r>
              <w:rPr>
                <w:b/>
                <w:bCs/>
              </w:rPr>
              <w:t xml:space="preserve">lan and </w:t>
            </w:r>
            <w:r>
              <w:rPr>
                <w:b/>
                <w:bCs/>
              </w:rPr>
              <w:t>P</w:t>
            </w:r>
            <w:r>
              <w:rPr>
                <w:b/>
                <w:bCs/>
              </w:rPr>
              <w:t xml:space="preserve">roject </w:t>
            </w:r>
            <w:r>
              <w:rPr>
                <w:b/>
                <w:bCs/>
              </w:rPr>
              <w:t>M</w:t>
            </w:r>
            <w:r>
              <w:rPr>
                <w:b/>
                <w:bCs/>
              </w:rPr>
              <w:t xml:space="preserve">anagement </w:t>
            </w:r>
            <w:r>
              <w:rPr>
                <w:b/>
                <w:bCs/>
              </w:rPr>
              <w:t>B</w:t>
            </w:r>
            <w:r>
              <w:rPr>
                <w:b/>
                <w:bCs/>
              </w:rPr>
              <w:t>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 xml:space="preserve">Task 1.2: Quality </w:t>
            </w:r>
            <w:r>
              <w:rPr>
                <w:b/>
                <w:bCs/>
              </w:rPr>
              <w:t>m</w:t>
            </w:r>
            <w:r>
              <w:rPr>
                <w:b/>
                <w:bCs/>
              </w:rPr>
              <w:t xml:space="preserve">anagement and </w:t>
            </w:r>
            <w:r>
              <w:rPr>
                <w:b/>
                <w:bCs/>
              </w:rPr>
              <w:t>m</w:t>
            </w:r>
            <w:r>
              <w:rPr>
                <w:b/>
                <w:bCs/>
              </w:rPr>
              <w:t>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 xml:space="preserve">Task 1.3: Risk </w:t>
            </w:r>
            <w:r>
              <w:rPr>
                <w:b/>
                <w:bCs/>
              </w:rPr>
              <w:t>m</w:t>
            </w:r>
            <w:r>
              <w:rPr>
                <w:b/>
                <w:bCs/>
              </w:rPr>
              <w:t>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 xml:space="preserve">Task 1.4: Financial </w:t>
            </w:r>
            <w:r>
              <w:rPr>
                <w:b/>
                <w:bCs/>
              </w:rPr>
              <w:t>m</w:t>
            </w:r>
            <w:r>
              <w:rPr>
                <w:b/>
                <w:bCs/>
              </w:rPr>
              <w:t>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 xml:space="preserve">Task 1.5: Coordination, </w:t>
            </w:r>
            <w:r>
              <w:rPr>
                <w:b/>
                <w:bCs/>
              </w:rPr>
              <w:t>c</w:t>
            </w:r>
            <w:r>
              <w:rPr>
                <w:b/>
                <w:bCs/>
              </w:rPr>
              <w:t xml:space="preserve">ommunication and </w:t>
            </w:r>
            <w:r>
              <w:rPr>
                <w:b/>
                <w:bCs/>
              </w:rPr>
              <w:t>a</w:t>
            </w:r>
            <w:r>
              <w:rPr>
                <w:b/>
                <w:bCs/>
              </w:rPr>
              <w:t>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TextBody"/>
              <w:rPr>
                <w:b w:val="false"/>
                <w:b w:val="false"/>
                <w:bCs w:val="false"/>
              </w:rPr>
            </w:pPr>
            <w:r>
              <w:rPr/>
              <w:t>The objectives of this WP are to:</w:t>
            </w:r>
          </w:p>
          <w:p>
            <w:pPr>
              <w:pStyle w:val="TextBody"/>
              <w:numPr>
                <w:ilvl w:val="0"/>
                <w:numId w:val="24"/>
              </w:numPr>
              <w:rPr/>
            </w:pPr>
            <w:r>
              <w:rPr/>
              <w:t>transfer knowledge from expert nodes to the Coordinator, building foundations for scientific excellence</w:t>
            </w:r>
          </w:p>
          <w:p>
            <w:pPr>
              <w:pStyle w:val="TextBody"/>
              <w:numPr>
                <w:ilvl w:val="0"/>
                <w:numId w:val="24"/>
              </w:numPr>
              <w:rPr/>
            </w:pPr>
            <w:r>
              <w:rPr/>
              <w:t>establish technical standards, requirements and specifications for further research capacity (building software, WP3)</w:t>
            </w:r>
          </w:p>
          <w:p>
            <w:pPr>
              <w:pStyle w:val="TextBody"/>
              <w:numPr>
                <w:ilvl w:val="0"/>
                <w:numId w:val="24"/>
              </w:numPr>
              <w:rPr/>
            </w:pPr>
            <w:r>
              <w:rPr/>
              <w:t>involve talented young scientists in training and increase inwards/outwards mobility (via co-supervision and visits)</w:t>
            </w:r>
          </w:p>
          <w:p>
            <w:pPr>
              <w:pStyle w:val="TextBody"/>
              <w:numPr>
                <w:ilvl w:val="0"/>
                <w:numId w:val="24"/>
              </w:numPr>
              <w:rPr/>
            </w:pPr>
            <w:r>
              <w:rPr/>
              <w:t>seek and utilize training channels/options other than ACRONYM</w:t>
            </w:r>
          </w:p>
          <w:p>
            <w:pPr>
              <w:pStyle w:val="TextBody"/>
              <w:numPr>
                <w:ilvl w:val="0"/>
                <w:numId w:val="24"/>
              </w:numPr>
              <w:rPr>
                <w:b w:val="false"/>
                <w:b w:val="false"/>
                <w:bCs w:val="false"/>
              </w:rPr>
            </w:pPr>
            <w:r>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Transfer of knowledge for DORIS (M1-M12); Lead IPGP</w:t>
            </w:r>
          </w:p>
          <w:p>
            <w:pPr>
              <w:pStyle w:val="Normal"/>
              <w:widowControl w:val="false"/>
              <w:spacing w:before="60" w:after="60"/>
              <w:jc w:val="both"/>
              <w:rPr/>
            </w:pPr>
            <w:r>
              <w:rPr>
                <w:lang w:val="en-GB"/>
              </w:rPr>
              <w:t>The Coordinator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w:t>
            </w:r>
          </w:p>
          <w:p>
            <w:pPr>
              <w:pStyle w:val="Normal"/>
              <w:widowControl w:val="false"/>
              <w:spacing w:before="60" w:after="60"/>
              <w:jc w:val="both"/>
              <w:rPr/>
            </w:pPr>
            <w:r>
              <w:rPr/>
              <w:t>Exploiting the expertise of the top-class institutes (IPGP and CLS), the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Normal"/>
              <w:widowControl w:val="false"/>
              <w:spacing w:before="60" w:after="60"/>
              <w:jc w:val="both"/>
              <w:rPr/>
            </w:pPr>
            <w:r>
              <w:rPr>
                <w:lang w:val="en-GB"/>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Transfer of knowledge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Normal"/>
              <w:widowControl w:val="false"/>
              <w:spacing w:before="60" w:after="60"/>
              <w:jc w:val="both"/>
              <w:rPr/>
            </w:pPr>
            <w:r>
              <w:rPr>
                <w:lang w:val="en-GB"/>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
                <w:bCs/>
              </w:rPr>
            </w:pPr>
            <w:r>
              <w:rPr>
                <w:b/>
                <w:bCs/>
              </w:rPr>
              <w:t>Task 2.4 Assessment of currently available software tools (M6-12); Lead GFZ</w:t>
            </w:r>
          </w:p>
          <w:p>
            <w:pPr>
              <w:pStyle w:val="Normal"/>
              <w:widowControl w:val="false"/>
              <w:spacing w:before="60" w:after="60"/>
              <w:jc w:val="both"/>
              <w:rPr>
                <w:b w:val="false"/>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
                <w:bCs/>
              </w:rPr>
            </w:pPr>
            <w:r>
              <w:rPr>
                <w:b/>
                <w:bCs/>
              </w:rPr>
            </w:r>
          </w:p>
          <w:p>
            <w:pPr>
              <w:pStyle w:val="Normal"/>
              <w:widowControl w:val="false"/>
              <w:spacing w:before="60" w:after="60"/>
              <w:jc w:val="both"/>
              <w:rPr>
                <w:highlight w:val="none"/>
                <w:shd w:fill="FFFF00" w:val="clear"/>
              </w:rPr>
            </w:pPr>
            <w:r>
              <w:rPr>
                <w:b/>
                <w:bCs/>
                <w:shd w:fill="FFFF00" w:val="clear"/>
              </w:rPr>
              <w:t>Task 2.5 Attending training events (M6-M36); Lead NTUA</w:t>
            </w:r>
          </w:p>
          <w:p>
            <w:pPr>
              <w:pStyle w:val="Normal"/>
              <w:widowControl w:val="false"/>
              <w:jc w:val="both"/>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rPr/>
            </w:pPr>
            <w:r>
              <w:rPr/>
              <w:t>The objectives of this WP are to:</w:t>
            </w:r>
          </w:p>
          <w:p>
            <w:pPr>
              <w:pStyle w:val="TextBody"/>
              <w:numPr>
                <w:ilvl w:val="0"/>
                <w:numId w:val="25"/>
              </w:numPr>
              <w:rPr/>
            </w:pPr>
            <w:r>
              <w:rPr/>
              <w:t>effectively enhance host’s research capacity through expertise, skill building and software implementation</w:t>
            </w:r>
          </w:p>
          <w:p>
            <w:pPr>
              <w:pStyle w:val="TextBody"/>
              <w:numPr>
                <w:ilvl w:val="0"/>
                <w:numId w:val="25"/>
              </w:numPr>
              <w:rPr/>
            </w:pPr>
            <w:r>
              <w:rPr/>
              <w:t>transfer of knowledge and best practices using a “hands-on” approach</w:t>
            </w:r>
          </w:p>
          <w:p>
            <w:pPr>
              <w:pStyle w:val="TextBody"/>
              <w:numPr>
                <w:ilvl w:val="0"/>
                <w:numId w:val="25"/>
              </w:numPr>
              <w:rPr/>
            </w:pPr>
            <w:r>
              <w:rPr/>
              <w:t>build a software toolbox to perform state-of-the-art data analysis for observations collected by both DORIS and SLR techniques. Additionally, efficiently incorporate recent advances and high-quality products from VLBI analysis.</w:t>
            </w:r>
          </w:p>
          <w:p>
            <w:pPr>
              <w:pStyle w:val="TextBody"/>
              <w:numPr>
                <w:ilvl w:val="0"/>
                <w:numId w:val="25"/>
              </w:numPr>
              <w:rPr/>
            </w:pPr>
            <w:r>
              <w:rPr/>
              <w:t>enhance NTUA research profile via adherence to a  free and open-source policy (software)</w:t>
            </w:r>
          </w:p>
          <w:p>
            <w:pPr>
              <w:pStyle w:val="TextBody"/>
              <w:numPr>
                <w:ilvl w:val="0"/>
                <w:numId w:val="25"/>
              </w:numPr>
              <w:rPr/>
            </w:pPr>
            <w:r>
              <w:rPr/>
              <w:t>create highly skilled scientific personnel at the host institute</w:t>
            </w:r>
          </w:p>
          <w:p>
            <w:pPr>
              <w:pStyle w:val="TextBody"/>
              <w:numPr>
                <w:ilvl w:val="0"/>
                <w:numId w:val="25"/>
              </w:numPr>
              <w:rPr/>
            </w:pPr>
            <w:r>
              <w:rPr/>
              <w:t>establish a long term plan for further enhancing the host institute’s research capacity, international standing 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Coordinator’s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2.3,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2.4,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scientific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rPr/>
            </w:pPr>
            <w:r>
              <w:rPr/>
              <w:t>The objectives of this WP are to:</w:t>
            </w:r>
          </w:p>
          <w:p>
            <w:pPr>
              <w:pStyle w:val="TextBody"/>
              <w:numPr>
                <w:ilvl w:val="0"/>
                <w:numId w:val="26"/>
              </w:numPr>
              <w:rPr/>
            </w:pPr>
            <w:r>
              <w:rPr/>
              <w:t xml:space="preserve">strengthen research management capacity and administrative skills of the Coordinator </w:t>
            </w:r>
          </w:p>
          <w:p>
            <w:pPr>
              <w:pStyle w:val="TextBody"/>
              <w:numPr>
                <w:ilvl w:val="0"/>
                <w:numId w:val="26"/>
              </w:numPr>
              <w:rPr/>
            </w:pPr>
            <w:r>
              <w:rPr/>
              <w:t xml:space="preserve">create a dedicated, skilled workforce at NTUA responsible for project claiming </w:t>
            </w:r>
          </w:p>
          <w:p>
            <w:pPr>
              <w:pStyle w:val="TextBody"/>
              <w:numPr>
                <w:ilvl w:val="0"/>
                <w:numId w:val="26"/>
              </w:numPr>
              <w:rPr/>
            </w:pPr>
            <w:r>
              <w:rPr/>
              <w:t xml:space="preserve">boost Coordinator’s success rate in research funding bids </w:t>
            </w:r>
          </w:p>
          <w:p>
            <w:pPr>
              <w:pStyle w:val="TextBody"/>
              <w:numPr>
                <w:ilvl w:val="0"/>
                <w:numId w:val="26"/>
              </w:numPr>
              <w:rPr/>
            </w:pPr>
            <w:r>
              <w:rPr/>
              <w:t xml:space="preserve">expand and diversify funding pools and capabilities targeted by NTUA </w:t>
            </w:r>
          </w:p>
          <w:p>
            <w:pPr>
              <w:pStyle w:val="TextBody"/>
              <w:numPr>
                <w:ilvl w:val="0"/>
                <w:numId w:val="26"/>
              </w:numPr>
              <w:rPr/>
            </w:pPr>
            <w:r>
              <w:rPr/>
              <w:t xml:space="preserve">build expertise at efficient and successful research proposal writing </w:t>
            </w:r>
          </w:p>
          <w:p>
            <w:pPr>
              <w:pStyle w:val="TextBody"/>
              <w:numPr>
                <w:ilvl w:val="0"/>
                <w:numId w:val="26"/>
              </w:numPr>
              <w:rPr/>
            </w:pPr>
            <w:r>
              <w:rPr/>
              <w:t xml:space="preserve">claim research funds to enhance NTUA’s appealingness to scientists and recruitment opportunities, increase mobility and support and expand research activities (financially-wise) </w:t>
            </w:r>
          </w:p>
          <w:p>
            <w:pPr>
              <w:pStyle w:val="TextBody"/>
              <w:numPr>
                <w:ilvl w:val="0"/>
                <w:numId w:val="26"/>
              </w:numPr>
              <w:rPr/>
            </w:pPr>
            <w:r>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4.1 Establish a research management/administration unit in the Coordinator institute (M1-M3); Lead NTUA</w:t>
            </w:r>
          </w:p>
          <w:p>
            <w:pPr>
              <w:pStyle w:val="Normal"/>
              <w:widowControl w:val="false"/>
              <w:spacing w:before="60" w:after="60"/>
              <w:jc w:val="both"/>
              <w:rPr/>
            </w:pPr>
            <w:r>
              <w:rPr/>
              <w:t xml:space="preserve">The host institute will establish a task force made up of four to six NTUA employees including administrative staff, which will be trained in project funding seeking, proposal writing and efficient research project management and administration, via remote mentoring and coaching. </w:t>
            </w:r>
            <w:r>
              <w:rPr>
                <w:color w:val="000000"/>
                <w:shd w:fill="auto" w:val="clear"/>
              </w:rPr>
              <w:t xml:space="preserve">The sole purpose of this unit will be to seek, claim and manage research proposals and its </w:t>
              <w:b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widowControl w:val="false"/>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
                <w:bCs/>
              </w:rPr>
            </w:pPr>
            <w:r>
              <w:rPr>
                <w:b/>
                <w:bCs/>
              </w:rPr>
              <w:t>Task 4.2 Strengthening research management capacity and administrative skills (M3-M12);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Project preparation, proposal writing and organisational issues and (b) Project management and administration (</w:t>
            </w:r>
            <w:r>
              <w:rPr>
                <w:shd w:fill="auto" w:val="clear"/>
                <w:lang w:val="en-GB"/>
              </w:rPr>
              <w:t>S</w:t>
            </w:r>
            <w:r>
              <w:rPr>
                <w:shd w:fill="auto" w:val="clear"/>
                <w:lang w:val="en-GB"/>
              </w:rPr>
              <w:t>ection</w:t>
            </w:r>
            <w:r>
              <w:rPr>
                <w:shd w:fill="auto" w:val="clear"/>
                <w:lang w:val="en-GB"/>
              </w:rPr>
              <w:t xml:space="preserve"> </w:t>
            </w:r>
            <w:r>
              <w:rPr>
                <w:shd w:fill="auto" w:val="clear"/>
                <w:lang w:val="en-GB"/>
              </w:rPr>
              <w:t>1.2.3</w:t>
            </w:r>
            <w:r>
              <w:rPr>
                <w:shd w:fill="auto" w:val="clear"/>
                <w:lang w:val="en-GB"/>
              </w:rPr>
              <w:t>)</w:t>
            </w:r>
            <w:r>
              <w:rPr>
                <w:shd w:fill="auto" w:val="clear"/>
                <w:lang w:val="en-GB"/>
              </w:rPr>
              <w:t>. Partners will use large scale research projects they have managed in the past, to provide detailed examples of successful management and administration schema.</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4.3 Exploring funding pools and opportunities (M12-M16); Lead GFZ</w:t>
            </w:r>
          </w:p>
          <w:p>
            <w:pPr>
              <w:pStyle w:val="Normal"/>
              <w:widowControl w:val="false"/>
              <w:spacing w:before="60" w:after="60"/>
              <w:jc w:val="both"/>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w:t>
            </w:r>
            <w:r>
              <w:rPr>
                <w:shd w:fill="auto" w:val="clear"/>
                <w:lang w:val="en-GB"/>
              </w:rPr>
              <w:t>S</w:t>
            </w:r>
            <w:r>
              <w:rPr>
                <w:shd w:fill="auto" w:val="clear"/>
                <w:lang w:val="en-GB"/>
              </w:rPr>
              <w:t xml:space="preserve">ection </w:t>
            </w:r>
            <w:r>
              <w:rPr>
                <w:shd w:fill="auto" w:val="clear"/>
                <w:lang w:val="en-GB"/>
              </w:rPr>
              <w:t>1.2.3</w:t>
            </w:r>
            <w:r>
              <w:rPr>
                <w:shd w:fill="auto" w:val="clear"/>
                <w:lang w:val="en-GB"/>
              </w:rPr>
              <w:t>).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
                <w:bCs/>
              </w:rPr>
            </w:pPr>
            <w:r>
              <w:rPr>
                <w:b/>
                <w:bCs/>
              </w:rPr>
            </w:r>
          </w:p>
          <w:p>
            <w:pPr>
              <w:pStyle w:val="Normal"/>
              <w:widowControl w:val="false"/>
              <w:spacing w:before="60" w:after="60"/>
              <w:jc w:val="both"/>
              <w:rPr/>
            </w:pPr>
            <w:r>
              <w:rPr>
                <w:b/>
                <w:bCs/>
                <w:lang w:val="en-GB"/>
              </w:rPr>
              <w:t>Task 4.4 Enhancing research funding capacity (M12-M36); Lead CLS</w:t>
            </w:r>
          </w:p>
          <w:p>
            <w:pPr>
              <w:pStyle w:val="Normal"/>
              <w:widowControl w:val="false"/>
              <w:jc w:val="both"/>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four research funding proposals, targeting various funding opportunities. These will build upon the research capacity build and scientific excellence gained via ACRONYM.</w:t>
            </w:r>
          </w:p>
          <w:p>
            <w:pPr>
              <w:pStyle w:val="Normal"/>
              <w:widowControl w:val="false"/>
              <w:jc w:val="both"/>
              <w:rPr/>
            </w:pPr>
            <w:r>
              <w:rPr/>
              <w:t>At a minimum, the following funding bids will be submitted:</w:t>
            </w:r>
          </w:p>
          <w:p>
            <w:pPr>
              <w:pStyle w:val="Normal"/>
              <w:widowControl w:val="false"/>
              <w:numPr>
                <w:ilvl w:val="0"/>
                <w:numId w:val="8"/>
              </w:numPr>
              <w:jc w:val="both"/>
              <w:rPr/>
            </w:pPr>
            <w:r>
              <w:rPr/>
              <w:t>two EU large scale research and innovation calls (e.g. HORIZON), and</w:t>
            </w:r>
          </w:p>
          <w:p>
            <w:pPr>
              <w:pStyle w:val="Normal"/>
              <w:widowControl w:val="false"/>
              <w:numPr>
                <w:ilvl w:val="0"/>
                <w:numId w:val="8"/>
              </w:numPr>
              <w:jc w:val="both"/>
              <w:rPr/>
            </w:pPr>
            <w:r>
              <w:rPr>
                <w:shd w:fill="auto" w:val="clear"/>
              </w:rPr>
              <w:t>two research proposals targeting young scientists and/or mobility (e.g. EU MSCA calls)</w:t>
            </w:r>
          </w:p>
          <w:p>
            <w:pPr>
              <w:pStyle w:val="Normal"/>
              <w:widowControl w:val="false"/>
              <w:numPr>
                <w:ilvl w:val="0"/>
                <w:numId w:val="8"/>
              </w:numPr>
              <w:jc w:val="both"/>
              <w:rPr/>
            </w:pPr>
            <w:r>
              <w:rPr>
                <w:shd w:fill="auto" w:val="clear"/>
              </w:rPr>
              <w:t>one funding bid targeting private/public collaboration, including at least one the ecosystem commercial partner</w:t>
            </w:r>
          </w:p>
          <w:p>
            <w:pPr>
              <w:pStyle w:val="Normal"/>
              <w:widowControl w:val="false"/>
              <w:jc w:val="both"/>
              <w:rPr/>
            </w:pPr>
            <w:r>
              <w:rPr>
                <w:shd w:fill="auto" w:val="clear"/>
              </w:rPr>
              <w:t xml:space="preserve">Apart from NTUA, at least two of the ACRONYM partners will be involved in each of the proposals to be submitted, the aim being </w:t>
              <w:br/>
              <w:t>however for the consortium to be included as a whole.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rPr/>
            </w:pPr>
            <w:r>
              <w:rPr/>
              <w:t>The objectives of this WP are to:</w:t>
            </w:r>
          </w:p>
          <w:p>
            <w:pPr>
              <w:pStyle w:val="TextBody"/>
              <w:numPr>
                <w:ilvl w:val="0"/>
                <w:numId w:val="27"/>
              </w:numPr>
              <w:rPr/>
            </w:pPr>
            <w:r>
              <w:rPr/>
              <w:t>establish efficient and seamless communication and knowledge transfer channels</w:t>
            </w:r>
          </w:p>
          <w:p>
            <w:pPr>
              <w:pStyle w:val="TextBody"/>
              <w:numPr>
                <w:ilvl w:val="0"/>
                <w:numId w:val="27"/>
              </w:numPr>
              <w:rPr/>
            </w:pPr>
            <w:r>
              <w:rPr/>
              <w:t>establish efficient and solid networking and collaboration between twinning partners</w:t>
            </w:r>
          </w:p>
          <w:p>
            <w:pPr>
              <w:pStyle w:val="TextBody"/>
              <w:numPr>
                <w:ilvl w:val="0"/>
                <w:numId w:val="27"/>
              </w:numPr>
              <w:rPr/>
            </w:pPr>
            <w:r>
              <w:rPr/>
              <w:t>introduction of NTUA to international consortia and/or services (i.e. IDS, ILRS and IVS)</w:t>
            </w:r>
          </w:p>
          <w:p>
            <w:pPr>
              <w:pStyle w:val="TextBody"/>
              <w:numPr>
                <w:ilvl w:val="0"/>
                <w:numId w:val="27"/>
              </w:numPr>
              <w:rPr/>
            </w:pPr>
            <w:r>
              <w:rPr/>
              <w:t>establishment of a Greek ecosystem of partners involved in space-based geosciences and applications</w:t>
            </w:r>
          </w:p>
          <w:p>
            <w:pPr>
              <w:pStyle w:val="TextBody"/>
              <w:numPr>
                <w:ilvl w:val="0"/>
                <w:numId w:val="27"/>
              </w:numPr>
              <w:rPr>
                <w:b w:val="false"/>
                <w:b w:val="false"/>
                <w:bCs w:val="false"/>
              </w:rPr>
            </w:pPr>
            <w:r>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lang w:val="en-GB"/>
              </w:rPr>
            </w:pPr>
            <w:r>
              <w:rPr>
                <w:b/>
                <w:bCs/>
                <w:lang w:val="en-GB"/>
              </w:rPr>
              <w:t>Task 5.1 Agreement on PhD and PostDoc co-supervision (M1-M6); Lead NTUA</w:t>
            </w:r>
          </w:p>
          <w:p>
            <w:pPr>
              <w:pStyle w:val="TextBody"/>
              <w:rPr>
                <w:b w:val="false"/>
                <w:b w:val="false"/>
                <w:bCs w:val="false"/>
                <w:lang w:val="en-GB"/>
              </w:rPr>
            </w:pPr>
            <w:r>
              <w:rPr/>
              <w:t>The Coordinator will reach an agreement with each of IPGP, GFZ and OSO, regarding the co-supervision of three PhD and three PostDoc thesis (each partner involved in one PhD and one PostDoc). The agreement will be formally submitted to NTUA, and one  representative of each partner will be included in the three-part advisory committee (for PhD Thesis).</w:t>
            </w:r>
          </w:p>
          <w:p>
            <w:pPr>
              <w:pStyle w:val="TextBody"/>
              <w:rPr>
                <w:b w:val="false"/>
                <w:b w:val="false"/>
                <w:bCs w:val="false"/>
                <w:lang w:val="en-GB"/>
              </w:rPr>
            </w:pPr>
            <w:r>
              <w:rPr>
                <w:b w:val="false"/>
                <w:bCs w:val="false"/>
                <w:lang w:val="en-GB"/>
              </w:rPr>
              <w:t xml:space="preserve">The subjects of the thesis will be co-decided between the partners, depending on their respective expertise; the students will be allocated in the task forces described in WP2 </w:t>
            </w:r>
            <w:r>
              <w:rPr>
                <w:b w:val="false"/>
                <w:bCs w:val="false"/>
                <w:lang w:val="en-GB"/>
              </w:rPr>
              <w:t>and WP3</w:t>
            </w:r>
            <w:r>
              <w:rPr>
                <w:b w:val="false"/>
                <w:bCs w:val="false"/>
                <w:lang w:val="en-GB"/>
              </w:rPr>
              <w:t>.</w:t>
            </w:r>
          </w:p>
          <w:p>
            <w:pPr>
              <w:pStyle w:val="Normal"/>
              <w:widowControl w:val="false"/>
              <w:spacing w:before="60" w:after="60"/>
              <w:jc w:val="both"/>
              <w:rPr/>
            </w:pPr>
            <w:r>
              <w:rPr/>
            </w:r>
          </w:p>
          <w:p>
            <w:pPr>
              <w:pStyle w:val="Normal"/>
              <w:widowControl w:val="false"/>
              <w:spacing w:before="60" w:after="60"/>
              <w:jc w:val="both"/>
              <w:rPr>
                <w:highlight w:val="none"/>
                <w:shd w:fill="FFFF00" w:val="clear"/>
              </w:rPr>
            </w:pPr>
            <w:r>
              <w:rPr>
                <w:rFonts w:ascii="Times New Roman" w:hAnsi="Times New Roman"/>
                <w:b/>
                <w:shd w:fill="FFFF00" w:val="clear"/>
                <w:lang w:val="en-GB"/>
              </w:rPr>
              <w:t>Task 5.2 Introduction to Space Geodetic International Services and International Geodetic Consortia</w:t>
            </w:r>
          </w:p>
          <w:p>
            <w:pPr>
              <w:pStyle w:val="Normal"/>
              <w:widowControl w:val="false"/>
              <w:jc w:val="both"/>
              <w:rPr/>
            </w:pPr>
            <w:r>
              <w:rPr>
                <w:rFonts w:ascii="Times New Roman" w:hAnsi="Times New Roman"/>
                <w:b w:val="false"/>
                <w:bCs w:val="false"/>
                <w:lang w:val="en-GB"/>
              </w:rPr>
              <w:t>Expert nodes will introduce the Coordinator to the IDS consortium, facilitating its involvement within the service and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 xml:space="preserve">Task 5.3 Establishing a Greek Ecosystem of </w:t>
            </w:r>
            <w:r>
              <w:rPr>
                <w:b/>
                <w:bCs/>
              </w:rPr>
              <w:t>p</w:t>
            </w:r>
            <w:r>
              <w:rPr>
                <w:b/>
                <w:bCs/>
              </w:rPr>
              <w:t xml:space="preserve">artners in </w:t>
            </w:r>
            <w:r>
              <w:rPr>
                <w:b/>
                <w:bCs/>
              </w:rPr>
              <w:t>s</w:t>
            </w:r>
            <w:r>
              <w:rPr>
                <w:b/>
                <w:bCs/>
              </w:rPr>
              <w:t xml:space="preserve">pace-based </w:t>
            </w:r>
            <w:r>
              <w:rPr>
                <w:b/>
                <w:bCs/>
              </w:rPr>
              <w:t>g</w:t>
            </w:r>
            <w:r>
              <w:rPr>
                <w:b/>
                <w:bCs/>
              </w:rPr>
              <w:t>eosciences (M6-24); Lead NTUA</w:t>
            </w:r>
          </w:p>
          <w:p>
            <w:pPr>
              <w:pStyle w:val="TextBody"/>
              <w:rPr/>
            </w:pPr>
            <w:r>
              <w:rPr>
                <w:lang w:val="en-GB"/>
              </w:rPr>
              <w:t xml:space="preserve">NTUA will take the initiative of bringing together all parties in Greece involved in Space-based geosciences, related applications and industries (e.g. Space industry, space awareness and security, tracking and navigation, etc). This will include possible industry partners, </w:t>
            </w:r>
            <w:r>
              <w:rPr>
                <w:lang w:val="en-GB"/>
              </w:rPr>
              <w:t xml:space="preserve">businesses, commercial users, </w:t>
            </w:r>
            <w:r>
              <w:rPr>
                <w:lang w:val="en-GB"/>
              </w:rPr>
              <w:t>governmental agencies and institutions, as well as universities.</w:t>
            </w:r>
          </w:p>
          <w:p>
            <w:pPr>
              <w:pStyle w:val="TextBody"/>
              <w:rPr/>
            </w:pPr>
            <w:r>
              <w:rPr/>
              <w:t xml:space="preserve">NTUA will organize </w:t>
            </w:r>
            <w:r>
              <w:rPr/>
              <w:t>(see also Section 1.2.5)</w:t>
            </w:r>
            <w:r>
              <w:rPr/>
              <w:t>:</w:t>
            </w:r>
          </w:p>
          <w:p>
            <w:pPr>
              <w:pStyle w:val="TextBody"/>
              <w:numPr>
                <w:ilvl w:val="0"/>
                <w:numId w:val="29"/>
              </w:numPr>
              <w:rPr/>
            </w:pPr>
            <w:r>
              <w:rPr/>
              <w:t xml:space="preserve">one hybrid two-day conference to take place in Greece, with the (virtual or physical) attendance of all ecosystem partners as well as ACRONYM partners. ACRONYM’s aims, objectives and anticipated impact will be presented, relevant research activities carried out in different NTUA laboratories. </w:t>
            </w:r>
            <w:r>
              <w:rPr>
                <w:color w:val="000000"/>
                <w:shd w:fill="auto" w:val="clear"/>
              </w:rPr>
              <w:t>Ecosystem parties will be asked to present their current activities, research and industry portfolios, aspirations, products and solutions, as well as specific needs and interest related to ACRONYM and Space Geodesy.</w:t>
            </w:r>
          </w:p>
          <w:p>
            <w:pPr>
              <w:pStyle w:val="TextBody"/>
              <w:numPr>
                <w:ilvl w:val="0"/>
                <w:numId w:val="29"/>
              </w:numPr>
              <w:rPr/>
            </w:pPr>
            <w:r>
              <w:rPr>
                <w:color w:val="000000"/>
                <w:shd w:fill="auto" w:val="clear"/>
              </w:rPr>
              <w:t xml:space="preserve">One info-day to take place in Greece, with the attendance of all ecosystem partners co-organized by CLS. This meeting will focus on </w:t>
            </w:r>
            <w:r>
              <w:rPr>
                <w:b w:val="false"/>
                <w:bCs w:val="false"/>
                <w:color w:val="000000"/>
                <w:shd w:fill="auto" w:val="clear"/>
                <w:lang w:val="en-GB"/>
              </w:rPr>
              <w:t>presenting current products and trends related to Space-based solutions in an application range of interest to the ecosystem partners.</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5.4 Exploring Greek academia needs and interest in Space Geodesy (M18-24); Lead NTUA</w:t>
            </w:r>
          </w:p>
          <w:p>
            <w:pPr>
              <w:pStyle w:val="Normal"/>
              <w:widowControl w:val="false"/>
              <w:spacing w:before="60" w:after="60"/>
              <w:jc w:val="both"/>
              <w:rPr>
                <w:b w:val="false"/>
                <w:b w:val="false"/>
                <w:bCs w:val="false"/>
              </w:rPr>
            </w:pPr>
            <w:r>
              <w:rPr>
                <w:b w:val="false"/>
                <w:bCs w:val="false"/>
                <w:lang w:val="en-GB"/>
              </w:rPr>
              <w:t>The Coordinator along with the expert partners will compile a series of two on-line questionnaires to be sent to the academia members of the ecosystem established in</w:t>
            </w:r>
            <w:r>
              <w:rPr>
                <w:b w:val="false"/>
                <w:bCs w:val="false"/>
                <w:shd w:fill="auto" w:val="clear"/>
                <w:lang w:val="en-GB"/>
              </w:rPr>
              <w:t xml:space="preserve"> </w:t>
            </w:r>
            <w:r>
              <w:rPr>
                <w:b w:val="false"/>
                <w:bCs w:val="false"/>
                <w:shd w:fill="auto" w:val="clear"/>
                <w:lang w:val="en-GB"/>
              </w:rPr>
              <w:t xml:space="preserve">Task </w:t>
            </w:r>
            <w:r>
              <w:rPr>
                <w:b w:val="false"/>
                <w:bCs w:val="false"/>
                <w:shd w:fill="auto" w:val="clear"/>
                <w:lang w:val="en-GB"/>
              </w:rPr>
              <w:t>5.3</w:t>
            </w:r>
            <w:r>
              <w:rPr>
                <w:b w:val="false"/>
                <w:bCs w:val="false"/>
                <w:shd w:fill="auto" w:val="clear"/>
                <w:lang w:val="en-GB"/>
              </w:rPr>
              <w:t>.</w:t>
            </w:r>
            <w:r>
              <w:rPr>
                <w:b w:val="false"/>
                <w:bCs w:val="false"/>
                <w:lang w:val="en-GB"/>
              </w:rPr>
              <w:t xml:space="preserve"> The questionnaires will contain a number of questions and inquires to comprehensively access and evaluate Greek academia/</w:t>
            </w:r>
            <w:r>
              <w:rPr>
                <w:b w:val="false"/>
                <w:bCs w:val="false"/>
                <w:lang w:val="en-GB"/>
              </w:rPr>
              <w:t>scientific and research</w:t>
            </w:r>
            <w:r>
              <w:rPr>
                <w:b w:val="false"/>
                <w:bCs w:val="false"/>
                <w:lang w:val="en-GB"/>
              </w:rPr>
              <w:t xml:space="preserve"> needs and interest in Space Geodesy and Earth Observation</w:t>
            </w:r>
            <w:r>
              <w:rPr>
                <w:b w:val="false"/>
                <w:bCs w:val="false"/>
                <w:shd w:fill="auto" w:val="clear"/>
                <w:lang w:val="en-GB"/>
              </w:rPr>
              <w:t xml:space="preserve"> </w:t>
            </w:r>
            <w:r>
              <w:rPr>
                <w:b w:val="false"/>
                <w:bCs w:val="false"/>
                <w:shd w:fill="auto" w:val="clear"/>
                <w:lang w:val="en-GB"/>
              </w:rPr>
              <w:t>(</w:t>
            </w:r>
            <w:r>
              <w:rPr>
                <w:b w:val="false"/>
                <w:bCs w:val="false"/>
                <w:shd w:fill="auto" w:val="clear"/>
                <w:lang w:val="en-GB"/>
              </w:rPr>
              <w:t xml:space="preserve">Section </w:t>
            </w:r>
            <w:r>
              <w:rPr>
                <w:b w:val="false"/>
                <w:bCs w:val="false"/>
                <w:shd w:fill="auto" w:val="clear"/>
                <w:lang w:val="en-GB"/>
              </w:rPr>
              <w:t>1.2.5</w:t>
            </w:r>
            <w:r>
              <w:rPr>
                <w:b w:val="false"/>
                <w:bCs w:val="false"/>
                <w:color w:val="000000"/>
                <w:shd w:fill="auto" w:val="clear"/>
                <w:lang w:val="en-GB"/>
              </w:rPr>
              <w:t>).</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5.5 Exploring stakeholders and commercial needs and interest in Space Geodesy (M18-24); Lead CLS</w:t>
            </w:r>
          </w:p>
          <w:p>
            <w:pPr>
              <w:pStyle w:val="Normal"/>
              <w:widowControl w:val="false"/>
              <w:spacing w:before="60" w:after="60"/>
              <w:jc w:val="both"/>
              <w:rPr>
                <w:b w:val="false"/>
                <w:b w:val="false"/>
                <w:bCs w:val="false"/>
              </w:rPr>
            </w:pPr>
            <w:r>
              <w:rPr>
                <w:b w:val="false"/>
                <w:bCs w:val="false"/>
                <w:lang w:val="en-GB"/>
              </w:rPr>
              <w:t>The Coordinator along with the expert partners will compile a series of two on-line questionnaires to be sent to the commercial/business members of the ecosystem established in</w:t>
            </w:r>
            <w:r>
              <w:rPr>
                <w:b w:val="false"/>
                <w:bCs w:val="false"/>
                <w:shd w:fill="auto" w:val="clear"/>
                <w:lang w:val="en-GB"/>
              </w:rPr>
              <w:t xml:space="preserve"> </w:t>
            </w:r>
            <w:r>
              <w:rPr>
                <w:b w:val="false"/>
                <w:bCs w:val="false"/>
                <w:shd w:fill="auto" w:val="clear"/>
                <w:lang w:val="en-GB"/>
              </w:rPr>
              <w:t xml:space="preserve">Task </w:t>
            </w:r>
            <w:r>
              <w:rPr>
                <w:b w:val="false"/>
                <w:bCs w:val="false"/>
                <w:shd w:fill="auto" w:val="clear"/>
                <w:lang w:val="en-GB"/>
              </w:rPr>
              <w:t>5.3</w:t>
            </w:r>
            <w:r>
              <w:rPr>
                <w:b w:val="false"/>
                <w:bCs w:val="false"/>
                <w:lang w:val="en-GB"/>
              </w:rPr>
              <w:t xml:space="preserve">. The questionnaires will contain a number of questions and inquires to comprehensively access and evaluate market needs and interest related to Space Geodesy and Earth Observation </w:t>
            </w:r>
            <w:r>
              <w:rPr>
                <w:b w:val="false"/>
                <w:bCs w:val="false"/>
                <w:shd w:fill="auto" w:val="clear"/>
                <w:lang w:val="en-GB"/>
              </w:rPr>
              <w:t>(</w:t>
            </w:r>
            <w:r>
              <w:rPr>
                <w:b w:val="false"/>
                <w:bCs w:val="false"/>
                <w:shd w:fill="auto" w:val="clear"/>
                <w:lang w:val="en-GB"/>
              </w:rPr>
              <w:t xml:space="preserve">Section </w:t>
            </w:r>
            <w:r>
              <w:rPr>
                <w:b w:val="false"/>
                <w:bCs w:val="false"/>
                <w:shd w:fill="auto" w:val="clear"/>
                <w:lang w:val="en-GB"/>
              </w:rPr>
              <w:t>1.2.5</w:t>
            </w:r>
            <w:r>
              <w:rPr>
                <w:b w:val="false"/>
                <w:bCs w:val="false"/>
                <w:color w:val="000000"/>
                <w:shd w:fill="auto" w:val="clear"/>
                <w:lang w:val="en-GB"/>
              </w:rPr>
              <w:t>)</w:t>
            </w:r>
            <w:r>
              <w:rPr>
                <w:b w:val="false"/>
                <w:bCs w:val="false"/>
                <w:color w:val="000000"/>
                <w:shd w:fill="auto" w:val="clear"/>
                <w:lang w:val="en-GB"/>
              </w:rPr>
              <w:t>.</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WP6</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rPr/>
            </w:pPr>
            <w:r>
              <w:rPr/>
              <w:t>The objectives of this WP are to:</w:t>
            </w:r>
          </w:p>
          <w:p>
            <w:pPr>
              <w:pStyle w:val="TextBody"/>
              <w:numPr>
                <w:ilvl w:val="0"/>
                <w:numId w:val="28"/>
              </w:numPr>
              <w:rPr/>
            </w:pPr>
            <w:r>
              <w:rPr/>
              <w:t>significantly enhance the host institute’s international standing and prestige via dissemination and communication activities</w:t>
            </w:r>
          </w:p>
          <w:p>
            <w:pPr>
              <w:pStyle w:val="TextBody"/>
              <w:numPr>
                <w:ilvl w:val="0"/>
                <w:numId w:val="28"/>
              </w:numPr>
              <w:rPr/>
            </w:pPr>
            <w:r>
              <w:rPr/>
              <w:t>endorse and promote the achievements of ACRONYM and the newly established center of excellence</w:t>
            </w:r>
          </w:p>
          <w:p>
            <w:pPr>
              <w:pStyle w:val="TextBody"/>
              <w:numPr>
                <w:ilvl w:val="0"/>
                <w:numId w:val="28"/>
              </w:numPr>
              <w:rPr/>
            </w:pPr>
            <w:r>
              <w:rPr/>
              <w:t>enhance NTUA’s research profile through scientific papers in top-tier peer reviewed journals, co-authored with the top-class consortium partners (at least three)</w:t>
            </w:r>
          </w:p>
          <w:p>
            <w:pPr>
              <w:pStyle w:val="TextBody"/>
              <w:numPr>
                <w:ilvl w:val="0"/>
                <w:numId w:val="28"/>
              </w:numPr>
              <w:rPr/>
            </w:pPr>
            <w:r>
              <w:rPr/>
              <w:t>enhance NTUA’s visibility, prominence and networking capabilities via consortium presence in at least five international conferences/workshops</w:t>
            </w:r>
          </w:p>
          <w:p>
            <w:pPr>
              <w:pStyle w:val="TextBody"/>
              <w:numPr>
                <w:ilvl w:val="0"/>
                <w:numId w:val="28"/>
              </w:numPr>
              <w:rPr/>
            </w:pPr>
            <w:r>
              <w:rPr/>
              <w:t>strengthen the potential for future collaborations nationally and beyond borders</w:t>
            </w:r>
          </w:p>
          <w:p>
            <w:pPr>
              <w:pStyle w:val="TextBody"/>
              <w:numPr>
                <w:ilvl w:val="0"/>
                <w:numId w:val="28"/>
              </w:numPr>
              <w:rPr/>
            </w:pPr>
            <w:r>
              <w:rPr/>
              <w:t>enhance NTUA’s appeal to young talented scientists</w:t>
            </w:r>
          </w:p>
          <w:p>
            <w:pPr>
              <w:pStyle w:val="TextBody"/>
              <w:numPr>
                <w:ilvl w:val="0"/>
                <w:numId w:val="28"/>
              </w:numPr>
              <w:rPr/>
            </w:pPr>
            <w:r>
              <w:rPr/>
              <w:t xml:space="preserve">enhance and support the national (Greek) ecosystem of stakeholders related to Space studies and </w:t>
            </w:r>
            <w:r>
              <w:rPr/>
              <w:t>g</w:t>
            </w:r>
            <w:r>
              <w:rPr/>
              <w:t>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 xml:space="preserve">Task </w:t>
            </w:r>
            <w:r>
              <w:rPr>
                <w:b/>
                <w:bCs/>
                <w:lang w:val="en-GB"/>
              </w:rPr>
              <w:t>6</w:t>
            </w:r>
            <w:r>
              <w:rPr>
                <w:b/>
                <w:bCs/>
                <w:lang w:val="en-GB"/>
              </w:rPr>
              <w:t xml:space="preserve">.1 Project </w:t>
            </w:r>
            <w:r>
              <w:rPr>
                <w:b/>
                <w:bCs/>
                <w:lang w:val="en-GB"/>
              </w:rPr>
              <w:t>w</w:t>
            </w:r>
            <w:r>
              <w:rPr>
                <w:b/>
                <w:bCs/>
                <w:lang w:val="en-GB"/>
              </w:rPr>
              <w:t xml:space="preserve">ebsite and </w:t>
            </w:r>
            <w:r>
              <w:rPr>
                <w:b/>
                <w:bCs/>
                <w:lang w:val="en-GB"/>
              </w:rPr>
              <w:t>s</w:t>
            </w:r>
            <w:r>
              <w:rPr>
                <w:b/>
                <w:bCs/>
                <w:lang w:val="en-GB"/>
              </w:rPr>
              <w:t xml:space="preserve">ocial </w:t>
            </w:r>
            <w:r>
              <w:rPr>
                <w:b/>
                <w:bCs/>
                <w:lang w:val="en-GB"/>
              </w:rPr>
              <w:t>m</w:t>
            </w:r>
            <w:r>
              <w:rPr>
                <w:b/>
                <w:bCs/>
                <w:lang w:val="en-GB"/>
              </w:rPr>
              <w:t xml:space="preserve">edia </w:t>
            </w:r>
            <w:r>
              <w:rPr>
                <w:b/>
                <w:bCs/>
                <w:lang w:val="en-GB"/>
              </w:rPr>
              <w:t>e</w:t>
            </w:r>
            <w:r>
              <w:rPr>
                <w:b/>
                <w:bCs/>
                <w:lang w:val="en-GB"/>
              </w:rPr>
              <w:t>ngagement (M6-M36); Lead NTUA</w:t>
            </w:r>
          </w:p>
          <w:p>
            <w:pPr>
              <w:pStyle w:val="TextBody"/>
              <w:rPr/>
            </w:pPr>
            <w:r>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TextBody"/>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TextBody"/>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 xml:space="preserve">Task </w:t>
            </w:r>
            <w:r>
              <w:rPr>
                <w:b/>
                <w:bCs/>
                <w:lang w:val="en-GB"/>
              </w:rPr>
              <w:t>6</w:t>
            </w:r>
            <w:r>
              <w:rPr>
                <w:b/>
                <w:bCs/>
                <w:lang w:val="en-GB"/>
              </w:rPr>
              <w:t>.2 Sharing of technical knowledge and know-how (M12-M24); Lead IPGP</w:t>
            </w:r>
          </w:p>
          <w:p>
            <w:pPr>
              <w:pStyle w:val="TextBody"/>
              <w:rPr/>
            </w:pPr>
            <w:r>
              <w:rPr/>
              <w:t xml:space="preserve">Lectures and presentations prepared by the consortium experts (see WP2) will be made available (on-line, free access) to any interested parties, on demand. Users will be able to browse content and watch video-lectures, shared on the project’s web site. </w:t>
            </w:r>
            <w:r>
              <w:rPr>
                <w:shd w:fill="FFFF00" w:val="clear"/>
              </w:rPr>
              <w:t>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 xml:space="preserve">Task </w:t>
            </w:r>
            <w:r>
              <w:rPr>
                <w:b/>
                <w:bCs/>
                <w:lang w:val="en-GB"/>
              </w:rPr>
              <w:t>6</w:t>
            </w:r>
            <w:r>
              <w:rPr>
                <w:b/>
                <w:bCs/>
                <w:lang w:val="en-GB"/>
              </w:rPr>
              <w:t xml:space="preserve">.3 </w:t>
            </w:r>
            <w:r>
              <w:rPr>
                <w:b/>
                <w:bCs/>
                <w:shd w:fill="FFFF00" w:val="clear"/>
                <w:lang w:val="en-GB"/>
              </w:rPr>
              <w:t xml:space="preserve">Joint Summer School </w:t>
            </w:r>
            <w:r>
              <w:rPr>
                <w:b/>
                <w:bCs/>
                <w:shd w:fill="FFFF00" w:val="clear"/>
                <w:lang w:val="en-GB"/>
              </w:rPr>
              <w:t>(M12-M36); Lead NTUA</w:t>
            </w:r>
          </w:p>
          <w:p>
            <w:pPr>
              <w:pStyle w:val="TextBody"/>
              <w:rPr/>
            </w:pPr>
            <w:r>
              <w:rPr>
                <w:shd w:fill="auto" w:val="clear"/>
                <w:lang w:val="en-GB"/>
              </w:rPr>
              <w:t>The host institute will organize a three-day Summer School that will take place in Greece, for the endorsement of ACRONYM, dissemination of its scientific output a</w:t>
            </w:r>
            <w:r>
              <w:rPr>
                <w:lang w:val="en-GB"/>
              </w:rPr>
              <w:t xml:space="preserve">nd results and promotion of innovation in the field of Space Geodesy, Orbit Determination, Space Studies and </w:t>
            </w:r>
            <w:r>
              <w:rPr>
                <w:lang w:val="en-GB"/>
              </w:rPr>
              <w:t>g</w:t>
            </w:r>
            <w:r>
              <w:rPr>
                <w:lang w:val="en-GB"/>
              </w:rPr>
              <w:t xml:space="preserve">eosciences in general. IPGP, GFZ and OSO will all be involved, presenting  the space geodetic techniques, current and future trends, applications and challenges. The school will especially target the Greek ecosystem of stakeholders that are involved in Space studies and </w:t>
            </w:r>
            <w:r>
              <w:rPr>
                <w:lang w:val="en-GB"/>
              </w:rPr>
              <w:t>g</w:t>
            </w:r>
            <w:r>
              <w:rPr>
                <w:lang w:val="en-GB"/>
              </w:rPr>
              <w:t>eosciences. This will include public research institutions, universities and private sector organizations/companies.</w:t>
            </w:r>
          </w:p>
          <w:p>
            <w:pPr>
              <w:pStyle w:val="TextBody"/>
              <w:rPr>
                <w:highlight w:val="none"/>
                <w:shd w:fill="FFFF00" w:val="clear"/>
              </w:rPr>
            </w:pPr>
            <w:r>
              <w:rPr/>
              <w:t xml:space="preserve">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w:t>
            </w:r>
            <w:r>
              <w:rPr/>
              <w:t>g</w:t>
            </w:r>
            <w:r>
              <w:rPr/>
              <w:t>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 xml:space="preserve">Task </w:t>
            </w:r>
            <w:r>
              <w:rPr>
                <w:b/>
                <w:bCs/>
                <w:lang w:val="en-GB"/>
              </w:rPr>
              <w:t>6</w:t>
            </w:r>
            <w:r>
              <w:rPr>
                <w:b/>
                <w:bCs/>
                <w:lang w:val="en-GB"/>
              </w:rPr>
              <w:t xml:space="preserve">.4 Open-Access </w:t>
            </w:r>
            <w:r>
              <w:rPr>
                <w:b/>
                <w:bCs/>
                <w:lang w:val="en-GB"/>
              </w:rPr>
              <w:t>p</w:t>
            </w:r>
            <w:r>
              <w:rPr>
                <w:b/>
                <w:bCs/>
                <w:lang w:val="en-GB"/>
              </w:rPr>
              <w:t>ublications (M12-M36); Lead NTUA</w:t>
            </w:r>
          </w:p>
          <w:p>
            <w:pPr>
              <w:pStyle w:val="TextBody"/>
              <w:rPr/>
            </w:pPr>
            <w:r>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TextBody"/>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 xml:space="preserve">Task </w:t>
            </w:r>
            <w:r>
              <w:rPr>
                <w:b/>
                <w:bCs/>
              </w:rPr>
              <w:t>6</w:t>
            </w:r>
            <w:r>
              <w:rPr>
                <w:b/>
                <w:bCs/>
              </w:rPr>
              <w:t xml:space="preserve">.5 Dissemination </w:t>
            </w:r>
            <w:r>
              <w:rPr>
                <w:b/>
                <w:bCs/>
              </w:rPr>
              <w:t>a</w:t>
            </w:r>
            <w:r>
              <w:rPr>
                <w:b/>
                <w:bCs/>
              </w:rPr>
              <w:t xml:space="preserve">ctivities and </w:t>
            </w:r>
            <w:r>
              <w:rPr>
                <w:b/>
                <w:bCs/>
              </w:rPr>
              <w:t>s</w:t>
            </w:r>
            <w:r>
              <w:rPr>
                <w:b/>
                <w:bCs/>
              </w:rPr>
              <w:t xml:space="preserve">upport for the Greek </w:t>
            </w:r>
            <w:r>
              <w:rPr>
                <w:b/>
                <w:bCs/>
              </w:rPr>
              <w:t>e</w:t>
            </w:r>
            <w:r>
              <w:rPr>
                <w:b/>
                <w:bCs/>
              </w:rPr>
              <w:t>cosystem (M12-M36); Lead CLS</w:t>
            </w:r>
          </w:p>
          <w:p>
            <w:pPr>
              <w:pStyle w:val="TextBody"/>
              <w:rPr>
                <w:b w:val="false"/>
                <w:b w:val="false"/>
                <w:bCs w:val="false"/>
              </w:rPr>
            </w:pPr>
            <w:r>
              <w:rPr>
                <w:b w:val="false"/>
                <w:bCs w:val="false"/>
              </w:rPr>
              <w:t>To support the establishment and longe</w:t>
            </w:r>
            <w:r>
              <w:rPr>
                <w:b w:val="false"/>
                <w:bCs w:val="false"/>
              </w:rPr>
              <w:t>vi</w:t>
            </w:r>
            <w:r>
              <w:rPr>
                <w:b w:val="false"/>
                <w:bCs w:val="false"/>
              </w:rPr>
              <w:t xml:space="preser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material from all partners of ACRONYM and (f) outreach material from ecosystem members.</w:t>
            </w:r>
          </w:p>
          <w:p>
            <w:pPr>
              <w:pStyle w:val="TextBody"/>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 of NTUA’s in-house software 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 research proposal 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 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Long term plan for 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D6.4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26"/>
        <w:gridCol w:w="2284"/>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8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3"/>
        <w:gridCol w:w="2444"/>
        <w:gridCol w:w="3828"/>
      </w:tblGrid>
      <w:tr>
        <w:trPr/>
        <w:tc>
          <w:tcPr>
            <w:tcW w:w="37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2"/>
        <w:gridCol w:w="1505"/>
        <w:gridCol w:w="1467"/>
        <w:gridCol w:w="1446"/>
        <w:gridCol w:w="3134"/>
      </w:tblGrid>
      <w:tr>
        <w:trPr/>
        <w:tc>
          <w:tcPr>
            <w:tcW w:w="2372"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50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7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7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50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Nimbus Roman No9 L">
    <w:altName w:val="Times New Roman"/>
    <w:charset w:val="01"/>
    <w:family w:val="roman"/>
    <w:pitch w:val="variable"/>
  </w:font>
  <w:font w:name="Nimbus Roman">
    <w:charset w:val="01"/>
    <w:family w:val="auto"/>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25"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12</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12</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67"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18</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18</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93"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numPr>
        <w:ilvl w:val="0"/>
        <w:numId w:val="0"/>
      </w:numPr>
      <w:tabs>
        <w:tab w:val="clear" w:pos="720"/>
      </w:tabs>
      <w:jc w:val="both"/>
    </w:pPr>
    <w:rPr>
      <w:sz w:val="18"/>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yperlink" Target="https://libre.space/" TargetMode="External"/><Relationship Id="rId13" Type="http://schemas.openxmlformats.org/officeDocument/2006/relationships/hyperlink" Target="https://www.geosystems-hellas.gr/" TargetMode="External"/><Relationship Id="rId14" Type="http://schemas.openxmlformats.org/officeDocument/2006/relationships/hyperlink" Target="https://www.planetek.gr/" TargetMode="External"/><Relationship Id="rId15" Type="http://schemas.openxmlformats.org/officeDocument/2006/relationships/hyperlink" Target="http://beyond-eocenter.eu/" TargetMode="External"/><Relationship Id="rId16" Type="http://schemas.openxmlformats.org/officeDocument/2006/relationships/hyperlink" Target="https://www.greekgeo.noa.gr/"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3.xml"/><Relationship Id="rId21" Type="http://schemas.openxmlformats.org/officeDocument/2006/relationships/header" Target="header8.xml"/><Relationship Id="rId22" Type="http://schemas.openxmlformats.org/officeDocument/2006/relationships/footer" Target="footer4.xm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12160</TotalTime>
  <Application>LibreOffice/7.4.7.2$Linux_X86_64 LibreOffice_project/40$Build-2</Application>
  <AppVersion>15.0000</AppVersion>
  <Pages>33</Pages>
  <Words>17562</Words>
  <Characters>103064</Characters>
  <CharactersWithSpaces>119761</CharactersWithSpaces>
  <Paragraphs>873</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2023-08-30T15:09:23Z</dcterms:modified>
  <cp:revision>1505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