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89"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192"/>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5930535"/>
            <w:bookmarkStart w:id="1" w:name="_Toc443645004"/>
            <w:bookmarkStart w:id="2" w:name="_Toc448834151"/>
            <w:bookmarkStart w:id="3" w:name="_Toc448828797"/>
            <w:bookmarkStart w:id="4" w:name="_Toc44882857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28799"/>
            <w:bookmarkStart w:id="11" w:name="_Toc445930537"/>
            <w:bookmarkStart w:id="12" w:name="_Toc448828579"/>
            <w:bookmarkStart w:id="13" w:name="_Toc448834153"/>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192"/>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host institute staff trained</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DORIS observations</w:t>
            </w:r>
          </w:p>
          <w:p>
            <w:pPr>
              <w:pStyle w:val="Normal"/>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SLR observations</w:t>
            </w:r>
          </w:p>
          <w:p>
            <w:pPr>
              <w:pStyle w:val="Normal"/>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6"/>
              </w:numPr>
              <w:rPr/>
            </w:pPr>
            <w:r>
              <w:rPr/>
              <w:t>Number of applicants for PhD, PostDoc and (possible) tenure open positions. Expected to take place gradually after the start of ACRONYM.</w:t>
            </w:r>
          </w:p>
          <w:p>
            <w:pPr>
              <w:pStyle w:val="Normal"/>
              <w:numPr>
                <w:ilvl w:val="0"/>
                <w:numId w:val="16"/>
              </w:numPr>
              <w:rPr/>
            </w:pPr>
            <w:r>
              <w:rPr/>
              <w:t>Number of young scientists (from partners) traveling to NTUA</w:t>
            </w:r>
          </w:p>
          <w:p>
            <w:pPr>
              <w:pStyle w:val="Normal"/>
              <w:numPr>
                <w:ilvl w:val="0"/>
                <w:numId w:val="16"/>
              </w:numPr>
              <w:rPr/>
            </w:pPr>
            <w:r>
              <w:rPr/>
              <w:t>Number of funding bids submitted for PhD and PostDoc studies (carried out in host institute)</w:t>
            </w:r>
          </w:p>
          <w:p>
            <w:pPr>
              <w:pStyle w:val="Normal"/>
              <w:numPr>
                <w:ilvl w:val="0"/>
                <w:numId w:val="16"/>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5"/>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numPr>
                <w:ilvl w:val="0"/>
                <w:numId w:val="15"/>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numPr>
                <w:ilvl w:val="0"/>
                <w:numId w:val="15"/>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numPr>
                <w:ilvl w:val="0"/>
                <w:numId w:val="15"/>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numPr>
                <w:ilvl w:val="0"/>
                <w:numId w:val="15"/>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numPr>
                <w:ilvl w:val="0"/>
                <w:numId w:val="15"/>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7"/>
              </w:numPr>
              <w:rPr/>
            </w:pPr>
            <w:r>
              <w:rPr/>
              <w:t>Number of host institute staff trained</w:t>
            </w:r>
          </w:p>
          <w:p>
            <w:pPr>
              <w:pStyle w:val="Normal"/>
              <w:numPr>
                <w:ilvl w:val="0"/>
                <w:numId w:val="17"/>
              </w:numPr>
              <w:rPr/>
            </w:pPr>
            <w:r>
              <w:rPr/>
              <w:t>Number of research proposals submitted (within the time span of ACRONYM)</w:t>
            </w:r>
          </w:p>
          <w:p>
            <w:pPr>
              <w:pStyle w:val="Normal"/>
              <w:numPr>
                <w:ilvl w:val="0"/>
                <w:numId w:val="17"/>
              </w:numPr>
              <w:rPr/>
            </w:pPr>
            <w:r>
              <w:rPr/>
              <w:t>Diversity of funding pools targeted</w:t>
            </w:r>
          </w:p>
          <w:p>
            <w:pPr>
              <w:pStyle w:val="Normal"/>
              <w:numPr>
                <w:ilvl w:val="0"/>
                <w:numId w:val="17"/>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Normal"/>
        <w:spacing w:before="0" w:after="200"/>
        <w:jc w:val="both"/>
        <w:rPr>
          <w:b w:val="false"/>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w:t>
      </w:r>
      <w:r>
        <w:rPr/>
        <w:t>ing of</w:t>
      </w:r>
      <w:r>
        <w:rPr/>
        <w:t xml:space="preserve"> research management capacity and administrative skills of the staff working in </w:t>
      </w:r>
      <w:r>
        <w:rPr/>
        <w:t xml:space="preserve">the host institute. Furthermore, this task aims at significantly broadening possible funding pools (available or targeted by the host institute) and capabilities and </w:t>
      </w:r>
      <w:r>
        <w:rPr/>
        <w:t>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w:t>
      </w:r>
      <w:r>
        <w:rPr/>
        <w:t>on.</w:t>
      </w:r>
    </w:p>
    <w:p>
      <w:pPr>
        <w:pStyle w:val="Normal"/>
        <w:spacing w:before="0" w:after="200"/>
        <w:jc w:val="both"/>
        <w:rPr>
          <w:b/>
          <w:b/>
          <w:bCs/>
        </w:rPr>
      </w:pPr>
      <w:r>
        <w:rPr>
          <w:b/>
          <w:bCs/>
        </w:rPr>
        <w:t xml:space="preserve">1.2.1 Enhancing Research Capacity </w:t>
      </w:r>
      <w:r>
        <w:rPr>
          <w:b/>
          <w:bCs/>
        </w:rPr>
        <w:t>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 xml:space="preserve">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w:t>
      </w:r>
      <w:r>
        <w:rPr/>
        <w:t xml:space="preserve">An example of such institutions are the </w:t>
      </w:r>
      <w:r>
        <w:rPr/>
        <w:t xml:space="preserve">internationally-leading </w:t>
      </w:r>
      <w:r>
        <w:rPr/>
        <w:t>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 xml:space="preserve">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w:t>
      </w:r>
      <w:r>
        <w:rPr/>
        <w:t>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 </w:t>
      </w:r>
      <w:r>
        <w:rPr>
          <w:shd w:fill="FFFF00" w:val="clear"/>
        </w:rPr>
        <w:t xml:space="preserve">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Achieving scientific excellence</w:t>
      </w:r>
      <w:r>
        <w:rPr>
          <w:rFonts w:ascii="Times New Roman" w:hAnsi="Times New Roman"/>
          <w:lang w:val="en-GB"/>
        </w:rPr>
        <w:t xml:space="preserve"> within ACRONYM </w:t>
      </w:r>
      <w:r>
        <w:rPr>
          <w:rFonts w:ascii="Times New Roman" w:hAnsi="Times New Roman"/>
          <w:lang w:val="en-GB"/>
        </w:rPr>
        <w:t>is</w:t>
      </w:r>
      <w:r>
        <w:rPr>
          <w:rFonts w:ascii="Times New Roman" w:hAnsi="Times New Roman"/>
          <w:lang w:val="en-GB"/>
        </w:rPr>
        <w:t xml:space="preserve"> split into two distinct phases, to allow for a more efficient and robust scheme. </w:t>
      </w:r>
      <w:r>
        <w:rPr>
          <w:rFonts w:ascii="Times New Roman" w:hAnsi="Times New Roman"/>
          <w:lang w:val="en-GB"/>
        </w:rPr>
        <w:t>During t</w:t>
      </w:r>
      <w:r>
        <w:rPr>
          <w:rFonts w:ascii="Times New Roman" w:hAnsi="Times New Roman"/>
          <w:lang w:val="en-GB"/>
        </w:rPr>
        <w:t xml:space="preserve">he first phase (WP2), </w:t>
      </w:r>
      <w:r>
        <w:rPr>
          <w:rFonts w:ascii="Times New Roman" w:hAnsi="Times New Roman"/>
          <w:lang w:val="en-GB"/>
        </w:rPr>
        <w:t>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 :</w:t>
      </w:r>
    </w:p>
    <w:p>
      <w:pPr>
        <w:pStyle w:val="Normal"/>
        <w:numPr>
          <w:ilvl w:val="0"/>
          <w:numId w:val="18"/>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8"/>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8"/>
        </w:numPr>
        <w:spacing w:before="0" w:after="200"/>
        <w:jc w:val="both"/>
        <w:rPr/>
      </w:pPr>
      <w:r>
        <w:rPr>
          <w:rFonts w:ascii="Times New Roman" w:hAnsi="Times New Roman"/>
          <w:lang w:val="en-GB"/>
        </w:rPr>
        <w:t xml:space="preserve">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w:t>
      </w:r>
      <w:r>
        <w:rPr>
          <w:rFonts w:ascii="Times New Roman" w:hAnsi="Times New Roman"/>
          <w:lang w:val="en-GB"/>
        </w:rPr>
        <w:t>place focus on solidif</w:t>
      </w:r>
      <w:r>
        <w:rPr>
          <w:rFonts w:ascii="Times New Roman" w:hAnsi="Times New Roman"/>
          <w:lang w:val="en-GB"/>
        </w:rPr>
        <w:t>ing</w:t>
      </w:r>
      <w:r>
        <w:rPr>
          <w:rFonts w:ascii="Times New Roman" w:hAnsi="Times New Roman"/>
          <w:lang w:val="en-GB"/>
        </w:rPr>
        <w:t xml:space="preserve"> networking activities and allow for further one-on-one communication and intercourse.</w:t>
      </w:r>
    </w:p>
    <w:p>
      <w:pPr>
        <w:pStyle w:val="Normal"/>
        <w:spacing w:before="0" w:after="200"/>
        <w:jc w:val="both"/>
        <w:rPr/>
      </w:pPr>
      <w:r>
        <w:rPr>
          <w:rFonts w:ascii="Times New Roman" w:hAnsi="Times New Roman"/>
          <w:lang w:val="en-GB"/>
        </w:rPr>
        <w:t>At the end of this phase,</w:t>
      </w:r>
      <w:r>
        <w:rPr>
          <w:rFonts w:ascii="Times New Roman" w:hAnsi="Times New Roman"/>
          <w:lang w:val="en-GB"/>
        </w:rPr>
        <w:t xml:space="preserve"> the dedicated task force</w:t>
      </w:r>
      <w:r>
        <w:rPr>
          <w:rFonts w:ascii="Times New Roman" w:hAnsi="Times New Roman"/>
          <w:lang w:val="en-GB"/>
        </w:rPr>
        <w:t>s (setup at the Coordinator institute)</w:t>
      </w:r>
      <w:r>
        <w:rPr>
          <w:rFonts w:ascii="Times New Roman" w:hAnsi="Times New Roman"/>
          <w:lang w:val="en-GB"/>
        </w:rPr>
        <w:t xml:space="preserve"> </w:t>
      </w:r>
      <w:r>
        <w:rPr>
          <w:rFonts w:ascii="Times New Roman" w:hAnsi="Times New Roman"/>
          <w:lang w:val="en-GB"/>
        </w:rPr>
        <w:t>will have</w:t>
      </w:r>
      <w:r>
        <w:rPr>
          <w:rFonts w:ascii="Times New Roman" w:hAnsi="Times New Roman"/>
          <w:lang w:val="en-GB"/>
        </w:rPr>
        <w:t xml:space="preserve"> gain</w:t>
      </w:r>
      <w:r>
        <w:rPr>
          <w:rFonts w:ascii="Times New Roman" w:hAnsi="Times New Roman"/>
          <w:lang w:val="en-GB"/>
        </w:rPr>
        <w:t>ed</w:t>
      </w:r>
      <w:r>
        <w:rPr>
          <w:rFonts w:ascii="Times New Roman" w:hAnsi="Times New Roman"/>
          <w:lang w:val="en-GB"/>
        </w:rPr>
        <w:t xml:space="preserve"> a deep understanding of the methodologies involved </w:t>
      </w:r>
      <w:r>
        <w:rPr>
          <w:rFonts w:ascii="Times New Roman" w:hAnsi="Times New Roman"/>
          <w:lang w:val="en-GB"/>
        </w:rPr>
        <w:t>within each of</w:t>
      </w:r>
      <w:r>
        <w:rPr>
          <w:rFonts w:ascii="Times New Roman" w:hAnsi="Times New Roman"/>
          <w:lang w:val="en-GB"/>
        </w:rPr>
        <w:t xml:space="preserve">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w:t>
      </w:r>
      <w:r>
        <w:rPr>
          <w:rFonts w:ascii="Times New Roman" w:hAnsi="Times New Roman"/>
          <w:lang w:val="en-GB"/>
        </w:rPr>
        <w:t>accompanied with</w:t>
      </w:r>
      <w:r>
        <w:rPr>
          <w:rFonts w:ascii="Times New Roman" w:hAnsi="Times New Roman"/>
          <w:lang w:val="en-GB"/>
        </w:rPr>
        <w:t xml:space="preserve"> respective validation </w:t>
      </w:r>
      <w:r>
        <w:rPr>
          <w:rFonts w:ascii="Times New Roman" w:hAnsi="Times New Roman"/>
          <w:lang w:val="en-GB"/>
        </w:rPr>
        <w:t>procedures</w:t>
      </w:r>
      <w:r>
        <w:rPr>
          <w:rFonts w:ascii="Times New Roman" w:hAnsi="Times New Roman"/>
          <w:lang w:val="en-GB"/>
        </w:rPr>
        <w:t xml:space="preserve">. </w:t>
      </w:r>
      <w:r>
        <w:rPr>
          <w:rFonts w:ascii="Times New Roman" w:hAnsi="Times New Roman"/>
          <w:lang w:val="en-GB"/>
        </w:rPr>
        <w:t>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 xml:space="preserve">The </w:t>
      </w:r>
      <w:r>
        <w:rPr/>
        <w:t xml:space="preserve">next, </w:t>
      </w:r>
      <w:r>
        <w:rPr/>
        <w:t xml:space="preserve">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w:t>
      </w:r>
      <w:r>
        <w:rPr/>
        <w:t>Note that d</w:t>
      </w:r>
      <w:r>
        <w:rPr/>
        <w:t xml:space="preserve">uring the last couple of years, </w:t>
      </w:r>
      <w:r>
        <w:rPr/>
        <w:t>NTUA</w:t>
      </w:r>
      <w:r>
        <w:rPr/>
        <w:t xml:space="preserve">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w:t>
      </w:r>
      <w:r>
        <w:rPr/>
        <w:t xml:space="preserve">(a) </w:t>
      </w:r>
      <w:r>
        <w:rPr/>
        <w:t xml:space="preserve">problem solving skills, </w:t>
      </w:r>
      <w:r>
        <w:rPr/>
        <w:t xml:space="preserve">(b) robust </w:t>
      </w:r>
      <w:r>
        <w:rPr/>
        <w:t xml:space="preserve">algorithmic approaches </w:t>
      </w:r>
      <w:r>
        <w:rPr/>
        <w:t>and best practices</w:t>
      </w:r>
      <w:r>
        <w:rPr/>
        <w:t xml:space="preserve">, </w:t>
      </w:r>
      <w:r>
        <w:rPr/>
        <w:t xml:space="preserve">(c) </w:t>
      </w:r>
      <w:r>
        <w:rPr/>
        <w:t xml:space="preserve">numerical methodologies, </w:t>
      </w:r>
      <w:r>
        <w:rPr/>
        <w:t xml:space="preserve">(d) </w:t>
      </w:r>
      <w:r>
        <w:rPr/>
        <w:t xml:space="preserve">program design </w:t>
      </w:r>
      <w:r>
        <w:rPr/>
        <w:t>and implementation strategies</w:t>
      </w:r>
      <w:r>
        <w:rPr/>
        <w:t xml:space="preserve"> and </w:t>
      </w:r>
      <w:r>
        <w:rPr/>
        <w:t xml:space="preserve">(e) </w:t>
      </w:r>
      <w:r>
        <w:rPr/>
        <w:t xml:space="preserve">adoption of state-of-the-art models. </w:t>
      </w:r>
      <w:r>
        <w:rPr>
          <w:rFonts w:ascii="Times New Roman" w:hAnsi="Times New Roman"/>
          <w:lang w:val="en-GB"/>
        </w:rPr>
        <w:t>Knowledge transfer will be performed by means of :</w:t>
      </w:r>
    </w:p>
    <w:p>
      <w:pPr>
        <w:pStyle w:val="Normal"/>
        <w:numPr>
          <w:ilvl w:val="0"/>
          <w:numId w:val="18"/>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8"/>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8"/>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r>
    </w:p>
    <w:p>
      <w:pPr>
        <w:pStyle w:val="Normal"/>
        <w:spacing w:before="0" w:after="200"/>
        <w:jc w:val="both"/>
        <w:rPr>
          <w:b/>
          <w:b/>
        </w:rPr>
      </w:pPr>
      <w:r>
        <w:rPr>
          <w:b/>
          <w:bCs/>
        </w:rPr>
        <w:t xml:space="preserve">1.2.2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b/>
          <w:b/>
        </w:rPr>
      </w:pPr>
      <w:r>
        <w:rPr>
          <w:b/>
          <w:bCs/>
        </w:rPr>
        <w:t>1.2.</w:t>
      </w:r>
      <w:r>
        <w:rPr>
          <w:rFonts w:ascii="apple-system;BlinkMacSystemFont;Segoe UI;Noto Sans;Helvetica;Arial;sans-serif;Apple Color Emoji;Segoe UI Emoji" w:hAnsi="apple-system;BlinkMacSystemFont;Segoe UI;Noto Sans;Helvetica;Arial;sans-serif;Apple Color Emoji;Segoe UI Emoji"/>
          <w:b w:val="false"/>
          <w:bCs/>
          <w:i w:val="false"/>
          <w:caps w:val="false"/>
          <w:smallCaps w:val="false"/>
          <w:color w:val="1F2328"/>
          <w:spacing w:val="0"/>
          <w:sz w:val="19"/>
        </w:rPr>
        <w:t xml:space="preserve">3 </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2"/>
          <w:headerReference w:type="default" r:id="rId13"/>
          <w:headerReference w:type="first" r:id="rId14"/>
          <w:footerReference w:type="default" r:id="rId15"/>
          <w:type w:val="nextPage"/>
          <w:pgSz w:w="11906" w:h="16838"/>
          <w:pgMar w:left="1134" w:right="1134" w:gutter="0" w:header="720" w:top="1134" w:footer="720" w:bottom="1134"/>
          <w:pgNumType w:fmt="decimal"/>
          <w:formProt w:val="false"/>
          <w:textDirection w:val="lrTb"/>
          <w:docGrid w:type="default" w:linePitch="100" w:charSpace="8192"/>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6"/>
          <w:footerReference w:type="default" r:id="rId17"/>
          <w:type w:val="nextPage"/>
          <w:pgSz w:orient="landscape" w:w="16838" w:h="11906"/>
          <w:pgMar w:left="851" w:right="851" w:gutter="0" w:header="720" w:top="851" w:footer="720" w:bottom="851"/>
          <w:pgNumType w:fmt="decimal"/>
          <w:formProt w:val="false"/>
          <w:textDirection w:val="lrTb"/>
          <w:docGrid w:type="default" w:linePitch="100" w:charSpace="8192"/>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2"/>
              </w:numPr>
              <w:spacing w:before="60" w:after="60"/>
              <w:jc w:val="both"/>
              <w:rPr/>
            </w:pPr>
            <w:r>
              <w:rPr/>
              <w:t>Establish a strong project management scheme</w:t>
            </w:r>
          </w:p>
          <w:p>
            <w:pPr>
              <w:pStyle w:val="Normal"/>
              <w:widowControl w:val="false"/>
              <w:numPr>
                <w:ilvl w:val="0"/>
                <w:numId w:val="12"/>
              </w:numPr>
              <w:spacing w:before="60" w:after="60"/>
              <w:jc w:val="both"/>
              <w:rPr/>
            </w:pPr>
            <w:r>
              <w:rPr/>
              <w:t>Establish appropriate communication and reporting channels to the European Commission</w:t>
            </w:r>
          </w:p>
          <w:p>
            <w:pPr>
              <w:pStyle w:val="Normal"/>
              <w:widowControl w:val="false"/>
              <w:numPr>
                <w:ilvl w:val="0"/>
                <w:numId w:val="12"/>
              </w:numPr>
              <w:spacing w:before="60" w:after="60"/>
              <w:jc w:val="both"/>
              <w:rPr/>
            </w:pPr>
            <w:r>
              <w:rPr/>
              <w:t>Ensure successful achievement of the project objectives on time and within budget</w:t>
            </w:r>
          </w:p>
          <w:p>
            <w:pPr>
              <w:pStyle w:val="Normal"/>
              <w:widowControl w:val="false"/>
              <w:numPr>
                <w:ilvl w:val="0"/>
                <w:numId w:val="12"/>
              </w:numPr>
              <w:spacing w:before="60" w:after="60"/>
              <w:jc w:val="both"/>
              <w:rPr/>
            </w:pPr>
            <w:r>
              <w:rPr/>
              <w:t>Establish an efficient electronic service for communications, and document exchanging</w:t>
            </w:r>
          </w:p>
          <w:p>
            <w:pPr>
              <w:pStyle w:val="Normal"/>
              <w:widowControl w:val="false"/>
              <w:numPr>
                <w:ilvl w:val="0"/>
                <w:numId w:val="12"/>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jc w:val="both"/>
              <w:rPr/>
            </w:pPr>
            <w:r>
              <w:rPr/>
              <w:t>Ensure continuous monitoring of the project’s progress and timely initiation of corrective actions (if needed)</w:t>
            </w:r>
          </w:p>
          <w:p>
            <w:pPr>
              <w:pStyle w:val="Normal"/>
              <w:widowControl w:val="false"/>
              <w:numPr>
                <w:ilvl w:val="0"/>
                <w:numId w:val="12"/>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(duration between one and two weeks)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(duration between one and two weeks),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(duration between one and two weeks),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pPr>
            <w:r>
              <w:rPr/>
            </w:r>
          </w:p>
          <w:p>
            <w:pPr>
              <w:pStyle w:val="Normal"/>
              <w:widowControl w:val="false"/>
              <w:spacing w:before="60" w:after="60"/>
              <w:jc w:val="both"/>
              <w:rPr>
                <w:b/>
                <w:b/>
                <w:bCs/>
              </w:rPr>
            </w:pPr>
            <w:r>
              <w:rPr>
                <w:b/>
                <w:bCs/>
              </w:rPr>
              <w:t>Task 2.4 Evaluation of currently available software tools (M6-12); Lead GFZ</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 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centre of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capacities and administrative skills of the staff working in NTUA</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 and grant applications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60" w:after="60"/>
              <w:jc w:val="both"/>
              <w:rPr/>
            </w:pPr>
            <w:r>
              <w:rPr>
                <w:rFonts w:ascii="Times New Roman" w:hAnsi="Times New Roman"/>
                <w:b w:val="false"/>
                <w:bCs w:val="false"/>
                <w:lang w:val="en-GB"/>
              </w:rPr>
              <w:t>Boost success rate of funding bids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Strengthening research management capacity and administrative skills (M1-M18); Lead OSO</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4.2 Exploring funding pools and opportunities (M12-M18); Lead GFZ</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4.3 Enhancing Research Funding Capacity (M12-M36);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rStyle w:val="Strong"/>
                <w:b w:val="false"/>
                <w:b w:val="false"/>
                <w:bCs w:val="false"/>
              </w:rPr>
            </w:pPr>
            <w:r>
              <w:rPr>
                <w:rStyle w:val="Strong"/>
                <w:b w:val="false"/>
                <w:bCs w:val="false"/>
              </w:rPr>
              <w:t>funding pools and networking specifically targeting young scientists, e.g. MSCA Doctoral Networks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
                <w:bCs/>
              </w:rPr>
            </w:pPr>
            <w:r>
              <w:rPr>
                <w:b/>
                <w:bCs/>
              </w:rPr>
              <w:t>Task 4.4 Attracting new scientists and increasing mobility (M12-M36); Lead IPGP</w:t>
            </w:r>
          </w:p>
          <w:p>
            <w:pPr>
              <w:pStyle w:val="Normal"/>
              <w:widowControl w:val="false"/>
              <w:spacing w:before="60" w:after="60"/>
              <w:jc w:val="both"/>
              <w:rPr>
                <w:b/>
                <w:b/>
                <w:bCs/>
              </w:rPr>
            </w:pPr>
            <w:r>
              <w:rPr/>
            </w:r>
          </w:p>
          <w:p>
            <w:pPr>
              <w:pStyle w:val="Normal"/>
              <w:widowControl w:val="false"/>
              <w:spacing w:before="60" w:after="60"/>
              <w:jc w:val="both"/>
              <w:rPr>
                <w:b/>
                <w:b/>
                <w:bCs/>
              </w:rPr>
            </w:pPr>
            <w:r>
              <w:rPr>
                <w:b/>
                <w:bCs/>
              </w:rPr>
              <w:t xml:space="preserve">Task 4.5 </w:t>
            </w:r>
            <w:r>
              <w:rPr>
                <w:b/>
                <w:bCs/>
              </w:rPr>
              <w:t>research management/administration</w:t>
            </w:r>
            <w:r>
              <w:rPr>
                <w:b/>
                <w:bCs/>
              </w:rPr>
              <w:t xml:space="preserve"> unit</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2.1 Establishing ACRONYM seamless communication channels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 Geodetic Consortia</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8">
              <w:r>
                <w:rPr>
                  <w:rStyle w:val="InternetLink"/>
                  <w:lang w:val="en-GB"/>
                </w:rPr>
                <w:t>https://libre.space/</w:t>
              </w:r>
            </w:hyperlink>
            <w:r>
              <w:rPr>
                <w:lang w:val="en-GB"/>
              </w:rPr>
              <w:t>), Geosystems Hellas (</w:t>
            </w:r>
            <w:hyperlink r:id="rId19">
              <w:r>
                <w:rPr>
                  <w:rStyle w:val="InternetLink"/>
                  <w:lang w:val="en-GB"/>
                </w:rPr>
                <w:t>https://www.geosystems-hellas.gr/</w:t>
              </w:r>
            </w:hyperlink>
            <w:r>
              <w:rPr>
                <w:lang w:val="en-GB"/>
              </w:rPr>
              <w:t>), Planetek Hellas (</w:t>
            </w:r>
            <w:hyperlink r:id="rId20">
              <w:r>
                <w:rPr>
                  <w:rStyle w:val="InternetLink"/>
                  <w:lang w:val="en-GB"/>
                </w:rPr>
                <w:t>https://www.planetek.gr/</w:t>
              </w:r>
            </w:hyperlink>
            <w:r>
              <w:rPr>
                <w:lang w:val="en-GB"/>
              </w:rPr>
              <w:t>)), governmental agencies and institutions (e.g. National Observatory of Athens, Beyond Centre (</w:t>
            </w:r>
            <w:hyperlink r:id="rId21">
              <w:r>
                <w:rPr>
                  <w:rStyle w:val="InternetLink"/>
                  <w:lang w:val="en-GB"/>
                </w:rPr>
                <w:t>http://beyond-eocenter.eu/</w:t>
              </w:r>
            </w:hyperlink>
            <w:r>
              <w:rPr>
                <w:lang w:val="en-GB"/>
              </w:rPr>
              <w:t>), Hellenic Group on Earth Observations (</w:t>
            </w:r>
            <w:hyperlink r:id="rId22">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b w:val="false"/>
                <w:b w:val="false"/>
                <w:bCs w:val="false"/>
              </w:rPr>
            </w:pPr>
            <w:r>
              <w:rPr>
                <w:b w:val="false"/>
                <w:bCs w:val="false"/>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status of NTUA’s in-house software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b/>
                <w:b/>
                <w:bCs/>
              </w:rPr>
            </w:pPr>
            <w:r>
              <w:rPr>
                <w:b/>
                <w:bCs/>
              </w:rPr>
              <w:t>research management/administration</w:t>
            </w:r>
            <w:r>
              <w:rPr>
                <w:b/>
                <w:bCs/>
              </w:rPr>
              <w:t xml:space="preserve">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9"/>
        <w:gridCol w:w="2271"/>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7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05"/>
        <w:gridCol w:w="2432"/>
        <w:gridCol w:w="3828"/>
      </w:tblGrid>
      <w:tr>
        <w:trPr/>
        <w:tc>
          <w:tcPr>
            <w:tcW w:w="380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3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3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8"/>
        <w:gridCol w:w="1489"/>
        <w:gridCol w:w="1467"/>
        <w:gridCol w:w="1446"/>
        <w:gridCol w:w="3134"/>
      </w:tblGrid>
      <w:tr>
        <w:trPr/>
        <w:tc>
          <w:tcPr>
            <w:tcW w:w="2388"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auto"/>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7"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9</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9</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8"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66"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yperlink" Target="https://libre.space/" TargetMode="External"/><Relationship Id="rId19" Type="http://schemas.openxmlformats.org/officeDocument/2006/relationships/hyperlink" Target="https://www.geosystems-hellas.gr/" TargetMode="External"/><Relationship Id="rId20" Type="http://schemas.openxmlformats.org/officeDocument/2006/relationships/hyperlink" Target="https://www.planetek.gr/" TargetMode="External"/><Relationship Id="rId21" Type="http://schemas.openxmlformats.org/officeDocument/2006/relationships/hyperlink" Target="http://beyond-eocenter.eu/" TargetMode="External"/><Relationship Id="rId22" Type="http://schemas.openxmlformats.org/officeDocument/2006/relationships/hyperlink" Target="https://www.greekgeo.noa.gr/" TargetMode="Externa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6426</TotalTime>
  <Application>LibreOffice/7.4.7.2$Linux_X86_64 LibreOffice_project/40$Build-2</Application>
  <AppVersion>15.0000</AppVersion>
  <Pages>31</Pages>
  <Words>12318</Words>
  <Characters>72120</Characters>
  <CharactersWithSpaces>83706</CharactersWithSpaces>
  <Paragraphs>751</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2023-08-18T14:51:11Z</dcterms:modified>
  <cp:revision>512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