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8"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8828797"/>
            <w:bookmarkStart w:id="1" w:name="_Toc448834151"/>
            <w:bookmarkStart w:id="2" w:name="_Toc443645004"/>
            <w:bookmarkStart w:id="3" w:name="_Toc445930535"/>
            <w:bookmarkStart w:id="4" w:name="_Toc44882857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28579"/>
            <w:bookmarkStart w:id="11" w:name="_Toc448834153"/>
            <w:bookmarkStart w:id="12" w:name="_Toc44882879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1.1.1 Space Geodesy and Earth Observation</w:t>
      </w:r>
    </w:p>
    <w:p>
      <w:pPr>
        <w:pStyle w:val="TextBody"/>
        <w:ind w:left="0" w:hanging="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TextBody"/>
        <w:ind w:left="0" w:hanging="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TextBody"/>
        <w:ind w:left="0" w:hanging="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TextBody"/>
        <w:ind w:left="0" w:hanging="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TextBody"/>
        <w:ind w:left="0" w:hanging="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TextBody"/>
        <w:ind w:left="0" w:hanging="0"/>
        <w:rPr>
          <w:rStyle w:val="Strong"/>
          <w:b w:val="false"/>
          <w:b w:val="false"/>
          <w:bCs w:val="false"/>
        </w:rPr>
      </w:pPr>
      <w:r>
        <w:rPr>
          <w:b w:val="false"/>
          <w:bCs w:val="false"/>
        </w:rPr>
      </w:r>
    </w:p>
    <w:p>
      <w:pPr>
        <w:pStyle w:val="Normal"/>
        <w:widowControl/>
        <w:spacing w:before="0" w:after="200"/>
        <w:jc w:val="both"/>
        <w:rPr>
          <w:b/>
          <w:b/>
          <w:bCs/>
        </w:rPr>
      </w:pPr>
      <w:r>
        <w:rPr>
          <w:b/>
          <w:bCs/>
        </w:rPr>
        <w:t>1.1.2 NTUA and Space Geodesy in Greece</w:t>
      </w:r>
    </w:p>
    <w:p>
      <w:pPr>
        <w:pStyle w:val="TextBody"/>
        <w:ind w:left="0" w:hanging="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TextBody"/>
        <w:ind w:left="0" w:hanging="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TextBody"/>
        <w:ind w:left="0" w:hanging="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TextBody"/>
        <w:ind w:left="0" w:hanging="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TextBody"/>
        <w:ind w:left="0" w:hanging="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TextBody"/>
        <w:ind w:left="0" w:hanging="0"/>
        <w:rPr/>
      </w:pPr>
      <w:r>
        <w:rPr/>
      </w:r>
    </w:p>
    <w:p>
      <w:pPr>
        <w:pStyle w:val="Normal"/>
        <w:widowControl/>
        <w:spacing w:before="0" w:after="200"/>
        <w:jc w:val="both"/>
        <w:rPr>
          <w:b/>
          <w:b/>
          <w:bCs/>
        </w:rPr>
      </w:pPr>
      <w:r>
        <w:rPr>
          <w:b/>
          <w:bCs/>
        </w:rPr>
        <w:t>1.1.3 ACRONYM Objectives</w:t>
      </w:r>
    </w:p>
    <w:p>
      <w:pPr>
        <w:pStyle w:val="TextBody"/>
        <w:ind w:left="0" w:hanging="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TextBody"/>
        <w:ind w:left="0" w:hanging="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TextBody"/>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TextBody"/>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TextBody"/>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TextBody"/>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TextBody"/>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TextBody"/>
        <w:numPr>
          <w:ilvl w:val="0"/>
          <w:numId w:val="0"/>
        </w:numPr>
        <w:ind w:left="720" w:hanging="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host institute staff trained</w:t>
            </w:r>
          </w:p>
          <w:p>
            <w:pPr>
              <w:pStyle w:val="TextBody"/>
              <w:widowControl w:val="false"/>
              <w:numPr>
                <w:ilvl w:val="0"/>
                <w:numId w:val="10"/>
              </w:numPr>
              <w:rPr/>
            </w:pPr>
            <w:r>
              <w:rPr/>
              <w:t>Number of host institute staff involved in software development</w:t>
            </w:r>
          </w:p>
          <w:p>
            <w:pPr>
              <w:pStyle w:val="TextBody"/>
              <w:widowControl w:val="false"/>
              <w:numPr>
                <w:ilvl w:val="0"/>
                <w:numId w:val="1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TextBody"/>
              <w:widowControl w:val="false"/>
              <w:numPr>
                <w:ilvl w:val="0"/>
                <w:numId w:val="10"/>
              </w:numPr>
              <w:rPr/>
            </w:pPr>
            <w:r>
              <w:rPr/>
              <w:t>analysis of DORIS observations</w:t>
            </w:r>
          </w:p>
          <w:p>
            <w:pPr>
              <w:pStyle w:val="TextBody"/>
              <w:widowControl w:val="false"/>
              <w:numPr>
                <w:ilvl w:val="0"/>
                <w:numId w:val="10"/>
              </w:numPr>
              <w:rPr/>
            </w:pPr>
            <w:r>
              <w:rPr/>
              <w:t>analysis of SLR observations</w:t>
            </w:r>
          </w:p>
          <w:p>
            <w:pPr>
              <w:pStyle w:val="TextBody"/>
              <w:widowControl w:val="false"/>
              <w:numPr>
                <w:ilvl w:val="0"/>
                <w:numId w:val="10"/>
              </w:numPr>
              <w:rPr/>
            </w:pPr>
            <w:r>
              <w:rPr/>
              <w:t>state-of-the-art handling of EOPs</w:t>
            </w:r>
          </w:p>
          <w:p>
            <w:pPr>
              <w:pStyle w:val="TextBody"/>
              <w:widowControl w:val="false"/>
              <w:ind w:left="0" w:hanging="0"/>
              <w:rPr/>
            </w:pPr>
            <w:r>
              <w:rPr/>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TextBody"/>
              <w:widowControl w:val="false"/>
              <w:numPr>
                <w:ilvl w:val="0"/>
                <w:numId w:val="10"/>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1"/>
              </w:numPr>
              <w:rPr/>
            </w:pPr>
            <w:r>
              <w:rPr/>
              <w:t>Number of applicants for PhD, PostDoc and (possible) tenure open positions. Expected to take place gradually after the start of ACRONYM.</w:t>
            </w:r>
          </w:p>
          <w:p>
            <w:pPr>
              <w:pStyle w:val="TextBody"/>
              <w:widowControl w:val="false"/>
              <w:numPr>
                <w:ilvl w:val="0"/>
                <w:numId w:val="11"/>
              </w:numPr>
              <w:rPr/>
            </w:pPr>
            <w:r>
              <w:rPr/>
              <w:t>Number of funding bids submitted including PhD and PostDoc studies (carried out in host institute)</w:t>
            </w:r>
          </w:p>
          <w:p>
            <w:pPr>
              <w:pStyle w:val="TextBody"/>
              <w:widowControl w:val="false"/>
              <w:numPr>
                <w:ilvl w:val="0"/>
                <w:numId w:val="11"/>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conferences/workshops attended</w:t>
            </w:r>
          </w:p>
          <w:p>
            <w:pPr>
              <w:pStyle w:val="TextBody"/>
              <w:widowControl w:val="false"/>
              <w:numPr>
                <w:ilvl w:val="0"/>
                <w:numId w:val="13"/>
              </w:numPr>
              <w:rPr/>
            </w:pPr>
            <w:r>
              <w:rPr/>
              <w:t>Number of scientific publications in high-impact journals</w:t>
            </w:r>
          </w:p>
          <w:p>
            <w:pPr>
              <w:pStyle w:val="TextBody"/>
              <w:widowControl w:val="false"/>
              <w:numPr>
                <w:ilvl w:val="0"/>
                <w:numId w:val="13"/>
              </w:numPr>
              <w:rPr/>
            </w:pPr>
            <w:r>
              <w:rPr/>
              <w:t>Impact factor of scientific journals publishing results of ACRONYM</w:t>
            </w:r>
          </w:p>
          <w:p>
            <w:pPr>
              <w:pStyle w:val="TextBody"/>
              <w:widowControl w:val="false"/>
              <w:numPr>
                <w:ilvl w:val="0"/>
                <w:numId w:val="13"/>
              </w:numPr>
              <w:rPr/>
            </w:pPr>
            <w:r>
              <w:rPr/>
              <w:t>Level of involvement in International Association of Geodesy (IAG) and GGOS</w:t>
            </w:r>
          </w:p>
          <w:p>
            <w:pPr>
              <w:pStyle w:val="TextBody"/>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Coordinator staff visiting ACRONYM partnership</w:t>
            </w:r>
          </w:p>
          <w:p>
            <w:pPr>
              <w:pStyle w:val="TextBody"/>
              <w:widowControl w:val="false"/>
              <w:numPr>
                <w:ilvl w:val="0"/>
                <w:numId w:val="13"/>
              </w:numPr>
              <w:rPr/>
            </w:pPr>
            <w:r>
              <w:rPr/>
              <w:t>Number of partner staff visiting NTUA</w:t>
            </w:r>
          </w:p>
          <w:p>
            <w:pPr>
              <w:pStyle w:val="TextBody"/>
              <w:widowControl w:val="false"/>
              <w:numPr>
                <w:ilvl w:val="0"/>
                <w:numId w:val="13"/>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4"/>
              </w:numPr>
              <w:rPr/>
            </w:pPr>
            <w:r>
              <w:rPr/>
              <w:t>Number of host institute staff trained (included in research administration unit)</w:t>
            </w:r>
          </w:p>
          <w:p>
            <w:pPr>
              <w:pStyle w:val="TextBody"/>
              <w:widowControl w:val="false"/>
              <w:numPr>
                <w:ilvl w:val="0"/>
                <w:numId w:val="14"/>
              </w:numPr>
              <w:rPr/>
            </w:pPr>
            <w:r>
              <w:rPr/>
              <w:t>Number of research proposals submitted (within the time span of ACRONYM)</w:t>
            </w:r>
          </w:p>
          <w:p>
            <w:pPr>
              <w:pStyle w:val="TextBody"/>
              <w:widowControl w:val="false"/>
              <w:numPr>
                <w:ilvl w:val="0"/>
                <w:numId w:val="14"/>
              </w:numPr>
              <w:rPr/>
            </w:pPr>
            <w:r>
              <w:rPr/>
              <w:t>Diversity of funding pools targeted</w:t>
            </w:r>
          </w:p>
          <w:p>
            <w:pPr>
              <w:pStyle w:val="TextBody"/>
              <w:widowControl w:val="false"/>
              <w:numPr>
                <w:ilvl w:val="0"/>
                <w:numId w:val="14"/>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Establish a national (Greek) ecosystem of space-based geosciences related stakeholders and promote R&amp;I</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stakeholders present in info-days and seminars.</w:t>
            </w:r>
          </w:p>
          <w:p>
            <w:pPr>
              <w:pStyle w:val="TextBody"/>
              <w:widowControl w:val="false"/>
              <w:numPr>
                <w:ilvl w:val="0"/>
                <w:numId w:val="12"/>
              </w:numPr>
              <w:rPr/>
            </w:pPr>
            <w:r>
              <w:rPr/>
              <w:t>Number of stakeholders included in research proposals submitted</w:t>
            </w:r>
          </w:p>
          <w:p>
            <w:pPr>
              <w:pStyle w:val="TextBody"/>
              <w:widowControl w:val="false"/>
              <w:numPr>
                <w:ilvl w:val="0"/>
                <w:numId w:val="12"/>
              </w:numPr>
              <w:rPr/>
            </w:pPr>
            <w:r>
              <w:rPr/>
              <w:t>Number of stakeholders interested in and/or subscribed to the ACRONYM newsletter</w:t>
            </w:r>
          </w:p>
          <w:p>
            <w:pPr>
              <w:pStyle w:val="TextBody"/>
              <w:widowControl w:val="false"/>
              <w:numPr>
                <w:ilvl w:val="0"/>
                <w:numId w:val="12"/>
              </w:numPr>
              <w:rPr>
                <w:highlight w:val="none"/>
                <w:shd w:fill="FFFF00" w:val="clear"/>
              </w:rPr>
            </w:pPr>
            <w:r>
              <w:rPr>
                <w:shd w:fill="FFFF00" w:val="clear"/>
              </w:rPr>
              <w:t>Number of stakeholders requesting/accessing online lectures and training videos (via ACRONYM’s website)</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TextBody"/>
        <w:ind w:left="0" w:hanging="0"/>
        <w:rPr>
          <w:b w:val="false"/>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TextBody"/>
        <w:ind w:left="0" w:hanging="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TextBody"/>
        <w:ind w:left="0" w:hanging="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TextBody"/>
        <w:ind w:left="0" w:hanging="0"/>
        <w:rPr/>
      </w:pPr>
      <w:r>
        <w:rPr>
          <w:b w:val="false"/>
          <w:bCs w:val="false"/>
        </w:rPr>
        <w:t>Dedicated dissemination and communication activities are also included, aiming at promoting activities and results of ACRONYM, maximizing its impact and exploiting its outcomes.</w:t>
      </w:r>
    </w:p>
    <w:p>
      <w:pPr>
        <w:pStyle w:val="TextBody"/>
        <w:ind w:left="0" w:hanging="0"/>
        <w:rPr/>
      </w:pPr>
      <w:r>
        <w:rPr/>
      </w:r>
    </w:p>
    <w:p>
      <w:pPr>
        <w:pStyle w:val="Normal"/>
        <w:spacing w:before="0" w:after="200"/>
        <w:jc w:val="both"/>
        <w:rPr>
          <w:b/>
          <w:b/>
          <w:bCs/>
        </w:rPr>
      </w:pPr>
      <w:r>
        <w:rPr>
          <w:b/>
          <w:bCs/>
        </w:rPr>
        <w:t>1.2.2 Enhancing Research Capacity and Achieving Scientific Excellence</w:t>
      </w:r>
    </w:p>
    <w:p>
      <w:pPr>
        <w:pStyle w:val="TextBody"/>
        <w:ind w:left="0" w:hanging="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TextBody"/>
        <w:ind w:left="0" w:hanging="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TextBody"/>
        <w:ind w:left="0" w:hanging="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TextBody"/>
        <w:ind w:left="0" w:hanging="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TextBody"/>
        <w:ind w:left="0" w:hanging="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TextBody"/>
        <w:ind w:left="0" w:hanging="0"/>
        <w:rPr>
          <w:rFonts w:ascii="Nimbus Roman" w:hAnsi="Nimbus Roman"/>
          <w:b/>
          <w:b/>
          <w:bCs/>
          <w:u w:val="single"/>
        </w:rPr>
      </w:pPr>
      <w:r>
        <w:rPr>
          <w:b/>
          <w:bCs/>
          <w:u w:val="single"/>
        </w:rPr>
      </w:r>
    </w:p>
    <w:p>
      <w:pPr>
        <w:pStyle w:val="TextBody"/>
        <w:ind w:left="0" w:hanging="0"/>
        <w:rPr>
          <w:rFonts w:ascii="Nimbus Roman" w:hAnsi="Nimbus Roman"/>
          <w:b/>
          <w:b/>
          <w:bCs/>
          <w:u w:val="single"/>
        </w:rPr>
      </w:pPr>
      <w:r>
        <w:rPr>
          <w:b/>
          <w:bCs/>
          <w:u w:val="single"/>
        </w:rPr>
        <w:t>Expert Nodes</w:t>
      </w:r>
    </w:p>
    <w:p>
      <w:pPr>
        <w:pStyle w:val="TextBody"/>
        <w:ind w:left="0" w:hanging="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TextBody"/>
        <w:ind w:left="0" w:hanging="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TextBody"/>
        <w:ind w:left="0" w:hanging="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TextBody"/>
        <w:ind w:left="0" w:hanging="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TextBody"/>
        <w:ind w:left="0" w:hanging="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TextBody"/>
        <w:ind w:left="0" w:hanging="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TextBody"/>
        <w:ind w:left="0" w:hanging="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w:t>
      </w:r>
    </w:p>
    <w:p>
      <w:pPr>
        <w:pStyle w:val="TextBody"/>
        <w:ind w:left="0" w:hanging="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TextBody"/>
        <w:ind w:left="0" w:hanging="0"/>
        <w:rPr>
          <w:rFonts w:ascii="Nimbus Roman" w:hAnsi="Nimbus Roman"/>
        </w:rPr>
      </w:pPr>
      <w:r>
        <w:rPr/>
        <w:t>Knowledge transfer will be performed by means of:</w:t>
      </w:r>
    </w:p>
    <w:p>
      <w:pPr>
        <w:pStyle w:val="TextBody"/>
        <w:numPr>
          <w:ilvl w:val="0"/>
          <w:numId w:val="15"/>
        </w:numPr>
        <w:rPr/>
      </w:pPr>
      <w:r>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TextBody"/>
        <w:numPr>
          <w:ilvl w:val="0"/>
          <w:numId w:val="15"/>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TextBody"/>
        <w:numPr>
          <w:ilvl w:val="0"/>
          <w:numId w:val="15"/>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TextBody"/>
        <w:ind w:left="0" w:hanging="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II</w:t>
      </w:r>
    </w:p>
    <w:p>
      <w:pPr>
        <w:pStyle w:val="TextBody"/>
        <w:ind w:left="0" w:hanging="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TextBody"/>
        <w:ind w:left="0" w:hanging="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TextBody"/>
        <w:ind w:left="0" w:hanging="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TextBody"/>
        <w:numPr>
          <w:ilvl w:val="0"/>
          <w:numId w:val="16"/>
        </w:numPr>
        <w:rPr/>
      </w:pPr>
      <w:r>
        <w:rPr/>
        <w:t xml:space="preserve">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 </w:t>
      </w:r>
    </w:p>
    <w:p>
      <w:pPr>
        <w:pStyle w:val="TextBody"/>
        <w:numPr>
          <w:ilvl w:val="0"/>
          <w:numId w:val="16"/>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TextBody"/>
        <w:numPr>
          <w:ilvl w:val="0"/>
          <w:numId w:val="16"/>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TextBody"/>
        <w:ind w:left="0" w:hanging="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TextBody"/>
        <w:ind w:left="0" w:hanging="0"/>
        <w:rPr>
          <w:rFonts w:ascii="Nimbus Roman" w:hAnsi="Nimbus Roman"/>
        </w:rPr>
      </w:pPr>
      <w:r>
        <w:rPr/>
      </w:r>
    </w:p>
    <w:p>
      <w:pPr>
        <w:pStyle w:val="TextBody"/>
        <w:ind w:left="0" w:hanging="0"/>
        <w:rPr>
          <w:rFonts w:ascii="Nimbus Roman" w:hAnsi="Nimbus Roman"/>
          <w:highlight w:val="none"/>
          <w:shd w:fill="FFFF00" w:val="clear"/>
        </w:rPr>
      </w:pPr>
      <w:r>
        <w:rPr>
          <w:shd w:fill="FFFF00" w:val="clear"/>
        </w:rPr>
        <w:t>DORIS day etc, where should I put these?</w:t>
      </w:r>
    </w:p>
    <w:p>
      <w:pPr>
        <w:pStyle w:val="TextBody"/>
        <w:ind w:left="0" w:hanging="0"/>
        <w:rPr/>
      </w:pPr>
      <w:r>
        <w:rPr>
          <w:shd w:fill="auto" w:val="clear"/>
        </w:rPr>
        <w:t>Coordinator’s staff, and especially young scientists involved, will seek to attend any virtual and/or on-site training events organized by IGS, IDS, ILRS, IVS and IAG (e.g. DORIS-days organized by IDS).</w:t>
      </w:r>
    </w:p>
    <w:p>
      <w:pPr>
        <w:pStyle w:val="TextBody"/>
        <w:ind w:left="0" w:hanging="0"/>
        <w:rPr>
          <w:rFonts w:ascii="Nimbus Roman" w:hAnsi="Nimbus Roman"/>
        </w:rPr>
      </w:pPr>
      <w:r>
        <w:rPr/>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TextBody"/>
        <w:ind w:left="0" w:hanging="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TextBody"/>
        <w:ind w:left="0" w:hanging="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TextBody"/>
        <w:numPr>
          <w:ilvl w:val="0"/>
          <w:numId w:val="17"/>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TextBody"/>
        <w:numPr>
          <w:ilvl w:val="0"/>
          <w:numId w:val="17"/>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TextBody"/>
        <w:numPr>
          <w:ilvl w:val="0"/>
          <w:numId w:val="17"/>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TextBody"/>
        <w:ind w:left="0" w:hanging="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TextBody"/>
        <w:ind w:left="0" w:hanging="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TextBody"/>
        <w:numPr>
          <w:ilvl w:val="0"/>
          <w:numId w:val="18"/>
        </w:numPr>
        <w:rPr/>
      </w:pPr>
      <w:r>
        <w:rPr>
          <w:rStyle w:val="Strong"/>
          <w:b w:val="false"/>
          <w:bCs w:val="false"/>
        </w:rPr>
        <w:t xml:space="preserve">two EU large scale research and innovation calls (e.g. HORIZON, </w:t>
      </w:r>
      <w:r>
        <w:rPr>
          <w:rStyle w:val="Strong"/>
          <w:b w:val="false"/>
          <w:bCs w:val="false"/>
        </w:rPr>
        <w:t>COST</w:t>
      </w:r>
      <w:r>
        <w:rPr>
          <w:rStyle w:val="Strong"/>
          <w:b w:val="false"/>
          <w:bCs w:val="false"/>
        </w:rPr>
        <w:t>),</w:t>
      </w:r>
    </w:p>
    <w:p>
      <w:pPr>
        <w:pStyle w:val="TextBody"/>
        <w:numPr>
          <w:ilvl w:val="0"/>
          <w:numId w:val="18"/>
        </w:numPr>
        <w:rPr/>
      </w:pPr>
      <w:r>
        <w:rPr>
          <w:rStyle w:val="Strong"/>
          <w:b w:val="false"/>
          <w:bCs w:val="false"/>
        </w:rPr>
        <w:t>two research proposals targeting young scientists and mobility (e.g. EU MSCA calls)</w:t>
      </w:r>
    </w:p>
    <w:p>
      <w:pPr>
        <w:pStyle w:val="TextBody"/>
        <w:numPr>
          <w:ilvl w:val="0"/>
          <w:numId w:val="18"/>
        </w:numPr>
        <w:rPr/>
      </w:pPr>
      <w:r>
        <w:rPr/>
        <w:t>one funding bid targeting private/public collaboration, including at least one the ecosystem commercial (business) partner</w:t>
      </w:r>
    </w:p>
    <w:p>
      <w:pPr>
        <w:pStyle w:val="TextBody"/>
        <w:ind w:left="0" w:hanging="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TextBody"/>
        <w:ind w:left="0" w:hanging="0"/>
        <w:rPr>
          <w:rStyle w:val="Strong"/>
          <w:b w:val="false"/>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and Strategic Networking</w:t>
      </w:r>
    </w:p>
    <w:p>
      <w:pPr>
        <w:pStyle w:val="TextBody"/>
        <w:ind w:left="0" w:hanging="0"/>
        <w:rPr/>
      </w:pPr>
      <w:r>
        <w:rPr/>
        <w:t xml:space="preserve">Through the consortium synergy and in the framework of ACRONYM, at least three papers will be published in high impact, peer-reviewed scientific journals (impact factor &gt; 2.4). </w:t>
      </w:r>
    </w:p>
    <w:p>
      <w:pPr>
        <w:pStyle w:val="TextBody"/>
        <w:ind w:left="0" w:hanging="0"/>
        <w:rPr/>
      </w:pPr>
      <w:r>
        <w:rPr/>
        <w:t xml:space="preserve">Scientific publications are considered in ACRONYM as a significant pathway in achieving the project’s objectives and maximizing its impact. For the lifetime of ACRONYM, a target of nine scientific publications in peer-reviewed journals is set; three of these will be published in high-impact journals (impact factor &gt; 2.5). </w:t>
      </w:r>
      <w:r>
        <w:rPr/>
        <w:t>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w:t>
      </w:r>
    </w:p>
    <w:p>
      <w:pPr>
        <w:pStyle w:val="TextBody"/>
        <w:ind w:left="0" w:hanging="0"/>
        <w:rPr/>
      </w:pPr>
      <w:r>
        <w:rPr/>
        <w:t>Further strengthening of networking activities and scientific prominence will be seeked through the consortium’s presence in at le</w:t>
      </w:r>
      <w:r>
        <w:rPr>
          <w:shd w:fill="auto" w:val="clear"/>
        </w:rPr>
        <w:t xml:space="preserve">ast </w:t>
      </w:r>
      <w:r>
        <w:rPr>
          <w:shd w:fill="auto" w:val="clear"/>
        </w:rPr>
        <w:t>ten</w:t>
      </w:r>
      <w:r>
        <w:rPr>
          <w:color w:val="000000"/>
          <w:shd w:fill="auto" w:val="clear"/>
        </w:rPr>
        <w:t xml:space="preserve"> i</w:t>
      </w:r>
      <w:r>
        <w:rPr>
          <w:shd w:fill="auto" w:val="clear"/>
        </w:rPr>
        <w:t xml:space="preserve">nternational conferences, where outcomes of ACRONYM will be presented. Presence in technique-specific workshops organized by the respective international services (i.e. IDS, ILRS and IVS) will be prioritized. </w:t>
      </w:r>
      <w:r>
        <w:rPr>
          <w:shd w:fill="auto" w:val="clear"/>
        </w:rPr>
        <w:t>P</w:t>
      </w:r>
      <w:r>
        <w:rPr>
          <w:shd w:fill="auto" w:val="clear"/>
        </w:rPr>
        <w:t>artners will also attend at least two IAG  related events, which are known to attract top class scientists in the field.</w:t>
      </w:r>
    </w:p>
    <w:p>
      <w:pPr>
        <w:pStyle w:val="TextBody"/>
        <w:ind w:left="0" w:hanging="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TextBody"/>
        <w:ind w:left="0" w:hanging="0"/>
        <w:rPr/>
      </w:pPr>
      <w:r>
        <w:rPr/>
      </w:r>
    </w:p>
    <w:p>
      <w:pPr>
        <w:pStyle w:val="TextBody"/>
        <w:ind w:left="0" w:hanging="0"/>
        <w:rPr>
          <w:highlight w:val="none"/>
          <w:shd w:fill="FFFF00" w:val="clear"/>
        </w:rPr>
      </w:pPr>
      <w:r>
        <w:rPr>
          <w:shd w:fill="FFFF00" w:val="clear"/>
        </w:rPr>
        <w:t>Getting involved IDS ILRS IAG</w:t>
      </w:r>
    </w:p>
    <w:p>
      <w:pPr>
        <w:pStyle w:val="TextBody"/>
        <w:ind w:left="0" w:hanging="0"/>
        <w:rPr>
          <w:shd w:fill="auto" w:val="clear"/>
        </w:rPr>
      </w:pPr>
      <w:r>
        <w:rPr>
          <w:shd w:fill="auto" w:val="clear"/>
        </w:rPr>
      </w:r>
    </w:p>
    <w:p>
      <w:pPr>
        <w:pStyle w:val="Normal"/>
        <w:spacing w:before="0" w:after="200"/>
        <w:jc w:val="both"/>
        <w:rPr>
          <w:b/>
          <w:b/>
          <w:bCs/>
        </w:rPr>
      </w:pPr>
      <w:r>
        <w:rPr>
          <w:b/>
          <w:bCs/>
          <w:shd w:fill="auto" w:val="clear"/>
        </w:rPr>
        <w:t>1.2.5 Establishing a Greek ecosystem of Space-based geosciences and ties between market and academia</w:t>
      </w:r>
    </w:p>
    <w:p>
      <w:pPr>
        <w:pStyle w:val="TextBody"/>
        <w:ind w:left="0" w:hanging="0"/>
        <w:rPr/>
      </w:pPr>
      <w:r>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TextBody"/>
        <w:ind w:left="0" w:hanging="0"/>
        <w:rPr/>
      </w:pPr>
      <w:r>
        <w:rPr/>
        <w:t>The ecosystem call is expected to attract more than ten participants, including  possible industry partners active in:</w:t>
      </w:r>
    </w:p>
    <w:p>
      <w:pPr>
        <w:pStyle w:val="TextBody"/>
        <w:numPr>
          <w:ilvl w:val="0"/>
          <w:numId w:val="19"/>
        </w:numPr>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TextBody"/>
        <w:numPr>
          <w:ilvl w:val="0"/>
          <w:numId w:val="19"/>
        </w:numPr>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TextBody"/>
        <w:numPr>
          <w:ilvl w:val="0"/>
          <w:numId w:val="19"/>
        </w:numPr>
        <w:rPr/>
      </w:pPr>
      <w:r>
        <w:rPr/>
        <w:t>Universities (e.g. Aristotle University of Thessaloniki, National and Kapodistrian University of Athens and the University of West Attica).</w:t>
      </w:r>
    </w:p>
    <w:p>
      <w:pPr>
        <w:pStyle w:val="TextBody"/>
        <w:ind w:left="0" w:hanging="0"/>
        <w:rPr>
          <w:highlight w:val="none"/>
          <w:shd w:fill="auto" w:val="clear"/>
        </w:rPr>
      </w:pPr>
      <w: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TextBody"/>
        <w:ind w:left="0" w:hanging="0"/>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TextBody"/>
        <w:ind w:left="0" w:hanging="0"/>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TextBody"/>
        <w:ind w:left="0" w:hanging="0"/>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TextBody"/>
        <w:ind w:left="0" w:hanging="0"/>
        <w:rPr>
          <w:b w:val="false"/>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TextBody"/>
        <w:ind w:left="0" w:hanging="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TextBody"/>
        <w:ind w:left="0" w:hanging="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TextBody"/>
        <w:ind w:left="0" w:hanging="0"/>
        <w:rPr/>
      </w:pPr>
      <w:r>
        <w:rPr/>
      </w:r>
    </w:p>
    <w:p>
      <w:pPr>
        <w:pStyle w:val="TextBody"/>
        <w:ind w:left="0" w:hanging="0"/>
        <w:rPr>
          <w:b/>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TextBody"/>
        <w:ind w:left="0" w:hanging="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TextBody"/>
        <w:ind w:left="0" w:hanging="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TextBody"/>
        <w:ind w:left="0" w:hanging="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TextBody"/>
        <w:ind w:left="0" w:hanging="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 xml:space="preserve">Space-based geosciences (Section 1.2.5) the Coordinator will gradually disperse knowledge and help raise expertise and involvement in Earth Observation on a national scale (actions described in Tasks 5.3 to 5.5).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TextBody"/>
        <w:ind w:left="0" w:hanging="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TextBody"/>
        <w:ind w:left="0" w:hanging="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 xml:space="preserve">Within the lifetime of ACRONYM a series of scientific publications will be issued, tackling open issues (i.e. modeling approaches) used in the fundamental Space Geodetic observation techniques. These include at publications in high-impact, peer-reviewed scientific journals and publications in international conferences </w:t>
      </w:r>
      <w:r>
        <w:rPr>
          <w:shd w:fill="auto" w:val="clear"/>
        </w:rPr>
        <w:t>(Section 1.2.4)</w:t>
      </w:r>
      <w:r>
        <w:rPr>
          <w:shd w:fill="auto" w:val="clear"/>
        </w:rPr>
        <w:t>. It is expected that these publications will either create new knowledge (e.g. adopt/introduce new modeling and/or numerical techniques) or reinforce current approaches through robust validation, experimentation and assessment of their characteristics.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 xml:space="preserve">2, all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w:t>
      </w:r>
      <w:r>
        <w:rPr>
          <w:b w:val="false"/>
          <w:bCs w:val="false"/>
          <w:u w:val="none"/>
          <w:shd w:fill="auto" w:val="clear"/>
        </w:rPr>
        <w:t>research</w:t>
      </w:r>
      <w:r>
        <w:rPr>
          <w:b w:val="false"/>
          <w:bCs w:val="false"/>
          <w:u w:val="none"/>
          <w:shd w:fill="auto" w:val="clear"/>
        </w:rPr>
        <w:t xml:space="preserve"> papers and (d) attendance </w:t>
      </w:r>
      <w:r>
        <w:rPr>
          <w:b w:val="false"/>
          <w:bCs w:val="false"/>
          <w:u w:val="none"/>
          <w:shd w:fill="auto" w:val="clear"/>
        </w:rPr>
        <w:t>of international</w:t>
      </w:r>
      <w:r>
        <w:rPr>
          <w:b w:val="false"/>
          <w:bCs w:val="false"/>
          <w:u w:val="none"/>
          <w:shd w:fill="auto" w:val="clear"/>
        </w:rPr>
        <w:t xml:space="preserve">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9"/>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9"/>
        </w:numPr>
        <w:jc w:val="both"/>
        <w:rPr>
          <w:b w:val="false"/>
          <w:b w:val="false"/>
          <w:bCs w:val="false"/>
          <w:u w:val="none"/>
        </w:rPr>
      </w:pPr>
      <w:r>
        <w:rPr>
          <w:b w:val="false"/>
          <w:bCs w:val="false"/>
          <w:u w:val="none"/>
          <w:shd w:fill="auto" w:val="clear"/>
        </w:rPr>
        <w:t>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4.2), (c) diversification of funding pools and schema (see Task 4.3)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 xml:space="preserve">roject preparation, proposal writing and organisational issues and (c) project management and administration (see Section </w:t>
      </w:r>
      <w:r>
        <w:rPr>
          <w:rStyle w:val="Strong"/>
          <w:b w:val="false"/>
          <w:bCs w:val="false"/>
          <w:u w:val="none"/>
          <w:shd w:fill="auto" w:val="clear"/>
          <w:lang w:val="en-GB"/>
        </w:rPr>
        <w:t>1.2.3</w:t>
      </w:r>
      <w:r>
        <w:rPr>
          <w:rStyle w:val="Strong"/>
          <w:b w:val="false"/>
          <w:bCs w:val="false"/>
          <w:u w:val="none"/>
          <w:shd w:fill="auto" w:val="clear"/>
          <w:lang w:val="en-GB"/>
        </w:rPr>
        <w:t>). The unit is going to be further trained following a “hands-on” approach, as by the end of ACRONYM it is expected that it will have prepared and submitted at least five research funding proposals, under the guidance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highlight w:val="none"/>
          <w:shd w:fill="FFFF00" w:val="clear"/>
        </w:rPr>
      </w:pPr>
      <w:r>
        <w:rPr>
          <w:u w:val="single"/>
          <w:shd w:fill="FFFF00" w:val="clear"/>
        </w:rPr>
        <w:t>I</w:t>
      </w:r>
      <w:r>
        <w:rPr>
          <w:b/>
          <w:bCs/>
          <w:u w:val="single"/>
          <w:shd w:fill="FFFF00" w:val="clear"/>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
          <w:bCs/>
          <w:u w:val="single"/>
        </w:rPr>
      </w:pPr>
      <w:r>
        <w:rPr>
          <w:b/>
          <w:bCs/>
          <w:u w:val="single"/>
        </w:rPr>
        <w:t>A Greek ecosystem of Space-based geosciences stakeholders.</w:t>
      </w:r>
    </w:p>
    <w:p>
      <w:pPr>
        <w:pStyle w:val="TextBody"/>
        <w:ind w:left="0" w:hanging="0"/>
        <w:rPr>
          <w:b/>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TextBody"/>
        <w:ind w:left="0" w:hanging="0"/>
        <w:rPr>
          <w:b w:val="false"/>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TextBody"/>
        <w:ind w:left="0" w:hanging="0"/>
        <w:rPr>
          <w:b w:val="false"/>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
          <w:bCs/>
          <w:u w:val="single"/>
        </w:rPr>
      </w:pPr>
      <w:r>
        <w:rPr>
          <w:b/>
          <w:bCs/>
          <w:u w:val="single"/>
        </w:rPr>
        <w:t>A Space Geodesy science, technology and academic hub.</w:t>
      </w:r>
    </w:p>
    <w:p>
      <w:pPr>
        <w:pStyle w:val="Normal"/>
        <w:spacing w:before="0" w:after="200"/>
        <w:jc w:val="both"/>
        <w:rPr>
          <w:b/>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TextBody"/>
        <w:ind w:left="0" w:hanging="0"/>
        <w:rPr>
          <w:b w:val="false"/>
          <w:b w:val="false"/>
          <w:bCs w:val="false"/>
        </w:rPr>
      </w:pPr>
      <w:r>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TextBody"/>
        <w:ind w:left="0" w:hanging="0"/>
        <w:rPr>
          <w:b w:val="false"/>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TextBody"/>
        <w:ind w:left="0" w:hanging="0"/>
        <w:rPr>
          <w:b w:val="false"/>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TextBody"/>
        <w:ind w:left="0" w:hanging="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TextBody"/>
        <w:ind w:left="0" w:hanging="0"/>
        <w:rPr>
          <w:b/>
          <w:b/>
          <w:bCs/>
          <w:u w:val="non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TextBody"/>
        <w:ind w:left="0" w:hanging="0"/>
        <w:rPr>
          <w:b/>
          <w:b/>
          <w:bCs/>
          <w:u w:val="none"/>
        </w:rPr>
      </w:pPr>
      <w:r>
        <w:rPr>
          <w:b/>
          <w:bCs/>
          <w:u w:val="none"/>
        </w:rPr>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TextBody"/>
        <w:ind w:left="0" w:hanging="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w:t>
      </w:r>
      <w:r>
        <w:rPr>
          <w:shd w:fill="auto" w:val="clear"/>
        </w:rPr>
        <w:t xml:space="preserve">R&amp;I </w:t>
      </w:r>
      <w:r>
        <w:rPr>
          <w:shd w:fill="auto" w:val="clear"/>
        </w:rPr>
        <w:t xml:space="preserve">funding income and scope. </w:t>
      </w:r>
    </w:p>
    <w:p>
      <w:pPr>
        <w:pStyle w:val="TextBody"/>
        <w:ind w:left="0" w:hanging="0"/>
        <w:rPr>
          <w:highlight w:val="none"/>
          <w:shd w:fill="auto" w:val="clear"/>
        </w:rPr>
      </w:pPr>
      <w:r>
        <w:rPr>
          <w:shd w:fill="auto" w:val="clear"/>
        </w:rPr>
        <w:t>According to the EU’s R&amp;I Country profiles</w:t>
      </w:r>
      <w:r>
        <w:rPr>
          <w:rStyle w:val="FootnoteAnchor"/>
          <w:shd w:fill="auto" w:val="clear"/>
        </w:rPr>
        <w:footnoteReference w:id="2"/>
      </w:r>
      <w:r>
        <w:rPr>
          <w:shd w:fill="auto" w:val="clear"/>
        </w:rPr>
        <w:t>, Greece’s success rate in both HORIZON Europe and HORIZON 2020 is below average, and the same goes for NTUA’s individual submissions. Additionally, NTUA has not been involved in any ERC program as PI.  To revert this situation,</w:t>
      </w:r>
      <w:r>
        <w:rPr>
          <w:shd w:fill="auto" w:val="clear"/>
        </w:rPr>
        <w:t xml:space="preserve"> </w:t>
      </w:r>
      <w:r>
        <w:rPr>
          <w:shd w:fill="auto" w:val="clear"/>
        </w:rPr>
        <w:t xml:space="preserve">the Coordinator </w:t>
      </w:r>
      <w:r>
        <w:rPr>
          <w:shd w:fill="auto" w:val="clear"/>
        </w:rPr>
        <w:t xml:space="preserve">will </w:t>
      </w:r>
      <w:r>
        <w:rPr>
          <w:shd w:fill="auto" w:val="clear"/>
        </w:rPr>
        <w:t xml:space="preserve">now </w:t>
      </w:r>
      <w:r>
        <w:rPr>
          <w:shd w:fill="auto" w:val="clear"/>
        </w:rPr>
        <w:t xml:space="preserve">have at its disposal the skills to target a significantly wider range of funding bids and apply for bids with a severely boosted success rate </w:t>
      </w:r>
      <w:r>
        <w:rPr>
          <w:shd w:fill="auto" w:val="clear"/>
        </w:rPr>
        <w:t>and an elevated role (e.g. PI)</w:t>
      </w:r>
      <w:r>
        <w:rPr>
          <w:shd w:fill="auto" w:val="clear"/>
        </w:rPr>
        <w:t xml:space="preserve">. Networking actions are also expected to </w:t>
      </w:r>
      <w:r>
        <w:rPr>
          <w:rFonts w:ascii="Times New Roman" w:hAnsi="Times New Roman"/>
          <w:b w:val="false"/>
          <w:bCs w:val="false"/>
          <w:shd w:fill="auto" w:val="clear"/>
          <w:lang w:val="en-GB"/>
        </w:rPr>
        <w:t>stimulate preparation of joint research projects. Given the fact that limited research funding is a major drawback for all Greek institutions, the expected impact is of paramount importance.</w:t>
      </w:r>
    </w:p>
    <w:p>
      <w:pPr>
        <w:pStyle w:val="TextBody"/>
        <w:ind w:left="0" w:hanging="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TextBody"/>
        <w:ind w:left="0" w:hanging="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p>
    <w:p>
      <w:pPr>
        <w:pStyle w:val="TextBody"/>
        <w:ind w:left="0" w:hanging="0"/>
        <w:rPr>
          <w:highlight w:val="none"/>
          <w:shd w:fill="auto" w:val="clear"/>
        </w:rPr>
      </w:pPr>
      <w:r>
        <w:rPr>
          <w:rFonts w:ascii="Nimbus Roman No9 L" w:hAnsi="Nimbus Roman No9 L"/>
          <w:b w:val="false"/>
          <w:bCs w:val="false"/>
          <w:shd w:fill="auto" w:val="clear"/>
          <w:lang w:val="en-GB"/>
        </w:rPr>
        <w:t>According to a comparative analysis of innovation performance in EU countries</w:t>
      </w:r>
      <w:r>
        <w:rPr>
          <w:rStyle w:val="FootnoteAnchor"/>
          <w:rFonts w:ascii="Nimbus Roman No9 L" w:hAnsi="Nimbus Roman No9 L"/>
          <w:b w:val="false"/>
          <w:bCs w:val="false"/>
          <w:shd w:fill="auto" w:val="clear"/>
          <w:lang w:val="en-GB"/>
        </w:rPr>
        <w:footnoteReference w:id="3"/>
      </w:r>
      <w:r>
        <w:rPr>
          <w:rFonts w:ascii="Nimbus Roman No9 L" w:hAnsi="Nimbus Roman No9 L"/>
          <w:b w:val="false"/>
          <w:bCs w:val="false"/>
          <w:shd w:fill="auto" w:val="clear"/>
          <w:lang w:val="en-GB"/>
        </w:rPr>
        <w:t>, Greece is only ranked as a “Moderate innovator”; ACRONYM’s impact in the long run, can significantly help in raising innovation performance, via providing highly skilled and trained human resources, diffusing knowledge and know how in the Greek ecosystem and promoting synergies between its members.</w:t>
      </w:r>
    </w:p>
    <w:p>
      <w:pPr>
        <w:pStyle w:val="TextBody"/>
        <w:ind w:left="0" w:hanging="0"/>
        <w:rPr>
          <w:highlight w:val="none"/>
          <w:shd w:fill="auto" w:val="clear"/>
        </w:rPr>
      </w:pPr>
      <w:r>
        <w:rPr>
          <w:rFonts w:ascii="Nimbus Roman No9 L" w:hAnsi="Nimbus Roman No9 L"/>
          <w:b w:val="false"/>
          <w:bCs w:val="false"/>
          <w:shd w:fill="auto" w:val="clear"/>
          <w:lang w:val="en-GB"/>
        </w:rPr>
        <w:t xml:space="preserve">In the long run, stronger linkages between academia and business and improved career permeability are expected.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TextBody"/>
        <w:ind w:left="0" w:hanging="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TextBody"/>
        <w:ind w:left="0" w:hanging="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TextBody"/>
        <w:ind w:left="0" w:hanging="0"/>
        <w:rPr>
          <w:b/>
          <w:b/>
          <w:bCs/>
          <w:u w:val="non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Coordinator institute and its personnel, Greek ecosystem of space and earth observation actors, Greek space industry and , young scientists and engineers, worldwide commercial users of space geodetic data.</w:t>
      </w:r>
    </w:p>
    <w:p>
      <w:pPr>
        <w:pStyle w:val="TextBody"/>
        <w:ind w:left="0" w:hanging="0"/>
        <w:rPr>
          <w:b/>
          <w:b/>
          <w:bCs/>
          <w:u w:val="none"/>
        </w:rPr>
      </w:pPr>
      <w:r>
        <w:rPr>
          <w:b/>
          <w:bCs/>
          <w:u w:val="none"/>
        </w:rPr>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TextBody"/>
        <w:ind w:left="0" w:hanging="0"/>
        <w:rPr>
          <w:rFonts w:ascii="Nimbus Roman" w:hAnsi="Nimbus Roman"/>
          <w:b w:val="false"/>
          <w:b w:val="false"/>
          <w:bCs w:val="false"/>
        </w:rPr>
      </w:pPr>
      <w:r>
        <w:rPr>
          <w:b w:val="false"/>
          <w:bCs w:val="false"/>
          <w:shd w:fill="auto" w:val="clear"/>
          <w:lang w:val="en-GB"/>
        </w:rPr>
        <w:t>A direct impact of ACRONYM will be the significant enhancement of NTUA’s academic capacity. 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TextBody"/>
        <w:ind w:left="0" w:hanging="0"/>
        <w:rPr>
          <w:rFonts w:ascii="Nimbus Roman" w:hAnsi="Nimbus Roman"/>
          <w:b w:val="false"/>
          <w:b w:val="false"/>
          <w:bCs w:val="false"/>
        </w:rPr>
      </w:pPr>
      <w:r>
        <w:rPr>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TextBody"/>
        <w:ind w:left="0" w:hanging="0"/>
        <w:rPr>
          <w:rFonts w:ascii="Nimbus Roman" w:hAnsi="Nimbus Roman"/>
          <w:b w:val="false"/>
          <w:b w:val="false"/>
          <w:bCs w:val="false"/>
        </w:rPr>
      </w:pPr>
      <w:r>
        <w:rPr>
          <w:b w:val="false"/>
          <w:bCs w:val="false"/>
          <w:shd w:fill="auto" w:val="clear"/>
          <w:lang w:val="en-GB"/>
        </w:rPr>
        <w:t>Finally, 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alt</w:t>
      </w:r>
      <w:r>
        <w:rPr>
          <w:b w:val="false"/>
          <w:bCs w:val="false"/>
          <w:shd w:fill="auto" w:val="clear"/>
          <w:lang w:val="en-GB"/>
        </w:rPr>
        <w:t>i</w:t>
      </w:r>
      <w:r>
        <w:rPr>
          <w:b w:val="false"/>
          <w:bCs w:val="false"/>
          <w:shd w:fill="auto" w:val="clear"/>
          <w:lang w:val="en-GB"/>
        </w:rPr>
        <w:t>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TextBody"/>
        <w:ind w:left="0" w:hanging="0"/>
        <w:rPr>
          <w:rFonts w:ascii="Nimbus Roman" w:hAnsi="Nimbus Roman"/>
          <w:b w:val="false"/>
          <w:b w:val="false"/>
          <w:bCs w:val="false"/>
        </w:rPr>
      </w:pPr>
      <w:r>
        <w:rPr>
          <w:rFonts w:ascii="Times New Roman" w:hAnsi="Times New Roman"/>
          <w:b/>
          <w:bCs/>
          <w:u w:val="none"/>
          <w:shd w:fill="FFFF00" w:val="clear"/>
          <w:lang w:val="en-GB"/>
        </w:rPr>
        <w:t>Target Groups:</w:t>
      </w:r>
      <w:r>
        <w:rPr>
          <w:rFonts w:ascii="Times New Roman" w:hAnsi="Times New Roman"/>
          <w:b/>
          <w:bCs/>
          <w:u w:val="none"/>
          <w:shd w:fill="auto" w:val="clear"/>
          <w:lang w:val="en-GB"/>
        </w:rPr>
        <w:t xml:space="preserve"> </w:t>
      </w:r>
    </w:p>
    <w:p>
      <w:pPr>
        <w:pStyle w:val="TextBody"/>
        <w:ind w:left="0" w:hanging="0"/>
        <w:rPr>
          <w:rFonts w:ascii="Times New Roman" w:hAnsi="Times New Roman"/>
          <w:b/>
          <w:b/>
          <w:shd w:fill="auto" w:val="clear"/>
          <w:lang w:val="en-GB"/>
        </w:rPr>
      </w:pPr>
      <w:r>
        <w:rPr>
          <w:rFonts w:ascii="Times New Roman" w:hAnsi="Times New Roman"/>
          <w:b/>
          <w:shd w:fill="auto" w:val="clear"/>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TextBody"/>
        <w:ind w:left="0" w:hanging="0"/>
        <w:rPr/>
      </w:pPr>
      <w:r>
        <w:rPr/>
        <w:t>ACRONYM foresees to promote the project itself and the obtained results by carrying out different types of activities, tailored to multiple and diverse targeted audiences.</w:t>
      </w:r>
    </w:p>
    <w:p>
      <w:pPr>
        <w:pStyle w:val="TextBody"/>
        <w:ind w:left="0" w:hanging="0"/>
        <w:rPr/>
      </w:pPr>
      <w:r>
        <w:rPr/>
        <w:t>As a first step, ACRONYM will develop its logo, establishing its visual identity and promoting recognizability; ACRONYM’s logo will be used in all project-related documents and presentations.</w:t>
      </w:r>
    </w:p>
    <w:p>
      <w:pPr>
        <w:pStyle w:val="TextBody"/>
        <w:ind w:left="0" w:hanging="0"/>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dedicated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w:t>
      </w:r>
    </w:p>
    <w:p>
      <w:pPr>
        <w:pStyle w:val="TextBody"/>
        <w:ind w:left="0" w:hanging="0"/>
        <w:rPr/>
      </w:pPr>
      <w:r>
        <w:rPr>
          <w:u w:val="none"/>
        </w:rPr>
        <w:t xml:space="preserve">Except from ACRONYM’s website, each of the software tools to be built in the project (Section </w:t>
      </w:r>
      <w:r>
        <w:rPr>
          <w:u w:val="none"/>
          <w:shd w:fill="auto" w:val="clear"/>
        </w:rPr>
        <w:t>1.2.2</w:t>
      </w:r>
      <w:r>
        <w:rPr>
          <w:u w:val="none"/>
        </w:rPr>
        <w:t>) will have a dedicated webpage, including the source code, example usage, help, manual, information and wiki pages. It is expected that this setup can greatly boost the user base, helping in incorporating scientists, researchers and commercial users not highly skilled in programming and/or high-level IT administration skills.</w:t>
      </w:r>
    </w:p>
    <w:p>
      <w:pPr>
        <w:pStyle w:val="TextBody"/>
        <w:ind w:left="0" w:hanging="0"/>
        <w:rPr/>
      </w:pPr>
      <w:r>
        <w:rPr/>
        <w:t xml:space="preserve">ACRONYM will adopt a free and open-source policy for all of its software products (MIT license).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TextBody"/>
        <w:ind w:left="0" w:hanging="0"/>
        <w:rPr/>
      </w:pPr>
      <w:r>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targeting young talented scientists (e.g. postgraduates) not yet fully networked into scientific media platforms.</w:t>
      </w:r>
    </w:p>
    <w:p>
      <w:pPr>
        <w:pStyle w:val="TextBody"/>
        <w:ind w:left="0" w:hanging="0"/>
        <w:rPr/>
      </w:pPr>
      <w: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TextBody"/>
        <w:ind w:left="0" w:hanging="0"/>
        <w:rPr/>
      </w:pPr>
      <w:r>
        <w:rPr>
          <w:shd w:fill="auto" w:val="clear"/>
          <w:lang w:val="en-GB"/>
        </w:rPr>
        <w:t>A dissemination activity of major importance will be the organization of a three-day Summer School that will take place in Greece, for the endorsement of ACRONYM, dissemination of its scientific output a</w:t>
      </w:r>
      <w:r>
        <w:rPr>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lang w:val="en-GB"/>
        </w:rPr>
        <w:t>The school will target the Greek scientific and research community, commercial users/busineses, industry and the ecosystem of stakeholders that are involved in Space studies and Geosciences.</w:t>
      </w:r>
    </w:p>
    <w:p>
      <w:pPr>
        <w:pStyle w:val="TextBody"/>
        <w:ind w:left="0" w:hanging="0"/>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1.2.5)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TextBody"/>
        <w:ind w:left="0" w:hanging="0"/>
        <w:rPr/>
      </w:pPr>
      <w:r>
        <w:rPr/>
        <w:t>One dedicated conference and one info-day will be organized and take place in Greece, to enhance networking, and promote both ACRONYM results and most importantly the impact of the project (described in Sectio</w:t>
      </w:r>
      <w:r>
        <w:rPr>
          <w:shd w:fill="auto" w:val="clear"/>
        </w:rPr>
        <w:t>n 1.2.5 and WP5)</w:t>
      </w:r>
      <w:r>
        <w:rPr/>
        <w:t>. A Newsletter will be issued and distributed (every six months) to the stakeholders to further raise interest and inform ecosystem members of relevant tasks, events, new challenges, issues and trending new in Space Geodesy and related applications.</w:t>
      </w:r>
    </w:p>
    <w:p>
      <w:pPr>
        <w:pStyle w:val="TextBody"/>
        <w:ind w:left="0" w:hanging="0"/>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TextBody"/>
        <w:ind w:left="0" w:hanging="0"/>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TextBody"/>
        <w:ind w:left="0" w:hanging="0"/>
        <w:rPr/>
      </w:pPr>
      <w:r>
        <w:rPr/>
        <w:t>As already noted, a series of scientific publications will also help disseminate ACRONYM results. These will include scientific publications in peer-reviewed journals, attendance of international conferences, submission of three PhD theses and three PostDoc theses. All of the above, will be published adopting a strict open-access policy.</w:t>
      </w:r>
    </w:p>
    <w:p>
      <w:pPr>
        <w:pStyle w:val="TextBody"/>
        <w:widowControl w:val="false"/>
        <w:ind w:left="0" w:hanging="0"/>
        <w:rPr/>
      </w:pPr>
      <w:r>
        <w:rPr>
          <w:shd w:fill="auto" w:val="clear"/>
          <w:lang w:val="en-GB"/>
        </w:rPr>
        <w:t xml:space="preserve">The </w:t>
      </w:r>
      <w:r>
        <w:rPr>
          <w:shd w:fill="auto" w:val="clear"/>
          <w:lang w:val="en-GB"/>
        </w:rPr>
        <w:t>ACRONYM consortium</w:t>
      </w:r>
      <w:r>
        <w:rPr>
          <w:shd w:fill="auto" w:val="clear"/>
          <w:lang w:val="en-GB"/>
        </w:rPr>
        <w:t xml:space="preserve"> will organize a </w:t>
      </w:r>
      <w:r>
        <w:rPr>
          <w:shd w:fill="FFFF00" w:val="clear"/>
          <w:lang w:val="en-GB"/>
        </w:rPr>
        <w:t>five</w:t>
      </w:r>
      <w:r>
        <w:rPr>
          <w:shd w:fill="auto" w:val="clear"/>
          <w:lang w:val="en-GB"/>
        </w:rPr>
        <w:t xml:space="preserve">-day Summer School that will take place in Greece. </w:t>
      </w:r>
      <w:r>
        <w:rPr>
          <w:shd w:fill="auto" w:val="clear"/>
          <w:lang w:val="en-GB"/>
        </w:rPr>
        <w:t>The aim of the School will be:</w:t>
      </w:r>
    </w:p>
    <w:p>
      <w:pPr>
        <w:pStyle w:val="TextBody"/>
        <w:widowControl w:val="false"/>
        <w:numPr>
          <w:ilvl w:val="0"/>
          <w:numId w:val="30"/>
        </w:numPr>
        <w:rPr/>
      </w:pPr>
      <w:r>
        <w:rPr>
          <w:shd w:fill="auto" w:val="clear"/>
          <w:lang w:val="en-GB"/>
        </w:rPr>
        <w:t>dispersing of knowledge, trends and challenges in Space Geodesy, Earth Observation and related applications and technology</w:t>
      </w:r>
    </w:p>
    <w:p>
      <w:pPr>
        <w:pStyle w:val="TextBody"/>
        <w:widowControl w:val="false"/>
        <w:numPr>
          <w:ilvl w:val="0"/>
          <w:numId w:val="30"/>
        </w:numPr>
        <w:rPr/>
      </w:pPr>
      <w:r>
        <w:rPr>
          <w:shd w:fill="auto" w:val="clear"/>
          <w:lang w:val="en-GB"/>
        </w:rPr>
        <w:t>familiarization and presentation of Space Geodesy observational techniques, datasets, modelling approaches and processing pipelines</w:t>
      </w:r>
    </w:p>
    <w:p>
      <w:pPr>
        <w:pStyle w:val="TextBody"/>
        <w:widowControl w:val="false"/>
        <w:numPr>
          <w:ilvl w:val="0"/>
          <w:numId w:val="30"/>
        </w:numPr>
        <w:rPr/>
      </w:pPr>
      <w:r>
        <w:rPr>
          <w:shd w:fill="auto" w:val="clear"/>
          <w:lang w:val="en-GB"/>
        </w:rPr>
        <w:t>Space Geodesy products and solutions and their crucial role in modern Earth Observation</w:t>
      </w:r>
    </w:p>
    <w:p>
      <w:pPr>
        <w:pStyle w:val="TextBody"/>
        <w:widowControl w:val="false"/>
        <w:ind w:left="0" w:hanging="0"/>
        <w:rPr/>
      </w:pPr>
      <w:r>
        <w:rPr>
          <w:shd w:fill="auto" w:val="clear"/>
          <w:lang w:val="en-GB"/>
        </w:rPr>
        <w:t xml:space="preserve"> </w:t>
      </w:r>
      <w:r>
        <w:rPr>
          <w:shd w:fill="auto" w:val="clear"/>
          <w:lang w:val="en-GB"/>
        </w:rPr>
        <w:t>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target the Greek ecosystem of stakeholders that are involved in Space studies and geosciences. This will include public research institutions, universities and private sector organizations/companies.</w:t>
      </w:r>
    </w:p>
    <w:p>
      <w:pPr>
        <w:pStyle w:val="TextBody"/>
        <w:widowControl w:val="false"/>
        <w:ind w:left="0" w:hanging="0"/>
        <w:rPr>
          <w:highlight w:val="none"/>
          <w:shd w:fill="FFFF00" w:val="clear"/>
        </w:rPr>
      </w:pPr>
      <w:r>
        <w:rPr>
          <w:shd w:fill="FFFF00" w:val="clear"/>
        </w:rPr>
        <w:t>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jc w:val="both"/>
        <w:rPr/>
      </w:pPr>
      <w:r>
        <w:rPr/>
      </w:r>
    </w:p>
    <w:p>
      <w:pPr>
        <w:sectPr>
          <w:headerReference w:type="even" r:id="rId17"/>
          <w:headerReference w:type="default" r:id="rId18"/>
          <w:headerReference w:type="first" r:id="rId19"/>
          <w:footerReference w:type="default" r:id="rId20"/>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p>
          <w:p>
            <w:pPr>
              <w:pStyle w:val="Normal"/>
              <w:widowControl w:val="false"/>
              <w:numPr>
                <w:ilvl w:val="0"/>
                <w:numId w:val="20"/>
              </w:numPr>
              <w:jc w:val="both"/>
              <w:rPr/>
            </w:pPr>
            <w:r>
              <w:rPr>
                <w:rFonts w:ascii="Times New Roman" w:hAnsi="Times New Roman"/>
                <w:color w:val="auto"/>
              </w:rPr>
              <w:t>Issue a Newsletter and use social media to promote ACRONYM and inform the public about its objectives, activities, results and events.</w:t>
            </w:r>
          </w:p>
          <w:p>
            <w:pPr>
              <w:pStyle w:val="Normal"/>
              <w:widowControl w:val="false"/>
              <w:numPr>
                <w:ilvl w:val="0"/>
                <w:numId w:val="20"/>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numPr>
                <w:ilvl w:val="0"/>
                <w:numId w:val="20"/>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1"/>
              </w:numPr>
              <w:jc w:val="both"/>
              <w:rPr/>
            </w:pPr>
            <w:r>
              <w:rPr>
                <w:rFonts w:ascii="Times New Roman" w:hAnsi="Times New Roman"/>
                <w:color w:val="000000"/>
                <w:lang w:val="en-GB"/>
              </w:rPr>
              <w:t>Release of DORIS analysis software, attributing a citeable and trackable DOI (e.g. via zenodo). Software release using a public domain software repository/development platform using MIT license.</w:t>
            </w:r>
          </w:p>
          <w:p>
            <w:pPr>
              <w:pStyle w:val="Normal"/>
              <w:widowControl w:val="false"/>
              <w:numPr>
                <w:ilvl w:val="0"/>
                <w:numId w:val="21"/>
              </w:numPr>
              <w:jc w:val="both"/>
              <w:rPr/>
            </w:pPr>
            <w:r>
              <w:rPr>
                <w:color w:val="000000"/>
              </w:rPr>
              <w:t xml:space="preserve">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1"/>
              </w:numPr>
              <w:jc w:val="both"/>
              <w:rPr/>
            </w:pPr>
            <w:r>
              <w:rPr>
                <w:color w:val="000000"/>
              </w:rPr>
              <w:t>Scientific publications in peer-reviewed journals.</w:t>
            </w:r>
          </w:p>
          <w:p>
            <w:pPr>
              <w:pStyle w:val="Normal"/>
              <w:widowControl w:val="false"/>
              <w:numPr>
                <w:ilvl w:val="0"/>
                <w:numId w:val="21"/>
              </w:numPr>
              <w:jc w:val="both"/>
              <w:rPr/>
            </w:pPr>
            <w:r>
              <w:rPr>
                <w:color w:val="000000"/>
              </w:rPr>
              <w:t>Attendance and presentations in international conference.</w:t>
            </w:r>
          </w:p>
          <w:p>
            <w:pPr>
              <w:pStyle w:val="Normal"/>
              <w:widowControl w:val="false"/>
              <w:numPr>
                <w:ilvl w:val="0"/>
                <w:numId w:val="21"/>
              </w:numPr>
              <w:jc w:val="both"/>
              <w:rPr/>
            </w:pPr>
            <w:r>
              <w:rPr>
                <w:color w:val="000000"/>
              </w:rPr>
              <w:t>Summer School on Space Geodesy, Earth Observation and applications</w:t>
            </w:r>
          </w:p>
          <w:p>
            <w:pPr>
              <w:pStyle w:val="Normal"/>
              <w:widowControl w:val="false"/>
              <w:numPr>
                <w:ilvl w:val="0"/>
                <w:numId w:val="21"/>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color w:val="000000"/>
              </w:rPr>
            </w:pPr>
            <w:r>
              <w:rPr>
                <w:b/>
                <w:bCs/>
                <w:color w:val="000000"/>
              </w:rPr>
              <w:t>Exploitation:</w:t>
            </w:r>
          </w:p>
          <w:p>
            <w:pPr>
              <w:pStyle w:val="Normal"/>
              <w:widowControl w:val="false"/>
              <w:numPr>
                <w:ilvl w:val="0"/>
                <w:numId w:val="22"/>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2"/>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2"/>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2"/>
              </w:numPr>
              <w:jc w:val="both"/>
              <w:rPr/>
            </w:pPr>
            <w:r>
              <w:rPr>
                <w:b w:val="false"/>
                <w:bCs w:val="false"/>
                <w:color w:val="000000"/>
              </w:rPr>
              <w:t>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of Coordinator in high prestige international consortia 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awareness, interest and involvement in a rapidly growing international market, that of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 xml:space="preserve">Significantly up-scale academic curriculum and research scope in Greece. Create a pool of experts in Space and studies and Geosciences, boosting innovation and research capacity on a national scale </w:t>
            </w:r>
            <w:r>
              <w:rPr>
                <w:i w:val="false"/>
                <w:iCs w:val="false"/>
                <w:color w:val="000000"/>
                <w:lang w:val="en-GB"/>
              </w:rPr>
              <w:t>(improve innovation ranking)</w:t>
            </w:r>
            <w:r>
              <w:rPr>
                <w:i w:val="false"/>
                <w:iCs w:val="false"/>
                <w:color w:val="000000"/>
                <w:lang w:val="en-GB"/>
              </w:rPr>
              <w:t>.</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R&amp;I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footnotePr>
            <w:numFmt w:val="decimal"/>
          </w:footnotePr>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TextBody"/>
        <w:ind w:left="0" w:hanging="0"/>
        <w:rPr>
          <w:lang w:val="en-GB"/>
        </w:rPr>
      </w:pPr>
      <w:r>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rFonts w:ascii="Times New Roman" w:hAnsi="Times New Roman"/>
          <w:b/>
          <w:b/>
          <w:lang w:val="en-GB"/>
        </w:rPr>
      </w:pPr>
      <w:r>
        <w:rPr>
          <w:rFonts w:ascii="Times New Roman" w:hAnsi="Times New Roman"/>
          <w:b/>
          <w:lang w:val="en-GB"/>
        </w:rPr>
        <w:t>3.2.1 Capacity of GFZ in the field of SLR and other space geodetic techniques</w:t>
      </w:r>
    </w:p>
    <w:p>
      <w:pPr>
        <w:pStyle w:val="TextBody"/>
        <w:ind w:left="0" w:hanging="0"/>
        <w:rPr>
          <w:rFonts w:ascii="Nimbus Roman" w:hAnsi="Nimbus Roman"/>
        </w:rPr>
      </w:pPr>
      <w:r>
        <w:rPr/>
        <w:t>GFZ´s Section 1.2 “Global Geomonitoring and Gravity Field” within GFZ´s Department</w:t>
      </w:r>
      <w:r>
        <w:rPr>
          <w:lang w:val="en-GB"/>
        </w:rPr>
        <w:t xml:space="preserve"> 1 “Geodesy” has </w:t>
      </w:r>
      <w:r>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TextBody"/>
        <w:ind w:left="0" w:hanging="0"/>
        <w:rPr>
          <w:rFonts w:ascii="Nimbus Roman" w:hAnsi="Nimbus Roman"/>
          <w:b w:val="false"/>
          <w:b w:val="false"/>
          <w:bCs w:val="false"/>
          <w:highlight w:val="none"/>
          <w:shd w:fill="auto" w:val="clear"/>
        </w:rPr>
      </w:pPr>
      <w:r>
        <w:rPr>
          <w:b w:val="false"/>
          <w:bCs w:val="false"/>
          <w:shd w:fill="auto" w:val="clear"/>
          <w:lang w:val="en-GB"/>
        </w:rPr>
        <w:t>The Section also runs a SLR station on the Telegrafenberg in Potsdam which will celebrate its 50</w:t>
      </w:r>
      <w:r>
        <w:rPr>
          <w:b w:val="false"/>
          <w:bCs w:val="false"/>
          <w:shd w:fill="auto" w:val="clear"/>
          <w:vertAlign w:val="superscript"/>
          <w:lang w:val="en-GB"/>
        </w:rPr>
        <w:t>th</w:t>
      </w:r>
      <w:r>
        <w:rPr>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Strengthening research management, administration and funding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CLS</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WP5</w:t>
            </w:r>
          </w:p>
        </w:tc>
        <w:tc>
          <w:tcPr>
            <w:tcW w:w="1415" w:type="dxa"/>
            <w:tcBorders>
              <w:left w:val="single" w:sz="2" w:space="0" w:color="000000"/>
              <w:bottom w:val="single" w:sz="2" w:space="0" w:color="000000"/>
              <w:right w:val="single" w:sz="2" w:space="0" w:color="000000"/>
            </w:tcBorders>
          </w:tcPr>
          <w:p>
            <w:pPr>
              <w:pStyle w:val="Normal"/>
              <w:widowControl w:val="false"/>
              <w:rPr>
                <w:lang w:val="en-GB"/>
              </w:rPr>
            </w:pPr>
            <w:r>
              <w:rPr/>
              <w:t>Networking and Ecosystem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WP6</w:t>
            </w:r>
          </w:p>
        </w:tc>
        <w:tc>
          <w:tcPr>
            <w:tcW w:w="1415"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t>Dissemination, Exploitation and Communication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GFZ</w:t>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TextBody"/>
              <w:widowControl w:val="false"/>
              <w:numPr>
                <w:ilvl w:val="0"/>
                <w:numId w:val="23"/>
              </w:numPr>
              <w:rPr/>
            </w:pPr>
            <w:r>
              <w:rPr/>
              <w:t>Establish a strong project management scheme</w:t>
            </w:r>
          </w:p>
          <w:p>
            <w:pPr>
              <w:pStyle w:val="TextBody"/>
              <w:widowControl w:val="false"/>
              <w:numPr>
                <w:ilvl w:val="0"/>
                <w:numId w:val="23"/>
              </w:numPr>
              <w:rPr/>
            </w:pPr>
            <w:r>
              <w:rPr/>
              <w:t>Establish appropriate communication and reporting channels to the European Commission</w:t>
            </w:r>
          </w:p>
          <w:p>
            <w:pPr>
              <w:pStyle w:val="TextBody"/>
              <w:widowControl w:val="false"/>
              <w:numPr>
                <w:ilvl w:val="0"/>
                <w:numId w:val="23"/>
              </w:numPr>
              <w:rPr/>
            </w:pPr>
            <w:r>
              <w:rPr/>
              <w:t>Ensure successful achievement of the project objectives on time and within budget</w:t>
            </w:r>
          </w:p>
          <w:p>
            <w:pPr>
              <w:pStyle w:val="TextBody"/>
              <w:widowControl w:val="false"/>
              <w:numPr>
                <w:ilvl w:val="0"/>
                <w:numId w:val="23"/>
              </w:numPr>
              <w:rPr/>
            </w:pPr>
            <w:r>
              <w:rPr/>
              <w:t>Establish an efficient electronic service for communications, and document exchanging</w:t>
            </w:r>
          </w:p>
          <w:p>
            <w:pPr>
              <w:pStyle w:val="TextBody"/>
              <w:widowControl w:val="false"/>
              <w:numPr>
                <w:ilvl w:val="0"/>
                <w:numId w:val="23"/>
              </w:numPr>
              <w:rPr/>
            </w:pPr>
            <w:r>
              <w:rPr/>
              <w:t>Conduct continuous quality assurance activities for the operation of the project and the production of its results within its lifespan</w:t>
            </w:r>
          </w:p>
          <w:p>
            <w:pPr>
              <w:pStyle w:val="TextBody"/>
              <w:widowControl w:val="false"/>
              <w:numPr>
                <w:ilvl w:val="0"/>
                <w:numId w:val="23"/>
              </w:numPr>
              <w:rPr/>
            </w:pPr>
            <w:r>
              <w:rPr/>
              <w:t>Ensure continuous monitoring of the project’s progress and timely initiation of corrective actions (if needed)</w:t>
            </w:r>
          </w:p>
          <w:p>
            <w:pPr>
              <w:pStyle w:val="TextBody"/>
              <w:widowControl w:val="false"/>
              <w:numPr>
                <w:ilvl w:val="0"/>
                <w:numId w:val="23"/>
              </w:numPr>
              <w:rPr/>
            </w:pPr>
            <w:r>
              <w:rPr/>
              <w:t>Coordinate the organization and execution of the various project meetings, and/or participation of the project in various external or self-organized events</w:t>
            </w:r>
          </w:p>
          <w:p>
            <w:pPr>
              <w:pStyle w:val="TextBody"/>
              <w:widowControl w:val="false"/>
              <w:numPr>
                <w:ilvl w:val="0"/>
                <w:numId w:val="23"/>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TextBody"/>
              <w:widowControl w:val="false"/>
              <w:ind w:left="0" w:hanging="0"/>
              <w:rPr>
                <w:b w:val="false"/>
                <w:b w:val="false"/>
                <w:bCs w:val="false"/>
              </w:rPr>
            </w:pPr>
            <w:r>
              <w:rPr/>
              <w:t>The objectives of this WP are to:</w:t>
            </w:r>
          </w:p>
          <w:p>
            <w:pPr>
              <w:pStyle w:val="TextBody"/>
              <w:widowControl w:val="false"/>
              <w:numPr>
                <w:ilvl w:val="0"/>
                <w:numId w:val="24"/>
              </w:numPr>
              <w:rPr/>
            </w:pPr>
            <w:r>
              <w:rPr/>
              <w:t>transfer knowledge from expert nodes to the Coordinator, building foundations for scientific excellence</w:t>
            </w:r>
          </w:p>
          <w:p>
            <w:pPr>
              <w:pStyle w:val="TextBody"/>
              <w:widowControl w:val="false"/>
              <w:numPr>
                <w:ilvl w:val="0"/>
                <w:numId w:val="24"/>
              </w:numPr>
              <w:rPr/>
            </w:pPr>
            <w:r>
              <w:rPr/>
              <w:t>establish technical standards, requirements and specifications for further research capacity (building software, WP3)</w:t>
            </w:r>
          </w:p>
          <w:p>
            <w:pPr>
              <w:pStyle w:val="TextBody"/>
              <w:widowControl w:val="false"/>
              <w:numPr>
                <w:ilvl w:val="0"/>
                <w:numId w:val="24"/>
              </w:numPr>
              <w:rPr/>
            </w:pPr>
            <w:r>
              <w:rPr/>
              <w:t>involve talented young scientists in training and increase inwards/outwards mobility (via co-supervision and visits)</w:t>
            </w:r>
          </w:p>
          <w:p>
            <w:pPr>
              <w:pStyle w:val="TextBody"/>
              <w:widowControl w:val="false"/>
              <w:numPr>
                <w:ilvl w:val="0"/>
                <w:numId w:val="24"/>
              </w:numPr>
              <w:rPr/>
            </w:pPr>
            <w:r>
              <w:rPr/>
              <w:t>seek and utilize training channels/options other than ACRONYM</w:t>
            </w:r>
          </w:p>
          <w:p>
            <w:pPr>
              <w:pStyle w:val="TextBody"/>
              <w:widowControl w:val="false"/>
              <w:numPr>
                <w:ilvl w:val="0"/>
                <w:numId w:val="24"/>
              </w:numPr>
              <w:rPr>
                <w:b w:val="false"/>
                <w:b w:val="false"/>
                <w:bCs w:val="false"/>
              </w:rPr>
            </w:pPr>
            <w:r>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TextBody"/>
              <w:rPr/>
            </w:pPr>
            <w:r>
              <w:rPr/>
              <w:t>The Coordinator along with IPGP and CLS will establish a task force (with members of all three involved institutes) and the means through which this force will maintain a long-term, sound communication and collaboration.</w:t>
            </w:r>
          </w:p>
          <w:p>
            <w:pPr>
              <w:pStyle w:val="TextBody"/>
              <w:rPr/>
            </w:pPr>
            <w:r>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TextBody"/>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TextBody"/>
              <w:rPr/>
            </w:pPr>
            <w:r>
              <w:rPr/>
              <w:t>GFZ and NTUA will establish a task force (with members of both involved institutes) and the means through which this force will maintain a long-term, solid communication channel.</w:t>
            </w:r>
          </w:p>
          <w:p>
            <w:pPr>
              <w:pStyle w:val="TextBody"/>
              <w:rPr/>
            </w:pPr>
            <w:r>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TextBody"/>
              <w:rPr/>
            </w:pPr>
            <w:r>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TextBody"/>
              <w:rPr/>
            </w:pPr>
            <w:r>
              <w:rPr/>
              <w:t>OSO and NTUA will establish a task force (with members of both involved institutes) and the means through which this force will maintain a long-term, sound communication channel.</w:t>
            </w:r>
          </w:p>
          <w:p>
            <w:pPr>
              <w:pStyle w:val="TextBody"/>
              <w:rPr/>
            </w:pPr>
            <w:r>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TextBody"/>
              <w:rPr/>
            </w:pPr>
            <w:r>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highlight w:val="none"/>
                <w:shd w:fill="FFFF00" w:val="clear"/>
              </w:rPr>
            </w:pPr>
            <w:r>
              <w:rPr>
                <w:b/>
                <w:bCs/>
                <w:shd w:fill="FFFF00" w:val="clear"/>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5"/>
              </w:numPr>
              <w:rPr/>
            </w:pPr>
            <w:r>
              <w:rPr/>
              <w:t>effectively enhance host’s research capacity through expertise, skill building and software implementation</w:t>
            </w:r>
          </w:p>
          <w:p>
            <w:pPr>
              <w:pStyle w:val="TextBody"/>
              <w:widowControl w:val="false"/>
              <w:numPr>
                <w:ilvl w:val="0"/>
                <w:numId w:val="25"/>
              </w:numPr>
              <w:rPr/>
            </w:pPr>
            <w:r>
              <w:rPr/>
              <w:t>transfer of knowledge and best practices using a “hands-on” approach</w:t>
            </w:r>
          </w:p>
          <w:p>
            <w:pPr>
              <w:pStyle w:val="TextBody"/>
              <w:widowControl w:val="false"/>
              <w:numPr>
                <w:ilvl w:val="0"/>
                <w:numId w:val="25"/>
              </w:numPr>
              <w:rPr/>
            </w:pPr>
            <w:r>
              <w:rPr/>
              <w:t>build a software toolbox to perform state-of-the-art data analysis for observations collected by both DORIS and SLR techniques. Additionally, efficiently incorporate recent advances and high-quality products from VLBI analysis.</w:t>
            </w:r>
          </w:p>
          <w:p>
            <w:pPr>
              <w:pStyle w:val="TextBody"/>
              <w:widowControl w:val="false"/>
              <w:numPr>
                <w:ilvl w:val="0"/>
                <w:numId w:val="25"/>
              </w:numPr>
              <w:rPr/>
            </w:pPr>
            <w:r>
              <w:rPr/>
              <w:t>enhance NTUA research profile via adherence to a  free and open-source policy (software)</w:t>
            </w:r>
          </w:p>
          <w:p>
            <w:pPr>
              <w:pStyle w:val="TextBody"/>
              <w:widowControl w:val="false"/>
              <w:numPr>
                <w:ilvl w:val="0"/>
                <w:numId w:val="25"/>
              </w:numPr>
              <w:rPr/>
            </w:pPr>
            <w:r>
              <w:rPr/>
              <w:t>create highly skilled scientific personnel at the host institute</w:t>
            </w:r>
          </w:p>
          <w:p>
            <w:pPr>
              <w:pStyle w:val="TextBody"/>
              <w:widowControl w:val="false"/>
              <w:numPr>
                <w:ilvl w:val="0"/>
                <w:numId w:val="25"/>
              </w:numPr>
              <w:rPr/>
            </w:pPr>
            <w:r>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TextBody"/>
              <w:rPr/>
            </w:pPr>
            <w:r>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TextBody"/>
              <w:rPr/>
            </w:pPr>
            <w:r>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TextBody"/>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TextBody"/>
              <w:rPr/>
            </w:pPr>
            <w:r>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TextBody"/>
              <w:rPr/>
            </w:pPr>
            <w:r>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TextBody"/>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TextBody"/>
              <w:rPr/>
            </w:pPr>
            <w:r>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TextBody"/>
              <w:rPr/>
            </w:pPr>
            <w:r>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TextBody"/>
              <w:rPr/>
            </w:pPr>
            <w:r>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TextBody"/>
              <w:rPr/>
            </w:pPr>
            <w:r>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TextBody"/>
              <w:rPr/>
            </w:pPr>
            <w:r>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6"/>
              </w:numPr>
              <w:rPr/>
            </w:pPr>
            <w:r>
              <w:rPr/>
              <w:t>strengthen research management capacity and administrative skills of the Coordinator</w:t>
            </w:r>
          </w:p>
          <w:p>
            <w:pPr>
              <w:pStyle w:val="TextBody"/>
              <w:widowControl w:val="false"/>
              <w:numPr>
                <w:ilvl w:val="0"/>
                <w:numId w:val="26"/>
              </w:numPr>
              <w:rPr/>
            </w:pPr>
            <w:r>
              <w:rPr/>
              <w:t>create a dedicated, skilled workforce at NTUA responsible for project claiming</w:t>
            </w:r>
          </w:p>
          <w:p>
            <w:pPr>
              <w:pStyle w:val="TextBody"/>
              <w:widowControl w:val="false"/>
              <w:numPr>
                <w:ilvl w:val="0"/>
                <w:numId w:val="26"/>
              </w:numPr>
              <w:rPr/>
            </w:pPr>
            <w:r>
              <w:rPr/>
              <w:t>boost Coordinator’s success rate in research funding bids</w:t>
            </w:r>
          </w:p>
          <w:p>
            <w:pPr>
              <w:pStyle w:val="TextBody"/>
              <w:widowControl w:val="false"/>
              <w:numPr>
                <w:ilvl w:val="0"/>
                <w:numId w:val="26"/>
              </w:numPr>
              <w:rPr/>
            </w:pPr>
            <w:r>
              <w:rPr/>
              <w:t>expand and diversify funding pools and capabilities targeted by NTUA</w:t>
            </w:r>
          </w:p>
          <w:p>
            <w:pPr>
              <w:pStyle w:val="TextBody"/>
              <w:widowControl w:val="false"/>
              <w:numPr>
                <w:ilvl w:val="0"/>
                <w:numId w:val="26"/>
              </w:numPr>
              <w:rPr/>
            </w:pPr>
            <w:r>
              <w:rPr/>
              <w:t>build expertise at efficient and successful research proposal writing</w:t>
            </w:r>
          </w:p>
          <w:p>
            <w:pPr>
              <w:pStyle w:val="TextBody"/>
              <w:widowControl w:val="false"/>
              <w:numPr>
                <w:ilvl w:val="0"/>
                <w:numId w:val="26"/>
              </w:numPr>
              <w:rPr/>
            </w:pPr>
            <w:r>
              <w:rPr/>
              <w:t>claim research funds to enhance NTUA’s appealingness to scientists and recruitment opportunities, increase mobility and support and expand research activities (financially-wise)</w:t>
            </w:r>
          </w:p>
          <w:p>
            <w:pPr>
              <w:pStyle w:val="TextBody"/>
              <w:widowControl w:val="false"/>
              <w:numPr>
                <w:ilvl w:val="0"/>
                <w:numId w:val="26"/>
              </w:numPr>
              <w:rPr/>
            </w:pPr>
            <w:r>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(Section 1.2.3).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8"/>
              </w:numPr>
              <w:jc w:val="both"/>
              <w:rPr/>
            </w:pPr>
            <w:r>
              <w:rPr/>
              <w:t>two EU large scale research and innovation calls (e.g. HORIZON), and</w:t>
            </w:r>
          </w:p>
          <w:p>
            <w:pPr>
              <w:pStyle w:val="Normal"/>
              <w:widowControl w:val="false"/>
              <w:numPr>
                <w:ilvl w:val="0"/>
                <w:numId w:val="8"/>
              </w:numPr>
              <w:jc w:val="both"/>
              <w:rPr/>
            </w:pPr>
            <w:r>
              <w:rPr>
                <w:shd w:fill="auto" w:val="clear"/>
              </w:rPr>
              <w:t>two research proposals targeting young scientists and/or mobility (e.g. EU MSCA calls)</w:t>
            </w:r>
          </w:p>
          <w:p>
            <w:pPr>
              <w:pStyle w:val="Normal"/>
              <w:widowControl w:val="false"/>
              <w:numPr>
                <w:ilvl w:val="0"/>
                <w:numId w:val="8"/>
              </w:numPr>
              <w:jc w:val="both"/>
              <w:rPr/>
            </w:pPr>
            <w:r>
              <w:rPr>
                <w:shd w:fill="auto" w:val="clear"/>
              </w:rPr>
              <w:t>one funding bid targeting private/public collaboration, including at least one the ecosystem commercial partner</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7"/>
              </w:numPr>
              <w:rPr/>
            </w:pPr>
            <w:r>
              <w:rPr/>
              <w:t>establish efficient and seamless communication and knowledge transfer channels</w:t>
            </w:r>
          </w:p>
          <w:p>
            <w:pPr>
              <w:pStyle w:val="TextBody"/>
              <w:widowControl w:val="false"/>
              <w:numPr>
                <w:ilvl w:val="0"/>
                <w:numId w:val="27"/>
              </w:numPr>
              <w:rPr/>
            </w:pPr>
            <w:r>
              <w:rPr/>
              <w:t>establish efficient and solid networking and collaboration between twinning partners</w:t>
            </w:r>
          </w:p>
          <w:p>
            <w:pPr>
              <w:pStyle w:val="TextBody"/>
              <w:widowControl w:val="false"/>
              <w:numPr>
                <w:ilvl w:val="0"/>
                <w:numId w:val="27"/>
              </w:numPr>
              <w:rPr/>
            </w:pPr>
            <w:r>
              <w:rPr/>
              <w:t>introduction of NTUA to international consortia and/or services (i.e. IDS, ILRS and IVS)</w:t>
            </w:r>
          </w:p>
          <w:p>
            <w:pPr>
              <w:pStyle w:val="TextBody"/>
              <w:widowControl w:val="false"/>
              <w:numPr>
                <w:ilvl w:val="0"/>
                <w:numId w:val="27"/>
              </w:numPr>
              <w:rPr/>
            </w:pPr>
            <w:r>
              <w:rPr/>
              <w:t>establishment of a Greek ecosystem of partners involved in space-based geosciences and applications</w:t>
            </w:r>
          </w:p>
          <w:p>
            <w:pPr>
              <w:pStyle w:val="TextBody"/>
              <w:widowControl w:val="false"/>
              <w:numPr>
                <w:ilvl w:val="0"/>
                <w:numId w:val="27"/>
              </w:numPr>
              <w:rPr>
                <w:b w:val="false"/>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(M1-M6); Lead NTUA</w:t>
            </w:r>
          </w:p>
          <w:p>
            <w:pPr>
              <w:pStyle w:val="TextBody"/>
              <w:widowControl w:val="false"/>
              <w:ind w:left="0" w:hanging="0"/>
              <w:rPr>
                <w:b w:val="false"/>
                <w:b w:val="false"/>
                <w:bCs w:val="false"/>
                <w:lang w:val="en-GB"/>
              </w:rPr>
            </w:pPr>
            <w:r>
              <w:rPr/>
              <w:t>The Coordinator will reach an agreement with each of IPGP, GFZ and OSO, regarding the co-supervision of three PhD and three PostDoc thesis (each partner involved in one PhD and one PostDoc). The agreement will be formally submitted to NTUA, and one  representative of each partner will be included in the three-part advisory committee (for PhD Thesis).</w:t>
            </w:r>
          </w:p>
          <w:p>
            <w:pPr>
              <w:pStyle w:val="TextBody"/>
              <w:widowControl w:val="false"/>
              <w:ind w:left="0" w:hanging="0"/>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described in WP2 and WP3.</w:t>
            </w:r>
          </w:p>
          <w:p>
            <w:pPr>
              <w:pStyle w:val="Normal"/>
              <w:widowControl w:val="false"/>
              <w:spacing w:before="60" w:after="60"/>
              <w:jc w:val="both"/>
              <w:rPr/>
            </w:pPr>
            <w:r>
              <w:rPr/>
            </w:r>
          </w:p>
          <w:p>
            <w:pPr>
              <w:pStyle w:val="Normal"/>
              <w:widowControl w:val="false"/>
              <w:spacing w:before="60" w:after="60"/>
              <w:jc w:val="both"/>
              <w:rPr>
                <w:highlight w:val="none"/>
                <w:shd w:fill="FFFF00" w:val="clear"/>
              </w:rPr>
            </w:pPr>
            <w:r>
              <w:rPr>
                <w:rFonts w:ascii="Times New Roman" w:hAnsi="Times New Roman"/>
                <w:b/>
                <w:shd w:fill="FFFF00" w:val="clear"/>
                <w:lang w:val="en-GB"/>
              </w:rPr>
              <w:t>Task 5.2 Introduction to Space Geodetic International Services and International Geodetic Consortia</w:t>
            </w:r>
          </w:p>
          <w:p>
            <w:pPr>
              <w:pStyle w:val="Normal"/>
              <w:widowControl w:val="false"/>
              <w:jc w:val="both"/>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5.3 Establishing a Greek Ecosystem of partners in space-based geosciences (M6-24); Lead NTUA</w:t>
            </w:r>
          </w:p>
          <w:p>
            <w:pPr>
              <w:pStyle w:val="TextBody"/>
              <w:widowControl w:val="false"/>
              <w:ind w:left="0" w:hanging="0"/>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businesses, commercial users, governmental agencies and institutions, as well as universities.</w:t>
            </w:r>
          </w:p>
          <w:p>
            <w:pPr>
              <w:pStyle w:val="TextBody"/>
              <w:widowControl w:val="false"/>
              <w:ind w:left="0" w:hanging="0"/>
              <w:rPr/>
            </w:pPr>
            <w:r>
              <w:rPr/>
              <w:t>NTUA will organize (see also Section 1.2.5):</w:t>
            </w:r>
          </w:p>
          <w:p>
            <w:pPr>
              <w:pStyle w:val="TextBody"/>
              <w:widowControl w:val="false"/>
              <w:numPr>
                <w:ilvl w:val="0"/>
                <w:numId w:val="29"/>
              </w:numPr>
              <w:rPr/>
            </w:pPr>
            <w:r>
              <w:rPr/>
              <w:t xml:space="preserve">one hybrid two-day conference to take place in Greece, with the (virtual or physical)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TextBody"/>
              <w:widowControl w:val="false"/>
              <w:numPr>
                <w:ilvl w:val="0"/>
                <w:numId w:val="29"/>
              </w:numPr>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5.4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The Coordinator along with the expert partners will compile a series of two on-line questionnaires to be sent to the academia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Greek academia/scientific and research needs and interest in Space Geodesy and Earth Observation</w:t>
            </w:r>
            <w:r>
              <w:rPr>
                <w:b w:val="false"/>
                <w:bCs w:val="false"/>
                <w:shd w:fill="auto" w:val="clear"/>
                <w:lang w:val="en-GB"/>
              </w:rPr>
              <w:t xml:space="preserve"> (Section 1.2.5</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5.5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(Section 1.2.5</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8"/>
              </w:numPr>
              <w:rPr/>
            </w:pPr>
            <w:r>
              <w:rPr/>
              <w:t>significantly enhance the host institute’s international standing and prestige via dissemination and communication activities</w:t>
            </w:r>
          </w:p>
          <w:p>
            <w:pPr>
              <w:pStyle w:val="TextBody"/>
              <w:widowControl w:val="false"/>
              <w:numPr>
                <w:ilvl w:val="0"/>
                <w:numId w:val="28"/>
              </w:numPr>
              <w:rPr/>
            </w:pPr>
            <w:r>
              <w:rPr/>
              <w:t>endorse and promote the achievements of ACRONYM and the newly established center of excellence</w:t>
            </w:r>
          </w:p>
          <w:p>
            <w:pPr>
              <w:pStyle w:val="TextBody"/>
              <w:widowControl w:val="false"/>
              <w:numPr>
                <w:ilvl w:val="0"/>
                <w:numId w:val="28"/>
              </w:numPr>
              <w:rPr/>
            </w:pPr>
            <w:r>
              <w:rPr/>
              <w:t>enhance NTUA’s research profile through scientific papers in top-tier peer reviewed journals, co-authored with the top-class consortium partners (at least three)</w:t>
            </w:r>
          </w:p>
          <w:p>
            <w:pPr>
              <w:pStyle w:val="TextBody"/>
              <w:widowControl w:val="false"/>
              <w:numPr>
                <w:ilvl w:val="0"/>
                <w:numId w:val="28"/>
              </w:numPr>
              <w:rPr/>
            </w:pPr>
            <w:r>
              <w:rPr/>
              <w:t>enhance NTUA’s visibility, prominence and networking capabilities via consortium presence in at least five international conferences/workshops</w:t>
            </w:r>
          </w:p>
          <w:p>
            <w:pPr>
              <w:pStyle w:val="TextBody"/>
              <w:widowControl w:val="false"/>
              <w:numPr>
                <w:ilvl w:val="0"/>
                <w:numId w:val="28"/>
              </w:numPr>
              <w:rPr/>
            </w:pPr>
            <w:r>
              <w:rPr/>
              <w:t>strengthen the potential for future collaborations nationally and beyond borders</w:t>
            </w:r>
          </w:p>
          <w:p>
            <w:pPr>
              <w:pStyle w:val="TextBody"/>
              <w:widowControl w:val="false"/>
              <w:numPr>
                <w:ilvl w:val="0"/>
                <w:numId w:val="28"/>
              </w:numPr>
              <w:rPr/>
            </w:pPr>
            <w:r>
              <w:rPr/>
              <w:t>enhance NTUA’s appeal to young talented scientists</w:t>
            </w:r>
          </w:p>
          <w:p>
            <w:pPr>
              <w:pStyle w:val="TextBody"/>
              <w:widowControl w:val="false"/>
              <w:numPr>
                <w:ilvl w:val="0"/>
                <w:numId w:val="28"/>
              </w:numPr>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6.1 Project website and social media engagement (M6-M36); Lead NTUA</w:t>
            </w:r>
          </w:p>
          <w:p>
            <w:pPr>
              <w:pStyle w:val="TextBody"/>
              <w:widowControl w:val="false"/>
              <w:ind w:left="0" w:hanging="0"/>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TextBody"/>
              <w:widowControl w:val="false"/>
              <w:ind w:left="0" w:hanging="0"/>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TextBody"/>
              <w:widowControl w:val="false"/>
              <w:ind w:left="0" w:hanging="0"/>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6.2 Sharing of technical knowledge and know-how (M12-M24); Lead IPGP</w:t>
            </w:r>
          </w:p>
          <w:p>
            <w:pPr>
              <w:pStyle w:val="TextBody"/>
              <w:widowControl w:val="false"/>
              <w:ind w:left="0" w:hanging="0"/>
              <w:rPr/>
            </w:pPr>
            <w:r>
              <w:rPr/>
              <w:t xml:space="preserve">Lectures and presentations prepared by the consortium experts (see WP2) will be made available (on-line, free access) to any interested parties, on demand. Users will be able to browse content and watch video-lectures, shared on the project’s web site. </w:t>
            </w:r>
            <w:r>
              <w:rPr>
                <w:shd w:fill="FFFF00" w:val="clear"/>
              </w:rPr>
              <w:t>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 xml:space="preserve">Task 6.3 </w:t>
            </w:r>
            <w:r>
              <w:rPr>
                <w:b/>
                <w:bCs/>
                <w:shd w:fill="FFFF00" w:val="clear"/>
                <w:lang w:val="en-GB"/>
              </w:rPr>
              <w:t>Joint Summer School (M12-M36); Lead NTUA</w:t>
            </w:r>
          </w:p>
          <w:p>
            <w:pPr>
              <w:pStyle w:val="TextBody"/>
              <w:widowControl w:val="false"/>
              <w:ind w:left="0" w:hanging="0"/>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TextBody"/>
              <w:widowControl w:val="false"/>
              <w:ind w:left="0" w:hanging="0"/>
              <w:rPr>
                <w:highlight w:val="none"/>
                <w:shd w:fill="FFFF00" w:val="clear"/>
              </w:rPr>
            </w:pPr>
            <w:r>
              <w:rPr/>
              <w:t>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6.4 Open-Access publications (M12-M36); Lead NTUA</w:t>
            </w:r>
          </w:p>
          <w:p>
            <w:pPr>
              <w:pStyle w:val="TextBody"/>
              <w:widowControl w:val="false"/>
              <w:ind w:left="0" w:hanging="0"/>
              <w:rPr/>
            </w:pPr>
            <w:r>
              <w:rPr/>
              <w:t>E</w:t>
            </w:r>
            <w:r>
              <w:rPr/>
              <w:t xml:space="preserve">xpert partners will collaborate with the host institution in the co-authorship of </w:t>
            </w:r>
            <w:r>
              <w:rPr/>
              <w:t>nine</w:t>
            </w:r>
            <w:r>
              <w:rPr/>
              <w:t xml:space="preserve"> scientific paper</w:t>
            </w:r>
            <w:r>
              <w:rPr/>
              <w:t>s</w:t>
            </w:r>
            <w:r>
              <w:rPr/>
              <w:t xml:space="preserve"> (in their respective fields of expertise) to be published in peer-reviewed journal</w:t>
            </w:r>
            <w:r>
              <w:rPr/>
              <w:t xml:space="preserve">s. Three of these will be high-impact publications, i.e. journals with </w:t>
            </w:r>
            <w:r>
              <w:rPr/>
              <w:t xml:space="preserve">impact factor &gt; 2.4. </w:t>
            </w:r>
            <w:r>
              <w:rPr/>
              <w:t>Scientific publications will</w:t>
            </w:r>
            <w:r>
              <w:rPr/>
              <w:t xml:space="preserve"> adhering to an open-access policy.</w:t>
            </w:r>
          </w:p>
          <w:p>
            <w:pPr>
              <w:pStyle w:val="TextBody"/>
              <w:widowControl w:val="false"/>
              <w:ind w:left="0" w:hanging="0"/>
              <w:rPr>
                <w:lang w:val="en-GB"/>
              </w:rPr>
            </w:pPr>
            <w:r>
              <w:rPr>
                <w:lang w:val="en-GB"/>
              </w:rPr>
              <w:t xml:space="preserve">Additionally, members of the consortium will </w:t>
            </w:r>
            <w:r>
              <w:rPr>
                <w:lang w:val="en-GB"/>
              </w:rPr>
              <w:t xml:space="preserve">attend and </w:t>
            </w:r>
            <w:r>
              <w:rPr>
                <w:lang w:val="en-GB"/>
              </w:rPr>
              <w:t xml:space="preserve">present relevant publications in </w:t>
            </w:r>
            <w:r>
              <w:rPr>
                <w:lang w:val="en-GB"/>
              </w:rPr>
              <w:t>ten</w:t>
            </w:r>
            <w:r>
              <w:rPr>
                <w:shd w:fill="auto" w:val="clear"/>
                <w:lang w:val="en-GB"/>
              </w:rPr>
              <w:t xml:space="preser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6.5 Dissemination activities and support for the Greek ecosystem (M12-M36); Lead CLS</w:t>
            </w:r>
          </w:p>
          <w:p>
            <w:pPr>
              <w:pStyle w:val="TextBody"/>
              <w:widowControl w:val="false"/>
              <w:ind w:left="0" w:hanging="0"/>
              <w:rPr>
                <w:b w:val="false"/>
                <w:b w:val="false"/>
                <w:bCs w:val="false"/>
              </w:rPr>
            </w:pPr>
            <w:r>
              <w:rPr>
                <w:b w:val="false"/>
                <w:bCs w:val="false"/>
              </w:rPr>
              <w:t xml:space="preserve">To support the establishment and longevity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material from all partners of ACRONYM and (f) outreach material from ecosystem members.</w:t>
            </w:r>
          </w:p>
          <w:p>
            <w:pPr>
              <w:pStyle w:val="TextBody"/>
              <w:widowControl w:val="false"/>
              <w:ind w:left="0" w:hanging="0"/>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6"/>
        <w:gridCol w:w="228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1"/>
        <w:gridCol w:w="1506"/>
        <w:gridCol w:w="1467"/>
        <w:gridCol w:w="1446"/>
        <w:gridCol w:w="3134"/>
      </w:tblGrid>
      <w:tr>
        <w:trPr/>
        <w:tc>
          <w:tcPr>
            <w:tcW w:w="2371"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5"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11</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51"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77"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R&amp;I Country Profile for Greece, https://dashboard.tech.ec.europa.eu/qs_digit_dashboard_mt/public/sense/app/1213b8cd-3ebe-4730-b0f5-fa4e326df2e2/sheet/0c8af38b-b73c-4da2-ba41-73ea34ab7ac4/state/analysis/select/Programme/H2020/select/Country%20Code/EL</w:t>
      </w:r>
    </w:p>
  </w:footnote>
  <w:footnote w:id="3">
    <w:p>
      <w:pPr>
        <w:pStyle w:val="Footnote"/>
        <w:rPr/>
      </w:pPr>
      <w:r>
        <w:rPr>
          <w:rStyle w:val="FootnoteCharacters"/>
        </w:rPr>
        <w:footnoteRef/>
      </w:r>
      <w:r>
        <w:rPr/>
        <w:t>European innovation scoreboard 2023, https://research-and-innovation.ec.europa.eu/statistics/performance-indicators/european-innovation-scoreboard_en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0"/>
      </w:numPr>
      <w:tabs>
        <w:tab w:val="clear" w:pos="720"/>
      </w:tabs>
      <w:jc w:val="both"/>
    </w:pPr>
    <w:rPr>
      <w:sz w:val="18"/>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12417</TotalTime>
  <Application>LibreOffice/7.4.7.2$Linux_X86_64 LibreOffice_project/40$Build-2</Application>
  <AppVersion>15.0000</AppVersion>
  <Pages>34</Pages>
  <Words>17936</Words>
  <Characters>105660</Characters>
  <CharactersWithSpaces>122711</CharactersWithSpaces>
  <Paragraphs>883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2023-08-31T15:58:55Z</dcterms:modified>
  <cp:revision>1539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