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3645004"/>
            <w:bookmarkStart w:id="2" w:name="_Toc448834151"/>
            <w:bookmarkStart w:id="3" w:name="_Toc448828797"/>
            <w:bookmarkStart w:id="4" w:name="_Toc44882857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5930537"/>
            <w:bookmarkStart w:id="12" w:name="_Toc448828799"/>
            <w:bookmarkStart w:id="13" w:name="_Toc448834153"/>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5930538"/>
            <w:bookmarkStart w:id="17" w:name="_Toc448828580"/>
            <w:bookmarkStart w:id="18" w:name="_Toc448828800"/>
            <w:bookmarkStart w:id="19" w:name="_Toc448834154"/>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1.1.1 Space Geodesy and Earth Observation</w:t>
      </w:r>
    </w:p>
    <w:p>
      <w:pPr>
        <w:pStyle w:val="TextBody"/>
        <w:ind w:left="0" w:hanging="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ind w:left="0" w:hanging="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ind w:left="0" w:hanging="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ind w:left="0" w:hanging="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ind w:left="0" w:hanging="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ind w:left="0" w:hanging="0"/>
        <w:rPr>
          <w:rStyle w:val="Strong"/>
          <w:b w:val="false"/>
          <w:b w:val="false"/>
          <w:bCs w:val="false"/>
        </w:rPr>
      </w:pPr>
      <w:r>
        <w:rPr>
          <w:b w:val="false"/>
          <w:bCs w:val="false"/>
        </w:rPr>
      </w:r>
    </w:p>
    <w:p>
      <w:pPr>
        <w:pStyle w:val="Normal"/>
        <w:widowControl/>
        <w:spacing w:before="0" w:after="200"/>
        <w:jc w:val="both"/>
        <w:rPr>
          <w:b/>
          <w:b/>
          <w:bCs/>
        </w:rPr>
      </w:pPr>
      <w:r>
        <w:rPr>
          <w:b/>
          <w:bCs/>
        </w:rPr>
        <w:t>1.1.2 NTUA and Space Geodesy in Greece</w:t>
      </w:r>
    </w:p>
    <w:p>
      <w:pPr>
        <w:pStyle w:val="TextBody"/>
        <w:ind w:left="0" w:hanging="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ind w:left="0" w:hanging="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ind w:left="0" w:hanging="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ind w:left="0" w:hanging="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ind w:left="0" w:hanging="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ind w:left="0" w:hanging="0"/>
        <w:rPr/>
      </w:pPr>
      <w:r>
        <w:rPr/>
      </w:r>
    </w:p>
    <w:p>
      <w:pPr>
        <w:pStyle w:val="Normal"/>
        <w:widowControl/>
        <w:spacing w:before="0" w:after="200"/>
        <w:jc w:val="both"/>
        <w:rPr>
          <w:b/>
          <w:b/>
          <w:bCs/>
        </w:rPr>
      </w:pPr>
      <w:r>
        <w:rPr>
          <w:b/>
          <w:bCs/>
        </w:rPr>
        <w:t>1.1.3 ACRONYM Objectives</w:t>
      </w:r>
    </w:p>
    <w:p>
      <w:pPr>
        <w:pStyle w:val="TextBody"/>
        <w:ind w:left="0" w:hanging="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ind w:left="0" w:hanging="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host institute staff trained</w:t>
            </w:r>
          </w:p>
          <w:p>
            <w:pPr>
              <w:pStyle w:val="TextBody"/>
              <w:widowControl w:val="false"/>
              <w:numPr>
                <w:ilvl w:val="0"/>
                <w:numId w:val="10"/>
              </w:numPr>
              <w:rPr/>
            </w:pPr>
            <w:r>
              <w:rPr/>
              <w:t>Number of host institute staff involved in software development</w:t>
            </w:r>
          </w:p>
          <w:p>
            <w:pPr>
              <w:pStyle w:val="TextBody"/>
              <w:widowControl w:val="false"/>
              <w:numPr>
                <w:ilvl w:val="0"/>
                <w:numId w:val="1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TextBody"/>
              <w:widowControl w:val="false"/>
              <w:numPr>
                <w:ilvl w:val="0"/>
                <w:numId w:val="10"/>
              </w:numPr>
              <w:rPr/>
            </w:pPr>
            <w:r>
              <w:rPr/>
              <w:t>analysis of DORIS observations</w:t>
            </w:r>
          </w:p>
          <w:p>
            <w:pPr>
              <w:pStyle w:val="TextBody"/>
              <w:widowControl w:val="false"/>
              <w:numPr>
                <w:ilvl w:val="0"/>
                <w:numId w:val="10"/>
              </w:numPr>
              <w:rPr/>
            </w:pPr>
            <w:r>
              <w:rPr/>
              <w:t>analysis of SLR observations</w:t>
            </w:r>
          </w:p>
          <w:p>
            <w:pPr>
              <w:pStyle w:val="TextBody"/>
              <w:widowControl w:val="false"/>
              <w:numPr>
                <w:ilvl w:val="0"/>
                <w:numId w:val="10"/>
              </w:numPr>
              <w:rPr/>
            </w:pPr>
            <w:r>
              <w:rPr/>
              <w:t>state-of-the-art handling of EOPs</w:t>
            </w:r>
          </w:p>
          <w:p>
            <w:pPr>
              <w:pStyle w:val="TextBody"/>
              <w:widowControl w:val="false"/>
              <w:ind w:left="0" w:hanging="0"/>
              <w:rPr/>
            </w:pPr>
            <w:r>
              <w:rPr/>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widowControl w:val="false"/>
              <w:numPr>
                <w:ilvl w:val="0"/>
                <w:numId w:val="10"/>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1"/>
              </w:numPr>
              <w:rPr/>
            </w:pPr>
            <w:r>
              <w:rPr/>
              <w:t>Number of applicants for PhD, PostDoc and (possible) tenure open positions. Expected to take place gradually after the start of ACRONYM.</w:t>
            </w:r>
          </w:p>
          <w:p>
            <w:pPr>
              <w:pStyle w:val="TextBody"/>
              <w:widowControl w:val="false"/>
              <w:numPr>
                <w:ilvl w:val="0"/>
                <w:numId w:val="11"/>
              </w:numPr>
              <w:rPr/>
            </w:pPr>
            <w:r>
              <w:rPr/>
              <w:t>Number of funding bids submitted including PhD and PostDoc studies (carried out in host institute)</w:t>
            </w:r>
          </w:p>
          <w:p>
            <w:pPr>
              <w:pStyle w:val="TextBody"/>
              <w:widowControl w:val="false"/>
              <w:numPr>
                <w:ilvl w:val="0"/>
                <w:numId w:val="11"/>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conferences/workshops attended</w:t>
            </w:r>
          </w:p>
          <w:p>
            <w:pPr>
              <w:pStyle w:val="TextBody"/>
              <w:widowControl w:val="false"/>
              <w:numPr>
                <w:ilvl w:val="0"/>
                <w:numId w:val="13"/>
              </w:numPr>
              <w:rPr/>
            </w:pPr>
            <w:r>
              <w:rPr/>
              <w:t>Number of scientific publications in high-impact journals</w:t>
            </w:r>
          </w:p>
          <w:p>
            <w:pPr>
              <w:pStyle w:val="TextBody"/>
              <w:widowControl w:val="false"/>
              <w:numPr>
                <w:ilvl w:val="0"/>
                <w:numId w:val="13"/>
              </w:numPr>
              <w:rPr/>
            </w:pPr>
            <w:r>
              <w:rPr/>
              <w:t>Impact factor of scientific journals publishing results of ACRONYM</w:t>
            </w:r>
          </w:p>
          <w:p>
            <w:pPr>
              <w:pStyle w:val="TextBody"/>
              <w:widowControl w:val="false"/>
              <w:numPr>
                <w:ilvl w:val="0"/>
                <w:numId w:val="13"/>
              </w:numPr>
              <w:rPr/>
            </w:pPr>
            <w:r>
              <w:rPr/>
              <w:t>Level of involvement in International Association of Geodesy (IAG) and GGOS</w:t>
            </w:r>
          </w:p>
          <w:p>
            <w:pPr>
              <w:pStyle w:val="TextBody"/>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Coordinator staff visiting ACRONYM partnership</w:t>
            </w:r>
          </w:p>
          <w:p>
            <w:pPr>
              <w:pStyle w:val="TextBody"/>
              <w:widowControl w:val="false"/>
              <w:numPr>
                <w:ilvl w:val="0"/>
                <w:numId w:val="13"/>
              </w:numPr>
              <w:rPr/>
            </w:pPr>
            <w:r>
              <w:rPr/>
              <w:t>Number of partner staff visiting NTUA</w:t>
            </w:r>
          </w:p>
          <w:p>
            <w:pPr>
              <w:pStyle w:val="TextBody"/>
              <w:widowControl w:val="false"/>
              <w:numPr>
                <w:ilvl w:val="0"/>
                <w:numId w:val="13"/>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4"/>
              </w:numPr>
              <w:rPr/>
            </w:pPr>
            <w:r>
              <w:rPr/>
              <w:t>Number of host institute staff trained (included in research administration unit)</w:t>
            </w:r>
          </w:p>
          <w:p>
            <w:pPr>
              <w:pStyle w:val="TextBody"/>
              <w:widowControl w:val="false"/>
              <w:numPr>
                <w:ilvl w:val="0"/>
                <w:numId w:val="14"/>
              </w:numPr>
              <w:rPr/>
            </w:pPr>
            <w:r>
              <w:rPr/>
              <w:t>Number of research proposals submitted (within the time span of ACRONYM)</w:t>
            </w:r>
          </w:p>
          <w:p>
            <w:pPr>
              <w:pStyle w:val="TextBody"/>
              <w:widowControl w:val="false"/>
              <w:numPr>
                <w:ilvl w:val="0"/>
                <w:numId w:val="14"/>
              </w:numPr>
              <w:rPr/>
            </w:pPr>
            <w:r>
              <w:rPr/>
              <w:t>Diversity of funding pools targeted</w:t>
            </w:r>
          </w:p>
          <w:p>
            <w:pPr>
              <w:pStyle w:val="TextBody"/>
              <w:widowControl w:val="false"/>
              <w:numPr>
                <w:ilvl w:val="0"/>
                <w:numId w:val="14"/>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Establish a national (Greek) ecosystem of space-based geosciences related stakeholders and promote R&amp;I</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stakeholders present in info-days and seminars.</w:t>
            </w:r>
          </w:p>
          <w:p>
            <w:pPr>
              <w:pStyle w:val="TextBody"/>
              <w:widowControl w:val="false"/>
              <w:numPr>
                <w:ilvl w:val="0"/>
                <w:numId w:val="12"/>
              </w:numPr>
              <w:rPr/>
            </w:pPr>
            <w:r>
              <w:rPr/>
              <w:t>Number of stakeholders included in research proposals submitted</w:t>
            </w:r>
          </w:p>
          <w:p>
            <w:pPr>
              <w:pStyle w:val="TextBody"/>
              <w:widowControl w:val="false"/>
              <w:numPr>
                <w:ilvl w:val="0"/>
                <w:numId w:val="12"/>
              </w:numPr>
              <w:rPr/>
            </w:pPr>
            <w:r>
              <w:rPr/>
              <w:t>Number of stakeholders interested in and/or subscribed to the ACRONYM newsletter</w:t>
            </w:r>
          </w:p>
          <w:p>
            <w:pPr>
              <w:pStyle w:val="TextBody"/>
              <w:widowControl w:val="false"/>
              <w:numPr>
                <w:ilvl w:val="0"/>
                <w:numId w:val="12"/>
              </w:numPr>
              <w:rPr>
                <w:highlight w:val="none"/>
                <w:shd w:fill="FFFF00" w:val="clear"/>
              </w:rPr>
            </w:pPr>
            <w:r>
              <w:rPr>
                <w:shd w:fill="FFFF00" w:val="clear"/>
              </w:rPr>
              <w:t>Number of stakeholders requesting/accessing online lectures and training videos (via ACRONYM’s website)</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ind w:left="0" w:hanging="0"/>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ind w:left="0" w:hanging="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TextBody"/>
        <w:ind w:left="0" w:hanging="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TextBody"/>
        <w:ind w:left="0" w:hanging="0"/>
        <w:rPr/>
      </w:pPr>
      <w:r>
        <w:rPr>
          <w:b w:val="false"/>
          <w:bCs w:val="false"/>
        </w:rPr>
        <w:t>Dedicated dissemination and communication activities are also included, aiming at promoting activities and results of ACRONYM, maximizing its impact and exploiting its outcomes.</w:t>
      </w:r>
    </w:p>
    <w:p>
      <w:pPr>
        <w:pStyle w:val="TextBody"/>
        <w:ind w:left="0" w:hanging="0"/>
        <w:rPr/>
      </w:pPr>
      <w:r>
        <w:rPr/>
      </w:r>
    </w:p>
    <w:p>
      <w:pPr>
        <w:pStyle w:val="Normal"/>
        <w:spacing w:before="0" w:after="200"/>
        <w:jc w:val="both"/>
        <w:rPr>
          <w:b/>
          <w:b/>
          <w:bCs/>
        </w:rPr>
      </w:pPr>
      <w:r>
        <w:rPr>
          <w:b/>
          <w:bCs/>
        </w:rPr>
        <w:t>1.2.2 Enhancing Research Capacity and Achieving Scientific Excellence</w:t>
      </w:r>
    </w:p>
    <w:p>
      <w:pPr>
        <w:pStyle w:val="TextBody"/>
        <w:ind w:left="0" w:hanging="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ind w:left="0" w:hanging="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ind w:left="0" w:hanging="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ind w:left="0" w:hanging="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ind w:left="0" w:hanging="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TextBody"/>
        <w:ind w:left="0" w:hanging="0"/>
        <w:rPr>
          <w:rFonts w:ascii="Nimbus Roman" w:hAnsi="Nimbus Roman"/>
          <w:b/>
          <w:b/>
          <w:bCs/>
          <w:u w:val="single"/>
        </w:rPr>
      </w:pPr>
      <w:r>
        <w:rPr>
          <w:b/>
          <w:bCs/>
          <w:u w:val="single"/>
        </w:rPr>
      </w:r>
    </w:p>
    <w:p>
      <w:pPr>
        <w:pStyle w:val="TextBody"/>
        <w:ind w:left="0" w:hanging="0"/>
        <w:rPr>
          <w:rFonts w:ascii="Nimbus Roman" w:hAnsi="Nimbus Roman"/>
          <w:b/>
          <w:b/>
          <w:bCs/>
          <w:u w:val="single"/>
        </w:rPr>
      </w:pPr>
      <w:r>
        <w:rPr>
          <w:b/>
          <w:bCs/>
          <w:u w:val="single"/>
        </w:rPr>
        <w:t>Expert Nodes</w:t>
      </w:r>
    </w:p>
    <w:p>
      <w:pPr>
        <w:pStyle w:val="TextBody"/>
        <w:ind w:left="0" w:hanging="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ind w:left="0" w:hanging="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ind w:left="0" w:hanging="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ind w:left="0" w:hanging="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ind w:left="0" w:hanging="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TextBody"/>
        <w:ind w:left="0" w:hanging="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ind w:left="0" w:hanging="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w:t>
      </w:r>
    </w:p>
    <w:p>
      <w:pPr>
        <w:pStyle w:val="TextBody"/>
        <w:ind w:left="0" w:hanging="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ind w:left="0" w:hanging="0"/>
        <w:rPr>
          <w:rFonts w:ascii="Nimbus Roman" w:hAnsi="Nimbus Roman"/>
        </w:rPr>
      </w:pPr>
      <w:r>
        <w:rPr/>
        <w:t>Knowledge transfer will be performed by means of:</w:t>
      </w:r>
    </w:p>
    <w:p>
      <w:pPr>
        <w:pStyle w:val="TextBody"/>
        <w:numPr>
          <w:ilvl w:val="0"/>
          <w:numId w:val="15"/>
        </w:numPr>
        <w:rPr/>
      </w:pPr>
      <w:r>
        <w:rPr/>
        <w:t>remote (on-line) webinars, virtual training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15"/>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15"/>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ind w:left="0" w:hanging="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II</w:t>
      </w:r>
    </w:p>
    <w:p>
      <w:pPr>
        <w:pStyle w:val="TextBody"/>
        <w:ind w:left="0" w:hanging="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ind w:left="0" w:hanging="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TextBody"/>
        <w:ind w:left="0" w:hanging="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TextBody"/>
        <w:numPr>
          <w:ilvl w:val="0"/>
          <w:numId w:val="16"/>
        </w:numPr>
        <w:rPr/>
      </w:pPr>
      <w:r>
        <w:rPr/>
        <w:t xml:space="preserve">remote (on-line) webinars hosted by the expert nodes and attended by the dedicated task force set-up at the Coordinator institution, focusing on implementation and validation of specific specific technical issues, i.e. modeling approaches (according to the roadmap laid out in the technical documents of the previous step). These meets will be performed once every two months. </w:t>
      </w:r>
    </w:p>
    <w:p>
      <w:pPr>
        <w:pStyle w:val="TextBody"/>
        <w:numPr>
          <w:ilvl w:val="0"/>
          <w:numId w:val="16"/>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16"/>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ind w:left="0" w:hanging="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ind w:left="0" w:hanging="0"/>
        <w:rPr>
          <w:rFonts w:ascii="Nimbus Roman" w:hAnsi="Nimbus Roman"/>
        </w:rPr>
      </w:pPr>
      <w:r>
        <w:rPr/>
      </w:r>
    </w:p>
    <w:p>
      <w:pPr>
        <w:pStyle w:val="TextBody"/>
        <w:ind w:left="0" w:hanging="0"/>
        <w:rPr>
          <w:rFonts w:ascii="Nimbus Roman" w:hAnsi="Nimbus Roman"/>
          <w:highlight w:val="none"/>
          <w:shd w:fill="FFFF00" w:val="clear"/>
        </w:rPr>
      </w:pPr>
      <w:r>
        <w:rPr>
          <w:shd w:fill="FFFF00" w:val="clear"/>
        </w:rPr>
        <w:t>DORIS day etc, where should I put these?</w:t>
      </w:r>
    </w:p>
    <w:p>
      <w:pPr>
        <w:pStyle w:val="TextBody"/>
        <w:ind w:left="0" w:hanging="0"/>
        <w:rPr/>
      </w:pPr>
      <w:r>
        <w:rPr>
          <w:shd w:fill="auto" w:val="clear"/>
        </w:rPr>
        <w:t>Coordinator’s staff, and especially young scientists involved, will seek to attend any virtual and/or on-site training events organized by IGS, IDS, ILRS, IVS and IAG (e.g. DORIS-days organized by IDS).</w:t>
      </w:r>
    </w:p>
    <w:p>
      <w:pPr>
        <w:pStyle w:val="TextBody"/>
        <w:ind w:left="0" w:hanging="0"/>
        <w:rPr>
          <w:rFonts w:ascii="Nimbus Roman" w:hAnsi="Nimbus Roman"/>
        </w:rPr>
      </w:pPr>
      <w:r>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ind w:left="0" w:hanging="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ind w:left="0" w:hanging="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17"/>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17"/>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17"/>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ind w:left="0" w:hanging="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ind w:left="0" w:hanging="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18"/>
        </w:numPr>
        <w:rPr/>
      </w:pPr>
      <w:r>
        <w:rPr>
          <w:rStyle w:val="Strong"/>
          <w:b w:val="false"/>
          <w:bCs w:val="false"/>
        </w:rPr>
        <w:t>two EU large scale research and innovation calls (e.g. HORIZON, COST),</w:t>
      </w:r>
    </w:p>
    <w:p>
      <w:pPr>
        <w:pStyle w:val="TextBody"/>
        <w:numPr>
          <w:ilvl w:val="0"/>
          <w:numId w:val="18"/>
        </w:numPr>
        <w:rPr/>
      </w:pPr>
      <w:r>
        <w:rPr>
          <w:rStyle w:val="Strong"/>
          <w:b w:val="false"/>
          <w:bCs w:val="false"/>
        </w:rPr>
        <w:t>two research proposals targeting young scientists and mobility (e.g. EU MSCA calls)</w:t>
      </w:r>
    </w:p>
    <w:p>
      <w:pPr>
        <w:pStyle w:val="TextBody"/>
        <w:numPr>
          <w:ilvl w:val="0"/>
          <w:numId w:val="18"/>
        </w:numPr>
        <w:rPr/>
      </w:pPr>
      <w:r>
        <w:rPr/>
        <w:t>one funding bid targeting private/public collaboration, including at least one the ecosystem commercial (business) partner</w:t>
      </w:r>
    </w:p>
    <w:p>
      <w:pPr>
        <w:pStyle w:val="TextBody"/>
        <w:ind w:left="0" w:hanging="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ind w:left="0" w:hanging="0"/>
        <w:rPr>
          <w:rStyle w:val="Strong"/>
          <w:b w:val="false"/>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TextBody"/>
        <w:ind w:left="0" w:hanging="0"/>
        <w:rPr/>
      </w:pPr>
      <w:r>
        <w:rPr/>
        <w:t xml:space="preserve">Through the consortium synergy and in the framework of ACRONYM, at least three papers will be published in high impact, peer-reviewed scientific journals (impact factor &gt; 2.4). </w:t>
      </w:r>
    </w:p>
    <w:p>
      <w:pPr>
        <w:pStyle w:val="TextBody"/>
        <w:ind w:left="0" w:hanging="0"/>
        <w:rPr/>
      </w:pPr>
      <w:r>
        <w:rPr/>
        <w:t>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TextBody"/>
        <w:ind w:left="0" w:hanging="0"/>
        <w:rPr/>
      </w:pPr>
      <w:r>
        <w:rPr/>
        <w:t>Further strengthening of networking activities and scientific prominence will be seeked through the consortium’s presence in at le</w:t>
      </w:r>
      <w:r>
        <w:rPr>
          <w:shd w:fill="auto" w:val="clear"/>
        </w:rPr>
        <w:t>ast ten</w:t>
      </w:r>
      <w:r>
        <w:rPr>
          <w:color w:val="000000"/>
          <w:shd w:fill="auto" w:val="clear"/>
        </w:rPr>
        <w:t xml:space="preserve"> i</w:t>
      </w:r>
      <w:r>
        <w:rPr>
          <w:shd w:fill="auto" w:val="clear"/>
        </w:rPr>
        <w:t>nternational conferences, where outcomes of ACRONYM will be presented. Presence in technique-specific workshops organized by the respective international services (i.e. IDS, ILRS and IVS) will be prioritized. Partners will also attend at least two IAG  related events, which are known to attract top class scientists in the field.</w:t>
      </w:r>
    </w:p>
    <w:p>
      <w:pPr>
        <w:pStyle w:val="TextBody"/>
        <w:ind w:left="0" w:hanging="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ind w:left="0" w:hanging="0"/>
        <w:rPr/>
      </w:pPr>
      <w:r>
        <w:rPr/>
      </w:r>
    </w:p>
    <w:p>
      <w:pPr>
        <w:pStyle w:val="TextBody"/>
        <w:ind w:left="0" w:hanging="0"/>
        <w:rPr>
          <w:highlight w:val="none"/>
          <w:shd w:fill="FFFF00" w:val="clear"/>
        </w:rPr>
      </w:pPr>
      <w:r>
        <w:rPr>
          <w:shd w:fill="FFFF00" w:val="clear"/>
        </w:rPr>
        <w:t>Getting involved IDS ILRS IAG</w:t>
      </w:r>
    </w:p>
    <w:p>
      <w:pPr>
        <w:pStyle w:val="TextBody"/>
        <w:ind w:left="0" w:hanging="0"/>
        <w:rPr>
          <w:shd w:fill="auto" w:val="clear"/>
        </w:rPr>
      </w:pPr>
      <w:r>
        <w:rPr>
          <w:shd w:fill="auto" w:val="clea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ind w:left="0" w:hanging="0"/>
        <w:rPr/>
      </w:pPr>
      <w:r>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TextBody"/>
        <w:ind w:left="0" w:hanging="0"/>
        <w:rPr/>
      </w:pPr>
      <w:r>
        <w:rPr/>
        <w:t>The ecosystem call is expected to attract more than ten participants, including  possible industry partners active in:</w:t>
      </w:r>
    </w:p>
    <w:p>
      <w:pPr>
        <w:pStyle w:val="TextBody"/>
        <w:numPr>
          <w:ilvl w:val="0"/>
          <w:numId w:val="19"/>
        </w:numPr>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TextBody"/>
        <w:numPr>
          <w:ilvl w:val="0"/>
          <w:numId w:val="19"/>
        </w:numPr>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19"/>
        </w:numPr>
        <w:rPr/>
      </w:pPr>
      <w:r>
        <w:rPr/>
        <w:t>Universities (e.g. Aristotle University of Thessaloniki, National and Kapodistrian University of Athens and the University of West Attica).</w:t>
      </w:r>
    </w:p>
    <w:p>
      <w:pPr>
        <w:pStyle w:val="TextBody"/>
        <w:ind w:left="0" w:hanging="0"/>
        <w:rPr>
          <w:highlight w:val="none"/>
          <w:shd w:fill="auto" w:val="clear"/>
        </w:rPr>
      </w:pPr>
      <w: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ind w:left="0" w:hanging="0"/>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TextBody"/>
        <w:ind w:left="0" w:hanging="0"/>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TextBody"/>
        <w:ind w:left="0" w:hanging="0"/>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TextBody"/>
        <w:ind w:left="0" w:hanging="0"/>
        <w:rPr>
          <w:b w:val="false"/>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TextBody"/>
        <w:ind w:left="0" w:hanging="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ind w:left="0" w:hanging="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TextBody"/>
        <w:ind w:left="0" w:hanging="0"/>
        <w:rPr/>
      </w:pPr>
      <w:r>
        <w:rPr/>
      </w:r>
    </w:p>
    <w:p>
      <w:pPr>
        <w:pStyle w:val="TextBody"/>
        <w:ind w:left="0" w:hanging="0"/>
        <w:rPr>
          <w:b/>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ind w:left="0" w:hanging="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ind w:left="0" w:hanging="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ind w:left="0" w:hanging="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ind w:left="0" w:hanging="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ind w:left="0" w:hanging="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ind w:left="0" w:hanging="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(Section 1.2.4).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research papers and (d) attendance of international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9"/>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9"/>
        </w:numPr>
        <w:jc w:val="both"/>
        <w:rPr>
          <w:b w:val="false"/>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1.2.3).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jc w:val="both"/>
        <w:rPr>
          <w:b w:val="false"/>
          <w:b w:val="false"/>
          <w:bCs w:val="false"/>
          <w:u w:val="none"/>
        </w:rPr>
      </w:pPr>
      <w:r>
        <w:rPr/>
      </w:r>
    </w:p>
    <w:p>
      <w:pPr>
        <w:pStyle w:val="Normal"/>
        <w:jc w:val="both"/>
        <w:rPr>
          <w:b/>
          <w:b/>
          <w:bCs/>
          <w:u w:val="single"/>
        </w:rPr>
      </w:pPr>
      <w:r>
        <w:rPr>
          <w:b/>
          <w:bCs/>
          <w:u w:val="single"/>
        </w:rPr>
        <w:t>A Greek ecosystem of Space-based geosciences stakeholders.</w:t>
      </w:r>
    </w:p>
    <w:p>
      <w:pPr>
        <w:pStyle w:val="TextBody"/>
        <w:ind w:left="0" w:hanging="0"/>
        <w:rPr>
          <w:b/>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ind w:left="0" w:hanging="0"/>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ind w:left="0" w:hanging="0"/>
        <w:rPr>
          <w:b w:val="false"/>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TextBody"/>
        <w:ind w:left="0" w:hanging="0"/>
        <w:rPr>
          <w:b w:val="false"/>
          <w:b w:val="false"/>
          <w:bCs w:val="false"/>
        </w:rPr>
      </w:pPr>
      <w:r>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ind w:left="0" w:hanging="0"/>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TextBody"/>
        <w:ind w:left="0" w:hanging="0"/>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ind w:left="0" w:hanging="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TextBody"/>
        <w:ind w:left="0" w:hanging="0"/>
        <w:rPr>
          <w:b/>
          <w:b/>
          <w:bCs/>
          <w:u w:val="none"/>
        </w:rPr>
      </w:pPr>
      <w:r>
        <w:rPr>
          <w:b/>
          <w:bCs/>
          <w:u w:val="none"/>
        </w:rPr>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TextBody"/>
        <w:ind w:left="0" w:hanging="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R&amp;I funding income and scope. </w:t>
      </w:r>
    </w:p>
    <w:p>
      <w:pPr>
        <w:pStyle w:val="TextBody"/>
        <w:ind w:left="0" w:hanging="0"/>
        <w:rPr>
          <w:highlight w:val="none"/>
          <w:shd w:fill="auto" w:val="clear"/>
        </w:rPr>
      </w:pPr>
      <w:r>
        <w:rPr>
          <w:shd w:fill="auto" w:val="clear"/>
        </w:rPr>
        <w:t>According to the EU’s R&amp;I Country profiles</w:t>
      </w:r>
      <w:r>
        <w:rPr>
          <w:rStyle w:val="FootnoteAnchor"/>
          <w:shd w:fill="auto" w:val="clear"/>
        </w:rPr>
        <w:footnoteReference w:id="2"/>
      </w:r>
      <w:r>
        <w:rPr>
          <w:shd w:fill="auto" w:val="clear"/>
        </w:rPr>
        <w:t xml:space="preserve">, Greece’s success rate in both HORIZON Europe and HORIZON 2020 is below average, and the same goes for NTUA’s individual submissions. Additionally, NTUA has not been involved in any ERC program as PI.  To revert this situation, the Coordinator will now have at its disposal the skills to target a significantly wider range of funding bids and apply for bids with a severely boosted success rate and an elevated role (e.g. PI).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TextBody"/>
        <w:ind w:left="0" w:hanging="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TextBody"/>
        <w:ind w:left="0" w:hanging="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TextBody"/>
        <w:ind w:left="0" w:hanging="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Anchor"/>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TextBody"/>
        <w:ind w:left="0" w:hanging="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TextBody"/>
        <w:ind w:left="0" w:hanging="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TextBody"/>
        <w:ind w:left="0" w:hanging="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Coordinator institute and its personnel, Greek ecosystem of space and earth observation actors, Greek space industry and , young scientists and engineers, worldwide commercial users of space geodetic data.</w:t>
      </w:r>
    </w:p>
    <w:p>
      <w:pPr>
        <w:pStyle w:val="TextBody"/>
        <w:ind w:left="0" w:hanging="0"/>
        <w:rPr>
          <w:b/>
          <w:b/>
          <w:bCs/>
          <w:u w:val="none"/>
        </w:rPr>
      </w:pPr>
      <w:r>
        <w:rPr>
          <w:b/>
          <w:bCs/>
          <w:u w:val="none"/>
        </w:rPr>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TextBody"/>
        <w:ind w:left="0" w:hanging="0"/>
        <w:rPr>
          <w:rFonts w:ascii="Nimbus Roman" w:hAnsi="Nimbus Roman"/>
          <w:b w:val="false"/>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TextBody"/>
        <w:ind w:left="0" w:hanging="0"/>
        <w:rPr>
          <w:rFonts w:ascii="Nimbus Roman" w:hAnsi="Nimbus Roman"/>
          <w:b w:val="false"/>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TextBody"/>
        <w:ind w:left="0" w:hanging="0"/>
        <w:rPr>
          <w:rFonts w:ascii="Nimbus Roman" w:hAnsi="Nimbus Roman"/>
          <w:b w:val="false"/>
          <w:b w:val="false"/>
          <w:bCs w:val="false"/>
        </w:rPr>
      </w:pPr>
      <w:r>
        <w:rPr>
          <w:b w:val="false"/>
          <w:bCs w:val="false"/>
          <w:shd w:fill="auto" w:val="clear"/>
          <w:lang w:val="en-GB"/>
        </w:rPr>
        <w:t>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altimetry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TextBody"/>
        <w:ind w:left="0" w:hanging="0"/>
        <w:rPr>
          <w:rFonts w:ascii="Nimbus Roman" w:hAnsi="Nimbus Roman"/>
          <w:b w:val="false"/>
          <w:b w:val="false"/>
          <w:bCs w:val="false"/>
        </w:rPr>
      </w:pPr>
      <w:r>
        <w:rPr>
          <w:b w:val="false"/>
          <w:bCs w:val="false"/>
          <w:shd w:fill="auto" w:val="clear"/>
          <w:lang w:val="en-GB"/>
        </w:rPr>
        <w:t>Finally, dissemination activities targeting high-schools and the STEM community of Greece (see Section 2.2) will take place during the lifetime of ACRONYM. The effect of these activities is expected to have a long term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(e.g.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pPr>
        <w:pStyle w:val="TextBody"/>
        <w:ind w:left="0" w:hanging="0"/>
        <w:rPr>
          <w:rFonts w:ascii="Nimbus Roman" w:hAnsi="Nimbus Roman"/>
          <w:b w:val="false"/>
          <w:b w:val="false"/>
          <w:bCs w:val="fals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p>
    <w:p>
      <w:pPr>
        <w:pStyle w:val="TextBody"/>
        <w:ind w:left="0" w:hanging="0"/>
        <w:rPr>
          <w:rFonts w:ascii="Times New Roman" w:hAnsi="Times New Roman"/>
          <w:b/>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TextBody"/>
        <w:ind w:left="0" w:hanging="0"/>
        <w:rPr/>
      </w:pPr>
      <w:r>
        <w:rPr/>
        <w:t xml:space="preserve">ACRONYM foresees to promote the project itself, the obtained results </w:t>
      </w:r>
      <w:r>
        <w:rPr/>
        <w:t>as well as interest and involvement in Space Geodesy and related applications</w:t>
      </w:r>
      <w:r>
        <w:rPr/>
        <w:t xml:space="preserve"> by carrying out different types of activities, tailored to multiple and diverse audiences. </w:t>
      </w:r>
      <w:r>
        <w:rPr/>
        <w:t xml:space="preserve">An overview of dissemination activities to be carried out throughout the lifetime of ACRONYM is presented in </w:t>
      </w:r>
      <w:r>
        <w:rPr>
          <w:shd w:fill="FFFF00" w:val="clear"/>
        </w:rPr>
        <w:t>Table XX</w:t>
      </w:r>
      <w:r>
        <w:rPr/>
        <w:t>.</w:t>
      </w:r>
    </w:p>
    <w:p>
      <w:pPr>
        <w:pStyle w:val="TextBody"/>
        <w:ind w:left="0" w:hanging="0"/>
        <w:rPr/>
      </w:pPr>
      <w:r>
        <w:rPr/>
        <w:t>As a first step, ACRONYM will develop its logo, establishing its visual identity and promoting recognizability; ACRONYM’s logo will be used in all project-related documents and presentations.</w:t>
      </w:r>
    </w:p>
    <w:p>
      <w:pPr>
        <w:pStyle w:val="TextBody"/>
        <w:ind w:left="0" w:hanging="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 Except from ACRONYM’s website, each of the software tools to be built in the project (Section </w:t>
      </w:r>
      <w:r>
        <w:rPr>
          <w:u w:val="none"/>
          <w:shd w:fill="auto" w:val="clear"/>
        </w:rPr>
        <w:t>1.2.2</w:t>
      </w:r>
      <w:r>
        <w:rPr>
          <w:u w:val="none"/>
        </w:rPr>
        <w:t xml:space="preserve">) will have a dedicated webpage, including the source code, example usage, help, manual, information and wiki pages. It is expected that this setup can greatly boost the user base, helping in incorporating </w:t>
      </w:r>
      <w:r>
        <w:rPr>
          <w:u w:val="none"/>
        </w:rPr>
        <w:t xml:space="preserve">engineers, </w:t>
      </w:r>
      <w:r>
        <w:rPr>
          <w:u w:val="none"/>
        </w:rPr>
        <w:t>scientists, researchers and commercial users.</w:t>
      </w:r>
    </w:p>
    <w:p>
      <w:pPr>
        <w:pStyle w:val="TextBody"/>
        <w:ind w:left="0" w:hanging="0"/>
        <w:rPr/>
      </w:pPr>
      <w:r>
        <w:rPr/>
        <w:t xml:space="preserve">ACRONYM will adopt a free and open-source policy for all of its software products (MIT license), </w:t>
      </w:r>
      <w:r>
        <w:rPr/>
        <w:t>making them available to any interested party</w:t>
      </w:r>
      <w:r>
        <w:rPr/>
        <w:t xml:space="preserv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TextBody"/>
        <w:ind w:left="0" w:hanging="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TextBody"/>
        <w:ind w:left="0" w:hanging="0"/>
        <w:rPr/>
      </w:pPr>
      <w:r>
        <w:rPr>
          <w:color w:val="000000"/>
          <w:shd w:fill="auto" w:val="clear"/>
          <w:lang w:val="en-GB"/>
        </w:rPr>
        <w:t xml:space="preserve">A dissemination activity of major importance will be the organization of a </w:t>
      </w:r>
      <w:r>
        <w:rPr>
          <w:color w:val="000000"/>
          <w:shd w:fill="auto" w:val="clear"/>
          <w:lang w:val="en-GB"/>
        </w:rPr>
        <w:t>five</w:t>
      </w:r>
      <w:r>
        <w:rPr>
          <w:color w:val="000000"/>
          <w:shd w:fill="auto" w:val="clear"/>
          <w:lang w:val="en-GB"/>
        </w:rPr>
        <w:t xml:space="preserve">-day Summer School that will take place in Greece, </w:t>
      </w:r>
      <w:r>
        <w:rPr>
          <w:color w:val="000000"/>
          <w:shd w:fill="auto" w:val="clear"/>
          <w:lang w:val="en-GB"/>
        </w:rPr>
        <w:t>in the premises of DSO</w:t>
      </w:r>
      <w:r>
        <w:rPr>
          <w:color w:val="000000"/>
          <w:shd w:fill="auto" w:val="clear"/>
          <w:lang w:val="en-GB"/>
        </w:rPr>
        <w:t>, for the endorsement of ACRONYM, dissemination of its scientific output a</w:t>
      </w:r>
      <w:r>
        <w:rPr>
          <w:color w:val="auto"/>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color w:val="000000"/>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color w:val="auto"/>
          <w:lang w:val="en-GB"/>
        </w:rPr>
        <w:t xml:space="preserve">The school will target the  scientific and research community, commercial users/businesses, industry and the </w:t>
      </w:r>
      <w:r>
        <w:rPr>
          <w:color w:val="auto"/>
          <w:lang w:val="en-GB"/>
        </w:rPr>
        <w:t xml:space="preserve">Greek </w:t>
      </w:r>
      <w:r>
        <w:rPr>
          <w:color w:val="auto"/>
          <w:lang w:val="en-GB"/>
        </w:rPr>
        <w:t xml:space="preserve">ecosystem </w:t>
      </w:r>
      <w:r>
        <w:rPr>
          <w:color w:val="auto"/>
          <w:lang w:val="en-GB"/>
        </w:rPr>
        <w:t>(Section 1.2.5)</w:t>
      </w:r>
      <w:r>
        <w:rPr>
          <w:color w:val="auto"/>
          <w:lang w:val="en-GB"/>
        </w:rPr>
        <w:t xml:space="preserve">. </w:t>
      </w:r>
      <w:r>
        <w:rPr>
          <w:color w:val="auto"/>
          <w:lang w:val="en-GB"/>
        </w:rPr>
        <w:t>An attendance of approximately thirty individuals is expected. At the last day of</w:t>
      </w:r>
      <w:r>
        <w:rPr>
          <w:color w:val="000000"/>
          <w:shd w:fill="auto" w:val="clear"/>
          <w:lang w:val="en-GB"/>
        </w:rPr>
        <w:t xml:space="preserve"> the School, a guided tour of the geodetic observation sites hosted at DSO will be performed (stationed in Dionysos, Attica).</w:t>
      </w:r>
    </w:p>
    <w:p>
      <w:pPr>
        <w:pStyle w:val="TextBody"/>
        <w:ind w:left="0" w:hanging="0"/>
        <w:rPr/>
      </w:pPr>
      <w:r>
        <w:rPr/>
        <w:t xml:space="preserve">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w:t>
      </w:r>
      <w:r>
        <w:rPr/>
        <w:t>(now X)</w:t>
      </w:r>
      <w:r>
        <w:rPr/>
        <w:t>, targeting young talented scientists (e.g. postgraduates) not yet fully networked into scientific media platforms.</w:t>
      </w:r>
    </w:p>
    <w:p>
      <w:pPr>
        <w:pStyle w:val="TextBody"/>
        <w:ind w:left="0" w:hanging="0"/>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TextBody"/>
        <w:ind w:left="0" w:hanging="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TextBody"/>
        <w:ind w:left="0" w:hanging="0"/>
        <w:rPr/>
      </w:pPr>
      <w:r>
        <w:rPr/>
        <w:t>One dedicated conference and one info-day will be organized and take place in Greece, to enhance networking, and promote both ACRONYM results and most importantly the impact of the project (described in Sectio</w:t>
      </w:r>
      <w:r>
        <w:rPr>
          <w:shd w:fill="auto" w:val="clear"/>
        </w:rPr>
        <w:t>n 1.2.5 and WP5)</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TextBody"/>
        <w:ind w:left="0" w:hanging="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TextBody"/>
        <w:ind w:left="0" w:hanging="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TextBody"/>
        <w:ind w:left="0" w:hanging="0"/>
        <w:rPr/>
      </w:pPr>
      <w:r>
        <w:rPr>
          <w:shd w:fill="auto" w:val="clear"/>
        </w:rPr>
        <w:t>Last but not least, the Coordinator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gravitimeters, etc). Such calls will also be issued to the STEM community of Greece, and any interested STEM member can be a beneficiary. It is expected that during the lifetime of ACRONYM ten such visits will be performed.</w:t>
      </w:r>
    </w:p>
    <w:p>
      <w:pPr>
        <w:pStyle w:val="TextBody"/>
        <w:widowControl w:val="false"/>
        <w:ind w:left="0" w:hanging="0"/>
        <w:rPr>
          <w:highlight w:val="none"/>
          <w:shd w:fill="FFFF00" w:val="clear"/>
        </w:rPr>
      </w:pPr>
      <w:r>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rPr/>
            </w:pPr>
            <w:r>
              <w:rPr/>
              <w:t>Dissemination Activity</w:t>
            </w:r>
          </w:p>
        </w:tc>
        <w:tc>
          <w:tcPr>
            <w:tcW w:w="3213" w:type="dxa"/>
            <w:tcBorders/>
          </w:tcPr>
          <w:p>
            <w:pPr>
              <w:pStyle w:val="TableHeading"/>
              <w:rPr/>
            </w:pPr>
            <w:r>
              <w:rPr/>
              <w:t>Details</w:t>
            </w:r>
          </w:p>
        </w:tc>
        <w:tc>
          <w:tcPr>
            <w:tcW w:w="3213" w:type="dxa"/>
            <w:tcBorders/>
          </w:tcPr>
          <w:p>
            <w:pPr>
              <w:pStyle w:val="TableHeading"/>
              <w:rPr/>
            </w:pPr>
            <w:r>
              <w:rPr/>
              <w:t>Target Group</w:t>
            </w:r>
          </w:p>
        </w:tc>
      </w:tr>
      <w:tr>
        <w:trPr/>
        <w:tc>
          <w:tcPr>
            <w:tcW w:w="3212" w:type="dxa"/>
            <w:tcBorders/>
            <w:vAlign w:val="center"/>
          </w:tcPr>
          <w:p>
            <w:pPr>
              <w:pStyle w:val="TableContents"/>
              <w:rPr/>
            </w:pPr>
            <w:r>
              <w:rPr/>
              <w:t>Scientific Publications</w:t>
            </w:r>
          </w:p>
        </w:tc>
        <w:tc>
          <w:tcPr>
            <w:tcW w:w="3213" w:type="dxa"/>
            <w:tcBorders/>
            <w:vAlign w:val="center"/>
          </w:tcPr>
          <w:p>
            <w:pPr>
              <w:pStyle w:val="TableContents"/>
              <w:rPr/>
            </w:pPr>
            <w:r>
              <w:rPr/>
              <w:t>Set target of nine scientific papers (at least three of which in high-impact (&gt;2.5) journals) and presentation in ten international conferences/workshops.</w:t>
            </w:r>
          </w:p>
        </w:tc>
        <w:tc>
          <w:tcPr>
            <w:tcW w:w="3213" w:type="dxa"/>
            <w:vMerge w:val="restart"/>
            <w:tcBorders/>
            <w:vAlign w:val="center"/>
          </w:tcPr>
          <w:p>
            <w:pPr>
              <w:pStyle w:val="TableContents"/>
              <w:jc w:val="both"/>
              <w:rPr/>
            </w:pPr>
            <w:r>
              <w:rPr/>
              <w:t>International scientific community of Geodesy, Space Geodesy, Earth Observation, Geophysics &amp; Geodynamics and related fields.</w:t>
            </w:r>
          </w:p>
        </w:tc>
      </w:tr>
      <w:tr>
        <w:trPr/>
        <w:tc>
          <w:tcPr>
            <w:tcW w:w="3212" w:type="dxa"/>
            <w:tcBorders/>
            <w:vAlign w:val="center"/>
          </w:tcPr>
          <w:p>
            <w:pPr>
              <w:pStyle w:val="TableContents"/>
              <w:rPr/>
            </w:pPr>
            <w:r>
              <w:rPr/>
              <w:t>Newsletter</w:t>
            </w:r>
          </w:p>
        </w:tc>
        <w:tc>
          <w:tcPr>
            <w:tcW w:w="3213" w:type="dxa"/>
            <w:tcBorders/>
            <w:vAlign w:val="center"/>
          </w:tcPr>
          <w:p>
            <w:pPr>
              <w:pStyle w:val="TableContents"/>
              <w:rPr/>
            </w:pPr>
            <w:r>
              <w:rPr/>
              <w:t>Issued every six months.</w:t>
            </w:r>
          </w:p>
        </w:tc>
        <w:tc>
          <w:tcPr>
            <w:tcW w:w="3213" w:type="dxa"/>
            <w:vMerge w:val="continue"/>
            <w:tcBorders/>
            <w:vAlign w:val="center"/>
          </w:tcPr>
          <w:p>
            <w:pPr>
              <w:pStyle w:val="TableContents"/>
              <w:jc w:val="both"/>
              <w:rPr/>
            </w:pPr>
            <w:r>
              <w:rPr/>
            </w:r>
          </w:p>
        </w:tc>
      </w:tr>
      <w:tr>
        <w:trPr/>
        <w:tc>
          <w:tcPr>
            <w:tcW w:w="3212" w:type="dxa"/>
            <w:tcBorders/>
            <w:vAlign w:val="center"/>
          </w:tcPr>
          <w:p>
            <w:pPr>
              <w:pStyle w:val="TableContents"/>
              <w:rPr/>
            </w:pPr>
            <w:r>
              <w:rPr/>
              <w:t>Ecosystem Meetings</w:t>
            </w:r>
          </w:p>
        </w:tc>
        <w:tc>
          <w:tcPr>
            <w:tcW w:w="3213" w:type="dxa"/>
            <w:tcBorders/>
            <w:vAlign w:val="center"/>
          </w:tcPr>
          <w:p>
            <w:pPr>
              <w:pStyle w:val="TableContents"/>
              <w:rPr/>
            </w:pPr>
            <w:r>
              <w:rPr/>
              <w:t>One info-day and one two-day (hybrid) seminar.</w:t>
            </w:r>
          </w:p>
        </w:tc>
        <w:tc>
          <w:tcPr>
            <w:tcW w:w="3213" w:type="dxa"/>
            <w:tcBorders/>
            <w:vAlign w:val="center"/>
          </w:tcPr>
          <w:p>
            <w:pPr>
              <w:pStyle w:val="TableContents"/>
              <w:jc w:val="both"/>
              <w:rPr/>
            </w:pPr>
            <w:r>
              <w:rPr/>
              <w:t xml:space="preserve">Greek ecosystem members, including industry, commercial users, businesses and institutions involved in Navigation, Positioning, Climate Science &amp; Environmental Monitoring, Satellite Technology, Natural Resources Management, </w:t>
            </w:r>
            <w:r>
              <w:rPr>
                <w:rStyle w:val="StrongEmphasis"/>
                <w:b w:val="false"/>
                <w:bCs w:val="false"/>
              </w:rPr>
              <w:t xml:space="preserve">Construction and Infrastructure, </w:t>
            </w:r>
            <w:r>
              <w:rPr>
                <w:rStyle w:val="StrongEmphasis"/>
                <w:b w:val="false"/>
                <w:bCs w:val="false"/>
              </w:rPr>
              <w:t>Remote Sensing, Space Security and Awareness, etc.</w:t>
            </w:r>
          </w:p>
        </w:tc>
      </w:tr>
      <w:tr>
        <w:trPr/>
        <w:tc>
          <w:tcPr>
            <w:tcW w:w="3212" w:type="dxa"/>
            <w:tcBorders/>
            <w:vAlign w:val="center"/>
          </w:tcPr>
          <w:p>
            <w:pPr>
              <w:pStyle w:val="TableContents"/>
              <w:rPr/>
            </w:pPr>
            <w:r>
              <w:rPr/>
              <w:t>Lecture notes &amp; Videos</w:t>
            </w:r>
          </w:p>
        </w:tc>
        <w:tc>
          <w:tcPr>
            <w:tcW w:w="3213" w:type="dxa"/>
            <w:tcBorders/>
            <w:vAlign w:val="center"/>
          </w:tcPr>
          <w:p>
            <w:pPr>
              <w:pStyle w:val="TableContents"/>
              <w:rPr/>
            </w:pPr>
            <w:r>
              <w:rPr/>
              <w:t>Accessible at ACRONYM’s website.</w:t>
            </w:r>
          </w:p>
        </w:tc>
        <w:tc>
          <w:tcPr>
            <w:tcW w:w="3213" w:type="dxa"/>
            <w:vMerge w:val="restart"/>
            <w:tcBorders/>
            <w:vAlign w:val="center"/>
          </w:tcPr>
          <w:p>
            <w:pPr>
              <w:pStyle w:val="TableContents"/>
              <w:jc w:val="both"/>
              <w:rPr/>
            </w:pPr>
            <w:r>
              <w:rPr/>
              <w:t>International scientific community,  ecosystem members, industry, commercial users, businesses and research institutions active in Space Geodesy and related applications.</w:t>
            </w:r>
          </w:p>
        </w:tc>
      </w:tr>
      <w:tr>
        <w:trPr/>
        <w:tc>
          <w:tcPr>
            <w:tcW w:w="3212" w:type="dxa"/>
            <w:tcBorders/>
            <w:vAlign w:val="center"/>
          </w:tcPr>
          <w:p>
            <w:pPr>
              <w:pStyle w:val="TableContents"/>
              <w:rPr/>
            </w:pPr>
            <w:r>
              <w:rPr/>
              <w:t>Summer School</w:t>
            </w:r>
          </w:p>
        </w:tc>
        <w:tc>
          <w:tcPr>
            <w:tcW w:w="3213" w:type="dxa"/>
            <w:tcBorders/>
            <w:vAlign w:val="center"/>
          </w:tcPr>
          <w:p>
            <w:pPr>
              <w:pStyle w:val="TableContents"/>
              <w:rPr/>
            </w:pPr>
            <w:r>
              <w:rPr/>
              <w:t>Five-day Summer Schools to take place in the premises of DSO; all ACRONYM partners will be actively involved. Attendance of approximately 30 individuals.</w:t>
            </w:r>
          </w:p>
        </w:tc>
        <w:tc>
          <w:tcPr>
            <w:tcW w:w="3213" w:type="dxa"/>
            <w:vMerge w:val="continue"/>
            <w:tcBorders/>
            <w:vAlign w:val="center"/>
          </w:tcPr>
          <w:p>
            <w:pPr>
              <w:pStyle w:val="TableContents"/>
              <w:rPr/>
            </w:pPr>
            <w:r>
              <w:rPr/>
            </w:r>
          </w:p>
        </w:tc>
      </w:tr>
      <w:tr>
        <w:trPr/>
        <w:tc>
          <w:tcPr>
            <w:tcW w:w="3212" w:type="dxa"/>
            <w:tcBorders/>
            <w:vAlign w:val="center"/>
          </w:tcPr>
          <w:p>
            <w:pPr>
              <w:pStyle w:val="TableContents"/>
              <w:rPr/>
            </w:pPr>
            <w:r>
              <w:rPr/>
              <w:t>ACRONYM Website</w:t>
            </w:r>
          </w:p>
        </w:tc>
        <w:tc>
          <w:tcPr>
            <w:tcW w:w="3213" w:type="dxa"/>
            <w:tcBorders/>
            <w:vAlign w:val="center"/>
          </w:tcPr>
          <w:p>
            <w:pPr>
              <w:pStyle w:val="TableContents"/>
              <w:rPr/>
            </w:pPr>
            <w:r>
              <w:rPr/>
              <w:t>The project’s public-access website, including all relevant, up-to-date project information</w:t>
            </w:r>
          </w:p>
        </w:tc>
        <w:tc>
          <w:tcPr>
            <w:tcW w:w="3213" w:type="dxa"/>
            <w:vMerge w:val="continue"/>
            <w:tcBorders/>
            <w:vAlign w:val="center"/>
          </w:tcPr>
          <w:p>
            <w:pPr>
              <w:pStyle w:val="TableContents"/>
              <w:rPr/>
            </w:pPr>
            <w:r>
              <w:rPr/>
            </w:r>
          </w:p>
        </w:tc>
      </w:tr>
      <w:tr>
        <w:trPr/>
        <w:tc>
          <w:tcPr>
            <w:tcW w:w="3212" w:type="dxa"/>
            <w:tcBorders/>
            <w:vAlign w:val="center"/>
          </w:tcPr>
          <w:p>
            <w:pPr>
              <w:pStyle w:val="TableContents"/>
              <w:rPr/>
            </w:pPr>
            <w:r>
              <w:rPr/>
              <w:t>Software Release &amp; Software Pages</w:t>
            </w:r>
          </w:p>
        </w:tc>
        <w:tc>
          <w:tcPr>
            <w:tcW w:w="3213" w:type="dxa"/>
            <w:tcBorders/>
            <w:vAlign w:val="center"/>
          </w:tcPr>
          <w:p>
            <w:pPr>
              <w:pStyle w:val="TableContents"/>
              <w:rPr/>
            </w:pPr>
            <w:r>
              <w:rPr/>
              <w:t>Dedicated webpages for each software tools created in ACRONYM (including examples, wiki-pages, user community forum, etc)</w:t>
            </w:r>
          </w:p>
        </w:tc>
        <w:tc>
          <w:tcPr>
            <w:tcW w:w="3213" w:type="dxa"/>
            <w:tcBorders/>
            <w:vAlign w:val="center"/>
          </w:tcPr>
          <w:p>
            <w:pPr>
              <w:pStyle w:val="TableContents"/>
              <w:rPr/>
            </w:pPr>
            <w:r>
              <w:rPr/>
              <w:t xml:space="preserve">All of the above, but also targeting Space Geodesy data analysis engineers, and user community.  </w:t>
            </w:r>
          </w:p>
        </w:tc>
      </w:tr>
      <w:tr>
        <w:trPr/>
        <w:tc>
          <w:tcPr>
            <w:tcW w:w="3212" w:type="dxa"/>
            <w:tcBorders/>
            <w:vAlign w:val="center"/>
          </w:tcPr>
          <w:p>
            <w:pPr>
              <w:pStyle w:val="TableContents"/>
              <w:rPr/>
            </w:pPr>
            <w:r>
              <w:rPr/>
              <w:t>Academic Curriculum</w:t>
            </w:r>
          </w:p>
        </w:tc>
        <w:tc>
          <w:tcPr>
            <w:tcW w:w="3213" w:type="dxa"/>
            <w:tcBorders/>
            <w:vAlign w:val="center"/>
          </w:tcPr>
          <w:p>
            <w:pPr>
              <w:pStyle w:val="TableContents"/>
              <w:rPr/>
            </w:pPr>
            <w:r>
              <w:rPr/>
              <w:t>Promote ACRONYM activities and results via lectures and venture labs to be carried out in University associated with ACRONYM partners.</w:t>
            </w:r>
          </w:p>
        </w:tc>
        <w:tc>
          <w:tcPr>
            <w:tcW w:w="3213" w:type="dxa"/>
            <w:tcBorders/>
            <w:vAlign w:val="center"/>
          </w:tcPr>
          <w:p>
            <w:pPr>
              <w:pStyle w:val="TableContents"/>
              <w:rPr/>
            </w:pPr>
            <w:r>
              <w:rPr/>
              <w:t xml:space="preserve">Young scientists and engineers, graduate and post-graduate students in NTUA, IPGP and </w:t>
            </w:r>
            <w:r>
              <w:rPr>
                <w:shd w:fill="FFFF00" w:val="clear"/>
              </w:rPr>
              <w:t>OSO.</w:t>
            </w:r>
          </w:p>
        </w:tc>
      </w:tr>
      <w:tr>
        <w:trPr/>
        <w:tc>
          <w:tcPr>
            <w:tcW w:w="3212" w:type="dxa"/>
            <w:tcBorders/>
            <w:vAlign w:val="center"/>
          </w:tcPr>
          <w:p>
            <w:pPr>
              <w:pStyle w:val="TableContents"/>
              <w:rPr/>
            </w:pPr>
            <w:r>
              <w:rPr/>
              <w:t>Secondary Education Visits/Schools</w:t>
            </w:r>
          </w:p>
        </w:tc>
        <w:tc>
          <w:tcPr>
            <w:tcW w:w="3213" w:type="dxa"/>
            <w:tcBorders/>
            <w:vAlign w:val="center"/>
          </w:tcPr>
          <w:p>
            <w:pPr>
              <w:pStyle w:val="TableContents"/>
              <w:rPr/>
            </w:pPr>
            <w:r>
              <w:rPr/>
              <w:t>NTUA staff visiting high-schools in Greece and/or high-school students visiting the observation site of DSO.</w:t>
            </w:r>
          </w:p>
        </w:tc>
        <w:tc>
          <w:tcPr>
            <w:tcW w:w="3213" w:type="dxa"/>
            <w:tcBorders/>
            <w:vAlign w:val="center"/>
          </w:tcPr>
          <w:p>
            <w:pPr>
              <w:pStyle w:val="TableContents"/>
              <w:rPr/>
            </w:pPr>
            <w:r>
              <w:rPr/>
              <w:t xml:space="preserve">High-school students in Greece and </w:t>
            </w:r>
            <w:bookmarkStart w:id="23" w:name="Join%2520the%2520STEM%2520Community"/>
            <w:bookmarkEnd w:id="23"/>
            <w:r>
              <w:rPr/>
              <w:t xml:space="preserve">STEM </w:t>
            </w:r>
            <w:r>
              <w:rPr/>
              <w:t>c</w:t>
            </w:r>
            <w:r>
              <w:rPr/>
              <w:t xml:space="preserve">ommunity </w:t>
            </w:r>
            <w:r>
              <w:rPr/>
              <w:t>of Greece.</w:t>
            </w:r>
          </w:p>
          <w:p>
            <w:pPr>
              <w:pStyle w:val="TableContents"/>
              <w:rPr/>
            </w:pPr>
            <w:r>
              <w:rPr/>
            </w:r>
          </w:p>
        </w:tc>
      </w:tr>
    </w:tbl>
    <w:p>
      <w:pPr>
        <w:pStyle w:val="TextBody"/>
        <w:widowControl w:val="false"/>
        <w:ind w:left="0" w:hanging="0"/>
        <w:rPr>
          <w:highlight w:val="none"/>
          <w:shd w:fill="FFFF00" w:val="clear"/>
        </w:rPr>
      </w:pPr>
      <w:r>
        <w:rPr/>
      </w:r>
    </w:p>
    <w:p>
      <w:pPr>
        <w:pStyle w:val="Normal"/>
        <w:jc w:val="both"/>
        <w:rPr/>
      </w:pPr>
      <w:r>
        <w:rPr/>
      </w:r>
    </w:p>
    <w:p>
      <w:pPr>
        <w:sectPr>
          <w:headerReference w:type="even" r:id="rId17"/>
          <w:headerReference w:type="default" r:id="rId18"/>
          <w:headerReference w:type="first" r:id="rId19"/>
          <w:footerReference w:type="defaul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20"/>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20"/>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w:t>
            </w:r>
          </w:p>
          <w:p>
            <w:pPr>
              <w:pStyle w:val="Normal"/>
              <w:widowControl w:val="false"/>
              <w:numPr>
                <w:ilvl w:val="0"/>
                <w:numId w:val="20"/>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numPr>
                <w:ilvl w:val="0"/>
                <w:numId w:val="20"/>
              </w:numPr>
              <w:jc w:val="both"/>
              <w:rPr>
                <w:rFonts w:ascii="Times New Roman" w:hAnsi="Times New Roman"/>
                <w:color w:val="auto"/>
              </w:rPr>
            </w:pPr>
            <w:r>
              <w:rPr>
                <w:rFonts w:ascii="Times New Roman" w:hAnsi="Times New Roman"/>
                <w:color w:val="auto"/>
                <w:lang w:val="en-GB"/>
              </w:rPr>
              <w:t>Greek high-school and STEM community educational visits at DSO</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1"/>
              </w:numPr>
              <w:jc w:val="both"/>
              <w:rPr/>
            </w:pPr>
            <w:r>
              <w:rPr>
                <w:rFonts w:ascii="Times New Roman" w:hAnsi="Times New Roman"/>
                <w:color w:val="000000"/>
                <w:lang w:val="en-GB"/>
              </w:rPr>
              <w:t>Release of DORIS analysis software, attributing a citeable and trackable DOI (e.g. via zenodo). Software release using a public domain software repository/development platform using MIT license.</w:t>
            </w:r>
          </w:p>
          <w:p>
            <w:pPr>
              <w:pStyle w:val="Normal"/>
              <w:widowControl w:val="false"/>
              <w:numPr>
                <w:ilvl w:val="0"/>
                <w:numId w:val="21"/>
              </w:numPr>
              <w:jc w:val="both"/>
              <w:rPr/>
            </w:pPr>
            <w:r>
              <w:rPr>
                <w:color w:val="000000"/>
              </w:rPr>
              <w:t xml:space="preserve">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1"/>
              </w:numPr>
              <w:jc w:val="both"/>
              <w:rPr/>
            </w:pPr>
            <w:r>
              <w:rPr>
                <w:color w:val="000000"/>
              </w:rPr>
              <w:t>Scientific publications in peer-reviewed journals.</w:t>
            </w:r>
          </w:p>
          <w:p>
            <w:pPr>
              <w:pStyle w:val="Normal"/>
              <w:widowControl w:val="false"/>
              <w:numPr>
                <w:ilvl w:val="0"/>
                <w:numId w:val="21"/>
              </w:numPr>
              <w:jc w:val="both"/>
              <w:rPr/>
            </w:pPr>
            <w:r>
              <w:rPr>
                <w:color w:val="000000"/>
              </w:rPr>
              <w:t>Attendance and presentations in international conference.</w:t>
            </w:r>
          </w:p>
          <w:p>
            <w:pPr>
              <w:pStyle w:val="Normal"/>
              <w:widowControl w:val="false"/>
              <w:numPr>
                <w:ilvl w:val="0"/>
                <w:numId w:val="21"/>
              </w:numPr>
              <w:jc w:val="both"/>
              <w:rPr/>
            </w:pPr>
            <w:r>
              <w:rPr>
                <w:color w:val="000000"/>
              </w:rPr>
              <w:t>Summer School on Space Geodesy, Earth Observation and applications</w:t>
            </w:r>
          </w:p>
          <w:p>
            <w:pPr>
              <w:pStyle w:val="Normal"/>
              <w:widowControl w:val="false"/>
              <w:numPr>
                <w:ilvl w:val="0"/>
                <w:numId w:val="21"/>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2"/>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2"/>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2"/>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2"/>
              </w:numPr>
              <w:jc w:val="both"/>
              <w:rPr>
                <w:highlight w:val="none"/>
                <w:shd w:fill="FFFF00" w:val="clear"/>
              </w:rPr>
            </w:pPr>
            <w:r>
              <w:rPr>
                <w:b w:val="false"/>
                <w:bCs w:val="false"/>
                <w:color w:val="000000"/>
                <w:shd w:fill="FFFF00" w:val="clear"/>
              </w:rPr>
              <w:t>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 (improve innovation ranking).</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4" w:name="_Hlk106802800"/>
      <w:r>
        <w:rPr>
          <w:rFonts w:cs="Arial"/>
          <w:caps/>
          <w:color w:val="B5B5B5"/>
          <w:sz w:val="18"/>
          <w:szCs w:val="16"/>
          <w:lang w:eastAsia="it-IT"/>
        </w:rPr>
        <w:t xml:space="preserve">#@QUA-LIT-QL@# </w:t>
      </w:r>
      <w:r>
        <w:rPr>
          <w:rFonts w:cs="Arial"/>
          <w:color w:val="B5B5B5"/>
          <w:sz w:val="18"/>
          <w:szCs w:val="16"/>
        </w:rPr>
        <w:t>#@WRK-PLA-WP@#</w:t>
      </w:r>
      <w:bookmarkEnd w:id="24"/>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TextBody"/>
        <w:ind w:left="0" w:hanging="0"/>
        <w:rPr>
          <w:lang w:val="en-GB"/>
        </w:rPr>
      </w:pPr>
      <w:r>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5" w:name="_Hlk106802819"/>
      <w:r>
        <w:rPr>
          <w:rFonts w:cs="Arial"/>
          <w:color w:val="B5B5B5"/>
          <w:sz w:val="18"/>
          <w:szCs w:val="16"/>
        </w:rPr>
        <w:t>#@CON-SOR-CS@# #@PRJ-MGT-PM@#</w:t>
      </w:r>
      <w:bookmarkEnd w:id="25"/>
    </w:p>
    <w:p>
      <w:pPr>
        <w:pStyle w:val="Normal"/>
        <w:spacing w:lineRule="auto" w:line="276" w:before="0" w:after="240"/>
        <w:jc w:val="both"/>
        <w:rPr>
          <w:rFonts w:ascii="Times New Roman" w:hAnsi="Times New Roman"/>
          <w:b/>
          <w:b/>
          <w:lang w:val="en-GB"/>
        </w:rPr>
      </w:pPr>
      <w:r>
        <w:rPr>
          <w:rFonts w:ascii="Times New Roman" w:hAnsi="Times New Roman"/>
          <w:b/>
          <w:lang w:val="en-GB"/>
        </w:rPr>
        <w:t>3.2.1 Capacity of GFZ in the field of SLR and other space geodetic techniques</w:t>
      </w:r>
    </w:p>
    <w:p>
      <w:pPr>
        <w:pStyle w:val="TextBody"/>
        <w:ind w:left="0" w:hanging="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TextBody"/>
        <w:ind w:left="0" w:hanging="0"/>
        <w:rPr>
          <w:rFonts w:ascii="Nimbus Roman" w:hAnsi="Nimbus Roman"/>
          <w:b w:val="false"/>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6" w:name="_Hlk106802840"/>
      <w:r>
        <w:rPr>
          <w:rFonts w:cs="Arial"/>
          <w:color w:val="B5B5B5"/>
          <w:sz w:val="18"/>
          <w:szCs w:val="16"/>
        </w:rPr>
        <w:t>#§CON-SOR-CS§# #§PRJ-MGT-PM§#</w:t>
      </w:r>
      <w:bookmarkEnd w:id="26"/>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CLS</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TextBody"/>
              <w:widowControl w:val="false"/>
              <w:numPr>
                <w:ilvl w:val="0"/>
                <w:numId w:val="23"/>
              </w:numPr>
              <w:rPr/>
            </w:pPr>
            <w:r>
              <w:rPr/>
              <w:t>Establish a strong project management scheme</w:t>
            </w:r>
          </w:p>
          <w:p>
            <w:pPr>
              <w:pStyle w:val="TextBody"/>
              <w:widowControl w:val="false"/>
              <w:numPr>
                <w:ilvl w:val="0"/>
                <w:numId w:val="23"/>
              </w:numPr>
              <w:rPr/>
            </w:pPr>
            <w:r>
              <w:rPr/>
              <w:t>Establish appropriate communication and reporting channels to the European Commission</w:t>
            </w:r>
          </w:p>
          <w:p>
            <w:pPr>
              <w:pStyle w:val="TextBody"/>
              <w:widowControl w:val="false"/>
              <w:numPr>
                <w:ilvl w:val="0"/>
                <w:numId w:val="23"/>
              </w:numPr>
              <w:rPr/>
            </w:pPr>
            <w:r>
              <w:rPr/>
              <w:t>Ensure successful achievement of the project objectives on time and within budget</w:t>
            </w:r>
          </w:p>
          <w:p>
            <w:pPr>
              <w:pStyle w:val="TextBody"/>
              <w:widowControl w:val="false"/>
              <w:numPr>
                <w:ilvl w:val="0"/>
                <w:numId w:val="23"/>
              </w:numPr>
              <w:rPr/>
            </w:pPr>
            <w:r>
              <w:rPr/>
              <w:t>Establish an efficient electronic service for communications, and document exchanging</w:t>
            </w:r>
          </w:p>
          <w:p>
            <w:pPr>
              <w:pStyle w:val="TextBody"/>
              <w:widowControl w:val="false"/>
              <w:numPr>
                <w:ilvl w:val="0"/>
                <w:numId w:val="23"/>
              </w:numPr>
              <w:rPr/>
            </w:pPr>
            <w:r>
              <w:rPr/>
              <w:t>Conduct continuous quality assurance activities for the operation of the project and the production of its results within its lifespan</w:t>
            </w:r>
          </w:p>
          <w:p>
            <w:pPr>
              <w:pStyle w:val="TextBody"/>
              <w:widowControl w:val="false"/>
              <w:numPr>
                <w:ilvl w:val="0"/>
                <w:numId w:val="23"/>
              </w:numPr>
              <w:rPr/>
            </w:pPr>
            <w:r>
              <w:rPr/>
              <w:t>Ensure continuous monitoring of the project’s progress and timely initiation of corrective actions (if needed)</w:t>
            </w:r>
          </w:p>
          <w:p>
            <w:pPr>
              <w:pStyle w:val="TextBody"/>
              <w:widowControl w:val="false"/>
              <w:numPr>
                <w:ilvl w:val="0"/>
                <w:numId w:val="23"/>
              </w:numPr>
              <w:rPr/>
            </w:pPr>
            <w:r>
              <w:rPr/>
              <w:t>Coordinate the organization and execution of the various project meetings, and/or participation of the project in various external or self-organized events</w:t>
            </w:r>
          </w:p>
          <w:p>
            <w:pPr>
              <w:pStyle w:val="TextBody"/>
              <w:widowControl w:val="false"/>
              <w:numPr>
                <w:ilvl w:val="0"/>
                <w:numId w:val="23"/>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TextBody"/>
              <w:widowControl w:val="false"/>
              <w:ind w:left="0" w:hanging="0"/>
              <w:rPr>
                <w:b w:val="false"/>
                <w:b w:val="false"/>
                <w:bCs w:val="false"/>
              </w:rPr>
            </w:pPr>
            <w:r>
              <w:rPr/>
              <w:t>The objectives of this WP are to:</w:t>
            </w:r>
          </w:p>
          <w:p>
            <w:pPr>
              <w:pStyle w:val="TextBody"/>
              <w:widowControl w:val="false"/>
              <w:numPr>
                <w:ilvl w:val="0"/>
                <w:numId w:val="24"/>
              </w:numPr>
              <w:rPr/>
            </w:pPr>
            <w:r>
              <w:rPr/>
              <w:t>transfer knowledge from expert nodes to the Coordinator, building foundations for scientific excellence</w:t>
            </w:r>
          </w:p>
          <w:p>
            <w:pPr>
              <w:pStyle w:val="TextBody"/>
              <w:widowControl w:val="false"/>
              <w:numPr>
                <w:ilvl w:val="0"/>
                <w:numId w:val="24"/>
              </w:numPr>
              <w:rPr/>
            </w:pPr>
            <w:r>
              <w:rPr/>
              <w:t>establish technical standards, requirements and specifications for further research capacity (building software, WP3)</w:t>
            </w:r>
          </w:p>
          <w:p>
            <w:pPr>
              <w:pStyle w:val="TextBody"/>
              <w:widowControl w:val="false"/>
              <w:numPr>
                <w:ilvl w:val="0"/>
                <w:numId w:val="24"/>
              </w:numPr>
              <w:rPr/>
            </w:pPr>
            <w:r>
              <w:rPr/>
              <w:t>involve talented young scientists in training and increase inwards/outwards mobility (via co-supervision and visits)</w:t>
            </w:r>
          </w:p>
          <w:p>
            <w:pPr>
              <w:pStyle w:val="TextBody"/>
              <w:widowControl w:val="false"/>
              <w:numPr>
                <w:ilvl w:val="0"/>
                <w:numId w:val="24"/>
              </w:numPr>
              <w:rPr/>
            </w:pPr>
            <w:r>
              <w:rPr/>
              <w:t>seek and utilize training channels/options other than ACRONYM</w:t>
            </w:r>
          </w:p>
          <w:p>
            <w:pPr>
              <w:pStyle w:val="TextBody"/>
              <w:widowControl w:val="false"/>
              <w:numPr>
                <w:ilvl w:val="0"/>
                <w:numId w:val="24"/>
              </w:numPr>
              <w:rPr>
                <w:b w:val="false"/>
                <w:b w:val="false"/>
                <w:bCs w:val="false"/>
              </w:rPr>
            </w:pPr>
            <w:r>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TextBody"/>
              <w:widowControl w:val="false"/>
              <w:ind w:left="0" w:hanging="0"/>
              <w:rPr/>
            </w:pPr>
            <w:r>
              <w:rPr/>
              <w:t>The Coordinator along with IPGP and CLS will establish a task force (with members of all three involved institutes) and the means through which this force will maintain a long-term, sound communication and collaboration.</w:t>
            </w:r>
          </w:p>
          <w:p>
            <w:pPr>
              <w:pStyle w:val="TextBody"/>
              <w:widowControl w:val="false"/>
              <w:ind w:left="0" w:hanging="0"/>
              <w:rPr/>
            </w:pPr>
            <w:r>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TextBody"/>
              <w:widowControl w:val="false"/>
              <w:ind w:left="0" w:hanging="0"/>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TextBody"/>
              <w:widowControl w:val="false"/>
              <w:ind w:left="0" w:hanging="0"/>
              <w:rPr/>
            </w:pPr>
            <w:r>
              <w:rPr/>
              <w:t>GFZ and NTUA will establish a task force (with members of both involved institutes) and the means through which this force will maintain a long-term, solid communication channel.</w:t>
            </w:r>
          </w:p>
          <w:p>
            <w:pPr>
              <w:pStyle w:val="TextBody"/>
              <w:widowControl w:val="false"/>
              <w:ind w:left="0" w:hanging="0"/>
              <w:rPr/>
            </w:pPr>
            <w:r>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TextBody"/>
              <w:widowControl w:val="false"/>
              <w:ind w:left="0" w:hanging="0"/>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TextBody"/>
              <w:widowControl w:val="false"/>
              <w:ind w:left="0" w:hanging="0"/>
              <w:rPr/>
            </w:pPr>
            <w:r>
              <w:rPr/>
              <w:t>OSO and NTUA will establish a task force (with members of both involved institutes) and the means through which this force will maintain a long-term, sound communication channel.</w:t>
            </w:r>
          </w:p>
          <w:p>
            <w:pPr>
              <w:pStyle w:val="TextBody"/>
              <w:widowControl w:val="false"/>
              <w:ind w:left="0" w:hanging="0"/>
              <w:rPr/>
            </w:pPr>
            <w:r>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TextBody"/>
              <w:widowControl w:val="false"/>
              <w:ind w:left="0" w:hanging="0"/>
              <w:rPr/>
            </w:pPr>
            <w:r>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highlight w:val="none"/>
                <w:shd w:fill="FFFF00" w:val="clear"/>
              </w:rPr>
            </w:pPr>
            <w:r>
              <w:rPr>
                <w:b/>
                <w:bCs/>
                <w:shd w:fill="FFFF00" w:val="clear"/>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5"/>
              </w:numPr>
              <w:rPr/>
            </w:pPr>
            <w:r>
              <w:rPr/>
              <w:t>effectively enhance host’s research capacity through expertise, skill building and software implementation</w:t>
            </w:r>
          </w:p>
          <w:p>
            <w:pPr>
              <w:pStyle w:val="TextBody"/>
              <w:widowControl w:val="false"/>
              <w:numPr>
                <w:ilvl w:val="0"/>
                <w:numId w:val="25"/>
              </w:numPr>
              <w:rPr/>
            </w:pPr>
            <w:r>
              <w:rPr/>
              <w:t>transfer of knowledge and best practices using a “hands-on” approach</w:t>
            </w:r>
          </w:p>
          <w:p>
            <w:pPr>
              <w:pStyle w:val="TextBody"/>
              <w:widowControl w:val="false"/>
              <w:numPr>
                <w:ilvl w:val="0"/>
                <w:numId w:val="25"/>
              </w:numPr>
              <w:rPr/>
            </w:pPr>
            <w:r>
              <w:rPr/>
              <w:t>build a software toolbox to perform state-of-the-art data analysis for observations collected by both DORIS and SLR techniques. Additionally, efficiently incorporate recent advances and high-quality products from VLBI analysis.</w:t>
            </w:r>
          </w:p>
          <w:p>
            <w:pPr>
              <w:pStyle w:val="TextBody"/>
              <w:widowControl w:val="false"/>
              <w:numPr>
                <w:ilvl w:val="0"/>
                <w:numId w:val="25"/>
              </w:numPr>
              <w:rPr/>
            </w:pPr>
            <w:r>
              <w:rPr/>
              <w:t>enhance NTUA research profile via adherence to a  free and open-source policy (software)</w:t>
            </w:r>
          </w:p>
          <w:p>
            <w:pPr>
              <w:pStyle w:val="TextBody"/>
              <w:widowControl w:val="false"/>
              <w:numPr>
                <w:ilvl w:val="0"/>
                <w:numId w:val="25"/>
              </w:numPr>
              <w:rPr/>
            </w:pPr>
            <w:r>
              <w:rPr/>
              <w:t>create highly skilled scientific personnel at the host institute</w:t>
            </w:r>
          </w:p>
          <w:p>
            <w:pPr>
              <w:pStyle w:val="TextBody"/>
              <w:widowControl w:val="false"/>
              <w:numPr>
                <w:ilvl w:val="0"/>
                <w:numId w:val="25"/>
              </w:numPr>
              <w:rPr/>
            </w:pPr>
            <w:r>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TextBody"/>
              <w:widowControl w:val="false"/>
              <w:ind w:left="0" w:hanging="0"/>
              <w:rPr/>
            </w:pPr>
            <w:r>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TextBody"/>
              <w:widowControl w:val="false"/>
              <w:ind w:left="0" w:hanging="0"/>
              <w:rPr/>
            </w:pPr>
            <w:r>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TextBody"/>
              <w:widowControl w:val="false"/>
              <w:ind w:left="0" w:hanging="0"/>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TextBody"/>
              <w:widowControl w:val="false"/>
              <w:ind w:left="0" w:hanging="0"/>
              <w:rPr/>
            </w:pPr>
            <w:r>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TextBody"/>
              <w:widowControl w:val="false"/>
              <w:ind w:left="0" w:hanging="0"/>
              <w:rPr/>
            </w:pPr>
            <w:r>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TextBody"/>
              <w:widowControl w:val="false"/>
              <w:ind w:left="0" w:hanging="0"/>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TextBody"/>
              <w:widowControl w:val="false"/>
              <w:ind w:left="0" w:hanging="0"/>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TextBody"/>
              <w:widowControl w:val="false"/>
              <w:ind w:left="0" w:hanging="0"/>
              <w:rPr/>
            </w:pPr>
            <w:r>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TextBody"/>
              <w:widowControl w:val="false"/>
              <w:ind w:left="0" w:hanging="0"/>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TextBody"/>
              <w:widowControl w:val="false"/>
              <w:ind w:left="0" w:hanging="0"/>
              <w:rPr/>
            </w:pPr>
            <w:r>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TextBody"/>
              <w:widowControl w:val="false"/>
              <w:ind w:left="0" w:hanging="0"/>
              <w:rPr/>
            </w:pPr>
            <w:r>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6"/>
              </w:numPr>
              <w:rPr/>
            </w:pPr>
            <w:r>
              <w:rPr/>
              <w:t>strengthen research management capacity and administrative skills of the Coordinator</w:t>
            </w:r>
          </w:p>
          <w:p>
            <w:pPr>
              <w:pStyle w:val="TextBody"/>
              <w:widowControl w:val="false"/>
              <w:numPr>
                <w:ilvl w:val="0"/>
                <w:numId w:val="26"/>
              </w:numPr>
              <w:rPr/>
            </w:pPr>
            <w:r>
              <w:rPr/>
              <w:t>create a dedicated, skilled workforce at NTUA responsible for project claiming</w:t>
            </w:r>
          </w:p>
          <w:p>
            <w:pPr>
              <w:pStyle w:val="TextBody"/>
              <w:widowControl w:val="false"/>
              <w:numPr>
                <w:ilvl w:val="0"/>
                <w:numId w:val="26"/>
              </w:numPr>
              <w:rPr/>
            </w:pPr>
            <w:r>
              <w:rPr/>
              <w:t>boost Coordinator’s success rate in research funding bids</w:t>
            </w:r>
          </w:p>
          <w:p>
            <w:pPr>
              <w:pStyle w:val="TextBody"/>
              <w:widowControl w:val="false"/>
              <w:numPr>
                <w:ilvl w:val="0"/>
                <w:numId w:val="26"/>
              </w:numPr>
              <w:rPr/>
            </w:pPr>
            <w:r>
              <w:rPr/>
              <w:t>expand and diversify funding pools and capabilities targeted by NTUA</w:t>
            </w:r>
          </w:p>
          <w:p>
            <w:pPr>
              <w:pStyle w:val="TextBody"/>
              <w:widowControl w:val="false"/>
              <w:numPr>
                <w:ilvl w:val="0"/>
                <w:numId w:val="26"/>
              </w:numPr>
              <w:rPr/>
            </w:pPr>
            <w:r>
              <w:rPr/>
              <w:t>build expertise at efficient and successful research proposal writing</w:t>
            </w:r>
          </w:p>
          <w:p>
            <w:pPr>
              <w:pStyle w:val="TextBody"/>
              <w:widowControl w:val="false"/>
              <w:numPr>
                <w:ilvl w:val="0"/>
                <w:numId w:val="26"/>
              </w:numPr>
              <w:rPr/>
            </w:pPr>
            <w:r>
              <w:rPr/>
              <w:t>claim research funds to enhance NTUA’s appealingness to scientists and recruitment opportunities, increase mobility and support and expand research activities (financially-wise)</w:t>
            </w:r>
          </w:p>
          <w:p>
            <w:pPr>
              <w:pStyle w:val="TextBody"/>
              <w:widowControl w:val="false"/>
              <w:numPr>
                <w:ilvl w:val="0"/>
                <w:numId w:val="26"/>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8"/>
              </w:numPr>
              <w:jc w:val="both"/>
              <w:rPr/>
            </w:pPr>
            <w:r>
              <w:rPr/>
              <w:t>two EU large scale research and innovation calls (e.g. HORIZON), and</w:t>
            </w:r>
          </w:p>
          <w:p>
            <w:pPr>
              <w:pStyle w:val="Normal"/>
              <w:widowControl w:val="false"/>
              <w:numPr>
                <w:ilvl w:val="0"/>
                <w:numId w:val="8"/>
              </w:numPr>
              <w:jc w:val="both"/>
              <w:rPr/>
            </w:pPr>
            <w:r>
              <w:rPr>
                <w:shd w:fill="auto" w:val="clear"/>
              </w:rPr>
              <w:t>two research proposals targeting young scientists and/or mobility (e.g. EU MSCA calls)</w:t>
            </w:r>
          </w:p>
          <w:p>
            <w:pPr>
              <w:pStyle w:val="Normal"/>
              <w:widowControl w:val="false"/>
              <w:numPr>
                <w:ilvl w:val="0"/>
                <w:numId w:val="8"/>
              </w:numPr>
              <w:jc w:val="both"/>
              <w:rPr/>
            </w:pPr>
            <w:r>
              <w:rPr>
                <w:shd w:fill="auto" w:val="clear"/>
              </w:rPr>
              <w:t>one funding bid targeting private/public collaboration, including at least one the ecosystem commercial partner</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7"/>
              </w:numPr>
              <w:rPr/>
            </w:pPr>
            <w:r>
              <w:rPr/>
              <w:t>establish efficient and seamless communication and knowledge transfer channels</w:t>
            </w:r>
          </w:p>
          <w:p>
            <w:pPr>
              <w:pStyle w:val="TextBody"/>
              <w:widowControl w:val="false"/>
              <w:numPr>
                <w:ilvl w:val="0"/>
                <w:numId w:val="27"/>
              </w:numPr>
              <w:rPr/>
            </w:pPr>
            <w:r>
              <w:rPr/>
              <w:t>establish efficient and solid networking and collaboration between twinning partners</w:t>
            </w:r>
          </w:p>
          <w:p>
            <w:pPr>
              <w:pStyle w:val="TextBody"/>
              <w:widowControl w:val="false"/>
              <w:numPr>
                <w:ilvl w:val="0"/>
                <w:numId w:val="27"/>
              </w:numPr>
              <w:rPr/>
            </w:pPr>
            <w:r>
              <w:rPr/>
              <w:t>introduction of NTUA to international consortia and/or services (i.e. IDS, ILRS and IVS)</w:t>
            </w:r>
          </w:p>
          <w:p>
            <w:pPr>
              <w:pStyle w:val="TextBody"/>
              <w:widowControl w:val="false"/>
              <w:numPr>
                <w:ilvl w:val="0"/>
                <w:numId w:val="27"/>
              </w:numPr>
              <w:rPr/>
            </w:pPr>
            <w:r>
              <w:rPr/>
              <w:t>establishment of a Greek ecosystem of partners involved in space-based geosciences and applications</w:t>
            </w:r>
          </w:p>
          <w:p>
            <w:pPr>
              <w:pStyle w:val="TextBody"/>
              <w:widowControl w:val="false"/>
              <w:numPr>
                <w:ilvl w:val="0"/>
                <w:numId w:val="27"/>
              </w:numPr>
              <w:rPr>
                <w:b w:val="false"/>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(M1-M6); Lead NTUA</w:t>
            </w:r>
          </w:p>
          <w:p>
            <w:pPr>
              <w:pStyle w:val="TextBody"/>
              <w:widowControl w:val="false"/>
              <w:ind w:left="0" w:hanging="0"/>
              <w:rPr>
                <w:b w:val="false"/>
                <w:b w:val="false"/>
                <w:bCs w:val="false"/>
                <w:lang w:val="en-GB"/>
              </w:rPr>
            </w:pPr>
            <w:r>
              <w:rPr/>
              <w:t>The Coordinator will reach an agreement with each of IPGP, GFZ and OSO, regarding the co-supervision of three PhD and three PostDoc thesis (each partner involved in one PhD and one PostDoc). The agreement will be formally submitted to NTUA, and one  representative of each partner will be included in the three-part advisory committee (for PhD Thesis).</w:t>
            </w:r>
          </w:p>
          <w:p>
            <w:pPr>
              <w:pStyle w:val="TextBody"/>
              <w:widowControl w:val="false"/>
              <w:ind w:left="0" w:hanging="0"/>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described in WP2 and WP3.</w:t>
            </w:r>
          </w:p>
          <w:p>
            <w:pPr>
              <w:pStyle w:val="Normal"/>
              <w:widowControl w:val="false"/>
              <w:spacing w:before="60" w:after="60"/>
              <w:jc w:val="both"/>
              <w:rPr/>
            </w:pPr>
            <w:r>
              <w:rPr/>
            </w:r>
          </w:p>
          <w:p>
            <w:pPr>
              <w:pStyle w:val="Normal"/>
              <w:widowControl w:val="false"/>
              <w:spacing w:before="60" w:after="60"/>
              <w:jc w:val="both"/>
              <w:rPr>
                <w:highlight w:val="none"/>
                <w:shd w:fill="FFFF00" w:val="clear"/>
              </w:rPr>
            </w:pPr>
            <w:r>
              <w:rPr>
                <w:rFonts w:ascii="Times New Roman" w:hAnsi="Times New Roman"/>
                <w:b/>
                <w:shd w:fill="FFFF00" w:val="clear"/>
                <w:lang w:val="en-GB"/>
              </w:rPr>
              <w:t>Task 5.2 Introduction to Space Geodetic International Services and International Geodetic Consortia</w:t>
            </w:r>
          </w:p>
          <w:p>
            <w:pPr>
              <w:pStyle w:val="Normal"/>
              <w:widowControl w:val="false"/>
              <w:jc w:val="both"/>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5.3 Establishing a Greek Ecosystem of partners in space-based geosciences (M6-24); Lead NTUA</w:t>
            </w:r>
          </w:p>
          <w:p>
            <w:pPr>
              <w:pStyle w:val="TextBody"/>
              <w:widowControl w:val="false"/>
              <w:ind w:left="0" w:hanging="0"/>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businesses, commercial users, governmental agencies and institutions, as well as universities.</w:t>
            </w:r>
          </w:p>
          <w:p>
            <w:pPr>
              <w:pStyle w:val="TextBody"/>
              <w:widowControl w:val="false"/>
              <w:ind w:left="0" w:hanging="0"/>
              <w:rPr/>
            </w:pPr>
            <w:r>
              <w:rPr/>
              <w:t>NTUA will organize (see also Section 1.2.5):</w:t>
            </w:r>
          </w:p>
          <w:p>
            <w:pPr>
              <w:pStyle w:val="TextBody"/>
              <w:widowControl w:val="false"/>
              <w:numPr>
                <w:ilvl w:val="0"/>
                <w:numId w:val="29"/>
              </w:numPr>
              <w:rPr/>
            </w:pPr>
            <w:r>
              <w:rPr/>
              <w:t xml:space="preserve">one hybrid two-day conference to take place in Greece, with the (virtual or physical)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TextBody"/>
              <w:widowControl w:val="false"/>
              <w:numPr>
                <w:ilvl w:val="0"/>
                <w:numId w:val="29"/>
              </w:numPr>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5.4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academia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5.5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8"/>
              </w:numPr>
              <w:rPr/>
            </w:pPr>
            <w:r>
              <w:rPr/>
              <w:t>significantly enhance the host institute’s international standing and prestige via dissemination and communication activities</w:t>
            </w:r>
          </w:p>
          <w:p>
            <w:pPr>
              <w:pStyle w:val="TextBody"/>
              <w:widowControl w:val="false"/>
              <w:numPr>
                <w:ilvl w:val="0"/>
                <w:numId w:val="28"/>
              </w:numPr>
              <w:rPr/>
            </w:pPr>
            <w:r>
              <w:rPr/>
              <w:t>endorse and promote the achievements of ACRONYM and the newly established center of excellence</w:t>
            </w:r>
          </w:p>
          <w:p>
            <w:pPr>
              <w:pStyle w:val="TextBody"/>
              <w:widowControl w:val="false"/>
              <w:numPr>
                <w:ilvl w:val="0"/>
                <w:numId w:val="28"/>
              </w:numPr>
              <w:rPr/>
            </w:pPr>
            <w:r>
              <w:rPr/>
              <w:t>enhance NTUA’s research profile through scientific papers in top-tier peer reviewed journals, co-authored with the top-class consortium partners (at least three)</w:t>
            </w:r>
          </w:p>
          <w:p>
            <w:pPr>
              <w:pStyle w:val="TextBody"/>
              <w:widowControl w:val="false"/>
              <w:numPr>
                <w:ilvl w:val="0"/>
                <w:numId w:val="28"/>
              </w:numPr>
              <w:rPr/>
            </w:pPr>
            <w:r>
              <w:rPr/>
              <w:t>enhance NTUA’s visibility, prominence and networking capabilities via consortium presence in at least five international conferences/workshops</w:t>
            </w:r>
          </w:p>
          <w:p>
            <w:pPr>
              <w:pStyle w:val="TextBody"/>
              <w:widowControl w:val="false"/>
              <w:numPr>
                <w:ilvl w:val="0"/>
                <w:numId w:val="28"/>
              </w:numPr>
              <w:rPr/>
            </w:pPr>
            <w:r>
              <w:rPr/>
              <w:t>strengthen the potential for future collaborations nationally and beyond borders</w:t>
            </w:r>
          </w:p>
          <w:p>
            <w:pPr>
              <w:pStyle w:val="TextBody"/>
              <w:widowControl w:val="false"/>
              <w:numPr>
                <w:ilvl w:val="0"/>
                <w:numId w:val="28"/>
              </w:numPr>
              <w:rPr/>
            </w:pPr>
            <w:r>
              <w:rPr/>
              <w:t>enhance NTUA’s appeal to young talented scientists</w:t>
            </w:r>
          </w:p>
          <w:p>
            <w:pPr>
              <w:pStyle w:val="TextBody"/>
              <w:widowControl w:val="false"/>
              <w:numPr>
                <w:ilvl w:val="0"/>
                <w:numId w:val="28"/>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6.1 Project website and social media engagement (M6-M36); Lead NTUA</w:t>
            </w:r>
          </w:p>
          <w:p>
            <w:pPr>
              <w:pStyle w:val="TextBody"/>
              <w:widowControl w:val="false"/>
              <w:ind w:left="0" w:hanging="0"/>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TextBody"/>
              <w:widowControl w:val="false"/>
              <w:ind w:left="0" w:hanging="0"/>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TextBody"/>
              <w:widowControl w:val="false"/>
              <w:ind w:left="0" w:hanging="0"/>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6.2 Sharing of technical knowledge and know-how (M12-M24); Lead IPGP</w:t>
            </w:r>
          </w:p>
          <w:p>
            <w:pPr>
              <w:pStyle w:val="TextBody"/>
              <w:widowControl w:val="false"/>
              <w:ind w:left="0" w:hanging="0"/>
              <w:rPr/>
            </w:pPr>
            <w:r>
              <w:rPr/>
              <w:t xml:space="preserve">Lectures and presentations prepared by the consortium experts (see WP2) will be made available (on-line, free access) to any interested parties, on demand. Users will be able to browse content and watch video-lectures, shared on the project’s web site. </w:t>
            </w:r>
            <w:r>
              <w:rPr>
                <w:shd w:fill="FFFF00" w:val="clear"/>
              </w:rPr>
              <w:t>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6.3 </w:t>
            </w:r>
            <w:r>
              <w:rPr>
                <w:b/>
                <w:bCs/>
                <w:shd w:fill="FFFF00" w:val="clear"/>
                <w:lang w:val="en-GB"/>
              </w:rPr>
              <w:t>Joint Summer School (M12-M36); Lead NTUA</w:t>
            </w:r>
          </w:p>
          <w:p>
            <w:pPr>
              <w:pStyle w:val="TextBody"/>
              <w:widowControl w:val="false"/>
              <w:ind w:left="0" w:hanging="0"/>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TextBody"/>
              <w:widowControl w:val="false"/>
              <w:ind w:left="0" w:hanging="0"/>
              <w:rPr>
                <w:highlight w:val="none"/>
                <w:shd w:fill="FFFF00" w:val="clear"/>
              </w:rPr>
            </w:pPr>
            <w:r>
              <w:rPr/>
              <w:t>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6.4 Open-Access publications (M12-M36); Lead NTUA</w:t>
            </w:r>
          </w:p>
          <w:p>
            <w:pPr>
              <w:pStyle w:val="TextBody"/>
              <w:widowControl w:val="false"/>
              <w:ind w:left="0" w:hanging="0"/>
              <w:rPr/>
            </w:pPr>
            <w:r>
              <w:rPr/>
              <w:t>Expert partners will collaborate with the host institution in the co-authorship of nine scientific papers (in their respective fields of expertise) to be published in peer-reviewed journals. Three of these will be high-impact publications, i.e. journals with impact factor &gt; 2.4. Scientific publications will adhering to an open-access policy.</w:t>
            </w:r>
          </w:p>
          <w:p>
            <w:pPr>
              <w:pStyle w:val="TextBody"/>
              <w:widowControl w:val="false"/>
              <w:ind w:left="0" w:hanging="0"/>
              <w:rPr>
                <w:lang w:val="en-GB"/>
              </w:rPr>
            </w:pPr>
            <w:r>
              <w:rPr>
                <w:lang w:val="en-GB"/>
              </w:rPr>
              <w:t>Additionally, members of the consortium will attend and present relevant publications in 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6.5 Dissemination activities and support for the Greek ecosystem (M12-M36); Lead CLS</w:t>
            </w:r>
          </w:p>
          <w:p>
            <w:pPr>
              <w:pStyle w:val="TextBody"/>
              <w:widowControl w:val="false"/>
              <w:ind w:left="0" w:hanging="0"/>
              <w:rPr>
                <w:b w:val="false"/>
                <w:b w:val="false"/>
                <w:bCs w:val="false"/>
              </w:rPr>
            </w:pPr>
            <w:r>
              <w:rPr>
                <w:b w:val="false"/>
                <w:bCs w:val="false"/>
              </w:rPr>
              <w:t xml:space="preserve">To support the establishment and longevity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material from all partners of ACRONYM and (f) outreach material from ecosystem members.</w:t>
            </w:r>
          </w:p>
          <w:p>
            <w:pPr>
              <w:pStyle w:val="TextBody"/>
              <w:widowControl w:val="false"/>
              <w:ind w:left="0" w:hanging="0"/>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p>
            <w:pPr>
              <w:pStyle w:val="TextBody"/>
              <w:widowControl w:val="false"/>
              <w:ind w:left="0" w:hanging="0"/>
              <w:rPr>
                <w:b w:val="false"/>
                <w:b w:val="false"/>
                <w:bCs w:val="false"/>
              </w:rPr>
            </w:pPr>
            <w:r>
              <w:rPr/>
            </w:r>
          </w:p>
          <w:p>
            <w:pPr>
              <w:pStyle w:val="TextBody"/>
              <w:widowControl w:val="false"/>
              <w:ind w:left="0" w:hanging="0"/>
              <w:rPr>
                <w:b/>
                <w:b/>
                <w:bCs/>
              </w:rPr>
            </w:pPr>
            <w:r>
              <w:rPr>
                <w:b/>
                <w:bCs/>
              </w:rPr>
              <w:t>Task 6.6 Approaching high-schools students and the Greek STEM community (M12-M36); Lead NTUA</w:t>
            </w:r>
          </w:p>
          <w:p>
            <w:pPr>
              <w:pStyle w:val="TextBody"/>
              <w:widowControl w:val="false"/>
              <w:ind w:left="0" w:hanging="0"/>
              <w:rPr>
                <w:b w:val="false"/>
                <w:b w:val="false"/>
                <w:bCs w:val="false"/>
              </w:rPr>
            </w:pPr>
            <w:r>
              <w:rPr>
                <w:b w:val="false"/>
                <w:bCs w:val="false"/>
              </w:rPr>
              <w:t xml:space="preserve">Issue calls to the STEM community of Greece and high-schools around the country. Each beneficiary will be hosted at the observational facilities of DSO, where they will be </w:t>
            </w:r>
            <w:r>
              <w:rPr>
                <w:b w:val="false"/>
                <w:bCs w:val="false"/>
                <w:shd w:fill="auto" w:val="clear"/>
              </w:rPr>
              <w:t>introduced to fundamental concepts of Space Geodesy, Earth Observation, their crucial input for Climate Change monitoring and Space Science and their application range. Visits will also include interactive and  venture labs, educational activities and guided tours at the instrumentation sites.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7" w:name="_Hlk106802874"/>
      <w:r>
        <w:rPr>
          <w:rFonts w:cs="Arial"/>
          <w:color w:val="B5B5B5"/>
          <w:sz w:val="18"/>
          <w:szCs w:val="16"/>
        </w:rPr>
        <w:t>#@RSK-MGT-RM@#</w:t>
      </w:r>
      <w:bookmarkEnd w:id="27"/>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8" w:name="_Hlk106802885"/>
      <w:r>
        <w:rPr>
          <w:rFonts w:cs="Arial"/>
          <w:color w:val="B5B5B5"/>
          <w:sz w:val="18"/>
          <w:szCs w:val="16"/>
        </w:rPr>
        <w:t>#§RSK-MGT-RM§#</w:t>
      </w:r>
      <w:bookmarkEnd w:id="28"/>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0"/>
        <w:gridCol w:w="1507"/>
        <w:gridCol w:w="1467"/>
        <w:gridCol w:w="1446"/>
        <w:gridCol w:w="3134"/>
      </w:tblGrid>
      <w:tr>
        <w:trPr/>
        <w:tc>
          <w:tcPr>
            <w:tcW w:w="2370"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9" w:name="_Hlk106802899"/>
      <w:r>
        <w:rPr>
          <w:rFonts w:cs="Arial"/>
          <w:caps/>
          <w:color w:val="B5B5B5"/>
          <w:sz w:val="18"/>
          <w:szCs w:val="16"/>
          <w:lang w:val="en-GB" w:eastAsia="it-IT"/>
        </w:rPr>
        <w:t xml:space="preserve">#§QUA-LIT-QL§# </w:t>
      </w:r>
      <w:r>
        <w:rPr>
          <w:rFonts w:cs="Arial"/>
          <w:color w:val="B5B5B5"/>
          <w:sz w:val="18"/>
          <w:szCs w:val="16"/>
        </w:rPr>
        <w:t>#§WRK-PLA-WP§#</w:t>
      </w:r>
      <w:bookmarkEnd w:id="29"/>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5"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1"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7"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12571</TotalTime>
  <Application>LibreOffice/7.4.7.2$Linux_X86_64 LibreOffice_project/40$Build-2</Application>
  <AppVersion>15.0000</AppVersion>
  <Pages>34</Pages>
  <Words>18259</Words>
  <Characters>107634</Characters>
  <CharactersWithSpaces>124989</CharactersWithSpaces>
  <Paragraphs>905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2023-09-01T16:24:30Z</dcterms:modified>
  <cp:revision>1635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