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83"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0"/>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5930535"/>
            <w:bookmarkStart w:id="1" w:name="_Toc448828577"/>
            <w:bookmarkStart w:id="2" w:name="_Toc448828797"/>
            <w:bookmarkStart w:id="3" w:name="_Toc448834151"/>
            <w:bookmarkStart w:id="4" w:name="_Toc443645004"/>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5930537"/>
            <w:bookmarkStart w:id="11" w:name="_Toc448828579"/>
            <w:bookmarkStart w:id="12" w:name="_Toc448828799"/>
            <w:bookmarkStart w:id="13" w:name="_Toc448834153"/>
            <w:bookmarkStart w:id="14" w:name="_Toc443645006"/>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5930538"/>
            <w:bookmarkStart w:id="16" w:name="_Toc448828580"/>
            <w:bookmarkStart w:id="17" w:name="_Toc448828800"/>
            <w:bookmarkStart w:id="18" w:name="_Toc448834154"/>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0"/>
        </w:sect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rapidly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w:t>
      </w:r>
    </w:p>
    <w:p>
      <w:pPr>
        <w:pStyle w:val="Normal"/>
        <w:widowControl/>
        <w:spacing w:before="0" w:after="200"/>
        <w:jc w:val="both"/>
        <w:rPr/>
      </w:pPr>
      <w:r>
        <w:rPr/>
        <w:t>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evidence of the exciting future and renovated importance and expectations of the field.</w:t>
      </w:r>
    </w:p>
    <w:p>
      <w:pPr>
        <w:pStyle w:val="Normal"/>
        <w:widowControl/>
        <w:spacing w:before="0" w:after="200"/>
        <w:jc w:val="both"/>
        <w:rPr/>
      </w:pPr>
      <w:r>
        <w:rPr/>
        <w:t>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 xml:space="preserve">The lack of a dedicated excellence center in the field of Space Geodesy, is also reflected in the limited involvement of Greece in one of the currently fastest blooming markets internationally, that of Space. Lack of expertise and a modern knowledge hub in the field are definitely factors that should be swiftly addressed to reverse the current situation. </w:t>
      </w:r>
    </w:p>
    <w:p>
      <w:pPr>
        <w:pStyle w:val="Normal"/>
        <w:widowControl/>
        <w:spacing w:before="0" w:after="20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w:t>
      </w:r>
    </w:p>
    <w:p>
      <w:pPr>
        <w:pStyle w:val="Normal"/>
        <w:widowControl/>
        <w:numPr>
          <w:ilvl w:val="0"/>
          <w:numId w:val="7"/>
        </w:numPr>
        <w:spacing w:before="0" w:after="200"/>
        <w:jc w:val="both"/>
        <w:rPr/>
      </w:pPr>
      <w:r>
        <w:rPr/>
        <w:t>Create a dedicated task force trained in research project claiming, submission and management and boost its success rate in research funding bids.</w:t>
      </w:r>
    </w:p>
    <w:p>
      <w:pPr>
        <w:pStyle w:val="Normal"/>
        <w:widowControl/>
        <w:numPr>
          <w:ilvl w:val="0"/>
          <w:numId w:val="7"/>
        </w:numPr>
        <w:spacing w:before="0" w:after="200"/>
        <w:jc w:val="both"/>
        <w:rPr/>
      </w:pPr>
      <w:r>
        <w:rPr/>
        <w:t>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7"/>
        </w:numPr>
        <w:spacing w:before="0" w:after="200"/>
        <w:jc w:val="both"/>
        <w:rPr/>
      </w:pPr>
      <w:r>
        <w:rPr/>
        <w:t xml:space="preserve">Increase financial support for its research activities (both in the long-run and for the duration of ACRONYM) and its ability and capacity to attract talented young scientists. </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w:t>
      </w:r>
    </w:p>
    <w:p>
      <w:pPr>
        <w:pStyle w:val="Normal"/>
        <w:widowControl/>
        <w:numPr>
          <w:ilvl w:val="0"/>
          <w:numId w:val="7"/>
        </w:numPr>
        <w:spacing w:before="0" w:after="200"/>
        <w:jc w:val="both"/>
        <w:rPr/>
      </w:pPr>
      <w:r>
        <w:rPr>
          <w:rFonts w:ascii="Times New Roman" w:hAnsi="Times New Roman"/>
          <w:lang w:val="en-GB"/>
        </w:rPr>
        <w:t>Enhance the host's capacity in partnership-building, preparation and carrying out of research proposals funded by national authorities, the European Commission (EC) and the European Space Agency (ESA)</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 xml:space="preserve">Within the framework of ACRONYM, synergies are proposed with leading experts in the techniques of DORIS, SLR and VLBI with the aim of closing the knowledge and technological gap and thus significantly strengthening NTUA's academic and research capacity and potential. </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optionally one Post-Doc student  per technique. This allocation is expected to significantly enhance knowledge assimilation, create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jc w:val="both"/>
        <w:rPr/>
      </w:pPr>
      <w:r>
        <w:rPr>
          <w:rFonts w:ascii="Times New Roman" w:hAnsi="Times New Roman"/>
          <w:lang w:val="en-GB"/>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 xml:space="preserve">Knowledge transfer will flow from the expert nodes to the (per-technique) dedicated task force at NTUA. The aim here is twofold: on the one hand establish a seamless knowledge flow between the twinning partners and on the other hand introduce and train the dedicated task force on the Space Geodetic techniques, so that they gain a deep understanding of the methodologies involved. Lectures, on-line training courses, presentation of relevant bibliography, venture labs and one-on-one communication will take place to accommodate flow of expertise.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and respective validation procedures. </w:t>
      </w:r>
    </w:p>
    <w:p>
      <w:pPr>
        <w:pStyle w:val="Normal"/>
        <w:spacing w:before="0" w:after="200"/>
        <w:jc w:val="both"/>
        <w:rPr/>
      </w:pPr>
      <w:r>
        <w:rPr/>
        <w:t>The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jc w:val="both"/>
        <w:rPr/>
      </w:pPr>
      <w:r>
        <w:rPr/>
        <w:t>In order to further enhance NTUA’s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jc w:val="both"/>
        <w:rPr/>
      </w:pPr>
      <w:r>
        <w:rPr/>
        <w:t xml:space="preserve">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w:t>
      </w:r>
    </w:p>
    <w:p>
      <w:pPr>
        <w:pStyle w:val="Normal"/>
        <w:spacing w:before="0" w:after="200"/>
        <w:jc w:val="both"/>
        <w:rPr/>
      </w:pPr>
      <w:r>
        <w:rPr/>
        <w:t>Further strengthening of the host’s networking activities and prominence will be seeked through the consortium’s presence in at le</w:t>
      </w:r>
      <w:r>
        <w:rPr>
          <w:shd w:fill="auto" w:val="clear"/>
        </w:rPr>
        <w:t xml:space="preserve">ast five international conferences, where outcomes of ACRONYM will be presented. If possible, the host will </w:t>
      </w:r>
      <w:r>
        <w:rPr/>
        <w:t>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jc w:val="both"/>
        <w:rPr/>
      </w:pPr>
      <w:r>
        <w:rPr/>
        <w:t>Special care will be taken for efficiently disseminating the results and outcomes of ACRONYM. Besides adhering to an  open-science policy (see 1.2.1), the consortium will organize a three-day summer school on Space Geodesy to take place in Greece. The goal here will be to introduce space geodetic techniques as well as recent trends, applications and use cases to the Greek ecosystem of involved in Space studies and Geosciences. This will include public research institutions, universities and private sector organizations/companies. OSO, IPGP and GFZ will all be present and give presentations and/or lectures in their respective areas of expertise. NTUA will present the ongoing effort to establish a center of excellence for Space Geodesy in Greece, ACRONYM results and outcomes (e.g. software tools and products), expected impact and possible synergy opportunities.</w:t>
      </w:r>
    </w:p>
    <w:p>
      <w:pPr>
        <w:pStyle w:val="Normal"/>
        <w:spacing w:before="0" w:after="200"/>
        <w:jc w:val="both"/>
        <w:rPr/>
      </w:pPr>
      <w:r>
        <w:rPr/>
        <w:t>Additionally, one info-day/seminar will take place in Greece, 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of involved institutes in Space studies and Geosciences, with special focus on companies and stakeholders active in the field. Both the summer schools and the seminar are additionally expected to strengthen ties and networking within the national ecosystem.</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jc w:val="both"/>
        <w:rPr/>
      </w:pPr>
      <w:r>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
          <w:bCs/>
        </w:rPr>
      </w:pPr>
      <w:r>
        <w:rPr>
          <w:rFonts w:ascii="Times New Roman" w:hAnsi="Times New Roman"/>
          <w:b/>
          <w:bCs/>
          <w:shd w:fill="FFFF00" w:val="clear"/>
          <w:lang w:val="en-GB"/>
        </w:rPr>
        <w:t>todo</w:t>
      </w:r>
    </w:p>
    <w:p>
      <w:pPr>
        <w:sectPr>
          <w:headerReference w:type="even" r:id="rId9"/>
          <w:headerReference w:type="default" r:id="rId10"/>
          <w:headerReference w:type="first" r:id="rId11"/>
          <w:footerReference w:type="default" r:id="rId12"/>
          <w:type w:val="nextPage"/>
          <w:pgSz w:w="11906" w:h="16838"/>
          <w:pgMar w:left="1134" w:right="1134" w:gutter="0" w:header="720" w:top="1134" w:footer="720" w:bottom="1134"/>
          <w:pgNumType w:fmt="decimal"/>
          <w:formProt w:val="false"/>
          <w:textDirection w:val="lrTb"/>
          <w:docGrid w:type="default" w:linePitch="100" w:charSpace="0"/>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5"/>
      </w:tblGrid>
      <w:tr>
        <w:trPr>
          <w:trHeight w:val="124" w:hRule="atLeast"/>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rPr/>
            </w:pPr>
            <w:r>
              <w:rPr>
                <w:color w:val="000000"/>
                <w:lang w:val="en-GB"/>
              </w:rPr>
              <w:t>Closing of the scientific gap between top class European institutes and Greece in the field of Space Geodesy.</w:t>
            </w:r>
          </w:p>
          <w:p>
            <w:pPr>
              <w:pStyle w:val="Normal"/>
              <w:widowControl w:val="false"/>
              <w:rPr/>
            </w:pPr>
            <w:r>
              <w:rPr/>
            </w:r>
          </w:p>
          <w:p>
            <w:pPr>
              <w:pStyle w:val="Normal"/>
              <w:widowControl w:val="false"/>
              <w:rPr/>
            </w:pPr>
            <w:r>
              <w:rPr>
                <w:color w:val="000000"/>
                <w:lang w:val="en-GB"/>
              </w:rPr>
              <w:t>Enhancement of research capacity of NTUA in terms of technical assets, expertise and qualified staff.</w:t>
            </w:r>
          </w:p>
          <w:p>
            <w:pPr>
              <w:pStyle w:val="Normal"/>
              <w:widowControl w:val="false"/>
              <w:rPr/>
            </w:pPr>
            <w:r>
              <w:rPr/>
            </w:r>
          </w:p>
          <w:p>
            <w:pPr>
              <w:pStyle w:val="Normal"/>
              <w:widowControl w:val="false"/>
              <w:rPr/>
            </w:pPr>
            <w:r>
              <w:rPr>
                <w:color w:val="000000"/>
                <w:lang w:val="en-GB"/>
              </w:rPr>
              <w:t>Improve prestige and international standing of the host institute.</w:t>
            </w:r>
          </w:p>
          <w:p>
            <w:pPr>
              <w:pStyle w:val="Normal"/>
              <w:widowControl w:val="false"/>
              <w:rPr/>
            </w:pPr>
            <w:r>
              <w:rPr/>
            </w:r>
          </w:p>
          <w:p>
            <w:pPr>
              <w:pStyle w:val="Normal"/>
              <w:widowControl w:val="false"/>
              <w:rPr/>
            </w:pPr>
            <w:r>
              <w:rPr>
                <w:color w:val="000000"/>
                <w:lang w:val="en-GB"/>
              </w:rPr>
              <w:t>Establish a network of top-class collaborators and boost involvement in high-esteem consortia.</w:t>
            </w:r>
          </w:p>
          <w:p>
            <w:pPr>
              <w:pStyle w:val="Normal"/>
              <w:widowControl w:val="false"/>
              <w:rPr/>
            </w:pPr>
            <w:r>
              <w:rPr/>
            </w:r>
          </w:p>
          <w:p>
            <w:pPr>
              <w:pStyle w:val="Normal"/>
              <w:widowControl w:val="false"/>
              <w:rPr/>
            </w:pPr>
            <w:r>
              <w:rPr>
                <w:rFonts w:ascii="Times New Roman" w:hAnsi="Times New Roman"/>
                <w:color w:val="000000"/>
                <w:lang w:val="en-GB"/>
              </w:rPr>
              <w:t>Increase funding capabilities and resources for research (project claiming).</w:t>
            </w:r>
          </w:p>
          <w:p>
            <w:pPr>
              <w:pStyle w:val="Normal"/>
              <w:widowControl w:val="false"/>
              <w:rPr/>
            </w:pPr>
            <w:r>
              <w:rPr/>
            </w:r>
          </w:p>
          <w:p>
            <w:pPr>
              <w:pStyle w:val="Normal"/>
              <w:widowControl w:val="false"/>
              <w:rPr/>
            </w:pPr>
            <w:r>
              <w:rPr>
                <w:color w:val="000000"/>
                <w:lang w:val="en-GB"/>
              </w:rPr>
              <w:t>Boost Greece’s involvement and innovation in the wider field of Space studies and Geosciences and establish a national ecosystem in the field.</w:t>
            </w:r>
          </w:p>
          <w:p>
            <w:pPr>
              <w:pStyle w:val="Normal"/>
              <w:widowControl w:val="false"/>
              <w:rPr/>
            </w:pPr>
            <w:r>
              <w:rPr/>
            </w:r>
          </w:p>
          <w:p>
            <w:pPr>
              <w:pStyle w:val="Normal"/>
              <w:widowControl w:val="false"/>
              <w:rPr>
                <w:rFonts w:ascii="Times New Roman" w:hAnsi="Times New Roman"/>
                <w:i/>
                <w:i/>
                <w:color w:val="00B0F0"/>
              </w:rPr>
            </w:pPr>
            <w:r>
              <w:rPr>
                <w:rFonts w:ascii="Times New Roman" w:hAnsi="Times New Roman"/>
                <w:i/>
                <w:color w:val="00B0F0"/>
              </w:rPr>
            </w:r>
          </w:p>
        </w:tc>
      </w:tr>
      <w:tr>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rPr>
                <w:color w:val="000000"/>
              </w:rPr>
            </w:pPr>
            <w:r>
              <w:rPr>
                <w:color w:val="000000"/>
              </w:rPr>
            </w:r>
          </w:p>
          <w:p>
            <w:pPr>
              <w:pStyle w:val="Normal"/>
              <w:widowControl w:val="false"/>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rPr/>
            </w:pPr>
            <w:r>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DORIS data.</w:t>
            </w:r>
          </w:p>
          <w:p>
            <w:pPr>
              <w:pStyle w:val="Normal"/>
              <w:widowControl w:val="false"/>
              <w:rPr>
                <w:lang w:val="en-GB"/>
              </w:rPr>
            </w:pPr>
            <w:r>
              <w:rPr>
                <w:lang w:val="en-GB"/>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SLR data.</w:t>
            </w:r>
          </w:p>
          <w:p>
            <w:pPr>
              <w:pStyle w:val="Normal"/>
              <w:widowControl w:val="false"/>
              <w:rPr>
                <w:lang w:val="en-GB"/>
              </w:rPr>
            </w:pPr>
            <w:r>
              <w:rPr>
                <w:lang w:val="en-GB"/>
              </w:rPr>
            </w:r>
          </w:p>
          <w:p>
            <w:pPr>
              <w:pStyle w:val="Normal"/>
              <w:widowControl w:val="false"/>
              <w:rPr>
                <w:color w:val="000000"/>
              </w:rPr>
            </w:pPr>
            <w:r>
              <w:rPr>
                <w:b/>
                <w:bCs/>
                <w:color w:val="000000"/>
                <w:lang w:val="en-GB"/>
              </w:rPr>
              <w:t>Publications:</w:t>
            </w:r>
            <w:r>
              <w:rPr>
                <w:color w:val="000000"/>
                <w:lang w:val="en-GB"/>
              </w:rPr>
              <w:t xml:space="preserve"> Three scientific papers in peer-reviewed journals a</w:t>
            </w:r>
            <w:r>
              <w:rPr>
                <w:color w:val="000000"/>
                <w:shd w:fill="auto" w:val="clear"/>
                <w:lang w:val="en-GB"/>
              </w:rPr>
              <w:t xml:space="preserve">nd five </w:t>
            </w:r>
            <w:r>
              <w:rPr>
                <w:color w:val="000000"/>
                <w:lang w:val="en-GB"/>
              </w:rPr>
              <w:t>publication in international conferences.</w:t>
            </w:r>
          </w:p>
          <w:p>
            <w:pPr>
              <w:pStyle w:val="Normal"/>
              <w:widowControl w:val="false"/>
              <w:rPr>
                <w:lang w:val="en-GB"/>
              </w:rPr>
            </w:pPr>
            <w:r>
              <w:rPr>
                <w:lang w:val="en-GB"/>
              </w:rPr>
            </w:r>
          </w:p>
          <w:p>
            <w:pPr>
              <w:pStyle w:val="Normal"/>
              <w:widowControl w:val="false"/>
              <w:rPr>
                <w:color w:val="000000"/>
              </w:rPr>
            </w:pPr>
            <w:r>
              <w:rPr>
                <w:b/>
                <w:bCs/>
                <w:color w:val="000000"/>
                <w:lang w:val="en-GB"/>
              </w:rPr>
              <w:t>Expertise:</w:t>
            </w:r>
            <w:r>
              <w:rPr>
                <w:color w:val="000000"/>
                <w:lang w:val="en-GB"/>
              </w:rPr>
              <w:t xml:space="preserve"> Three PhD students trained and one Post-Doc trained. NTUA personnel will have gained extended expertise and enhanced its research profile.</w:t>
            </w:r>
          </w:p>
          <w:p>
            <w:pPr>
              <w:pStyle w:val="Normal"/>
              <w:widowControl w:val="false"/>
              <w:rPr>
                <w:lang w:val="en-GB"/>
              </w:rPr>
            </w:pPr>
            <w:r>
              <w:rPr>
                <w:lang w:val="en-GB"/>
              </w:rPr>
            </w:r>
          </w:p>
          <w:p>
            <w:pPr>
              <w:pStyle w:val="Normal"/>
              <w:widowControl w:val="false"/>
              <w:rPr>
                <w:color w:val="000000"/>
              </w:rPr>
            </w:pPr>
            <w:r>
              <w:rPr>
                <w:b/>
                <w:bCs/>
                <w:color w:val="000000"/>
                <w:lang w:val="en-GB"/>
              </w:rPr>
              <w:t>Further Grants and Long Term Plan:</w:t>
            </w:r>
            <w:r>
              <w:rPr>
                <w:color w:val="000000"/>
                <w:lang w:val="en-GB"/>
              </w:rPr>
              <w:t xml:space="preserve"> At least two grant proposals submitted to secure further, long term involvement in state-of-the-art Space Geodesy.</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Involvement:</w:t>
            </w:r>
            <w:r>
              <w:rPr>
                <w:rFonts w:ascii="Times New Roman" w:hAnsi="Times New Roman"/>
                <w:color w:val="000000"/>
                <w:lang w:val="en-GB"/>
              </w:rPr>
              <w:t xml:space="preserve"> Involvement in international, high-prestige consortia such as IDS and IRLS, which shape the future of Space Geodesy.</w:t>
            </w:r>
          </w:p>
          <w:p>
            <w:pPr>
              <w:pStyle w:val="Normal"/>
              <w:widowControl w:val="false"/>
              <w:rPr>
                <w:rFonts w:ascii="Times New Roman" w:hAnsi="Times New Roman"/>
                <w:lang w:val="en-GB"/>
              </w:rPr>
            </w:pPr>
            <w:r>
              <w:rPr>
                <w:rFonts w:ascii="Times New Roman" w:hAnsi="Times New Roman"/>
                <w:lang w:val="en-GB"/>
              </w:rPr>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Scientific community</w:t>
            </w:r>
            <w:r>
              <w:rPr>
                <w:color w:val="000000"/>
                <w:lang w:val="en-GB"/>
              </w:rPr>
              <w:t xml:space="preserve">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of institutions involved in monitoring the region’s unique crust  kinematics/behavior (due to tectonics, seismic events, etc).</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and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rPr>
                <w:i/>
                <w:i/>
                <w:iCs/>
                <w:color w:val="000000"/>
              </w:rPr>
            </w:pPr>
            <w:r>
              <w:rPr>
                <w:b/>
                <w:bCs/>
                <w:i/>
                <w:iCs/>
                <w:color w:val="000000"/>
                <w:lang w:val="en-GB"/>
              </w:rPr>
              <w:t>S</w:t>
            </w:r>
            <w:r>
              <w:rPr>
                <w:b/>
                <w:bCs/>
                <w:color w:val="000000"/>
                <w:lang w:val="en-GB"/>
              </w:rPr>
              <w:t xml:space="preserve">ocietal: </w:t>
            </w:r>
            <w:r>
              <w:rPr>
                <w:color w:val="000000"/>
                <w:lang w:val="en-GB"/>
              </w:rPr>
              <w:t>Quenching of the crowding-out effect of young scientists experienced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Creation of a centre of excellence for Space Geodesy in Greece, with elevated international standing.</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Boost involvement, innovation and expertise for Space studies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Economic/Scientific:</w:t>
            </w:r>
            <w:r>
              <w:rPr>
                <w:color w:val="000000"/>
                <w:lang w:val="en-GB"/>
              </w:rPr>
              <w:t xml:space="preserve"> Boost host institute’s success rate in research funding bids.</w:t>
            </w:r>
          </w:p>
          <w:p>
            <w:pPr>
              <w:pStyle w:val="Normal"/>
              <w:widowControl w:val="false"/>
              <w:rPr>
                <w:color w:val="000000"/>
              </w:rPr>
            </w:pPr>
            <w:r>
              <w:rPr>
                <w:color w:val="000000"/>
              </w:rPr>
            </w:r>
          </w:p>
          <w:p>
            <w:pPr>
              <w:pStyle w:val="Normal"/>
              <w:widowControl w:val="false"/>
              <w:rPr/>
            </w:pPr>
            <w:r>
              <w:rPr>
                <w:rFonts w:ascii="Times New Roman" w:hAnsi="Times New Roman"/>
                <w:b/>
                <w:bCs/>
                <w:color w:val="000000"/>
                <w:lang w:val="en-GB"/>
              </w:rPr>
              <w:t>Scientific:</w:t>
            </w:r>
            <w:r>
              <w:rPr>
                <w:rFonts w:ascii="Times New Roman" w:hAnsi="Times New Roman"/>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sectPr>
          <w:headerReference w:type="default" r:id="rId13"/>
          <w:footerReference w:type="default" r:id="rId14"/>
          <w:type w:val="nextPage"/>
          <w:pgSz w:orient="landscape" w:w="16838" w:h="11906"/>
          <w:pgMar w:left="851" w:right="851" w:gutter="0" w:header="720" w:top="851" w:footer="720" w:bottom="851"/>
          <w:pgNumType w:fmt="decimal"/>
          <w:formProt w:val="false"/>
          <w:textDirection w:val="lrTb"/>
          <w:docGrid w:type="default" w:linePitch="100" w:charSpace="0"/>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rPr>
                <w:lang w:val="en-GB"/>
              </w:rPr>
            </w:pPr>
            <w:r>
              <w:rPr/>
              <w:t>The objectives of this WP are to: (1) Establish a strong project management scheme; (2) Establish the appropriate 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rPr/>
            </w:pPr>
            <w:r>
              <w:rPr>
                <w:b/>
                <w:bCs/>
              </w:rPr>
              <w:t>Task 1.1: Quality assurance, risk management and technical monitoring (M1 – M36); Lead: NTUA</w:t>
            </w:r>
            <w:r>
              <w:rPr/>
              <w:t>.</w:t>
            </w:r>
          </w:p>
          <w:p>
            <w:pPr>
              <w:pStyle w:val="Normal"/>
              <w:widowControl w:val="false"/>
              <w:spacing w:before="60" w:after="6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spacing w:before="60" w:after="60"/>
              <w:rPr/>
            </w:pPr>
            <w:r>
              <w:rPr/>
            </w:r>
          </w:p>
          <w:p>
            <w:pPr>
              <w:pStyle w:val="Normal"/>
              <w:widowControl w:val="false"/>
              <w:spacing w:before="60" w:after="60"/>
              <w:rPr/>
            </w:pPr>
            <w:r>
              <w:rPr>
                <w:b/>
                <w:bCs/>
              </w:rPr>
              <w:t>Task 1.2: Day-to-Day management of the project, financial control and resource monitoring (M1 – M36);</w:t>
            </w:r>
          </w:p>
          <w:p>
            <w:pPr>
              <w:pStyle w:val="Normal"/>
              <w:widowControl w:val="false"/>
              <w:spacing w:before="60" w:after="60"/>
              <w:rPr/>
            </w:pPr>
            <w:r>
              <w:rPr>
                <w:b/>
                <w:bCs/>
              </w:rPr>
              <w:t>Lead: NTUA</w:t>
            </w:r>
            <w:r>
              <w:rPr/>
              <w:t>.</w:t>
            </w:r>
          </w:p>
          <w:p>
            <w:pPr>
              <w:pStyle w:val="Normal"/>
              <w:widowControl w:val="false"/>
              <w:spacing w:before="60" w:after="6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spacing w:before="60" w:after="60"/>
              <w:rPr/>
            </w:pPr>
            <w:r>
              <w:rPr/>
            </w:r>
          </w:p>
          <w:p>
            <w:pPr>
              <w:pStyle w:val="Normal"/>
              <w:widowControl w:val="false"/>
              <w:spacing w:before="60" w:after="60"/>
              <w:rPr/>
            </w:pPr>
            <w:r>
              <w:rPr>
                <w:b/>
                <w:bCs/>
              </w:rPr>
              <w:t>Task 1.3: Project Reporting to EU (M1 – M36); Lead: NTUA</w:t>
            </w:r>
          </w:p>
          <w:p>
            <w:pPr>
              <w:pStyle w:val="Normal"/>
              <w:widowControl w:val="false"/>
              <w:spacing w:before="60" w:after="6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6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networking and collaboration between twinning partners and international consortia (i.e. IDS, ILRS and IVS)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(per technique) from expert nodes to the coordinator</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research capacity building (mid-term and long-term)</w:t>
            </w:r>
          </w:p>
          <w:p>
            <w:pPr>
              <w:pStyle w:val="Normal"/>
              <w:widowControl w:val="false"/>
              <w:numPr>
                <w:ilvl w:val="0"/>
                <w:numId w:val="8"/>
              </w:numPr>
              <w:spacing w:before="60" w:after="60"/>
              <w:rPr/>
            </w:pPr>
            <w:r>
              <w:rPr>
                <w:rFonts w:ascii="Times New Roman" w:hAnsi="Times New Roman"/>
                <w:b w:val="false"/>
                <w:bCs w:val="false"/>
                <w:lang w:val="en-GB"/>
              </w:rPr>
              <w:t>recruitment of at least three PhD students and three PostDoc students to support research capacity building</w:t>
            </w:r>
          </w:p>
          <w:p>
            <w:pPr>
              <w:pStyle w:val="Normal"/>
              <w:widowControl w:val="false"/>
              <w:numPr>
                <w:ilvl w:val="0"/>
                <w:numId w:val="8"/>
              </w:numPr>
              <w:spacing w:before="60" w:after="60"/>
              <w:rPr/>
            </w:pPr>
            <w:r>
              <w:rPr>
                <w:rFonts w:ascii="Times New Roman" w:hAnsi="Times New Roman"/>
                <w:b w:val="false"/>
                <w:bCs w:val="false"/>
                <w:lang w:val="en-GB"/>
              </w:rPr>
              <w:t>establish and train a task force at NTUA aiming at boosting its success rate in research funding bids</w:t>
            </w:r>
          </w:p>
          <w:p>
            <w:pPr>
              <w:pStyle w:val="Normal"/>
              <w:widowControl w:val="false"/>
              <w:numPr>
                <w:ilvl w:val="0"/>
                <w:numId w:val="8"/>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Networking and transfer of knowledge for DORIS (M1-M12); Lead IPGP</w:t>
            </w:r>
          </w:p>
          <w:p>
            <w:pPr>
              <w:pStyle w:val="Normal"/>
              <w:widowControl w:val="false"/>
              <w:spacing w:before="60" w:after="60"/>
              <w:jc w:val="both"/>
              <w:rPr/>
            </w:pPr>
            <w:r>
              <w:rPr>
                <w:lang w:val="en-GB"/>
              </w:rPr>
              <w:t>The host institute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in the host institute via online webinars, virtual training, videos conferences, venture labs and one short term encounter of all three involved partners. Knowledge exchange in this phase will include data curation, analysis pipelines, identification of technique specific error-budget and its treatment and mitigation, instrumentation and technique specific results, applications and future prospects. The short term visit will be hosted by IPGP and will include the schooling of the host’s personnel and its training on software tools used by the expert nodes in their respective institutes.</w:t>
            </w:r>
          </w:p>
          <w:p>
            <w:pPr>
              <w:pStyle w:val="Normal"/>
              <w:widowControl w:val="false"/>
              <w:spacing w:before="60" w:after="60"/>
              <w:jc w:val="both"/>
              <w:rPr/>
            </w:pPr>
            <w:r>
              <w:rPr/>
              <w:t>The partners will also decide on a technique-specific PhD thesis and one Post-Doc Thesis, which they will co-supervise, thus strengthening ties and synergies. Both theses will be carried out in NTUA, in close cooperation with the expert nodes, and written/defended in English.</w:t>
            </w:r>
          </w:p>
          <w:p>
            <w:pPr>
              <w:pStyle w:val="Normal"/>
              <w:widowControl w:val="false"/>
              <w:spacing w:before="60" w:after="60"/>
              <w:jc w:val="both"/>
              <w:rPr/>
            </w:pPr>
            <w:r>
              <w:rPr/>
              <w:t>Additionally, exploiting the expertise of the top-class institutes (IPGP and CLS), the partners will draw out a detailed plan on significantly enhancing the host’s research capacity within the time frame of ACRONYM, through designing and implementing a DORIS data analysis toolbox. This plan will include specifications, standards and models as well as hierarchically ordered tasks, eventually leading to reaching state-of-the-art analysis results (i.e. Associate Analysis Center status).</w:t>
            </w:r>
          </w:p>
          <w:p>
            <w:pPr>
              <w:pStyle w:val="Normal"/>
              <w:widowControl w:val="false"/>
              <w:spacing w:before="60" w:after="60"/>
              <w:jc w:val="both"/>
              <w:rPr/>
            </w:pPr>
            <w:r>
              <w:rPr/>
              <w:t>Furthermore, this three-part consortium will decide on  two technique-related subjects to work on, aiming at two scientific publications in high-impact peer-reviewed scientific journals (impact factor &gt; 2.4).</w:t>
            </w:r>
          </w:p>
          <w:p>
            <w:pPr>
              <w:pStyle w:val="Normal"/>
              <w:widowControl w:val="false"/>
              <w:spacing w:before="60" w:after="60"/>
              <w:jc w:val="both"/>
              <w:rPr/>
            </w:pPr>
            <w:r>
              <w:rPr/>
              <w:t>Expert nodes will introduce the host to the IDS consortium</w:t>
            </w:r>
            <w:r>
              <w:rPr>
                <w:lang w:val="en-GB"/>
              </w:rPr>
              <w:t>,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Networking and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its peers in the host institute via online webinars, virtual training, video conferences, venture labs and one short term encounter, hosted by GFZ. Knowledge exchange in this phase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GFZ, the two partners will lay out a detailed plan on significantly enhancing the host’s research capacity within the time frame of ACRONYM, through designing and implementing an SLR data analysis toolbox. It will include specifications, standards and models as well as hierarchically ordered tasks, eventually leading to reaching state-of-the-art analysis results (i.e. Associate Analysis Center status).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GFZ will introduce the host to the ILRS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Networking and preparing research capacity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its peers in the host institute via online webinars, virtual training, video conferences, venture labs and one short term encounter, hosted by OSO. Knowledge exchange in this phase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OSO, the partners will lay out a detailed plan on significantly enhancing the host’s research capacity within the time frame of ACRONYM, through designing and implementing a geodetic toolbox, specifically aiming at an efficient and accurate handling of Earth orientation parameters, celestial and terrestrial reference frame transformations and modeling of tidal phenomena. This plan will include state-of-the-art standards and models to be used, as well as testing and validation cases. Tasks will be hierarchically ordered in a precision ordered fashion, eventually leading to achieving utmost quality.</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OSO will introduce the host to the IVS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2.4 Enhancing Research Funding Capacity (M1-M24); Lead CLS</w:t>
            </w:r>
          </w:p>
          <w:p>
            <w:pPr>
              <w:pStyle w:val="Normal"/>
              <w:widowControl w:val="false"/>
              <w:spacing w:before="60" w:after="60"/>
              <w:jc w:val="both"/>
              <w:rPr/>
            </w:pPr>
            <w:r>
              <w:rPr>
                <w:lang w:val="en-GB"/>
              </w:rPr>
              <w:t>The host institute will establish a task force made up of NTUA employees, which will be trained in project funding seeking, proposal submission and research project management. The consortium partners (CLS, IPGP, GFZ and OSO) will transfer technical knowledge, know-how and expertise to NTUA, concerning the writing and submitting of research proposals, as well as the efficient administration of research intensive scientific projects.</w:t>
            </w:r>
          </w:p>
          <w:p>
            <w:pPr>
              <w:pStyle w:val="Normal"/>
              <w:widowControl w:val="false"/>
              <w:spacing w:before="60" w:after="60"/>
              <w:jc w:val="both"/>
              <w:rPr/>
            </w:pPr>
            <w:r>
              <w:rPr/>
              <w:t>Additionally, all partners will be involved in exploring possibilities and capabilities in:</w:t>
            </w:r>
          </w:p>
          <w:p>
            <w:pPr>
              <w:pStyle w:val="Normal"/>
              <w:widowControl w:val="false"/>
              <w:numPr>
                <w:ilvl w:val="0"/>
                <w:numId w:val="11"/>
              </w:numPr>
              <w:spacing w:before="60" w:after="60"/>
              <w:jc w:val="both"/>
              <w:rPr/>
            </w:pPr>
            <w:r>
              <w:rPr/>
              <w:t xml:space="preserve">research funding via </w:t>
            </w:r>
            <w:r>
              <w:rPr>
                <w:lang w:val="en-GB"/>
              </w:rPr>
              <w:t>European research funding pools and consortia (e.g. EU, ESA, etc)</w:t>
            </w:r>
          </w:p>
          <w:p>
            <w:pPr>
              <w:pStyle w:val="Normal"/>
              <w:widowControl w:val="false"/>
              <w:numPr>
                <w:ilvl w:val="0"/>
                <w:numId w:val="11"/>
              </w:numPr>
              <w:spacing w:before="60" w:after="60"/>
              <w:jc w:val="both"/>
              <w:rPr/>
            </w:pPr>
            <w:r>
              <w:rPr>
                <w:rStyle w:val="Strong"/>
                <w:b w:val="false"/>
                <w:bCs w:val="false"/>
              </w:rPr>
              <w:t>collaborative funding (contributions from various stakeholders, such as government agencies, private foundations and industry partners)</w:t>
            </w:r>
          </w:p>
          <w:p>
            <w:pPr>
              <w:pStyle w:val="Normal"/>
              <w:widowControl w:val="false"/>
              <w:numPr>
                <w:ilvl w:val="0"/>
                <w:numId w:val="11"/>
              </w:numPr>
              <w:spacing w:before="60" w:after="60"/>
              <w:jc w:val="both"/>
              <w:rPr/>
            </w:pPr>
            <w:r>
              <w:rPr>
                <w:rStyle w:val="Strong"/>
                <w:b w:val="false"/>
                <w:bCs w:val="false"/>
              </w:rPr>
              <w:t>funding via research consortia and networks (e.g. funding claiming via contribution in international services such as the IDS, ILRS and IVS)</w:t>
            </w:r>
          </w:p>
          <w:p>
            <w:pPr>
              <w:pStyle w:val="Normal"/>
              <w:widowControl w:val="false"/>
              <w:numPr>
                <w:ilvl w:val="0"/>
                <w:numId w:val="11"/>
              </w:numPr>
              <w:spacing w:before="60" w:after="60"/>
              <w:jc w:val="both"/>
              <w:rPr/>
            </w:pPr>
            <w:r>
              <w:rPr>
                <w:rStyle w:val="Strong"/>
                <w:b w:val="false"/>
                <w:bCs w:val="false"/>
              </w:rPr>
              <w:t>public-private partnerships</w:t>
            </w:r>
            <w:r>
              <w:rPr>
                <w:rStyle w:val="Strong"/>
                <w:b w:val="false"/>
                <w:bCs w:val="false"/>
                <w:lang w:val="en-GB"/>
              </w:rPr>
              <w:t>, where partnerships with industry will be seeked for, to support research and development in Space and Earth Observation industry and technology</w:t>
            </w:r>
          </w:p>
          <w:p>
            <w:pPr>
              <w:pStyle w:val="Normal"/>
              <w:widowControl w:val="false"/>
              <w:spacing w:before="60" w:after="60"/>
              <w:jc w:val="both"/>
              <w:rPr/>
            </w:pPr>
            <w:r>
              <w:rPr>
                <w:lang w:val="en-GB"/>
              </w:rPr>
              <w:t>in an effort to significantly enhance future NTUA’s  successful proposal submission rate, secure financial aid for the host’s research activities and secure a long-term synergy between the consortium partners.</w:t>
            </w:r>
          </w:p>
          <w:p>
            <w:pPr>
              <w:pStyle w:val="Normal"/>
              <w:widowControl w:val="false"/>
              <w:spacing w:before="60" w:after="60"/>
              <w:jc w:val="both"/>
              <w:rPr/>
            </w:pPr>
            <w:r>
              <w:rPr>
                <w:lang w:val="en-GB"/>
              </w:rPr>
              <w:t>The task force along with the partners will decide on a strategic plan for two further research proposals to be submitted within the duration of ACRONYM</w:t>
            </w:r>
            <w:r>
              <w:rPr>
                <w:lang w:val="en-GB"/>
              </w:rPr>
              <w:t>.</w:t>
            </w:r>
          </w:p>
          <w:p>
            <w:pPr>
              <w:pStyle w:val="Normal"/>
              <w:widowControl w:val="false"/>
              <w:spacing w:before="60" w:after="60"/>
              <w:jc w:val="both"/>
              <w:rPr/>
            </w:pPr>
            <w:r>
              <w:rPr/>
            </w:r>
          </w:p>
          <w:p>
            <w:pPr>
              <w:pStyle w:val="Normal"/>
              <w:widowControl w:val="false"/>
              <w:spacing w:before="60" w:after="60"/>
              <w:jc w:val="both"/>
              <w:rPr>
                <w:b/>
                <w:b/>
                <w:bCs/>
              </w:rPr>
            </w:pPr>
            <w:r>
              <w:rPr>
                <w:b/>
                <w:bCs/>
              </w:rPr>
              <w:t>Task 2.5 Establishing a Greek Ecosystem of Partners in Space-based Geosciences (M12-24);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15">
              <w:r>
                <w:rPr>
                  <w:rStyle w:val="InternetLink"/>
                  <w:lang w:val="en-GB"/>
                </w:rPr>
                <w:t>https://libre.space/</w:t>
              </w:r>
            </w:hyperlink>
            <w:r>
              <w:rPr>
                <w:lang w:val="en-GB"/>
              </w:rPr>
              <w:t>), Geosystems Hellas (</w:t>
            </w:r>
            <w:hyperlink r:id="rId16">
              <w:r>
                <w:rPr>
                  <w:rStyle w:val="InternetLink"/>
                  <w:lang w:val="en-GB"/>
                </w:rPr>
                <w:t>https://www.geosystems-hellas.gr/</w:t>
              </w:r>
            </w:hyperlink>
            <w:r>
              <w:rPr>
                <w:lang w:val="en-GB"/>
              </w:rPr>
              <w:t>), Planetek Hellas (</w:t>
            </w:r>
            <w:hyperlink r:id="rId17">
              <w:r>
                <w:rPr>
                  <w:rStyle w:val="InternetLink"/>
                  <w:lang w:val="en-GB"/>
                </w:rPr>
                <w:t>https://www.planetek.gr/</w:t>
              </w:r>
            </w:hyperlink>
            <w:r>
              <w:rPr>
                <w:lang w:val="en-GB"/>
              </w:rPr>
              <w:t>)), governmental agencies and institutions (e.g. National Observatory of Athens, Beyond Centre (</w:t>
            </w:r>
            <w:hyperlink r:id="rId18">
              <w:r>
                <w:rPr>
                  <w:rStyle w:val="InternetLink"/>
                  <w:lang w:val="en-GB"/>
                </w:rPr>
                <w:t>http://beyond-eocenter.eu/</w:t>
              </w:r>
            </w:hyperlink>
            <w:r>
              <w:rPr>
                <w:lang w:val="en-GB"/>
              </w:rPr>
              <w:t>), Hellenic Group on Earth Observations (</w:t>
            </w:r>
            <w:hyperlink r:id="rId19">
              <w:r>
                <w:rPr>
                  <w:rStyle w:val="Internet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pPr>
            <w:r>
              <w:rPr>
                <w:lang w:val="en-GB"/>
              </w:rPr>
              <w:t>A second, two-day conference will focus on the introduction of the different ecosystem parties, presenting  their fields of expertise, research and industry portfolios, aspirations and future work.</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(per technique)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the package will be able to efficiently incorporate recent advances and high-quality products from VLBI analysis.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 xml:space="preserve">establish a long term plan for </w:t>
            </w:r>
            <w:r>
              <w:rPr>
                <w:rFonts w:ascii="Times New Roman" w:hAnsi="Times New Roman"/>
                <w:b w:val="false"/>
                <w:bCs w:val="false"/>
                <w:lang w:val="en-GB"/>
              </w:rPr>
              <w:t>enhancing</w:t>
            </w:r>
            <w:r>
              <w:rPr>
                <w:rFonts w:ascii="Times New Roman" w:hAnsi="Times New Roman"/>
                <w:b w:val="false"/>
                <w:bCs w:val="false"/>
                <w:lang w:val="en-GB"/>
              </w:rPr>
              <w:t xml:space="preserve"> the host institute’s research capacity and international standing</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networking capacity already established in Task 2.1.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w:t>
            </w:r>
          </w:p>
          <w:p>
            <w:pPr>
              <w:pStyle w:val="Normal"/>
              <w:widowControl w:val="false"/>
              <w:spacing w:before="60" w:after="60"/>
              <w:jc w:val="both"/>
              <w:rPr/>
            </w:pPr>
            <w:r>
              <w:rPr/>
              <w:t>Software development will adopt the work plan established in Task 2.1, enabling step-by-step validation. Expert nodes will also introduce aspects of currently active intense research within the DORIS technique as well as IDS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networking capacity already established in Task 2.2.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w:t>
            </w:r>
          </w:p>
          <w:p>
            <w:pPr>
              <w:pStyle w:val="Normal"/>
              <w:widowControl w:val="false"/>
              <w:spacing w:before="60" w:after="60"/>
              <w:jc w:val="both"/>
              <w:rPr/>
            </w:pPr>
            <w:r>
              <w:rPr/>
              <w:t>Software development will adopt the work plan established in Task 2.2, enabling step-by-step validation. GFZ will also introduce aspects of currently active intense research within the SLR technique as well as ILRS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networking capacity already established in Task 2.3. Knowledge transfer at this stage will include robust algorithmic and design approaches, best modeling practices, state-of-the-art methodologies and implementation strategies.</w:t>
            </w:r>
          </w:p>
          <w:p>
            <w:pPr>
              <w:pStyle w:val="Normal"/>
              <w:widowControl w:val="false"/>
              <w:spacing w:before="60" w:after="60"/>
              <w:jc w:val="both"/>
              <w:rPr/>
            </w:pPr>
            <w:r>
              <w:rPr>
                <w:lang w:val="en-GB"/>
              </w:rPr>
              <w:t>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r>
          </w:p>
          <w:p>
            <w:pPr>
              <w:pStyle w:val="Normal"/>
              <w:widowControl w:val="false"/>
              <w:spacing w:before="60" w:after="60"/>
              <w:jc w:val="both"/>
              <w:rPr>
                <w:b/>
                <w:b/>
                <w:bCs/>
              </w:rPr>
            </w:pPr>
            <w:r>
              <w:rPr>
                <w:b/>
                <w:bCs/>
                <w:lang w:val="en-GB"/>
              </w:rPr>
              <w:t>Task 3.4 Long term plan for centre of excellence (M30-36); Lead NTUA</w:t>
            </w:r>
          </w:p>
          <w:p>
            <w:pPr>
              <w:pStyle w:val="Normal"/>
              <w:widowControl w:val="false"/>
              <w:spacing w:before="60" w:after="60"/>
              <w:jc w:val="both"/>
              <w:rPr/>
            </w:pPr>
            <w:r>
              <w:rPr>
                <w:lang w:val="en-GB"/>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research capacity built and propose means to mitigate them.</w:t>
            </w:r>
          </w:p>
          <w:p>
            <w:pPr>
              <w:pStyle w:val="Normal"/>
              <w:widowControl w:val="false"/>
              <w:spacing w:before="60" w:after="60"/>
              <w:rPr>
                <w:rFonts w:ascii="Times New Roman" w:hAnsi="Times New Roman"/>
                <w:lang w:val="en-GB"/>
              </w:rPr>
            </w:pPr>
            <w:r>
              <w:rPr>
                <w:rFonts w:ascii="Times New Roman" w:hAnsi="Times New Roman"/>
                <w:lang w:val="en-GB"/>
              </w:rPr>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establishment of an national (Greek) ecosystem of stakeholders related to Space studies and Geosciences; strengthen ties, promote networking,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(M1-M36); Lead NTUA</w:t>
            </w:r>
          </w:p>
          <w:p>
            <w:pPr>
              <w:pStyle w:val="Normal"/>
              <w:widowControl w:val="false"/>
              <w:spacing w:before="60" w:after="60"/>
              <w:jc w:val="both"/>
              <w:rPr/>
            </w:pPr>
            <w:r>
              <w:rPr>
                <w:lang w:val="en-GB"/>
              </w:rPr>
              <w:t xml:space="preserve">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 </w:t>
            </w: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(M1-M36); Lead NTUA</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targeting when possible technique-related workshops (e.g. Analysis Centre Workshops organized by IDS and/or ILRS).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7"/>
        <w:gridCol w:w="2077"/>
        <w:gridCol w:w="1293"/>
        <w:gridCol w:w="1385"/>
        <w:gridCol w:w="1388"/>
        <w:gridCol w:w="1757"/>
        <w:gridCol w:w="1125"/>
      </w:tblGrid>
      <w:tr>
        <w:trPr/>
        <w:tc>
          <w:tcPr>
            <w:tcW w:w="13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Technical Quality Assurance Plan</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Coordination &amp; Project Management Report</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6,24,36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D1.3</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Interim &amp; Final Report</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22,36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 xml:space="preserve">Long term funding plan </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pPr>
            <w:r>
              <w:rP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 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pPr>
            <w:r>
              <w:rPr/>
              <w:t>Long term plan for center of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D4.4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50"/>
        <w:gridCol w:w="2260"/>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5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6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MS1</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MS2</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5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5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16"/>
        <w:gridCol w:w="2421"/>
        <w:gridCol w:w="3828"/>
      </w:tblGrid>
      <w:tr>
        <w:trPr/>
        <w:tc>
          <w:tcPr>
            <w:tcW w:w="38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2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1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1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9"/>
        <w:gridCol w:w="1478"/>
        <w:gridCol w:w="1467"/>
        <w:gridCol w:w="1457"/>
        <w:gridCol w:w="3123"/>
      </w:tblGrid>
      <w:tr>
        <w:trPr/>
        <w:tc>
          <w:tcPr>
            <w:tcW w:w="2399"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7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5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2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9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7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9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7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7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7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5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2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0"/>
      <w:footerReference w:type="default" r:id="rId21"/>
      <w:type w:val="nextPage"/>
      <w:pgSz w:w="11906" w:h="16838"/>
      <w:pgMar w:left="851" w:right="851" w:gutter="0" w:header="72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15"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36"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12"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68" wp14:anchorId="402D5860">
              <wp:simplePos x="0" y="0"/>
              <wp:positionH relativeFrom="column">
                <wp:posOffset>0</wp:posOffset>
              </wp:positionH>
              <wp:positionV relativeFrom="paragraph">
                <wp:posOffset>635</wp:posOffset>
              </wp:positionV>
              <wp:extent cx="6616700" cy="267335"/>
              <wp:effectExtent l="5080" t="5715" r="5080" b="4445"/>
              <wp:wrapNone/>
              <wp:docPr id="13"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17</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17</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footer" Target="footer3.xml"/><Relationship Id="rId13" Type="http://schemas.openxmlformats.org/officeDocument/2006/relationships/header" Target="header8.xml"/><Relationship Id="rId14" Type="http://schemas.openxmlformats.org/officeDocument/2006/relationships/footer" Target="footer4.xml"/><Relationship Id="rId15" Type="http://schemas.openxmlformats.org/officeDocument/2006/relationships/hyperlink" Target="https://libre.space/" TargetMode="External"/><Relationship Id="rId16" Type="http://schemas.openxmlformats.org/officeDocument/2006/relationships/hyperlink" Target="https://www.geosystems-hellas.gr/" TargetMode="External"/><Relationship Id="rId17" Type="http://schemas.openxmlformats.org/officeDocument/2006/relationships/hyperlink" Target="https://www.planetek.gr/" TargetMode="External"/><Relationship Id="rId18" Type="http://schemas.openxmlformats.org/officeDocument/2006/relationships/hyperlink" Target="http://beyond-eocenter.eu/" TargetMode="External"/><Relationship Id="rId19" Type="http://schemas.openxmlformats.org/officeDocument/2006/relationships/hyperlink" Target="https://www.greekgeo.noa.gr/" TargetMode="External"/><Relationship Id="rId20" Type="http://schemas.openxmlformats.org/officeDocument/2006/relationships/header" Target="header9.xml"/><Relationship Id="rId21" Type="http://schemas.openxmlformats.org/officeDocument/2006/relationships/footer" Target="footer5.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3228</TotalTime>
  <Application>LibreOffice/7.4.7.2$Linux_X86_64 LibreOffice_project/40$Build-2</Application>
  <AppVersion>15.0000</AppVersion>
  <Pages>29</Pages>
  <Words>9258</Words>
  <Characters>54552</Characters>
  <CharactersWithSpaces>63268</CharactersWithSpaces>
  <Paragraphs>590</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2023-08-01T15:49:51Z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