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101"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5930535"/>
            <w:bookmarkStart w:id="2" w:name="_Toc448828577"/>
            <w:bookmarkStart w:id="3" w:name="_Toc448828797"/>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28579"/>
            <w:bookmarkStart w:id="11" w:name="_Toc448834153"/>
            <w:bookmarkStart w:id="12" w:name="_Toc44882879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1.1.1 Space Geodesy and Earth Observation</w:t>
      </w:r>
    </w:p>
    <w:p>
      <w:pPr>
        <w:pStyle w:val="TextBody"/>
        <w:ind w:left="0" w:hanging="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TextBody"/>
        <w:ind w:left="0" w:hanging="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TextBody"/>
        <w:ind w:left="0" w:hanging="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TextBody"/>
        <w:ind w:left="0" w:hanging="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TextBody"/>
        <w:ind w:left="0" w:hanging="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TextBody"/>
        <w:ind w:left="0" w:hanging="0"/>
        <w:rPr>
          <w:rStyle w:val="Strong"/>
          <w:b w:val="false"/>
          <w:b w:val="false"/>
          <w:bCs w:val="false"/>
        </w:rPr>
      </w:pPr>
      <w:r>
        <w:rPr>
          <w:b w:val="false"/>
          <w:bCs w:val="false"/>
        </w:rPr>
      </w:r>
    </w:p>
    <w:p>
      <w:pPr>
        <w:pStyle w:val="Normal"/>
        <w:widowControl/>
        <w:spacing w:before="0" w:after="200"/>
        <w:jc w:val="both"/>
        <w:rPr>
          <w:b/>
          <w:b/>
          <w:bCs/>
        </w:rPr>
      </w:pPr>
      <w:r>
        <w:rPr>
          <w:b/>
          <w:bCs/>
        </w:rPr>
        <w:t>1.1.2 NTUA and Space Geodesy in Greece</w:t>
      </w:r>
    </w:p>
    <w:p>
      <w:pPr>
        <w:pStyle w:val="TextBody"/>
        <w:ind w:left="0" w:hanging="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TextBody"/>
        <w:ind w:left="0" w:hanging="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TextBody"/>
        <w:ind w:left="0" w:hanging="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TextBody"/>
        <w:ind w:left="0" w:hanging="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TextBody"/>
        <w:ind w:left="0" w:hanging="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TextBody"/>
        <w:ind w:left="0" w:hanging="0"/>
        <w:rPr/>
      </w:pPr>
      <w:r>
        <w:rPr/>
      </w:r>
    </w:p>
    <w:p>
      <w:pPr>
        <w:pStyle w:val="Normal"/>
        <w:widowControl/>
        <w:spacing w:before="0" w:after="200"/>
        <w:jc w:val="both"/>
        <w:rPr>
          <w:b/>
          <w:b/>
          <w:bCs/>
        </w:rPr>
      </w:pPr>
      <w:r>
        <w:rPr>
          <w:b/>
          <w:bCs/>
        </w:rPr>
        <w:t>1.1.3 ACRONYM Objectives</w:t>
      </w:r>
    </w:p>
    <w:p>
      <w:pPr>
        <w:pStyle w:val="TextBody"/>
        <w:ind w:left="0" w:hanging="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TextBody"/>
        <w:ind w:left="0" w:hanging="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TextBody"/>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TextBody"/>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TextBody"/>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TextBody"/>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TextBody"/>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TextBody"/>
        <w:numPr>
          <w:ilvl w:val="0"/>
          <w:numId w:val="0"/>
        </w:numPr>
        <w:ind w:left="720" w:hanging="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9"/>
              </w:numPr>
              <w:rPr/>
            </w:pPr>
            <w:r>
              <w:rPr/>
              <w:t>Number of host institute staff trained</w:t>
            </w:r>
          </w:p>
          <w:p>
            <w:pPr>
              <w:pStyle w:val="TextBody"/>
              <w:widowControl w:val="false"/>
              <w:numPr>
                <w:ilvl w:val="0"/>
                <w:numId w:val="9"/>
              </w:numPr>
              <w:rPr/>
            </w:pPr>
            <w:r>
              <w:rPr/>
              <w:t>Number of host institute staff involved in software development</w:t>
            </w:r>
          </w:p>
          <w:p>
            <w:pPr>
              <w:pStyle w:val="TextBody"/>
              <w:widowControl w:val="false"/>
              <w:numPr>
                <w:ilvl w:val="0"/>
                <w:numId w:val="9"/>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9"/>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TextBody"/>
              <w:widowControl w:val="false"/>
              <w:numPr>
                <w:ilvl w:val="0"/>
                <w:numId w:val="9"/>
              </w:numPr>
              <w:rPr/>
            </w:pPr>
            <w:r>
              <w:rPr/>
              <w:t>analysis of DORIS observations</w:t>
            </w:r>
          </w:p>
          <w:p>
            <w:pPr>
              <w:pStyle w:val="TextBody"/>
              <w:widowControl w:val="false"/>
              <w:numPr>
                <w:ilvl w:val="0"/>
                <w:numId w:val="9"/>
              </w:numPr>
              <w:rPr/>
            </w:pPr>
            <w:r>
              <w:rPr/>
              <w:t>analysis of SLR observations</w:t>
            </w:r>
          </w:p>
          <w:p>
            <w:pPr>
              <w:pStyle w:val="TextBody"/>
              <w:widowControl w:val="false"/>
              <w:numPr>
                <w:ilvl w:val="0"/>
                <w:numId w:val="9"/>
              </w:numPr>
              <w:rPr/>
            </w:pPr>
            <w:r>
              <w:rPr/>
              <w:t>state-of-the-art handling of EOPs</w:t>
            </w:r>
          </w:p>
          <w:p>
            <w:pPr>
              <w:pStyle w:val="TextBody"/>
              <w:widowControl w:val="false"/>
              <w:ind w:left="0" w:hanging="0"/>
              <w:rPr/>
            </w:pPr>
            <w:r>
              <w:rPr/>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TextBody"/>
              <w:widowControl w:val="false"/>
              <w:numPr>
                <w:ilvl w:val="0"/>
                <w:numId w:val="9"/>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applicants for PhD, PostDoc and (possible) tenure open positions. Expected to take place gradually after the start of ACRONYM.</w:t>
            </w:r>
          </w:p>
          <w:p>
            <w:pPr>
              <w:pStyle w:val="TextBody"/>
              <w:widowControl w:val="false"/>
              <w:numPr>
                <w:ilvl w:val="0"/>
                <w:numId w:val="10"/>
              </w:numPr>
              <w:rPr/>
            </w:pPr>
            <w:r>
              <w:rPr/>
              <w:t>Number of funding bids submitted including PhD and PostDoc studies (carried out in host institute)</w:t>
            </w:r>
          </w:p>
          <w:p>
            <w:pPr>
              <w:pStyle w:val="TextBody"/>
              <w:widowControl w:val="false"/>
              <w:numPr>
                <w:ilvl w:val="0"/>
                <w:numId w:val="10"/>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conferences/workshops attended</w:t>
            </w:r>
          </w:p>
          <w:p>
            <w:pPr>
              <w:pStyle w:val="TextBody"/>
              <w:widowControl w:val="false"/>
              <w:numPr>
                <w:ilvl w:val="0"/>
                <w:numId w:val="12"/>
              </w:numPr>
              <w:rPr/>
            </w:pPr>
            <w:r>
              <w:rPr/>
              <w:t>Number of scientific publications in high-impact journals</w:t>
            </w:r>
          </w:p>
          <w:p>
            <w:pPr>
              <w:pStyle w:val="TextBody"/>
              <w:widowControl w:val="false"/>
              <w:numPr>
                <w:ilvl w:val="0"/>
                <w:numId w:val="12"/>
              </w:numPr>
              <w:rPr/>
            </w:pPr>
            <w:r>
              <w:rPr/>
              <w:t>Impact factor of scientific journals publishing results of ACRONYM</w:t>
            </w:r>
          </w:p>
          <w:p>
            <w:pPr>
              <w:pStyle w:val="TextBody"/>
              <w:widowControl w:val="false"/>
              <w:numPr>
                <w:ilvl w:val="0"/>
                <w:numId w:val="12"/>
              </w:numPr>
              <w:rPr/>
            </w:pPr>
            <w:r>
              <w:rPr/>
              <w:t>Level of involvement in International Association of Geodesy (IAG) and GGOS</w:t>
            </w:r>
          </w:p>
          <w:p>
            <w:pPr>
              <w:pStyle w:val="TextBody"/>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Coordinator staff visiting ACRONYM partnership</w:t>
            </w:r>
          </w:p>
          <w:p>
            <w:pPr>
              <w:pStyle w:val="TextBody"/>
              <w:widowControl w:val="false"/>
              <w:numPr>
                <w:ilvl w:val="0"/>
                <w:numId w:val="12"/>
              </w:numPr>
              <w:rPr/>
            </w:pPr>
            <w:r>
              <w:rPr/>
              <w:t>Number of partner staff visiting NTUA</w:t>
            </w:r>
          </w:p>
          <w:p>
            <w:pPr>
              <w:pStyle w:val="TextBody"/>
              <w:widowControl w:val="false"/>
              <w:numPr>
                <w:ilvl w:val="0"/>
                <w:numId w:val="12"/>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host institute staff trained (included in research administration unit)</w:t>
            </w:r>
          </w:p>
          <w:p>
            <w:pPr>
              <w:pStyle w:val="TextBody"/>
              <w:widowControl w:val="false"/>
              <w:numPr>
                <w:ilvl w:val="0"/>
                <w:numId w:val="13"/>
              </w:numPr>
              <w:rPr/>
            </w:pPr>
            <w:r>
              <w:rPr/>
              <w:t>Number of research proposals submitted (within the time span of ACRONYM)</w:t>
            </w:r>
          </w:p>
          <w:p>
            <w:pPr>
              <w:pStyle w:val="TextBody"/>
              <w:widowControl w:val="false"/>
              <w:numPr>
                <w:ilvl w:val="0"/>
                <w:numId w:val="13"/>
              </w:numPr>
              <w:rPr/>
            </w:pPr>
            <w:r>
              <w:rPr/>
              <w:t>Diversity of funding pools targeted</w:t>
            </w:r>
          </w:p>
          <w:p>
            <w:pPr>
              <w:pStyle w:val="TextBody"/>
              <w:widowControl w:val="false"/>
              <w:numPr>
                <w:ilvl w:val="0"/>
                <w:numId w:val="13"/>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Establish a Greek ecosystem of space-based geosciences and promote R&amp;I</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1"/>
              </w:numPr>
              <w:rPr/>
            </w:pPr>
            <w:r>
              <w:rPr/>
              <w:t>Number of stakeholders present in info-days and meetings.</w:t>
            </w:r>
          </w:p>
          <w:p>
            <w:pPr>
              <w:pStyle w:val="TextBody"/>
              <w:widowControl w:val="false"/>
              <w:numPr>
                <w:ilvl w:val="0"/>
                <w:numId w:val="11"/>
              </w:numPr>
              <w:rPr/>
            </w:pPr>
            <w:r>
              <w:rPr/>
              <w:t>Number of stakeholders included in research proposals submitted</w:t>
            </w:r>
          </w:p>
          <w:p>
            <w:pPr>
              <w:pStyle w:val="TextBody"/>
              <w:widowControl w:val="false"/>
              <w:numPr>
                <w:ilvl w:val="0"/>
                <w:numId w:val="11"/>
              </w:numPr>
              <w:rPr/>
            </w:pPr>
            <w:r>
              <w:rPr/>
              <w:t>Number of stakeholders interested in and/or subscribed to the ACRONYM newsletter</w:t>
            </w:r>
          </w:p>
          <w:p>
            <w:pPr>
              <w:pStyle w:val="TextBody"/>
              <w:widowControl w:val="false"/>
              <w:numPr>
                <w:ilvl w:val="0"/>
                <w:numId w:val="11"/>
              </w:numPr>
              <w:rPr>
                <w:highlight w:val="none"/>
                <w:shd w:fill="auto" w:val="clear"/>
              </w:rPr>
            </w:pPr>
            <w:r>
              <w:rPr>
                <w:shd w:fill="auto" w:val="clear"/>
              </w:rPr>
              <w:t>Number of stakeholders requesting/accessing online lectures and training videos (via ACRONYM’s website)</w:t>
            </w:r>
          </w:p>
          <w:p>
            <w:pPr>
              <w:pStyle w:val="TextBody"/>
              <w:widowControl w:val="false"/>
              <w:numPr>
                <w:ilvl w:val="0"/>
                <w:numId w:val="11"/>
              </w:numPr>
              <w:rPr>
                <w:highlight w:val="none"/>
                <w:shd w:fill="auto" w:val="clear"/>
              </w:rPr>
            </w:pPr>
            <w:r>
              <w:rPr>
                <w:shd w:fill="auto" w:val="clear"/>
              </w:rPr>
              <w:t>Number of stakeholders requested attendance in the Summer School</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TextBody"/>
        <w:ind w:left="0" w:hanging="0"/>
        <w:rPr>
          <w:b w:val="false"/>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TextBody"/>
        <w:ind w:left="0" w:hanging="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TextBody"/>
        <w:ind w:left="0" w:hanging="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TextBody"/>
        <w:ind w:left="0" w:hanging="0"/>
        <w:rPr/>
      </w:pPr>
      <w:r>
        <w:rPr>
          <w:b w:val="false"/>
          <w:bCs w:val="false"/>
        </w:rPr>
        <w:t>Dedicated dissemination and communication activities are also included, aiming at promoting activities and results of ACRONYM, maximizing its impact and exploiting its outcomes.</w:t>
      </w:r>
    </w:p>
    <w:p>
      <w:pPr>
        <w:pStyle w:val="TextBody"/>
        <w:ind w:left="0" w:hanging="0"/>
        <w:rPr/>
      </w:pPr>
      <w:r>
        <w:rPr/>
      </w:r>
    </w:p>
    <w:p>
      <w:pPr>
        <w:pStyle w:val="Normal"/>
        <w:spacing w:before="0" w:after="200"/>
        <w:jc w:val="both"/>
        <w:rPr>
          <w:b/>
          <w:b/>
          <w:bCs/>
        </w:rPr>
      </w:pPr>
      <w:r>
        <w:rPr>
          <w:b/>
          <w:bCs/>
        </w:rPr>
        <w:t>1.2.2 Enhancing Research Capacity and Achieving Scientific Excellence</w:t>
      </w:r>
    </w:p>
    <w:p>
      <w:pPr>
        <w:pStyle w:val="TextBody"/>
        <w:ind w:left="0" w:hanging="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TextBody"/>
        <w:ind w:left="0" w:hanging="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TextBody"/>
        <w:ind w:left="0" w:hanging="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TextBody"/>
        <w:ind w:left="0" w:hanging="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TextBody"/>
        <w:ind w:left="0" w:hanging="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TextBody"/>
        <w:ind w:left="0" w:hanging="0"/>
        <w:rPr>
          <w:rFonts w:ascii="Nimbus Roman" w:hAnsi="Nimbus Roman"/>
          <w:b/>
          <w:b/>
          <w:bCs/>
          <w:u w:val="single"/>
        </w:rPr>
      </w:pPr>
      <w:r>
        <w:rPr>
          <w:b/>
          <w:bCs/>
          <w:u w:val="single"/>
        </w:rPr>
      </w:r>
    </w:p>
    <w:p>
      <w:pPr>
        <w:pStyle w:val="TextBody"/>
        <w:ind w:left="0" w:hanging="0"/>
        <w:rPr>
          <w:rFonts w:ascii="Nimbus Roman" w:hAnsi="Nimbus Roman"/>
          <w:b/>
          <w:b/>
          <w:bCs/>
          <w:u w:val="single"/>
        </w:rPr>
      </w:pPr>
      <w:r>
        <w:rPr>
          <w:b/>
          <w:bCs/>
          <w:u w:val="single"/>
        </w:rPr>
        <w:t>Expert Nodes</w:t>
      </w:r>
    </w:p>
    <w:p>
      <w:pPr>
        <w:pStyle w:val="TextBody"/>
        <w:ind w:left="0" w:hanging="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TextBody"/>
        <w:ind w:left="0" w:hanging="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TextBody"/>
        <w:ind w:left="0" w:hanging="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TextBody"/>
        <w:ind w:left="0" w:hanging="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TextBody"/>
        <w:ind w:left="0" w:hanging="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TextBody"/>
        <w:ind w:left="0" w:hanging="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TextBody"/>
        <w:ind w:left="0" w:hanging="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w:t>
      </w:r>
    </w:p>
    <w:p>
      <w:pPr>
        <w:pStyle w:val="TextBody"/>
        <w:ind w:left="0" w:hanging="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TextBody"/>
        <w:ind w:left="0" w:hanging="0"/>
        <w:rPr>
          <w:rFonts w:ascii="Nimbus Roman" w:hAnsi="Nimbus Roman"/>
        </w:rPr>
      </w:pPr>
      <w:r>
        <w:rPr/>
        <w:t>Knowledge transfer will be performed by means of:</w:t>
      </w:r>
    </w:p>
    <w:p>
      <w:pPr>
        <w:pStyle w:val="TextBody"/>
        <w:numPr>
          <w:ilvl w:val="0"/>
          <w:numId w:val="14"/>
        </w:numPr>
        <w:rPr/>
      </w:pPr>
      <w:r>
        <w:rPr/>
        <w:t>remote (on-line) webinars, virtual training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TextBody"/>
        <w:numPr>
          <w:ilvl w:val="0"/>
          <w:numId w:val="14"/>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TextBody"/>
        <w:numPr>
          <w:ilvl w:val="0"/>
          <w:numId w:val="14"/>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TextBody"/>
        <w:ind w:left="0" w:hanging="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II</w:t>
      </w:r>
    </w:p>
    <w:p>
      <w:pPr>
        <w:pStyle w:val="TextBody"/>
        <w:ind w:left="0" w:hanging="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TextBody"/>
        <w:ind w:left="0" w:hanging="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TextBody"/>
        <w:ind w:left="0" w:hanging="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TextBody"/>
        <w:numPr>
          <w:ilvl w:val="0"/>
          <w:numId w:val="15"/>
        </w:numPr>
        <w:rPr/>
      </w:pPr>
      <w:r>
        <w:rPr/>
        <w:t xml:space="preserve">remote (on-line) webinars hosted by the expert nodes and attended by the dedicated task force set-up at the Coordinator institution, focusing on implementation and validation of specific specific technical issues, i.e. modeling approaches (according to the roadmap laid out in the technical documents of the previous step). These meets will be performed once every two months. </w:t>
      </w:r>
    </w:p>
    <w:p>
      <w:pPr>
        <w:pStyle w:val="TextBody"/>
        <w:numPr>
          <w:ilvl w:val="0"/>
          <w:numId w:val="15"/>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TextBody"/>
        <w:numPr>
          <w:ilvl w:val="0"/>
          <w:numId w:val="15"/>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TextBody"/>
        <w:ind w:left="0" w:hanging="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TextBody"/>
        <w:ind w:left="0" w:hanging="0"/>
        <w:rPr>
          <w:rFonts w:ascii="Nimbus Roman" w:hAnsi="Nimbus Roman"/>
        </w:rPr>
      </w:pPr>
      <w:r>
        <w:rPr/>
      </w:r>
    </w:p>
    <w:p>
      <w:pPr>
        <w:pStyle w:val="TextBody"/>
        <w:ind w:left="0" w:hanging="0"/>
        <w:rPr>
          <w:rFonts w:ascii="Nimbus Roman" w:hAnsi="Nimbus Roman"/>
          <w:highlight w:val="none"/>
          <w:shd w:fill="FFFF00" w:val="clear"/>
        </w:rPr>
      </w:pPr>
      <w:r>
        <w:rPr>
          <w:shd w:fill="FFFF00" w:val="clear"/>
        </w:rPr>
        <w:t>DORIS day etc, where should I put these?</w:t>
      </w:r>
    </w:p>
    <w:p>
      <w:pPr>
        <w:pStyle w:val="TextBody"/>
        <w:ind w:left="0" w:hanging="0"/>
        <w:rPr/>
      </w:pPr>
      <w:r>
        <w:rPr>
          <w:shd w:fill="auto" w:val="clear"/>
        </w:rPr>
        <w:t>Coordinator’s staff, and especially young scientists involved, will seek to attend any virtual and/or on-site training events organized by IGS, IDS, ILRS, IVS and IAG (e.g. DORIS-days organized by IDS).</w:t>
      </w:r>
    </w:p>
    <w:p>
      <w:pPr>
        <w:pStyle w:val="TextBody"/>
        <w:ind w:left="0" w:hanging="0"/>
        <w:rPr>
          <w:rFonts w:ascii="Nimbus Roman" w:hAnsi="Nimbus Roman"/>
        </w:rPr>
      </w:pPr>
      <w:r>
        <w:rPr/>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TextBody"/>
        <w:ind w:left="0" w:hanging="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TextBody"/>
        <w:ind w:left="0" w:hanging="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TextBody"/>
        <w:numPr>
          <w:ilvl w:val="0"/>
          <w:numId w:val="16"/>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TextBody"/>
        <w:numPr>
          <w:ilvl w:val="0"/>
          <w:numId w:val="16"/>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TextBody"/>
        <w:numPr>
          <w:ilvl w:val="0"/>
          <w:numId w:val="16"/>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TextBody"/>
        <w:ind w:left="0" w:hanging="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TextBody"/>
        <w:ind w:left="0" w:hanging="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TextBody"/>
        <w:numPr>
          <w:ilvl w:val="0"/>
          <w:numId w:val="17"/>
        </w:numPr>
        <w:rPr/>
      </w:pPr>
      <w:r>
        <w:rPr>
          <w:rStyle w:val="Strong"/>
          <w:b w:val="false"/>
          <w:bCs w:val="false"/>
        </w:rPr>
        <w:t>two EU large scale research and innovation calls (e.g. HORIZON, COST),</w:t>
      </w:r>
    </w:p>
    <w:p>
      <w:pPr>
        <w:pStyle w:val="TextBody"/>
        <w:numPr>
          <w:ilvl w:val="0"/>
          <w:numId w:val="17"/>
        </w:numPr>
        <w:rPr/>
      </w:pPr>
      <w:r>
        <w:rPr>
          <w:rStyle w:val="Strong"/>
          <w:b w:val="false"/>
          <w:bCs w:val="false"/>
        </w:rPr>
        <w:t>two research proposals targeting young scientists and mobility (e.g. EU MSCA calls)</w:t>
      </w:r>
    </w:p>
    <w:p>
      <w:pPr>
        <w:pStyle w:val="TextBody"/>
        <w:numPr>
          <w:ilvl w:val="0"/>
          <w:numId w:val="17"/>
        </w:numPr>
        <w:rPr/>
      </w:pPr>
      <w:r>
        <w:rPr/>
        <w:t>one funding bid targeting private/public collaboration, including at least one the ecosystem commercial (business) partner</w:t>
      </w:r>
    </w:p>
    <w:p>
      <w:pPr>
        <w:pStyle w:val="TextBody"/>
        <w:ind w:left="0" w:hanging="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TextBody"/>
        <w:ind w:left="0" w:hanging="0"/>
        <w:rPr>
          <w:rStyle w:val="Strong"/>
          <w:b w:val="false"/>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and Strategic Networking</w:t>
      </w:r>
    </w:p>
    <w:p>
      <w:pPr>
        <w:pStyle w:val="TextBody"/>
        <w:ind w:left="0" w:hanging="0"/>
        <w:rPr/>
      </w:pPr>
      <w:r>
        <w:rPr/>
        <w:t xml:space="preserve">Through the consortium synergy and in the framework of ACRONYM, at least three papers will be published in high impact, peer-reviewed scientific journals (impact factor &gt; 2.4). </w:t>
      </w:r>
    </w:p>
    <w:p>
      <w:pPr>
        <w:pStyle w:val="TextBody"/>
        <w:ind w:left="0" w:hanging="0"/>
        <w:rPr/>
      </w:pPr>
      <w:r>
        <w:rPr/>
        <w:t>Scientific publications are considered in ACRONYM as a significant pathway in achieving the project’s objectives and maximizing its impact. For the lifetime of ACRONYM, a target of nine scientific publications in peer-reviewed journals is set; three of these will be published in high-impact journals (impact factor &gt; 2.5).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w:t>
      </w:r>
    </w:p>
    <w:p>
      <w:pPr>
        <w:pStyle w:val="TextBody"/>
        <w:ind w:left="0" w:hanging="0"/>
        <w:rPr/>
      </w:pPr>
      <w:r>
        <w:rPr/>
        <w:t>Further strengthening of networking activities and scientific prominence will be seeked through the consortium’s presence in at le</w:t>
      </w:r>
      <w:r>
        <w:rPr>
          <w:shd w:fill="auto" w:val="clear"/>
        </w:rPr>
        <w:t>ast ten</w:t>
      </w:r>
      <w:r>
        <w:rPr>
          <w:color w:val="000000"/>
          <w:shd w:fill="auto" w:val="clear"/>
        </w:rPr>
        <w:t xml:space="preserve"> i</w:t>
      </w:r>
      <w:r>
        <w:rPr>
          <w:shd w:fill="auto" w:val="clear"/>
        </w:rPr>
        <w:t>nternational conferences, where outcomes of ACRONYM will be presented. Presence in technique-specific workshops organized by the respective international services (i.e. IDS, ILRS and IVS) will be prioritized. Partners will also attend at least two IAG  related events, which are known to attract top class scientists in the field.</w:t>
      </w:r>
    </w:p>
    <w:p>
      <w:pPr>
        <w:pStyle w:val="TextBody"/>
        <w:ind w:left="0" w:hanging="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TextBody"/>
        <w:ind w:left="0" w:hanging="0"/>
        <w:rPr/>
      </w:pPr>
      <w:r>
        <w:rPr/>
      </w:r>
    </w:p>
    <w:p>
      <w:pPr>
        <w:pStyle w:val="TextBody"/>
        <w:ind w:left="0" w:hanging="0"/>
        <w:rPr>
          <w:highlight w:val="none"/>
          <w:shd w:fill="FFFF00" w:val="clear"/>
        </w:rPr>
      </w:pPr>
      <w:r>
        <w:rPr>
          <w:shd w:fill="FFFF00" w:val="clear"/>
        </w:rPr>
        <w:t>Getting involved IDS ILRS IAG</w:t>
      </w:r>
    </w:p>
    <w:p>
      <w:pPr>
        <w:pStyle w:val="TextBody"/>
        <w:ind w:left="0" w:hanging="0"/>
        <w:rPr>
          <w:shd w:fill="auto" w:val="clear"/>
        </w:rPr>
      </w:pPr>
      <w:r>
        <w:rPr>
          <w:shd w:fill="auto" w:val="clear"/>
        </w:rPr>
      </w:r>
    </w:p>
    <w:p>
      <w:pPr>
        <w:pStyle w:val="Normal"/>
        <w:spacing w:before="0" w:after="200"/>
        <w:jc w:val="both"/>
        <w:rPr>
          <w:b/>
          <w:b/>
          <w:bCs/>
        </w:rPr>
      </w:pPr>
      <w:r>
        <w:rPr>
          <w:b/>
          <w:bCs/>
          <w:shd w:fill="auto" w:val="clear"/>
        </w:rPr>
        <w:t>1.2.5 Establishing a Greek ecosystem of Space-based geosciences and ties between market and academia</w:t>
      </w:r>
    </w:p>
    <w:p>
      <w:pPr>
        <w:pStyle w:val="TextBody"/>
        <w:ind w:left="0" w:hanging="0"/>
        <w:rPr/>
      </w:pPr>
      <w:r>
        <w:rPr/>
        <w:t>The coordinator will take the initiative of bringing together all parties in Greece involved in the multidisciplinary field of space-based geosciences, Earth Observation and related applications. It will thus establish a Greek ecosystem of partners/stakeholders, in an effort to (a) disperse and disseminate knowledge and technology in the field, (b) maximize the impact of ACRONYM and its scope, (c) boost involvement and synergies between members and (d) enhance R&amp;I and Greece’s contribution and share of the relevant market. Through this newly established ecosystem, it will seek further strategic networking, both with research institutions and collaboration agreements with businesses active in the field.</w:t>
      </w:r>
    </w:p>
    <w:p>
      <w:pPr>
        <w:pStyle w:val="TextBody"/>
        <w:ind w:left="0" w:hanging="0"/>
        <w:rPr/>
      </w:pPr>
      <w:r>
        <w:rPr/>
        <w:t>The ecosystem call is expected to attract more than ten participants, including  possible industry partners active in:</w:t>
      </w:r>
    </w:p>
    <w:p>
      <w:pPr>
        <w:pStyle w:val="TextBody"/>
        <w:numPr>
          <w:ilvl w:val="0"/>
          <w:numId w:val="18"/>
        </w:numPr>
        <w:rPr/>
      </w:pPr>
      <w:r>
        <w:rPr>
          <w:lang w:val="en-GB"/>
        </w:rPr>
        <w:t>Space industry, space exploration, space awareness and  security, Earth observation, tracking and navigation, infrastructure monitoring, natural resources and disaster management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etc), </w:t>
      </w:r>
    </w:p>
    <w:p>
      <w:pPr>
        <w:pStyle w:val="TextBody"/>
        <w:numPr>
          <w:ilvl w:val="0"/>
          <w:numId w:val="18"/>
        </w:numPr>
        <w:rPr/>
      </w:pPr>
      <w:r>
        <w:rPr>
          <w:lang w:val="en-GB"/>
        </w:rPr>
        <w:t>Governmental agencies and research institutions active in Space Geodesy, Earth observation, mapping and cadastral services, disaster risk magement and related fields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TextBody"/>
        <w:numPr>
          <w:ilvl w:val="0"/>
          <w:numId w:val="18"/>
        </w:numPr>
        <w:rPr/>
      </w:pPr>
      <w:r>
        <w:rPr/>
        <w:t>Universities with academic, scientific and/or research interests that touch upon Space Geodesy (e.g. Aristotle University of Thessaloniki, National and Kapodistrian University of Athens and the University of West Attica).</w:t>
      </w:r>
    </w:p>
    <w:p>
      <w:pPr>
        <w:pStyle w:val="TextBody"/>
        <w:ind w:left="0" w:hanging="0"/>
        <w:rPr/>
      </w:pPr>
      <w:r>
        <w:rPr/>
        <w:t>The aim will be to create a vivid community of partners that will outlive ACRONYM and bloom in years to follow. Membership will be free and open and new members will be admitted at will. To establish the ecosystem, the Coordinator will issue multiple calls to parties that may be interested (Task 5.3). ACRONYM foresees a series of dissemination, communication and exploitation activities (including an info-day, ecosystem meeting and the publication of a Newsletter) described in Section 2.2, to boost interest and involvement, strengthen member networking, disperse knowledge and maximize its impact.</w:t>
      </w:r>
    </w:p>
    <w:p>
      <w:pPr>
        <w:pStyle w:val="TextBody"/>
        <w:ind w:left="0" w:hanging="0"/>
        <w:rPr/>
      </w:pPr>
      <w:r>
        <w:rPr/>
        <w:t>Apart from dissemination activities, ACRONYM will also issue a series of questionnaires, targeting both research institutions and business members of the ecosystem. The data collected will be thoroughly examined and evaluated so that all ACRONYM partners and especially the Coordinator gain a clear view on research and business demands and needs in the field. Conclusions will play an important role in the second phase of capacity building (see Section 1.2.2), so that the software tools that result from ACRONYM can answer realistic user needs and significantly contribute to R&amp;I activities.</w:t>
      </w:r>
    </w:p>
    <w:p>
      <w:pPr>
        <w:pStyle w:val="TextBody"/>
        <w:ind w:left="0" w:hanging="0"/>
        <w:rPr/>
      </w:pPr>
      <w:r>
        <w:rPr/>
      </w:r>
    </w:p>
    <w:p>
      <w:pPr>
        <w:pStyle w:val="TextBody"/>
        <w:ind w:left="0" w:hanging="0"/>
        <w:rPr>
          <w:b/>
          <w:b/>
          <w:bCs/>
        </w:rPr>
      </w:pPr>
      <w:r>
        <w:rPr>
          <w:b/>
          <w:bCs/>
        </w:rPr>
        <w:t>1.2.5 Coordination and Management Scheme</w:t>
      </w:r>
    </w:p>
    <w:p>
      <w:pPr>
        <w:pStyle w:val="TextBody"/>
        <w:ind w:left="0" w:hanging="0"/>
        <w:rPr/>
      </w:pPr>
      <w:r>
        <w:rPr>
          <w:b w:val="false"/>
          <w:bCs w:val="false"/>
        </w:rPr>
        <w:t xml:space="preserve">For the efficient management and administration of the project, a series of Boards will be established with clearly defined scope and responsibilities. The highest project body in charge for executive decisions and responsible for project activities and results, risks, quality assurance, resources, impact monitoring, meetings preparation, as well as for in-house reports and the reporting towards the European Commission shall be the ACRONYM Management Board; it will consist of representatives of all partners (one representative per partner) and will be formed during the Kick-Off meeting. Task forces of all active work packages will periodically deliver in-house progress reports to the Management Board. </w:t>
      </w:r>
      <w:r>
        <w:rPr/>
        <w:t>The board will perform on-line meetings every three months, or whenever one of the Quality Management Board, Risk Management Board or Financial Management Board identifies a specific need/subject to be addressed.</w:t>
      </w:r>
    </w:p>
    <w:p>
      <w:pPr>
        <w:pStyle w:val="TextBody"/>
        <w:widowControl w:val="false"/>
        <w:ind w:left="0" w:hanging="0"/>
        <w:rPr/>
      </w:pPr>
      <w:r>
        <w:rPr/>
        <w:t xml:space="preserve">The </w:t>
      </w:r>
      <w:r>
        <w:rPr>
          <w:u w:val="single"/>
        </w:rPr>
        <w:t>Project Management Board</w:t>
      </w:r>
      <w:r>
        <w:rPr/>
        <w:t xml:space="preserve"> will compile a </w:t>
      </w:r>
      <w:r>
        <w:rPr>
          <w:u w:val="single"/>
        </w:rPr>
        <w:t>Risk Management Plan</w:t>
      </w:r>
      <w:r>
        <w:rPr/>
        <w:t xml:space="preserve"> referring to the monitoring of the risks identified at the time of Proposal preparation, and to those risks occurred (if any)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at every gathering of the </w:t>
      </w:r>
      <w:r>
        <w:rPr>
          <w:u w:val="single"/>
        </w:rPr>
        <w:t>Project Management Board</w:t>
      </w:r>
      <w:r>
        <w:rPr/>
        <w:t>.</w:t>
      </w:r>
    </w:p>
    <w:p>
      <w:pPr>
        <w:pStyle w:val="TextBody"/>
        <w:widowControl w:val="false"/>
        <w:ind w:left="0" w:hanging="0"/>
        <w:rPr/>
      </w:pPr>
      <w:r>
        <w:rPr/>
        <w:t xml:space="preserve">The project will establish a </w:t>
      </w:r>
      <w:r>
        <w:rPr>
          <w:u w:val="single"/>
        </w:rPr>
        <w:t>Quality Management Board</w:t>
      </w:r>
      <w:r>
        <w:rPr/>
        <w:t xml:space="preserve">, whose role will be to develop a </w:t>
      </w:r>
      <w:r>
        <w:rPr>
          <w:u w:val="single"/>
        </w:rPr>
        <w:t>quality management plan</w:t>
      </w:r>
      <w:r>
        <w:rPr/>
        <w:t xml:space="preserve">, define and monitor the achievement of high quality project deliverables, conduct quality checks, and organize quality-related project meetings. The board members will be decided on at the kick-off meeting. This board will compile a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TextBody"/>
        <w:widowControl w:val="false"/>
        <w:ind w:left="0" w:hanging="0"/>
        <w:rPr/>
      </w:pPr>
      <w:r>
        <w:rPr/>
        <w:t xml:space="preserve">A  </w:t>
      </w:r>
      <w:r>
        <w:rPr>
          <w:u w:val="single"/>
        </w:rPr>
        <w:t>Financial Committee will also be formed at the Kick-Off meeting, and</w:t>
      </w:r>
      <w:r>
        <w:rPr/>
        <w:t xml:space="preserve">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TextBody"/>
        <w:widowControl w:val="false"/>
        <w:ind w:left="0" w:hanging="0"/>
        <w:rPr/>
      </w:pPr>
      <w:r>
        <w:rPr/>
        <w:t xml:space="preserve">Day-to-day administration will be undertaken by the Coordinator, which shall form an administrative base of the project. The Coordinator shall issue labelling instructions and store hardcopies of all project documentation. In a separate part of the project web platform, an electronic project register will be formed. The Coordinator will leads day-to-day communication through agreed electronic channels at the level of the </w:t>
      </w:r>
      <w:r>
        <w:rPr>
          <w:u w:val="none"/>
        </w:rPr>
        <w:t>Project Management Board</w:t>
      </w:r>
      <w:r>
        <w:rPr/>
        <w:t xml:space="preserve">, with Leaders of Work Packages, coordinates project activities, distributes documents, news, and achievements, and reports on communication with the European Commission. Mutually, all members of the </w:t>
      </w:r>
      <w:r>
        <w:rPr>
          <w:u w:val="non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TextBody"/>
        <w:ind w:left="0" w:hanging="0"/>
        <w:rPr>
          <w:b w:val="false"/>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TextBody"/>
        <w:ind w:left="0" w:hanging="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TextBody"/>
        <w:ind w:left="0" w:hanging="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TextBody"/>
        <w:ind w:left="0" w:hanging="0"/>
        <w:rPr/>
      </w:pPr>
      <w:r>
        <w:rPr/>
      </w:r>
    </w:p>
    <w:p>
      <w:pPr>
        <w:pStyle w:val="TextBody"/>
        <w:ind w:left="0" w:hanging="0"/>
        <w:rPr>
          <w:b/>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TextBody"/>
        <w:ind w:left="0" w:hanging="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TextBody"/>
        <w:ind w:left="0" w:hanging="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TextBody"/>
        <w:ind w:left="0" w:hanging="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TextBody"/>
        <w:ind w:left="0" w:hanging="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 xml:space="preserve">Space-based geosciences (Section 1.2.5) the Coordinator will gradually disperse knowledge and help raise expertise and involvement in Earth Observation on a national scale (actions described in Tasks 5.3 to 5.5).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TextBody"/>
        <w:ind w:left="0" w:hanging="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TextBody"/>
        <w:ind w:left="0" w:hanging="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Within the lifetime of ACRONYM a series of scientific publications will be issued, tackling open issues (i.e. modeling approaches) used in the fundamental Space Geodetic observation techniques. These include at publications in high-impact, peer-reviewed scientific journals and publications in international conferences (Section 1.2.4). It is expected that these publications will either create new knowledge (e.g. adopt/introduce new modeling and/or numerical techniques) or reinforce current approaches through robust validation, experimentation and assessment of their characteristics.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2, all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research papers and (d) attendance of international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8"/>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8"/>
        </w:numPr>
        <w:jc w:val="both"/>
        <w:rPr>
          <w:b w:val="false"/>
          <w:b w:val="false"/>
          <w:bCs w:val="false"/>
          <w:u w:val="none"/>
        </w:rPr>
      </w:pPr>
      <w:r>
        <w:rPr>
          <w:b w:val="false"/>
          <w:bCs w:val="false"/>
          <w:u w:val="none"/>
          <w:shd w:fill="auto" w:val="clear"/>
        </w:rPr>
        <w:t>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4.2), (c) diversification of funding pools and schema (see Task 4.3)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1.2.3). The unit is going to be further trained following a “hands-on” approach, as by the end of ACRONYM it is expected that it will have prepared and submitted at least five research funding proposals, under the guidance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A Greek ecosystem of Space-based geosciences stakeholders.</w:t>
      </w:r>
    </w:p>
    <w:p>
      <w:pPr>
        <w:pStyle w:val="TextBody"/>
        <w:ind w:left="0" w:hanging="0"/>
        <w:rPr>
          <w:b/>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TextBody"/>
        <w:ind w:left="0" w:hanging="0"/>
        <w:rPr>
          <w:b w:val="false"/>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TextBody"/>
        <w:ind w:left="0" w:hanging="0"/>
        <w:rPr>
          <w:b w:val="false"/>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TextBody"/>
        <w:ind w:left="0" w:hanging="0"/>
        <w:rPr>
          <w:b/>
          <w:b/>
          <w:bCs/>
          <w:u w:val="single"/>
        </w:rPr>
      </w:pPr>
      <w:r>
        <w:rPr>
          <w:b/>
          <w:bCs/>
          <w:u w:val="single"/>
        </w:rPr>
        <w:t>Scientific</w:t>
      </w:r>
    </w:p>
    <w:p>
      <w:pPr>
        <w:pStyle w:val="TextBody"/>
        <w:ind w:left="0" w:hanging="0"/>
        <w:rPr>
          <w:b w:val="false"/>
          <w:b w:val="false"/>
          <w:bCs w:val="false"/>
        </w:rPr>
      </w:pPr>
      <w:r>
        <w:rPr/>
        <w:t>With its newly found expertise and research capacity, the highly skilled scientific staff of the Coordinator will be able to significantly contribute to on-going research in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TextBody"/>
        <w:ind w:left="0" w:hanging="0"/>
        <w:rPr>
          <w:b w:val="false"/>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TextBody"/>
        <w:ind w:left="0" w:hanging="0"/>
        <w:rPr>
          <w:b w:val="false"/>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TextBody"/>
        <w:ind w:left="0" w:hanging="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TextBody"/>
        <w:ind w:left="0" w:hanging="0"/>
        <w:rPr>
          <w:b/>
          <w:b/>
          <w:bCs/>
          <w:u w:val="none"/>
        </w:rPr>
      </w:pPr>
      <w:r>
        <w:rPr>
          <w:b/>
          <w:bCs/>
          <w:u w:val="none"/>
        </w:rPr>
      </w:r>
    </w:p>
    <w:p>
      <w:pPr>
        <w:pStyle w:val="TextBody"/>
        <w:ind w:left="0" w:hanging="0"/>
        <w:rPr>
          <w:highlight w:val="none"/>
          <w:shd w:fill="auto" w:val="clear"/>
        </w:rPr>
      </w:pPr>
      <w:r>
        <w:rPr>
          <w:b/>
          <w:bCs/>
          <w:u w:val="single"/>
        </w:rPr>
        <w:t>Economic/Technological</w:t>
      </w:r>
    </w:p>
    <w:p>
      <w:pPr>
        <w:pStyle w:val="TextBody"/>
        <w:ind w:left="0" w:hanging="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R&amp;I funding income and scope. </w:t>
      </w:r>
    </w:p>
    <w:p>
      <w:pPr>
        <w:pStyle w:val="TextBody"/>
        <w:ind w:left="0" w:hanging="0"/>
        <w:rPr>
          <w:highlight w:val="none"/>
          <w:shd w:fill="auto" w:val="clear"/>
        </w:rPr>
      </w:pPr>
      <w:r>
        <w:rPr>
          <w:shd w:fill="auto" w:val="clear"/>
        </w:rPr>
        <w:t>According to the EU’s R&amp;I Country profiles</w:t>
      </w:r>
      <w:r>
        <w:rPr>
          <w:rStyle w:val="FootnoteAnchor"/>
          <w:shd w:fill="auto" w:val="clear"/>
        </w:rPr>
        <w:footnoteReference w:id="2"/>
      </w:r>
      <w:r>
        <w:rPr>
          <w:shd w:fill="auto" w:val="clear"/>
        </w:rPr>
        <w:t xml:space="preserve">, Greece’s success rate in both HORIZON Europe and HORIZON 2020 is below average, and the same goes for NTUA’s individual submissions. Additionally, NTUA has not been involved in any ERC program as PI.  To revert this situation, the Coordinator will now have at its disposal the skills to target a significantly wider range of funding bids and apply for bids with a severely boosted success rate and an elevated role (e.g. PI). Networking actions are also expected to </w:t>
      </w:r>
      <w:r>
        <w:rPr>
          <w:rFonts w:ascii="Times New Roman" w:hAnsi="Times New Roman"/>
          <w:b w:val="false"/>
          <w:bCs w:val="false"/>
          <w:shd w:fill="auto" w:val="clear"/>
          <w:lang w:val="en-GB"/>
        </w:rPr>
        <w:t>stimulate preparation of joint research projects. Given the fact that limited research funding is a major drawback for all Greek institutions, the expected impact is of paramount importance.</w:t>
      </w:r>
    </w:p>
    <w:p>
      <w:pPr>
        <w:pStyle w:val="TextBody"/>
        <w:ind w:left="0" w:hanging="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TextBody"/>
        <w:ind w:left="0" w:hanging="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p>
    <w:p>
      <w:pPr>
        <w:pStyle w:val="TextBody"/>
        <w:ind w:left="0" w:hanging="0"/>
        <w:rPr>
          <w:highlight w:val="none"/>
          <w:shd w:fill="auto" w:val="clear"/>
        </w:rPr>
      </w:pPr>
      <w:r>
        <w:rPr>
          <w:rFonts w:ascii="Nimbus Roman No9 L" w:hAnsi="Nimbus Roman No9 L"/>
          <w:b w:val="false"/>
          <w:bCs w:val="false"/>
          <w:shd w:fill="auto" w:val="clear"/>
          <w:lang w:val="en-GB"/>
        </w:rPr>
        <w:t>According to a comparative analysis of innovation performance in EU countries</w:t>
      </w:r>
      <w:r>
        <w:rPr>
          <w:rStyle w:val="FootnoteAnchor"/>
          <w:rFonts w:ascii="Nimbus Roman No9 L" w:hAnsi="Nimbus Roman No9 L"/>
          <w:b w:val="false"/>
          <w:bCs w:val="false"/>
          <w:shd w:fill="auto" w:val="clear"/>
          <w:lang w:val="en-GB"/>
        </w:rPr>
        <w:footnoteReference w:id="3"/>
      </w:r>
      <w:r>
        <w:rPr>
          <w:rFonts w:ascii="Nimbus Roman No9 L" w:hAnsi="Nimbus Roman No9 L"/>
          <w:b w:val="false"/>
          <w:bCs w:val="false"/>
          <w:shd w:fill="auto" w:val="clear"/>
          <w:lang w:val="en-GB"/>
        </w:rPr>
        <w:t>, Greece is only ranked as a “Moderate innovator”; ACRONYM’s impact in the long run, can significantly help in raising innovation performance, via providing highly skilled and trained human resources, diffusing knowledge and know how in the Greek ecosystem and promoting synergies between its members.</w:t>
      </w:r>
    </w:p>
    <w:p>
      <w:pPr>
        <w:pStyle w:val="TextBody"/>
        <w:ind w:left="0" w:hanging="0"/>
        <w:rPr>
          <w:highlight w:val="none"/>
          <w:shd w:fill="auto" w:val="clear"/>
        </w:rPr>
      </w:pPr>
      <w:r>
        <w:rPr>
          <w:rFonts w:ascii="Nimbus Roman No9 L" w:hAnsi="Nimbus Roman No9 L"/>
          <w:b w:val="false"/>
          <w:bCs w:val="false"/>
          <w:shd w:fill="auto" w:val="clear"/>
          <w:lang w:val="en-GB"/>
        </w:rPr>
        <w:t xml:space="preserve">In the long run, stronger linkages between academia and business and improved career permeability are expected.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TextBody"/>
        <w:ind w:left="0" w:hanging="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TextBody"/>
        <w:ind w:left="0" w:hanging="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TextBody"/>
        <w:ind w:left="0" w:hanging="0"/>
        <w:rPr>
          <w:b/>
          <w:b/>
          <w:bCs/>
          <w:u w:val="none"/>
        </w:rPr>
      </w:pPr>
      <w:r>
        <w:rPr>
          <w:b/>
          <w:bCs/>
          <w:u w:val="none"/>
        </w:rPr>
      </w:r>
    </w:p>
    <w:p>
      <w:pPr>
        <w:pStyle w:val="TextBody"/>
        <w:ind w:left="0" w:hanging="0"/>
        <w:rPr>
          <w:highlight w:val="none"/>
          <w:shd w:fill="auto" w:val="clear"/>
        </w:rPr>
      </w:pPr>
      <w:r>
        <w:rPr>
          <w:b/>
          <w:bCs/>
          <w:u w:val="single"/>
        </w:rPr>
        <w:t>Societal</w:t>
      </w:r>
    </w:p>
    <w:p>
      <w:pPr>
        <w:pStyle w:val="TextBody"/>
        <w:ind w:left="0" w:hanging="0"/>
        <w:rPr>
          <w:rFonts w:ascii="Nimbus Roman" w:hAnsi="Nimbus Roman"/>
          <w:b w:val="false"/>
          <w:b w:val="false"/>
          <w:bCs w:val="false"/>
        </w:rPr>
      </w:pPr>
      <w:r>
        <w:rPr>
          <w:b w:val="false"/>
          <w:bCs w:val="false"/>
          <w:shd w:fill="auto" w:val="clear"/>
          <w:lang w:val="en-GB"/>
        </w:rPr>
        <w:t>A direct impact of ACRONYM will be the significant enhancement of NTUA’s academic capacity. 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TextBody"/>
        <w:ind w:left="0" w:hanging="0"/>
        <w:rPr>
          <w:rFonts w:ascii="Nimbus Roman" w:hAnsi="Nimbus Roman"/>
          <w:b w:val="false"/>
          <w:b w:val="false"/>
          <w:bCs w:val="false"/>
        </w:rPr>
      </w:pPr>
      <w:r>
        <w:rPr>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TextBody"/>
        <w:ind w:left="0" w:hanging="0"/>
        <w:rPr>
          <w:rFonts w:ascii="Nimbus Roman" w:hAnsi="Nimbus Roman"/>
          <w:b w:val="false"/>
          <w:b w:val="false"/>
          <w:bCs w:val="false"/>
        </w:rPr>
      </w:pPr>
      <w:r>
        <w:rPr>
          <w:b w:val="false"/>
          <w:bCs w:val="false"/>
          <w:shd w:fill="auto" w:val="clear"/>
          <w:lang w:val="en-GB"/>
        </w:rPr>
        <w:t>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altimetry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TextBody"/>
        <w:ind w:left="0" w:hanging="0"/>
        <w:rPr>
          <w:rFonts w:ascii="Nimbus Roman" w:hAnsi="Nimbus Roman"/>
          <w:b w:val="false"/>
          <w:b w:val="false"/>
          <w:bCs w:val="false"/>
        </w:rPr>
      </w:pPr>
      <w:r>
        <w:rPr>
          <w:b w:val="false"/>
          <w:bCs w:val="false"/>
          <w:shd w:fill="auto" w:val="clear"/>
          <w:lang w:val="en-GB"/>
        </w:rPr>
        <w:t>Finally, dissemination activities targeting high-schools and the STEM community of Greece (see Section 2.2) will take place during the lifetime of ACRONYM. The effect of these activities is expected to have a long term societal impact; students will be introduced in fundamental concepts of Space Geodesy, information that is currently unavailable (at least at this level) yet of growing importance, in an era where technologies such as navigation and Earth monitoring are taken for granted. Exposure to such information can lead to a better understanding of everyday space-powered tasks (e.g. satellite communication) and an expanding world which now includes near space. Among other advantages, better educated citizens are better equipped to fend off trending phenomena such as conspiracy theories (often associated with space). Additionally, these educational visits are expected to boost interest in Space Geodesy and Earth monitoring, broaden student’s scientific and carrier horizon and help in raising the country’s future role in space sciences and technology.</w:t>
      </w:r>
    </w:p>
    <w:p>
      <w:pPr>
        <w:pStyle w:val="TextBody"/>
        <w:ind w:left="0" w:hanging="0"/>
        <w:rPr>
          <w:rFonts w:ascii="Times New Roman" w:hAnsi="Times New Roman"/>
          <w:b/>
          <w:b/>
          <w:shd w:fill="auto" w:val="clear"/>
          <w:lang w:val="en-GB"/>
        </w:rPr>
      </w:pPr>
      <w:r>
        <w:rPr>
          <w:rFonts w:ascii="Times New Roman" w:hAnsi="Times New Roman"/>
          <w:b/>
          <w:shd w:fill="auto" w:val="clear"/>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TextBody"/>
        <w:ind w:left="0" w:hanging="0"/>
        <w:rPr/>
      </w:pPr>
      <w:r>
        <w:rPr/>
        <w:t xml:space="preserve">ACRONYM foresees to promote the project itself, the obtained results as well as interest and involvement in Space Geodesy and related applications by carrying out different types of activities, tailored to multiple and diverse audiences. An overview of dissemination activities to be carried out throughout the lifetime of ACRONYM is presented in </w:t>
      </w:r>
      <w:r>
        <w:rPr>
          <w:shd w:fill="FFFF00" w:val="clear"/>
        </w:rPr>
        <w:t>Table XX</w:t>
      </w:r>
      <w:r>
        <w:rPr/>
        <w:t>.</w:t>
      </w:r>
    </w:p>
    <w:p>
      <w:pPr>
        <w:pStyle w:val="TextBody"/>
        <w:ind w:left="0" w:hanging="0"/>
        <w:rPr/>
      </w:pPr>
      <w:r>
        <w:rPr/>
        <w:t>As a first step, ACRONYM will develop its logo, establishing its visual identity and promoting recognizability; ACRONYM’s logo will be used in all project-related documents, presentations and webpages.</w:t>
      </w:r>
    </w:p>
    <w:p>
      <w:pPr>
        <w:pStyle w:val="TextBody"/>
        <w:ind w:left="0" w:hanging="0"/>
        <w:rPr/>
      </w:pPr>
      <w:r>
        <w:rPr/>
      </w:r>
    </w:p>
    <w:p>
      <w:pPr>
        <w:pStyle w:val="TextBody"/>
        <w:ind w:left="0" w:hanging="0"/>
        <w:rPr>
          <w:b/>
          <w:b/>
          <w:bCs/>
          <w:u w:val="single"/>
        </w:rPr>
      </w:pPr>
      <w:r>
        <w:rPr>
          <w:b/>
          <w:bCs/>
          <w:u w:val="single"/>
        </w:rPr>
        <w:t>Web-Pages and Social Media Engagement.</w:t>
      </w:r>
    </w:p>
    <w:p>
      <w:pPr>
        <w:pStyle w:val="TextBody"/>
        <w:ind w:left="0" w:hanging="0"/>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 Except from ACRONYM’s website, each of the software tools to be built in the project (Section </w:t>
      </w:r>
      <w:r>
        <w:rPr>
          <w:u w:val="none"/>
          <w:shd w:fill="auto" w:val="clear"/>
        </w:rPr>
        <w:t>1.2.2</w:t>
      </w:r>
      <w:r>
        <w:rPr>
          <w:u w:val="none"/>
        </w:rPr>
        <w:t>) will have a dedicated webpage, including the source code, example usage, help, manual, information and wiki pages. It is expected that this setup can greatly boost the user base, helping in incorporating engineers, scientists, researchers and commercial users.</w:t>
      </w:r>
    </w:p>
    <w:p>
      <w:pPr>
        <w:pStyle w:val="TextBody"/>
        <w:ind w:left="0" w:hanging="0"/>
        <w:rPr/>
      </w:pPr>
      <w:r>
        <w:rPr/>
        <w:t xml:space="preserve">ACRONYM will adopt a free and open-source policy for all of its software products (MIT license), making them available to any interested party.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TextBody"/>
        <w:ind w:left="0" w:hanging="0"/>
        <w:rPr/>
      </w:pPr>
      <w:r>
        <w:rPr>
          <w:color w:val="auto"/>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(now X), targeting young talented scientists (e.g. postgraduates) not yet fully networked into scientific media platforms.</w:t>
      </w:r>
    </w:p>
    <w:p>
      <w:pPr>
        <w:pStyle w:val="TextBody"/>
        <w:ind w:left="0" w:hanging="0"/>
        <w:rPr>
          <w:color w:val="auto"/>
        </w:rPr>
      </w:pPr>
      <w:r>
        <w:rPr>
          <w:color w:val="auto"/>
        </w:rPr>
      </w:r>
    </w:p>
    <w:p>
      <w:pPr>
        <w:pStyle w:val="TextBody"/>
        <w:ind w:left="0" w:hanging="0"/>
        <w:rPr>
          <w:b/>
          <w:b/>
          <w:bCs/>
          <w:u w:val="single"/>
        </w:rPr>
      </w:pPr>
      <w:r>
        <w:rPr>
          <w:b/>
          <w:bCs/>
          <w:color w:val="auto"/>
          <w:u w:val="single"/>
        </w:rPr>
        <w:t>Scientific Publications.</w:t>
      </w:r>
    </w:p>
    <w:p>
      <w:pPr>
        <w:pStyle w:val="TextBody"/>
        <w:ind w:left="0" w:hanging="0"/>
        <w:rPr/>
      </w:pPr>
      <w:r>
        <w:rPr/>
        <w:t>As already noted, a series of scientific publications will also help disseminate ACRONYM results. These will include scientific publications in peer-reviewed journals, attendance of international conferences, submission of three PhD theses and three PostDoc theses. All of the above, will be published adopting a strict open-access policy.</w:t>
      </w:r>
    </w:p>
    <w:p>
      <w:pPr>
        <w:pStyle w:val="TextBody"/>
        <w:ind w:left="0" w:hanging="0"/>
        <w:rPr/>
      </w:pPr>
      <w:r>
        <w:rPr/>
      </w:r>
    </w:p>
    <w:p>
      <w:pPr>
        <w:pStyle w:val="TextBody"/>
        <w:ind w:left="0" w:hanging="0"/>
        <w:rPr>
          <w:b/>
          <w:b/>
          <w:bCs/>
          <w:u w:val="single"/>
        </w:rPr>
      </w:pPr>
      <w:r>
        <w:rPr>
          <w:b/>
          <w:bCs/>
          <w:u w:val="single"/>
        </w:rPr>
        <w:t>Summer School</w:t>
      </w:r>
    </w:p>
    <w:p>
      <w:pPr>
        <w:pStyle w:val="TextBody"/>
        <w:ind w:left="0" w:hanging="0"/>
        <w:rPr/>
      </w:pPr>
      <w:r>
        <w:rPr>
          <w:color w:val="000000"/>
          <w:shd w:fill="auto" w:val="clear"/>
          <w:lang w:val="en-GB"/>
        </w:rPr>
        <w:t>A dissemination activity of major importance will be the organization of a five-day Summer School that will take place in Greece, in the premises of DSO, for the endorsement of ACRONYM, dissemination of its scientific output a</w:t>
      </w:r>
      <w:r>
        <w:rPr>
          <w:color w:val="auto"/>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color w:val="000000"/>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color w:val="auto"/>
          <w:lang w:val="en-GB"/>
        </w:rPr>
        <w:t>The school will target the  scientific and research community, commercial users/businesses, industry and the Greek ecosystem (Section 1.2.5). An attendance of approximately thirty individuals is expected. At the last day of</w:t>
      </w:r>
      <w:r>
        <w:rPr>
          <w:color w:val="000000"/>
          <w:shd w:fill="auto" w:val="clear"/>
          <w:lang w:val="en-GB"/>
        </w:rPr>
        <w:t xml:space="preserve"> the School, a guided tour of the geodetic observation sites hosted at DSO will be performed (stationed in Dionysos, Attica).</w:t>
      </w:r>
    </w:p>
    <w:p>
      <w:pPr>
        <w:pStyle w:val="TextBody"/>
        <w:ind w:left="0" w:hanging="0"/>
        <w:rPr>
          <w:color w:val="000000"/>
          <w:shd w:fill="auto" w:val="clear"/>
          <w:lang w:val="en-GB"/>
        </w:rPr>
      </w:pPr>
      <w:r>
        <w:rPr>
          <w:color w:val="000000"/>
          <w:shd w:fill="auto" w:val="clear"/>
          <w:lang w:val="en-GB"/>
        </w:rPr>
      </w:r>
    </w:p>
    <w:p>
      <w:pPr>
        <w:pStyle w:val="TextBody"/>
        <w:ind w:left="0" w:hanging="0"/>
        <w:rPr/>
      </w:pPr>
      <w:r>
        <w:rPr>
          <w:b/>
          <w:bCs/>
          <w:color w:val="000000"/>
          <w:u w:val="single"/>
          <w:shd w:fill="auto" w:val="clear"/>
          <w:lang w:val="en-GB"/>
        </w:rPr>
        <w:t>ACRONYM Newsletter.</w:t>
      </w:r>
    </w:p>
    <w:p>
      <w:pPr>
        <w:pStyle w:val="TextBody"/>
        <w:widowControl w:val="false"/>
        <w:ind w:left="0" w:hanging="0"/>
        <w:rPr>
          <w:b w:val="false"/>
          <w:b w:val="false"/>
          <w:bCs w:val="false"/>
        </w:rPr>
      </w:pPr>
      <w:r>
        <w:rPr>
          <w:b w:val="false"/>
          <w:bCs w:val="false"/>
          <w:color w:val="000000"/>
          <w:shd w:fill="auto" w:val="clear"/>
          <w:lang w:val="en-GB"/>
        </w:rPr>
        <w:t>ACRONYM partners will also issue a newletter, containing information on: (a) the aims and objectives of ACRONYMS, (b) milestones reached, (c) activities performed within ACRONYM including software design and release, conference attendance and scientific publications, (d) new prospects, missions and trends in Space Geodesy, (e) outreach material from all partners of ACRONYM and (f) outreach material from ecosystem members. The first issue of the newsletter will be prepared and published by the 12</w:t>
      </w:r>
      <w:r>
        <w:rPr>
          <w:b w:val="false"/>
          <w:bCs w:val="false"/>
          <w:color w:val="000000"/>
          <w:shd w:fill="auto" w:val="clear"/>
          <w:vertAlign w:val="superscript"/>
          <w:lang w:val="en-GB"/>
        </w:rPr>
        <w:t>th</w:t>
      </w:r>
      <w:r>
        <w:rPr>
          <w:b w:val="false"/>
          <w:bCs w:val="false"/>
          <w:color w:val="000000"/>
          <w:shd w:fill="auto" w:val="clear"/>
          <w:lang w:val="en-GB"/>
        </w:rPr>
        <w:t xml:space="preserve"> month and from then on, a new issue will be released every six months. The newletter will be distributed to any interested parties via subscription as well as via ACRONYM’s webpage and social media; the latter is expected to maximize its reach in young scientists and engineers related to the field. Activities of the Greek Ecosystem (Section 1.2.5) will also be published in the newsletter, in yet another effort to boost involvement and its impact.</w:t>
      </w:r>
    </w:p>
    <w:p>
      <w:pPr>
        <w:pStyle w:val="TextBody"/>
        <w:ind w:left="0" w:hanging="0"/>
        <w:rPr/>
      </w:pPr>
      <w:r>
        <w:rPr/>
      </w:r>
    </w:p>
    <w:p>
      <w:pPr>
        <w:pStyle w:val="TextBody"/>
        <w:ind w:left="0" w:hanging="0"/>
        <w:rPr>
          <w:b/>
          <w:b/>
          <w:bCs/>
          <w:u w:val="single"/>
        </w:rPr>
      </w:pPr>
      <w:r>
        <w:rPr>
          <w:b/>
          <w:bCs/>
          <w:u w:val="single"/>
        </w:rPr>
        <w:t>Activities Targeting the Ecosystem.</w:t>
      </w:r>
    </w:p>
    <w:p>
      <w:pPr>
        <w:pStyle w:val="TextBody"/>
        <w:ind w:left="0" w:hanging="0"/>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1.2.5)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TextBody"/>
        <w:ind w:left="0" w:hanging="0"/>
        <w:rPr>
          <w:highlight w:val="none"/>
          <w:shd w:fill="auto" w:val="clear"/>
        </w:rPr>
      </w:pPr>
      <w:r>
        <w:rPr>
          <w:shd w:fill="auto" w:val="clear"/>
        </w:rPr>
        <w:t>Two dedicated meetings will be organized by NTUA to take place in Greece, aiming at networking activities and potential collaborations between ecosystem parties, as well as the establishment of solid ties between members.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TextBody"/>
        <w:ind w:left="0" w:hanging="0"/>
        <w:rPr>
          <w:highlight w:val="none"/>
          <w:shd w:fill="auto" w:val="clear"/>
        </w:rPr>
      </w:pPr>
      <w:r>
        <w:rPr>
          <w:shd w:fill="auto" w:val="clear"/>
        </w:rPr>
        <w:t xml:space="preserve">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 </w:t>
      </w:r>
    </w:p>
    <w:p>
      <w:pPr>
        <w:pStyle w:val="TextBody"/>
        <w:ind w:left="0" w:hanging="0"/>
        <w:rPr>
          <w:highlight w:val="none"/>
          <w:shd w:fill="auto" w:val="clear"/>
        </w:rPr>
      </w:pPr>
      <w:r>
        <w:rPr>
          <w:shd w:fill="auto" w:val="clea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shd w:fill="auto" w:val="clear"/>
          <w:lang w:val="en-GB"/>
        </w:rPr>
        <w:t>(a) methods and techniques of Space Geodesy they use, (b) application range, (c) datasets and analysis pipelines (d) specific needs in data processing and products (e) research interest, aspirations and future plans.</w:t>
      </w:r>
    </w:p>
    <w:p>
      <w:pPr>
        <w:pStyle w:val="TextBody"/>
        <w:ind w:left="0" w:hanging="0"/>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TextBody"/>
        <w:ind w:left="0" w:hanging="0"/>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TextBody"/>
        <w:ind w:left="0" w:hanging="0"/>
        <w:rPr>
          <w:shd w:fill="auto" w:val="clear"/>
        </w:rPr>
      </w:pPr>
      <w:r>
        <w:rPr>
          <w:shd w:fill="auto" w:val="clear"/>
        </w:rPr>
      </w:r>
    </w:p>
    <w:p>
      <w:pPr>
        <w:pStyle w:val="TextBody"/>
        <w:ind w:left="0" w:hanging="0"/>
        <w:rPr/>
      </w:pPr>
      <w:r>
        <w:rPr>
          <w:b/>
          <w:bCs/>
          <w:u w:val="single"/>
          <w:shd w:fill="auto" w:val="clear"/>
        </w:rPr>
        <w:t>Sharing and Dispersing Knowledge.</w:t>
      </w:r>
    </w:p>
    <w:p>
      <w:pPr>
        <w:pStyle w:val="TextBody"/>
        <w:ind w:left="0" w:hanging="0"/>
        <w:rPr/>
      </w:pPr>
      <w:r>
        <w:rPr>
          <w:shd w:fill="auto" w:val="clea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TextBody"/>
        <w:ind w:left="0" w:hanging="0"/>
        <w:rPr/>
      </w:pPr>
      <w:r>
        <w:rPr>
          <w:shd w:fill="auto" w:val="clear"/>
        </w:rPr>
        <w:t>Last but not least, the Coordinator will introduce fundamental concepts of Space Geodesy and Earth Observation and their crucial input for Climate Change monitoring and Space Science in high school students around Greece. NTUA will organize and host a series of high-school visits in the observational facility of DSO, where students will be presented with the fundamentals of relevant scientific fields, their application range, interactive venture labs and educational activities and perform guided tours at the instrumentation sites (GNSS antennae, DORIS beacon, astrometric camera, gravitimeters, etc). Such calls will also be issued to the STEM community of Greece, and any interested STEM member can be a beneficiary. It is expected that during the lifetime of ACRONYM ten such visits will be performed.</w:t>
      </w:r>
    </w:p>
    <w:p>
      <w:pPr>
        <w:pStyle w:val="TextBody"/>
        <w:widowControl w:val="false"/>
        <w:ind w:left="0" w:hanging="0"/>
        <w:rPr>
          <w:highlight w:val="none"/>
          <w:shd w:fill="FFFF00" w:val="clear"/>
        </w:rPr>
      </w:pPr>
      <w:r>
        <w:rPr>
          <w:shd w:fill="FFFF00" w:val="clear"/>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blHeader w:val="true"/>
        </w:trPr>
        <w:tc>
          <w:tcPr>
            <w:tcW w:w="3212" w:type="dxa"/>
            <w:tcBorders/>
          </w:tcPr>
          <w:p>
            <w:pPr>
              <w:pStyle w:val="TableHeading"/>
              <w:widowControl w:val="false"/>
              <w:rPr/>
            </w:pPr>
            <w:r>
              <w:rPr/>
              <w:t>Dissemination Activity</w:t>
            </w:r>
          </w:p>
        </w:tc>
        <w:tc>
          <w:tcPr>
            <w:tcW w:w="3213" w:type="dxa"/>
            <w:tcBorders/>
          </w:tcPr>
          <w:p>
            <w:pPr>
              <w:pStyle w:val="TableHeading"/>
              <w:widowControl w:val="false"/>
              <w:rPr/>
            </w:pPr>
            <w:r>
              <w:rPr/>
              <w:t>Details</w:t>
            </w:r>
          </w:p>
        </w:tc>
        <w:tc>
          <w:tcPr>
            <w:tcW w:w="3213" w:type="dxa"/>
            <w:tcBorders/>
          </w:tcPr>
          <w:p>
            <w:pPr>
              <w:pStyle w:val="TableHeading"/>
              <w:widowControl w:val="false"/>
              <w:rPr/>
            </w:pPr>
            <w:r>
              <w:rPr/>
              <w:t>Target Group</w:t>
            </w:r>
          </w:p>
        </w:tc>
      </w:tr>
      <w:tr>
        <w:trPr/>
        <w:tc>
          <w:tcPr>
            <w:tcW w:w="3212" w:type="dxa"/>
            <w:tcBorders/>
            <w:vAlign w:val="center"/>
          </w:tcPr>
          <w:p>
            <w:pPr>
              <w:pStyle w:val="TableContents"/>
              <w:widowControl w:val="false"/>
              <w:rPr/>
            </w:pPr>
            <w:r>
              <w:rPr/>
              <w:t>Scientific Publications</w:t>
            </w:r>
          </w:p>
        </w:tc>
        <w:tc>
          <w:tcPr>
            <w:tcW w:w="3213" w:type="dxa"/>
            <w:tcBorders/>
            <w:vAlign w:val="center"/>
          </w:tcPr>
          <w:p>
            <w:pPr>
              <w:pStyle w:val="TableContents"/>
              <w:widowControl w:val="false"/>
              <w:rPr/>
            </w:pPr>
            <w:r>
              <w:rPr/>
              <w:t>Set target of nine scientific papers (at least three of which in high-impact (&gt;2.5) journals) and presentation in ten international conferences/workshops.</w:t>
            </w:r>
          </w:p>
        </w:tc>
        <w:tc>
          <w:tcPr>
            <w:tcW w:w="3213" w:type="dxa"/>
            <w:tcBorders/>
            <w:vAlign w:val="center"/>
          </w:tcPr>
          <w:p>
            <w:pPr>
              <w:pStyle w:val="TableContents"/>
              <w:widowControl w:val="false"/>
              <w:jc w:val="both"/>
              <w:rPr/>
            </w:pPr>
            <w:r>
              <w:rPr/>
              <w:t>International scientific and research community of Geodesy, Space Geodesy, Earth Observation, Geophysics &amp; Geodynamics and related fields.</w:t>
            </w:r>
          </w:p>
        </w:tc>
      </w:tr>
      <w:tr>
        <w:trPr/>
        <w:tc>
          <w:tcPr>
            <w:tcW w:w="3212" w:type="dxa"/>
            <w:tcBorders/>
            <w:vAlign w:val="center"/>
          </w:tcPr>
          <w:p>
            <w:pPr>
              <w:pStyle w:val="TableContents"/>
              <w:widowControl w:val="false"/>
              <w:rPr/>
            </w:pPr>
            <w:r>
              <w:rPr/>
              <w:t>Ecosystem Meetings</w:t>
            </w:r>
          </w:p>
        </w:tc>
        <w:tc>
          <w:tcPr>
            <w:tcW w:w="3213" w:type="dxa"/>
            <w:tcBorders/>
            <w:vAlign w:val="center"/>
          </w:tcPr>
          <w:p>
            <w:pPr>
              <w:pStyle w:val="TableContents"/>
              <w:widowControl w:val="false"/>
              <w:rPr/>
            </w:pPr>
            <w:r>
              <w:rPr/>
              <w:t>One info-day and one two-day (hybrid) seminar.</w:t>
            </w:r>
          </w:p>
        </w:tc>
        <w:tc>
          <w:tcPr>
            <w:tcW w:w="3213" w:type="dxa"/>
            <w:tcBorders/>
            <w:vAlign w:val="center"/>
          </w:tcPr>
          <w:p>
            <w:pPr>
              <w:pStyle w:val="TableContents"/>
              <w:widowControl w:val="false"/>
              <w:jc w:val="both"/>
              <w:rPr/>
            </w:pPr>
            <w:r>
              <w:rPr/>
              <w:t xml:space="preserve">Greek ecosystem members, including industry, commercial users, businesses and institutions involved in Navigation, Positioning, Climate Science &amp; Environmental Monitoring, Satellite Technology, Natural Resources Management, </w:t>
            </w:r>
            <w:r>
              <w:rPr>
                <w:rStyle w:val="Strong"/>
                <w:b w:val="false"/>
                <w:bCs w:val="false"/>
              </w:rPr>
              <w:t>Construction and Infrastructure, Remote Sensing, Space Security and Awareness, etc.</w:t>
            </w:r>
          </w:p>
        </w:tc>
      </w:tr>
      <w:tr>
        <w:trPr/>
        <w:tc>
          <w:tcPr>
            <w:tcW w:w="3212" w:type="dxa"/>
            <w:tcBorders/>
            <w:vAlign w:val="center"/>
          </w:tcPr>
          <w:p>
            <w:pPr>
              <w:pStyle w:val="TableContents"/>
              <w:widowControl w:val="false"/>
              <w:rPr/>
            </w:pPr>
            <w:r>
              <w:rPr/>
              <w:t>Newsletter</w:t>
            </w:r>
          </w:p>
        </w:tc>
        <w:tc>
          <w:tcPr>
            <w:tcW w:w="3213" w:type="dxa"/>
            <w:tcBorders/>
            <w:vAlign w:val="center"/>
          </w:tcPr>
          <w:p>
            <w:pPr>
              <w:pStyle w:val="TableContents"/>
              <w:widowControl w:val="false"/>
              <w:rPr/>
            </w:pPr>
            <w:r>
              <w:rPr/>
              <w:t>Issued every six months, after the first year. Publication via ACRONYM’s website, subscription and social media.</w:t>
            </w:r>
          </w:p>
        </w:tc>
        <w:tc>
          <w:tcPr>
            <w:tcW w:w="3213" w:type="dxa"/>
            <w:tcBorders/>
            <w:vAlign w:val="center"/>
          </w:tcPr>
          <w:p>
            <w:pPr>
              <w:pStyle w:val="TableContents"/>
              <w:widowControl w:val="false"/>
              <w:jc w:val="both"/>
              <w:rPr/>
            </w:pPr>
            <w:r>
              <w:rPr/>
              <w:t>The Greek ecosystem (described above) and the international scientific and research community of Space Geodesy.</w:t>
            </w:r>
          </w:p>
        </w:tc>
      </w:tr>
      <w:tr>
        <w:trPr/>
        <w:tc>
          <w:tcPr>
            <w:tcW w:w="3212" w:type="dxa"/>
            <w:tcBorders/>
            <w:vAlign w:val="center"/>
          </w:tcPr>
          <w:p>
            <w:pPr>
              <w:pStyle w:val="TableContents"/>
              <w:widowControl w:val="false"/>
              <w:rPr/>
            </w:pPr>
            <w:r>
              <w:rPr/>
              <w:t>Lecture notes &amp; Videos</w:t>
            </w:r>
          </w:p>
        </w:tc>
        <w:tc>
          <w:tcPr>
            <w:tcW w:w="3213" w:type="dxa"/>
            <w:tcBorders/>
            <w:vAlign w:val="center"/>
          </w:tcPr>
          <w:p>
            <w:pPr>
              <w:pStyle w:val="TableContents"/>
              <w:widowControl w:val="false"/>
              <w:rPr/>
            </w:pPr>
            <w:r>
              <w:rPr/>
              <w:t>Accessible at ACRONYM’s website.</w:t>
            </w:r>
          </w:p>
        </w:tc>
        <w:tc>
          <w:tcPr>
            <w:tcW w:w="3213" w:type="dxa"/>
            <w:vMerge w:val="restart"/>
            <w:tcBorders/>
            <w:vAlign w:val="center"/>
          </w:tcPr>
          <w:p>
            <w:pPr>
              <w:pStyle w:val="TableContents"/>
              <w:widowControl w:val="false"/>
              <w:jc w:val="both"/>
              <w:rPr/>
            </w:pPr>
            <w:r>
              <w:rPr/>
              <w:t>International scientific community,  ecosystem members, industry, commercial users, businesses and research institutions active in Space Geodesy and related applications.</w:t>
            </w:r>
          </w:p>
        </w:tc>
      </w:tr>
      <w:tr>
        <w:trPr/>
        <w:tc>
          <w:tcPr>
            <w:tcW w:w="3212" w:type="dxa"/>
            <w:tcBorders/>
            <w:vAlign w:val="center"/>
          </w:tcPr>
          <w:p>
            <w:pPr>
              <w:pStyle w:val="TableContents"/>
              <w:widowControl w:val="false"/>
              <w:rPr/>
            </w:pPr>
            <w:r>
              <w:rPr/>
              <w:t>Summer School</w:t>
            </w:r>
          </w:p>
        </w:tc>
        <w:tc>
          <w:tcPr>
            <w:tcW w:w="3213" w:type="dxa"/>
            <w:tcBorders/>
            <w:vAlign w:val="center"/>
          </w:tcPr>
          <w:p>
            <w:pPr>
              <w:pStyle w:val="TableContents"/>
              <w:widowControl w:val="false"/>
              <w:rPr/>
            </w:pPr>
            <w:r>
              <w:rPr/>
              <w:t>Five-day Summer Schools to take place in the premises of DSO; all ACRONYM partners will be actively involved. Attendance of approximately 30 individuals.</w:t>
            </w:r>
          </w:p>
        </w:tc>
        <w:tc>
          <w:tcPr>
            <w:tcW w:w="3213" w:type="dxa"/>
            <w:vMerge w:val="continue"/>
            <w:tcBorders/>
            <w:vAlign w:val="center"/>
          </w:tcPr>
          <w:p>
            <w:pPr>
              <w:pStyle w:val="TableContents"/>
              <w:widowControl w:val="false"/>
              <w:rPr/>
            </w:pPr>
            <w:r>
              <w:rPr/>
            </w:r>
          </w:p>
        </w:tc>
      </w:tr>
      <w:tr>
        <w:trPr/>
        <w:tc>
          <w:tcPr>
            <w:tcW w:w="3212" w:type="dxa"/>
            <w:tcBorders/>
            <w:vAlign w:val="center"/>
          </w:tcPr>
          <w:p>
            <w:pPr>
              <w:pStyle w:val="TableContents"/>
              <w:widowControl w:val="false"/>
              <w:rPr/>
            </w:pPr>
            <w:r>
              <w:rPr/>
              <w:t>ACRONYM Website</w:t>
            </w:r>
          </w:p>
        </w:tc>
        <w:tc>
          <w:tcPr>
            <w:tcW w:w="3213" w:type="dxa"/>
            <w:tcBorders/>
            <w:vAlign w:val="center"/>
          </w:tcPr>
          <w:p>
            <w:pPr>
              <w:pStyle w:val="TableContents"/>
              <w:widowControl w:val="false"/>
              <w:rPr/>
            </w:pPr>
            <w:r>
              <w:rPr/>
              <w:t>The project’s public-access website, including all relevant, up-to-date project information</w:t>
            </w:r>
          </w:p>
        </w:tc>
        <w:tc>
          <w:tcPr>
            <w:tcW w:w="3213" w:type="dxa"/>
            <w:vMerge w:val="continue"/>
            <w:tcBorders/>
            <w:vAlign w:val="center"/>
          </w:tcPr>
          <w:p>
            <w:pPr>
              <w:pStyle w:val="TableContents"/>
              <w:widowControl w:val="false"/>
              <w:rPr/>
            </w:pPr>
            <w:r>
              <w:rPr/>
            </w:r>
          </w:p>
        </w:tc>
      </w:tr>
      <w:tr>
        <w:trPr/>
        <w:tc>
          <w:tcPr>
            <w:tcW w:w="3212" w:type="dxa"/>
            <w:tcBorders/>
            <w:vAlign w:val="center"/>
          </w:tcPr>
          <w:p>
            <w:pPr>
              <w:pStyle w:val="TableContents"/>
              <w:widowControl w:val="false"/>
              <w:rPr/>
            </w:pPr>
            <w:r>
              <w:rPr/>
              <w:t>Software Release &amp; Software Pages</w:t>
            </w:r>
          </w:p>
        </w:tc>
        <w:tc>
          <w:tcPr>
            <w:tcW w:w="3213" w:type="dxa"/>
            <w:tcBorders/>
            <w:vAlign w:val="center"/>
          </w:tcPr>
          <w:p>
            <w:pPr>
              <w:pStyle w:val="TableContents"/>
              <w:widowControl w:val="false"/>
              <w:rPr/>
            </w:pPr>
            <w:r>
              <w:rPr/>
              <w:t>Dedicated webpages for each software tools created in ACRONYM (including examples, wiki-pages, user community forum, etc).</w:t>
            </w:r>
          </w:p>
          <w:p>
            <w:pPr>
              <w:pStyle w:val="TableContents"/>
              <w:widowControl w:val="false"/>
              <w:rPr/>
            </w:pPr>
            <w:r>
              <w:rPr/>
              <w:t>Release of software tools using a free and open-source policy, accompanied by a DOI.</w:t>
            </w:r>
          </w:p>
        </w:tc>
        <w:tc>
          <w:tcPr>
            <w:tcW w:w="3213" w:type="dxa"/>
            <w:tcBorders/>
            <w:vAlign w:val="center"/>
          </w:tcPr>
          <w:p>
            <w:pPr>
              <w:pStyle w:val="TableContents"/>
              <w:widowControl w:val="false"/>
              <w:rPr/>
            </w:pPr>
            <w:r>
              <w:rPr/>
              <w:t>All of the above, but also targeting Space Geodesy data analysis engineers, and user community.</w:t>
            </w:r>
          </w:p>
        </w:tc>
      </w:tr>
      <w:tr>
        <w:trPr/>
        <w:tc>
          <w:tcPr>
            <w:tcW w:w="3212" w:type="dxa"/>
            <w:tcBorders/>
            <w:vAlign w:val="center"/>
          </w:tcPr>
          <w:p>
            <w:pPr>
              <w:pStyle w:val="TableContents"/>
              <w:widowControl w:val="false"/>
              <w:rPr/>
            </w:pPr>
            <w:r>
              <w:rPr/>
              <w:t>Academic Curriculum</w:t>
            </w:r>
          </w:p>
        </w:tc>
        <w:tc>
          <w:tcPr>
            <w:tcW w:w="3213" w:type="dxa"/>
            <w:tcBorders/>
            <w:vAlign w:val="center"/>
          </w:tcPr>
          <w:p>
            <w:pPr>
              <w:pStyle w:val="TableContents"/>
              <w:widowControl w:val="false"/>
              <w:rPr/>
            </w:pPr>
            <w:r>
              <w:rPr/>
              <w:t>Promote ACRONYM activities and results via lectures and venture labs to be carried out in University associated with ACRONYM partners.</w:t>
            </w:r>
          </w:p>
        </w:tc>
        <w:tc>
          <w:tcPr>
            <w:tcW w:w="3213" w:type="dxa"/>
            <w:tcBorders/>
            <w:vAlign w:val="center"/>
          </w:tcPr>
          <w:p>
            <w:pPr>
              <w:pStyle w:val="TableContents"/>
              <w:widowControl w:val="false"/>
              <w:rPr/>
            </w:pPr>
            <w:r>
              <w:rPr/>
              <w:t xml:space="preserve">Young scientists and engineers, graduate and post-graduate students in NTUA, IPGP and </w:t>
            </w:r>
            <w:r>
              <w:rPr>
                <w:shd w:fill="FFFF00" w:val="clear"/>
              </w:rPr>
              <w:t>OSO.</w:t>
            </w:r>
          </w:p>
        </w:tc>
      </w:tr>
      <w:tr>
        <w:trPr/>
        <w:tc>
          <w:tcPr>
            <w:tcW w:w="3212" w:type="dxa"/>
            <w:tcBorders/>
            <w:vAlign w:val="center"/>
          </w:tcPr>
          <w:p>
            <w:pPr>
              <w:pStyle w:val="TableContents"/>
              <w:widowControl w:val="false"/>
              <w:rPr/>
            </w:pPr>
            <w:r>
              <w:rPr/>
              <w:t>Secondary Education Visits/Schools</w:t>
            </w:r>
          </w:p>
        </w:tc>
        <w:tc>
          <w:tcPr>
            <w:tcW w:w="3213" w:type="dxa"/>
            <w:tcBorders/>
            <w:vAlign w:val="center"/>
          </w:tcPr>
          <w:p>
            <w:pPr>
              <w:pStyle w:val="TableContents"/>
              <w:widowControl w:val="false"/>
              <w:rPr/>
            </w:pPr>
            <w:r>
              <w:rPr/>
              <w:t>NTUA staff visiting high-schools in Greece and/or high-school students visiting the observation site of DSO.</w:t>
            </w:r>
          </w:p>
        </w:tc>
        <w:tc>
          <w:tcPr>
            <w:tcW w:w="3213" w:type="dxa"/>
            <w:tcBorders/>
            <w:vAlign w:val="center"/>
          </w:tcPr>
          <w:p>
            <w:pPr>
              <w:pStyle w:val="TableContents"/>
              <w:widowControl w:val="false"/>
              <w:rPr/>
            </w:pPr>
            <w:r>
              <w:rPr/>
              <w:t xml:space="preserve">High-school students in Greece and </w:t>
            </w:r>
            <w:bookmarkStart w:id="23" w:name="Join%25252525252520the%25252525252520STE"/>
            <w:bookmarkEnd w:id="23"/>
            <w:r>
              <w:rPr/>
              <w:t>STEM community of Greece.</w:t>
            </w:r>
          </w:p>
          <w:p>
            <w:pPr>
              <w:pStyle w:val="TableContents"/>
              <w:widowControl w:val="false"/>
              <w:rPr/>
            </w:pPr>
            <w:r>
              <w:rPr/>
            </w:r>
          </w:p>
        </w:tc>
      </w:tr>
    </w:tbl>
    <w:p>
      <w:pPr>
        <w:pStyle w:val="TextBody"/>
        <w:widowControl w:val="false"/>
        <w:ind w:left="0" w:hanging="0"/>
        <w:rPr>
          <w:highlight w:val="none"/>
          <w:shd w:fill="FFFF00" w:val="clear"/>
        </w:rPr>
      </w:pPr>
      <w:r>
        <w:rPr>
          <w:shd w:fill="FFFF00" w:val="clear"/>
        </w:rPr>
      </w:r>
    </w:p>
    <w:p>
      <w:pPr>
        <w:pStyle w:val="Normal"/>
        <w:jc w:val="both"/>
        <w:rPr/>
      </w:pPr>
      <w:r>
        <w:rPr/>
      </w:r>
    </w:p>
    <w:p>
      <w:pPr>
        <w:sectPr>
          <w:headerReference w:type="even" r:id="rId17"/>
          <w:headerReference w:type="default" r:id="rId18"/>
          <w:headerReference w:type="first" r:id="rId19"/>
          <w:footerReference w:type="default" r:id="rId20"/>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promote R&amp;I and strengthen academia and industry ties.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p>
          <w:p>
            <w:pPr>
              <w:pStyle w:val="Normal"/>
              <w:widowControl w:val="false"/>
              <w:numPr>
                <w:ilvl w:val="0"/>
                <w:numId w:val="19"/>
              </w:numPr>
              <w:jc w:val="both"/>
              <w:rPr/>
            </w:pPr>
            <w:r>
              <w:rPr>
                <w:rFonts w:ascii="Times New Roman" w:hAnsi="Times New Roman"/>
                <w:color w:val="auto"/>
              </w:rPr>
              <w:t>Issue a Newsletter and use social media to promote ACRONYM and inform the public about its objectives, activities, results and events.</w:t>
            </w:r>
          </w:p>
          <w:p>
            <w:pPr>
              <w:pStyle w:val="Normal"/>
              <w:widowControl w:val="false"/>
              <w:numPr>
                <w:ilvl w:val="0"/>
                <w:numId w:val="19"/>
              </w:numPr>
              <w:jc w:val="both"/>
              <w:rPr/>
            </w:pPr>
            <w:r>
              <w:rPr>
                <w:rFonts w:ascii="Times New Roman" w:hAnsi="Times New Roman"/>
                <w:color w:val="auto"/>
              </w:rPr>
              <w:t>Use ACRONYM’s website to attract interest in the project itself and Space Geodesy</w:t>
            </w:r>
          </w:p>
          <w:p>
            <w:pPr>
              <w:pStyle w:val="Normal"/>
              <w:widowControl w:val="false"/>
              <w:numPr>
                <w:ilvl w:val="0"/>
                <w:numId w:val="19"/>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Greek high-school and STEM community educational visits at DSO</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0"/>
              </w:numPr>
              <w:jc w:val="both"/>
              <w:rPr/>
            </w:pPr>
            <w:r>
              <w:rPr>
                <w:rFonts w:ascii="Times New Roman" w:hAnsi="Times New Roman"/>
                <w:color w:val="000000"/>
                <w:lang w:val="en-GB"/>
              </w:rPr>
              <w:t>Release of DORIS analysis software, attributing a citeable and trackable DOI. Software release using a public domain software repository/development platform using MIT license.</w:t>
            </w:r>
          </w:p>
          <w:p>
            <w:pPr>
              <w:pStyle w:val="Normal"/>
              <w:widowControl w:val="false"/>
              <w:numPr>
                <w:ilvl w:val="0"/>
                <w:numId w:val="20"/>
              </w:numPr>
              <w:jc w:val="both"/>
              <w:rPr/>
            </w:pPr>
            <w:r>
              <w:rPr>
                <w:color w:val="000000"/>
              </w:rPr>
              <w:t xml:space="preserve">Release of SLR analysis software, attributing a citeable and trackable DOI.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0"/>
              </w:numPr>
              <w:jc w:val="both"/>
              <w:rPr/>
            </w:pPr>
            <w:r>
              <w:rPr>
                <w:color w:val="000000"/>
              </w:rPr>
              <w:t>Scientific publications in peer-reviewed journals.</w:t>
            </w:r>
          </w:p>
          <w:p>
            <w:pPr>
              <w:pStyle w:val="Normal"/>
              <w:widowControl w:val="false"/>
              <w:numPr>
                <w:ilvl w:val="0"/>
                <w:numId w:val="20"/>
              </w:numPr>
              <w:jc w:val="both"/>
              <w:rPr/>
            </w:pPr>
            <w:r>
              <w:rPr>
                <w:color w:val="000000"/>
              </w:rPr>
              <w:t>Attendance and presentations in international conference.</w:t>
            </w:r>
          </w:p>
          <w:p>
            <w:pPr>
              <w:pStyle w:val="Normal"/>
              <w:widowControl w:val="false"/>
              <w:numPr>
                <w:ilvl w:val="0"/>
                <w:numId w:val="20"/>
              </w:numPr>
              <w:jc w:val="both"/>
              <w:rPr/>
            </w:pPr>
            <w:r>
              <w:rPr>
                <w:color w:val="000000"/>
              </w:rPr>
              <w:t>Summer School on Space Geodesy, Earth Observation and applications</w:t>
            </w:r>
          </w:p>
          <w:p>
            <w:pPr>
              <w:pStyle w:val="Normal"/>
              <w:widowControl w:val="false"/>
              <w:numPr>
                <w:ilvl w:val="0"/>
                <w:numId w:val="20"/>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color w:val="000000"/>
              </w:rPr>
            </w:pPr>
            <w:r>
              <w:rPr>
                <w:b/>
                <w:bCs/>
                <w:color w:val="000000"/>
              </w:rPr>
              <w:t>Exploitation:</w:t>
            </w:r>
          </w:p>
          <w:p>
            <w:pPr>
              <w:pStyle w:val="Normal"/>
              <w:widowControl w:val="false"/>
              <w:numPr>
                <w:ilvl w:val="0"/>
                <w:numId w:val="21"/>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1"/>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1"/>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1"/>
              </w:numPr>
              <w:jc w:val="both"/>
              <w:rPr>
                <w:highlight w:val="none"/>
                <w:shd w:fill="auto" w:val="clear"/>
              </w:rPr>
            </w:pPr>
            <w:r>
              <w:rPr>
                <w:b w:val="false"/>
                <w:bCs w:val="false"/>
                <w:color w:val="000000"/>
                <w:shd w:fill="auto" w:val="clear"/>
              </w:rPr>
              <w:t>Use synergies within the national ecosystem to boost R&amp;I in Greece in Space sciences and Earth Observation.</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Scientific contributions in Space Geodesy via a series of research publications and Theses.</w:t>
            </w:r>
          </w:p>
          <w:p>
            <w:pPr>
              <w:pStyle w:val="Normal"/>
              <w:widowControl w:val="false"/>
              <w:jc w:val="both"/>
              <w:rPr>
                <w:lang w:val="en-GB"/>
              </w:rPr>
            </w:pPr>
            <w:r>
              <w:rPr>
                <w:lang w:val="en-GB"/>
              </w:rPr>
            </w:r>
          </w:p>
          <w:p>
            <w:pPr>
              <w:pStyle w:val="Normal"/>
              <w:widowControl w:val="false"/>
              <w:jc w:val="both"/>
              <w:rPr/>
            </w:pPr>
            <w:r>
              <w:rPr>
                <w:color w:val="000000"/>
                <w:lang w:val="en-GB"/>
              </w:rPr>
              <w:t>A trained and highly skilled work force in the Coordinator, with increased scientific reputation (including young scientitst).</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pPr>
            <w:r>
              <w:rPr>
                <w:color w:val="000000"/>
                <w:lang w:val="en-GB"/>
              </w:rPr>
              <w:t>Grant agreements and secure financial support for relevant future research activities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vivid national ecosystem of stakeholders involved in Space sciences and Earth Observation.</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International research and Scientific community </w:t>
            </w:r>
            <w:r>
              <w:rPr>
                <w:b w:val="false"/>
                <w:bCs w:val="false"/>
                <w:color w:val="000000"/>
                <w:lang w:val="en-GB"/>
              </w:rPr>
              <w:t xml:space="preserve">active in fields of study that make direct use of Space Geodesy products. Such are </w:t>
            </w:r>
            <w:r>
              <w:rPr>
                <w:rFonts w:ascii="Nimbus Roman No9 L" w:hAnsi="Nimbus Roman No9 L"/>
                <w:b w:val="false"/>
                <w:bCs w:val="false"/>
                <w:color w:val="000000"/>
                <w:shd w:fill="auto" w:val="clear"/>
                <w:lang w:val="en-GB"/>
              </w:rPr>
              <w:t xml:space="preserve">space industry, space awareness and security, </w:t>
            </w:r>
            <w:r>
              <w:rPr>
                <w:rFonts w:ascii="Nimbus Roman No9 L" w:hAnsi="Nimbus Roman No9 L"/>
                <w:b w:val="false"/>
                <w:bCs w:val="false"/>
                <w:color w:val="000000"/>
                <w:lang w:val="en-GB"/>
              </w:rPr>
              <w:t>monitoring and surveillance solutions</w:t>
            </w:r>
            <w:r>
              <w:rPr>
                <w:rFonts w:ascii="Nimbus Roman No9 L" w:hAnsi="Nimbus Roman No9 L"/>
                <w:b w:val="false"/>
                <w:bCs w:val="false"/>
                <w:color w:val="000000"/>
                <w:shd w:fill="auto" w:val="clear"/>
                <w:lang w:val="en-GB"/>
              </w:rPr>
              <w:t xml:space="preserve"> (including remote sensing, positioning and surveying), geodynamics and geophysics, navigation, environmental monitoring, maritime surveillance, mobility, energies and infrastructures monitoring, climate change.</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Young scientists and enginners </w:t>
            </w:r>
            <w:r>
              <w:rPr>
                <w:b w:val="false"/>
                <w:bCs w:val="false"/>
                <w:color w:val="000000"/>
                <w:lang w:val="en-GB"/>
              </w:rPr>
              <w:t>seeking academia and/or professional carriers in Earth Observation.</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of Coordinator in high prestige international consortia 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awareness, interest and involvement in a rapidly growing international market, that of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Significantly up-scale academic curriculum and research scope in Greece. Create a pool of experts in Space and studies and Geosciences, boosting innovation and research capacity on a national scale (improve innovation ranking).</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R&amp;I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footnotePr>
            <w:numFmt w:val="decimal"/>
          </w:footnotePr>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4" w:name="_Hlk106802800"/>
      <w:r>
        <w:rPr>
          <w:rFonts w:cs="Arial"/>
          <w:caps/>
          <w:color w:val="B5B5B5"/>
          <w:sz w:val="18"/>
          <w:szCs w:val="16"/>
          <w:lang w:eastAsia="it-IT"/>
        </w:rPr>
        <w:t xml:space="preserve">#@QUA-LIT-QL@# </w:t>
      </w:r>
      <w:r>
        <w:rPr>
          <w:rFonts w:cs="Arial"/>
          <w:color w:val="B5B5B5"/>
          <w:sz w:val="18"/>
          <w:szCs w:val="16"/>
        </w:rPr>
        <w:t>#@WRK-PLA-WP@#</w:t>
      </w:r>
      <w:bookmarkEnd w:id="24"/>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TextBody"/>
        <w:ind w:left="0" w:hanging="0"/>
        <w:rPr>
          <w:lang w:val="en-GB"/>
        </w:rPr>
      </w:pPr>
      <w:r>
        <w:rPr/>
        <w:t>The work plan for ACRONYM is heavily focused on a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5" w:name="_Hlk106802819"/>
      <w:r>
        <w:rPr>
          <w:rFonts w:cs="Arial"/>
          <w:color w:val="B5B5B5"/>
          <w:sz w:val="18"/>
          <w:szCs w:val="16"/>
        </w:rPr>
        <w:t>#@CON-SOR-CS@# #@PRJ-MGT-PM@#</w:t>
      </w:r>
      <w:bookmarkEnd w:id="25"/>
    </w:p>
    <w:p>
      <w:pPr>
        <w:pStyle w:val="Normal"/>
        <w:spacing w:lineRule="auto" w:line="276" w:before="0" w:after="240"/>
        <w:jc w:val="both"/>
        <w:rPr>
          <w:rFonts w:ascii="Times New Roman" w:hAnsi="Times New Roman"/>
          <w:b/>
          <w:b/>
          <w:lang w:val="en-GB"/>
        </w:rPr>
      </w:pPr>
      <w:r>
        <w:rPr>
          <w:rFonts w:ascii="Times New Roman" w:hAnsi="Times New Roman"/>
          <w:b/>
          <w:lang w:val="en-GB"/>
        </w:rPr>
        <w:t>3.2.1 Capacity of GFZ in the field of SLR and other space geodetic techniques</w:t>
      </w:r>
    </w:p>
    <w:p>
      <w:pPr>
        <w:pStyle w:val="TextBody"/>
        <w:ind w:left="0" w:hanging="0"/>
        <w:rPr>
          <w:rFonts w:ascii="Nimbus Roman" w:hAnsi="Nimbus Roman"/>
        </w:rPr>
      </w:pPr>
      <w:r>
        <w:rPr/>
        <w:t>GFZ´s Section 1.2 “Global Geomonitoring and Gravity Field” within GFZ´s Department</w:t>
      </w:r>
      <w:r>
        <w:rPr>
          <w:lang w:val="en-GB"/>
        </w:rPr>
        <w:t xml:space="preserve"> 1 “Geodesy” has </w:t>
      </w:r>
      <w:r>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TextBody"/>
        <w:ind w:left="0" w:hanging="0"/>
        <w:rPr>
          <w:rFonts w:ascii="Nimbus Roman" w:hAnsi="Nimbus Roman"/>
          <w:b w:val="false"/>
          <w:b w:val="false"/>
          <w:bCs w:val="false"/>
          <w:highlight w:val="none"/>
          <w:shd w:fill="auto" w:val="clear"/>
        </w:rPr>
      </w:pPr>
      <w:r>
        <w:rPr>
          <w:b w:val="false"/>
          <w:bCs w:val="false"/>
          <w:shd w:fill="auto" w:val="clear"/>
          <w:lang w:val="en-GB"/>
        </w:rPr>
        <w:t>The Section also runs a SLR station on the Telegrafenberg in Potsdam which will celebrate its 50</w:t>
      </w:r>
      <w:r>
        <w:rPr>
          <w:b w:val="false"/>
          <w:bCs w:val="false"/>
          <w:shd w:fill="auto" w:val="clear"/>
          <w:vertAlign w:val="superscript"/>
          <w:lang w:val="en-GB"/>
        </w:rPr>
        <w:t>th</w:t>
      </w:r>
      <w:r>
        <w:rPr>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6" w:name="_Hlk106802840"/>
      <w:r>
        <w:rPr>
          <w:rFonts w:cs="Arial"/>
          <w:color w:val="B5B5B5"/>
          <w:sz w:val="18"/>
          <w:szCs w:val="16"/>
        </w:rPr>
        <w:t>#§CON-SOR-CS§# #§PRJ-MGT-PM§#</w:t>
      </w:r>
      <w:bookmarkEnd w:id="26"/>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3"/>
        <w:gridCol w:w="2250"/>
        <w:gridCol w:w="1177"/>
        <w:gridCol w:w="1438"/>
        <w:gridCol w:w="1263"/>
        <w:gridCol w:w="901"/>
        <w:gridCol w:w="771"/>
      </w:tblGrid>
      <w:tr>
        <w:trPr>
          <w:cantSplit w:val="true"/>
        </w:trPr>
        <w:tc>
          <w:tcPr>
            <w:tcW w:w="109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225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17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3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6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901"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771"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lang w:val="en-GB"/>
              </w:rPr>
              <w:t xml:space="preserve">Project Management and Coordination </w:t>
            </w:r>
            <w:r>
              <w:rPr>
                <w:lang w:val="en-GB"/>
              </w:rPr>
              <w:t>(RP1)</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18</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2</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lang w:val="en-GB"/>
              </w:rPr>
              <w:t xml:space="preserve">Project Management and Coordination </w:t>
            </w:r>
            <w:r>
              <w:rPr>
                <w:lang w:val="en-GB"/>
              </w:rPr>
              <w:t>(RP2)</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r>
              <w:rPr>
                <w:lang w:val="en-GB"/>
              </w:rPr>
              <w:t>9</w:t>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3</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Transfer of Knowledge</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4</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lang w:val="en-GB"/>
              </w:rPr>
              <w:t xml:space="preserve">Building Excellence Capacity </w:t>
            </w:r>
            <w:r>
              <w:rPr>
                <w:lang w:val="en-GB"/>
              </w:rPr>
              <w:t>(RP1)</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r>
              <w:rPr>
                <w:lang w:val="en-GB"/>
              </w:rPr>
              <w:t>3</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18</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5</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lang w:val="en-GB"/>
              </w:rPr>
              <w:t xml:space="preserve">Building Excellence Capacity </w:t>
            </w:r>
            <w:r>
              <w:rPr>
                <w:lang w:val="en-GB"/>
              </w:rPr>
              <w:t>(RP2)</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r>
              <w:rPr>
                <w:lang w:val="en-GB"/>
              </w:rPr>
              <w:t>9</w:t>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6</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Strengthening research management, administration and funding capacity</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CLS</w:t>
            </w:r>
          </w:p>
        </w:tc>
        <w:tc>
          <w:tcPr>
            <w:tcW w:w="126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1"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7</w:t>
            </w:r>
          </w:p>
        </w:tc>
        <w:tc>
          <w:tcPr>
            <w:tcW w:w="2250" w:type="dxa"/>
            <w:tcBorders>
              <w:left w:val="single" w:sz="2" w:space="0" w:color="000000"/>
              <w:bottom w:val="single" w:sz="2" w:space="0" w:color="000000"/>
              <w:right w:val="single" w:sz="2" w:space="0" w:color="000000"/>
            </w:tcBorders>
          </w:tcPr>
          <w:p>
            <w:pPr>
              <w:pStyle w:val="Normal"/>
              <w:widowControl w:val="false"/>
              <w:jc w:val="left"/>
              <w:rPr/>
            </w:pPr>
            <w:r>
              <w:rPr/>
              <w:t>Networking and Ecosystem Activities</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18</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8</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t xml:space="preserve">Dissemination, Exploitation and Communication </w:t>
            </w:r>
            <w:r>
              <w:rPr/>
              <w:t>(RP1)</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GFZ</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18</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w:t>
            </w:r>
            <w:r>
              <w:rPr>
                <w:lang w:val="en-GB"/>
              </w:rPr>
              <w:t>9</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t xml:space="preserve">Dissemination, Exploitation and Communication </w:t>
            </w:r>
            <w:r>
              <w:rPr/>
              <w:t>(RP2)</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3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GFZ</w:t>
            </w:r>
          </w:p>
        </w:tc>
        <w:tc>
          <w:tcPr>
            <w:tcW w:w="126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r>
              <w:rPr>
                <w:lang w:val="en-GB"/>
              </w:rPr>
              <w:t>9</w:t>
            </w:r>
          </w:p>
        </w:tc>
        <w:tc>
          <w:tcPr>
            <w:tcW w:w="771"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r>
              <w:rPr>
                <w:lang w:val="en-GB"/>
              </w:rPr>
              <w:t xml:space="preserve"> </w:t>
            </w:r>
            <w:r>
              <w:rPr>
                <w:lang w:val="en-GB"/>
              </w:rPr>
              <w:t>(RP1)</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TextBody"/>
              <w:widowControl w:val="false"/>
              <w:numPr>
                <w:ilvl w:val="0"/>
                <w:numId w:val="22"/>
              </w:numPr>
              <w:rPr/>
            </w:pPr>
            <w:r>
              <w:rPr/>
              <w:t>Establish a strong project management scheme</w:t>
            </w:r>
          </w:p>
          <w:p>
            <w:pPr>
              <w:pStyle w:val="TextBody"/>
              <w:widowControl w:val="false"/>
              <w:numPr>
                <w:ilvl w:val="0"/>
                <w:numId w:val="22"/>
              </w:numPr>
              <w:rPr/>
            </w:pPr>
            <w:r>
              <w:rPr/>
              <w:t>Establish appropriate communication and reporting channels to the European Commission</w:t>
            </w:r>
          </w:p>
          <w:p>
            <w:pPr>
              <w:pStyle w:val="TextBody"/>
              <w:widowControl w:val="false"/>
              <w:numPr>
                <w:ilvl w:val="0"/>
                <w:numId w:val="22"/>
              </w:numPr>
              <w:rPr/>
            </w:pPr>
            <w:r>
              <w:rPr/>
              <w:t>Ensure successful achievement of the project objectives on time and within budget</w:t>
            </w:r>
          </w:p>
          <w:p>
            <w:pPr>
              <w:pStyle w:val="TextBody"/>
              <w:widowControl w:val="false"/>
              <w:numPr>
                <w:ilvl w:val="0"/>
                <w:numId w:val="22"/>
              </w:numPr>
              <w:rPr/>
            </w:pPr>
            <w:r>
              <w:rPr/>
              <w:t>Establish an efficient electronic service for communications, and document exchanging</w:t>
            </w:r>
          </w:p>
          <w:p>
            <w:pPr>
              <w:pStyle w:val="TextBody"/>
              <w:widowControl w:val="false"/>
              <w:numPr>
                <w:ilvl w:val="0"/>
                <w:numId w:val="22"/>
              </w:numPr>
              <w:rPr/>
            </w:pPr>
            <w:r>
              <w:rPr/>
              <w:t>Conduct continuous quality assurance activities for the operation of the project and the production of its results within its lifespan</w:t>
            </w:r>
          </w:p>
          <w:p>
            <w:pPr>
              <w:pStyle w:val="TextBody"/>
              <w:widowControl w:val="false"/>
              <w:numPr>
                <w:ilvl w:val="0"/>
                <w:numId w:val="22"/>
              </w:numPr>
              <w:rPr/>
            </w:pPr>
            <w:r>
              <w:rPr/>
              <w:t>Ensure continuous monitoring of the project’s progress and timely initiation of corrective actions (if needed)</w:t>
            </w:r>
          </w:p>
          <w:p>
            <w:pPr>
              <w:pStyle w:val="TextBody"/>
              <w:widowControl w:val="false"/>
              <w:numPr>
                <w:ilvl w:val="0"/>
                <w:numId w:val="22"/>
              </w:numPr>
              <w:rPr/>
            </w:pPr>
            <w:r>
              <w:rPr/>
              <w:t>Coordinate the organization and execution of the various project meetings, and/or participation of the project in various external or self-organized events</w:t>
            </w:r>
          </w:p>
          <w:p>
            <w:pPr>
              <w:pStyle w:val="TextBody"/>
              <w:widowControl w:val="false"/>
              <w:numPr>
                <w:ilvl w:val="0"/>
                <w:numId w:val="22"/>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b/>
                <w:b/>
                <w:bCs/>
              </w:rPr>
            </w:pPr>
            <w:r>
              <w:rPr>
                <w:b/>
                <w:bCs/>
              </w:rPr>
              <w:t>Task 1.1: Project implementation plan and Project Management Board (M1-M</w:t>
            </w:r>
            <w:r>
              <w:rPr>
                <w:b/>
                <w:bCs/>
              </w:rPr>
              <w:t>18</w:t>
            </w:r>
            <w:r>
              <w:rPr>
                <w:b/>
                <w:bCs/>
              </w:rPr>
              <w:t>): Lead NTUA</w:t>
            </w:r>
          </w:p>
          <w:p>
            <w:pPr>
              <w:pStyle w:val="TextBody"/>
              <w:widowControl w:val="false"/>
              <w:ind w:left="0" w:hanging="0"/>
              <w:rPr/>
            </w:pPr>
            <w:r>
              <w:rPr/>
              <w:t>During the Kick-Off meeting, the</w:t>
            </w:r>
            <w:r>
              <w:rPr>
                <w:u w:val="none"/>
              </w:rPr>
              <w:t xml:space="preserve"> Project Management Board</w:t>
            </w:r>
            <w:r>
              <w:rPr/>
              <w:t xml:space="preserve"> will be formed. It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none"/>
              </w:rPr>
              <w:t>Project Management Board.</w:t>
            </w:r>
          </w:p>
          <w:p>
            <w:pPr>
              <w:pStyle w:val="TextBody"/>
              <w:widowControl w:val="false"/>
              <w:ind w:left="0" w:hanging="0"/>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TextBody"/>
              <w:widowControl w:val="false"/>
              <w:ind w:left="0" w:hanging="0"/>
              <w:rPr/>
            </w:pPr>
            <w:r>
              <w:rPr/>
            </w:r>
          </w:p>
          <w:p>
            <w:pPr>
              <w:pStyle w:val="TextBody"/>
              <w:widowControl w:val="false"/>
              <w:ind w:left="0" w:hanging="0"/>
              <w:rPr>
                <w:b/>
                <w:b/>
                <w:bCs/>
              </w:rPr>
            </w:pPr>
            <w:r>
              <w:rPr>
                <w:b/>
                <w:bCs/>
              </w:rPr>
              <w:t>Task 1.2: Quality management and monitoring (M1-M</w:t>
            </w:r>
            <w:r>
              <w:rPr>
                <w:b/>
                <w:bCs/>
              </w:rPr>
              <w:t>18</w:t>
            </w:r>
            <w:r>
              <w:rPr>
                <w:b/>
                <w:bCs/>
              </w:rPr>
              <w:t>): Lead CLS</w:t>
            </w:r>
          </w:p>
          <w:p>
            <w:pPr>
              <w:pStyle w:val="TextBody"/>
              <w:widowControl w:val="false"/>
              <w:ind w:left="0" w:hanging="0"/>
              <w:rPr/>
            </w:pPr>
            <w:r>
              <w:rPr/>
              <w:t>The project will establish the</w:t>
            </w:r>
            <w:r>
              <w:rPr>
                <w:u w:val="none"/>
              </w:rPr>
              <w:t xml:space="preserve"> Quality Management Board during the Kick-Off meeting. </w:t>
            </w:r>
            <w:r>
              <w:rPr/>
              <w:t xml:space="preserve">At the beginning of project implementation period, the board will prepare, and the </w:t>
            </w:r>
            <w:r>
              <w:rPr>
                <w:u w:val="non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none"/>
              </w:rPr>
              <w:t xml:space="preserve">Quality Management Board </w:t>
            </w:r>
            <w:r>
              <w:rPr/>
              <w:t xml:space="preserve">will deliver integrated reports to the </w:t>
            </w:r>
            <w:r>
              <w:rPr>
                <w:u w:val="none"/>
              </w:rPr>
              <w:t>Project Management Board.</w:t>
            </w:r>
          </w:p>
          <w:p>
            <w:pPr>
              <w:pStyle w:val="TextBody"/>
              <w:widowControl w:val="false"/>
              <w:ind w:left="0" w:hanging="0"/>
              <w:rPr/>
            </w:pPr>
            <w:r>
              <w:rPr/>
            </w:r>
          </w:p>
          <w:p>
            <w:pPr>
              <w:pStyle w:val="TextBody"/>
              <w:widowControl w:val="false"/>
              <w:ind w:left="0" w:hanging="0"/>
              <w:rPr>
                <w:b/>
                <w:b/>
                <w:bCs/>
              </w:rPr>
            </w:pPr>
            <w:r>
              <w:rPr>
                <w:b/>
                <w:bCs/>
              </w:rPr>
              <w:t>Task 1.3: Risk management plan (M1-M</w:t>
            </w:r>
            <w:r>
              <w:rPr>
                <w:b/>
                <w:bCs/>
              </w:rPr>
              <w:t>18</w:t>
            </w:r>
            <w:r>
              <w:rPr>
                <w:b/>
                <w:bCs/>
              </w:rPr>
              <w:t>): Lead GFZ</w:t>
            </w:r>
          </w:p>
          <w:p>
            <w:pPr>
              <w:pStyle w:val="TextBody"/>
              <w:widowControl w:val="false"/>
              <w:ind w:left="0" w:hanging="0"/>
              <w:rPr/>
            </w:pPr>
            <w:r>
              <w:rPr/>
              <w:t xml:space="preserve">The </w:t>
            </w:r>
            <w:r>
              <w:rPr>
                <w:u w:val="none"/>
              </w:rPr>
              <w:t>Project Management Board</w:t>
            </w:r>
            <w:r>
              <w:rPr/>
              <w:t xml:space="preserve"> will compile the </w:t>
            </w:r>
            <w:r>
              <w:rPr>
                <w:u w:val="none"/>
              </w:rPr>
              <w:t>Risk Management Plan at the beginning of the project.</w:t>
            </w:r>
            <w:r>
              <w:rPr/>
              <w:t xml:space="preserve"> The Plan will be continuously revised, and it will be the responsibility of all project participants to report promptly about any newly emerged risk that could impact project implementation. For every identified risk, the occurrence likelihood and severity will be accessed, and timely prevention and mitigation actions will be precisely defined. Risk Management will be discussed at every gathering of the</w:t>
            </w:r>
            <w:r>
              <w:rPr>
                <w:u w:val="none"/>
              </w:rPr>
              <w:t xml:space="preserve"> Project</w:t>
            </w:r>
            <w:r>
              <w:rPr>
                <w:u w:val="single"/>
              </w:rPr>
              <w:t xml:space="preserve"> </w:t>
            </w:r>
            <w:r>
              <w:rPr>
                <w:u w:val="none"/>
              </w:rPr>
              <w:t>Management Board.</w:t>
            </w:r>
          </w:p>
          <w:p>
            <w:pPr>
              <w:pStyle w:val="TextBody"/>
              <w:widowControl w:val="false"/>
              <w:ind w:left="0" w:hanging="0"/>
              <w:rPr/>
            </w:pPr>
            <w:r>
              <w:rPr/>
            </w:r>
          </w:p>
          <w:p>
            <w:pPr>
              <w:pStyle w:val="TextBody"/>
              <w:widowControl w:val="false"/>
              <w:ind w:left="0" w:hanging="0"/>
              <w:rPr>
                <w:b/>
                <w:b/>
                <w:bCs/>
              </w:rPr>
            </w:pPr>
            <w:r>
              <w:rPr>
                <w:b/>
                <w:bCs/>
              </w:rPr>
              <w:t>Task 1.4: Financial management (M1-M</w:t>
            </w:r>
            <w:r>
              <w:rPr>
                <w:b/>
                <w:bCs/>
              </w:rPr>
              <w:t>18</w:t>
            </w:r>
            <w:r>
              <w:rPr>
                <w:b/>
                <w:bCs/>
              </w:rPr>
              <w:t>); Lead NTUA</w:t>
            </w:r>
          </w:p>
          <w:p>
            <w:pPr>
              <w:pStyle w:val="TextBody"/>
              <w:widowControl w:val="false"/>
              <w:ind w:left="0" w:hanging="0"/>
              <w:rPr/>
            </w:pPr>
            <w:r>
              <w:rPr/>
              <w:t xml:space="preserve">One specific support team to the </w:t>
            </w:r>
            <w:r>
              <w:rPr>
                <w:u w:val="none"/>
              </w:rPr>
              <w:t>Project Management Board</w:t>
            </w:r>
            <w:r>
              <w:rPr/>
              <w:t xml:space="preserve"> will be the </w:t>
            </w:r>
            <w:r>
              <w:rPr>
                <w:u w:val="none"/>
              </w:rPr>
              <w:t>Financial Committee</w:t>
            </w:r>
            <w:r>
              <w:rPr/>
              <w:t xml:space="preserve">, that will develop the Guidelines for the Use of the Grant, monitor project expenditures, deliver in-house reports to the </w:t>
            </w:r>
            <w:r>
              <w:rPr>
                <w:u w:val="none"/>
              </w:rPr>
              <w:t>Management Board</w:t>
            </w:r>
            <w:r>
              <w:rPr/>
              <w:t xml:space="preserve"> every 6 months, and prepare financial reports for the European Commission.</w:t>
            </w:r>
          </w:p>
          <w:p>
            <w:pPr>
              <w:pStyle w:val="TextBody"/>
              <w:widowControl w:val="false"/>
              <w:ind w:left="0" w:hanging="0"/>
              <w:rPr/>
            </w:pPr>
            <w:r>
              <w:rPr/>
            </w:r>
          </w:p>
          <w:p>
            <w:pPr>
              <w:pStyle w:val="TextBody"/>
              <w:widowControl w:val="false"/>
              <w:ind w:left="0" w:hanging="0"/>
              <w:rPr>
                <w:b/>
                <w:b/>
                <w:bCs/>
              </w:rPr>
            </w:pPr>
            <w:r>
              <w:rPr>
                <w:b/>
                <w:bCs/>
              </w:rPr>
              <w:t>Task 1.5: Coordination, communication and administration (M1-M</w:t>
            </w:r>
            <w:r>
              <w:rPr>
                <w:b/>
                <w:bCs/>
              </w:rPr>
              <w:t>18</w:t>
            </w:r>
            <w:r>
              <w:rPr>
                <w:b/>
                <w:bCs/>
              </w:rPr>
              <w:t>); Lead NTUA</w:t>
            </w:r>
          </w:p>
          <w:p>
            <w:pPr>
              <w:pStyle w:val="TextBody"/>
              <w:widowControl w:val="false"/>
              <w:ind w:left="0" w:hanging="0"/>
              <w:rPr/>
            </w:pPr>
            <w:r>
              <w:rPr/>
              <w:t xml:space="preserve">The Coordinator shall form a collective administrative base for the project. This will lead day-to-day communication through agreed electronic channels at the level of the </w:t>
            </w:r>
            <w:r>
              <w:rPr>
                <w:u w:val="none"/>
              </w:rPr>
              <w:t>Project Management Board</w:t>
            </w:r>
            <w:r>
              <w:rPr/>
              <w:t xml:space="preserve"> with Leaders of Work Packages, coordinate project activities, distribute documents, news, and achievements, and reports on communication with the European Commission. Mutually, all members of the </w:t>
            </w:r>
            <w:r>
              <w:rPr>
                <w:u w:val="non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TextBody"/>
              <w:widowControl w:val="false"/>
              <w:ind w:left="0" w:hanging="0"/>
              <w:rPr/>
            </w:pPr>
            <w:r>
              <w:rPr/>
            </w:r>
          </w:p>
          <w:p>
            <w:pPr>
              <w:pStyle w:val="TextBody"/>
              <w:widowControl w:val="false"/>
              <w:ind w:left="0" w:hanging="0"/>
              <w:rPr>
                <w:b/>
                <w:b/>
                <w:bCs/>
                <w:highlight w:val="none"/>
                <w:shd w:fill="FFFF00" w:val="clear"/>
              </w:rPr>
            </w:pPr>
            <w:r>
              <w:rPr/>
              <w:t>T</w:t>
            </w:r>
            <w:r>
              <w:rPr>
                <w:shd w:fill="FAE180" w:val="clear"/>
              </w:rPr>
              <w:t>ask 1.X Kick-Off Meeting (M1-3); Lead: OSO</w:t>
            </w:r>
          </w:p>
          <w:p>
            <w:pPr>
              <w:pStyle w:val="TextBody"/>
              <w:widowControl w:val="false"/>
              <w:ind w:left="0" w:hanging="0"/>
              <w:rPr>
                <w:b w:val="false"/>
                <w:b w:val="false"/>
                <w:bCs w:val="false"/>
                <w:highlight w:val="none"/>
                <w:shd w:fill="FFFF00" w:val="clear"/>
              </w:rPr>
            </w:pPr>
            <w:r>
              <w:rPr/>
              <w:t>A two-day meeting will be held with the presence of all involved partners, organized by OSO. The focus of the meeting will be the establishment of sound networking and communication between partners, the acquaintance of the different task forces and groups, decisions on on-line communication means (e.g. video conference platforms) and first imminent steps to be performed.</w:t>
            </w:r>
          </w:p>
          <w:p>
            <w:pPr>
              <w:pStyle w:val="TextBody"/>
              <w:widowControl w:val="false"/>
              <w:ind w:left="0" w:hanging="0"/>
              <w:rPr/>
            </w:pPr>
            <w:r>
              <w:rPr/>
            </w:r>
          </w:p>
          <w:p>
            <w:pPr>
              <w:pStyle w:val="TextBody"/>
              <w:widowControl w:val="false"/>
              <w:ind w:left="0" w:hanging="0"/>
              <w:rPr>
                <w:b/>
                <w:b/>
                <w:bCs/>
              </w:rPr>
            </w:pPr>
            <w:r>
              <w:rPr>
                <w:shd w:fill="FAE180" w:val="clear"/>
              </w:rPr>
              <w:t>Task 1.X Wrap-Up, Evaluation and Conclusions Meeting (M32-36); Lead IPGP</w:t>
            </w:r>
          </w:p>
          <w:p>
            <w:pPr>
              <w:pStyle w:val="TextBody"/>
              <w:widowControl w:val="false"/>
              <w:ind w:left="0" w:hanging="0"/>
              <w:rPr>
                <w:b w:val="false"/>
                <w:b w:val="false"/>
                <w:bCs w:val="false"/>
                <w:highlight w:val="none"/>
                <w:shd w:fill="FFFF00" w:val="clear"/>
              </w:rPr>
            </w:pPr>
            <w: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TextBody"/>
              <w:widowControl w:val="false"/>
              <w:ind w:left="0" w:hanging="0"/>
              <w:rPr>
                <w:b w:val="false"/>
                <w:b w:val="false"/>
                <w:bCs w:val="false"/>
                <w:highlight w:val="none"/>
                <w:shd w:fill="FFFF00" w:val="clear"/>
              </w:rPr>
            </w:pPr>
            <w: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r>
              <w:rPr>
                <w:lang w:val="en-GB"/>
              </w:rPr>
              <w:t xml:space="preserve"> </w:t>
            </w:r>
            <w:r>
              <w:rPr>
                <w:lang w:val="en-GB"/>
              </w:rPr>
              <w:t>(RP2)</w:t>
            </w:r>
          </w:p>
        </w:tc>
      </w:tr>
    </w:tbl>
    <w:p>
      <w:pPr>
        <w:pStyle w:val="Normal"/>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b w:val="false"/>
                <w:b w:val="false"/>
                <w:bCs w:val="false"/>
                <w:i/>
                <w:i/>
                <w:iCs/>
                <w:u w:val="single"/>
              </w:rPr>
            </w:pPr>
            <w:r>
              <w:rPr>
                <w:rFonts w:ascii="Times New Roman" w:hAnsi="Times New Roman"/>
                <w:b w:val="false"/>
                <w:bCs w:val="false"/>
                <w:i/>
                <w:iCs/>
                <w:u w:val="single"/>
                <w:lang w:val="en-GB"/>
              </w:rPr>
              <w:t>Continuation of WP1 for the second Reporting Period</w:t>
            </w:r>
          </w:p>
          <w:p>
            <w:pPr>
              <w:pStyle w:val="Normal"/>
              <w:widowControl w:val="false"/>
              <w:spacing w:before="60" w:after="60"/>
              <w:rPr>
                <w:rFonts w:ascii="Times New Roman" w:hAnsi="Times New Roman"/>
                <w:lang w:val="en-GB"/>
              </w:rPr>
            </w:pPr>
            <w:r>
              <w:rPr>
                <w:b w:val="false"/>
                <w:bCs w:val="false"/>
              </w:rPr>
            </w:r>
          </w:p>
          <w:p>
            <w:pPr>
              <w:pStyle w:val="TextBody"/>
              <w:widowControl w:val="false"/>
              <w:ind w:left="0" w:hanging="0"/>
              <w:rPr>
                <w:b/>
                <w:b/>
                <w:bCs/>
              </w:rPr>
            </w:pPr>
            <w:r>
              <w:rPr>
                <w:b/>
                <w:bCs/>
              </w:rPr>
              <w:t xml:space="preserve">Task </w:t>
            </w:r>
            <w:r>
              <w:rPr>
                <w:b/>
                <w:bCs/>
              </w:rPr>
              <w:t>2</w:t>
            </w:r>
            <w:r>
              <w:rPr>
                <w:b/>
                <w:bCs/>
              </w:rPr>
              <w:t>.1: Project implementation plan and Project Management Board (M1</w:t>
            </w:r>
            <w:r>
              <w:rPr>
                <w:b/>
                <w:bCs/>
              </w:rPr>
              <w:t>9</w:t>
            </w:r>
            <w:r>
              <w:rPr>
                <w:b/>
                <w:bCs/>
              </w:rPr>
              <w:t>-M</w:t>
            </w:r>
            <w:r>
              <w:rPr>
                <w:b/>
                <w:bCs/>
              </w:rPr>
              <w:t>36</w:t>
            </w:r>
            <w:r>
              <w:rPr>
                <w:b/>
                <w:bCs/>
              </w:rPr>
              <w:t xml:space="preserve">): Lead NTUA </w:t>
            </w:r>
            <w:r>
              <w:rPr>
                <w:b w:val="false"/>
                <w:bCs w:val="false"/>
                <w:i/>
                <w:iCs/>
              </w:rPr>
              <w:t>(continuation of Task 1.1)</w:t>
            </w:r>
          </w:p>
          <w:p>
            <w:pPr>
              <w:pStyle w:val="TextBody"/>
              <w:widowControl w:val="false"/>
              <w:ind w:left="0" w:hanging="0"/>
              <w:rPr>
                <w:b/>
                <w:b/>
                <w:bCs/>
              </w:rPr>
            </w:pPr>
            <w:r>
              <w:rPr>
                <w:b/>
                <w:bCs/>
              </w:rPr>
              <w:t xml:space="preserve">Task </w:t>
            </w:r>
            <w:r>
              <w:rPr>
                <w:b/>
                <w:bCs/>
              </w:rPr>
              <w:t>2</w:t>
            </w:r>
            <w:r>
              <w:rPr>
                <w:b/>
                <w:bCs/>
              </w:rPr>
              <w:t>.2: Quality management and monitoring (M1</w:t>
            </w:r>
            <w:r>
              <w:rPr>
                <w:b/>
                <w:bCs/>
              </w:rPr>
              <w:t>9</w:t>
            </w:r>
            <w:r>
              <w:rPr>
                <w:b/>
                <w:bCs/>
              </w:rPr>
              <w:t>-M</w:t>
            </w:r>
            <w:r>
              <w:rPr>
                <w:b/>
                <w:bCs/>
              </w:rPr>
              <w:t>26</w:t>
            </w:r>
            <w:r>
              <w:rPr>
                <w:b/>
                <w:bCs/>
              </w:rPr>
              <w:t xml:space="preserve">): Lead CLS </w:t>
            </w:r>
            <w:r>
              <w:rPr>
                <w:b w:val="false"/>
                <w:bCs w:val="false"/>
                <w:i/>
                <w:iCs/>
              </w:rPr>
              <w:t>(continuation of Task 1.2)</w:t>
            </w:r>
          </w:p>
          <w:p>
            <w:pPr>
              <w:pStyle w:val="TextBody"/>
              <w:widowControl w:val="false"/>
              <w:ind w:left="0" w:hanging="0"/>
              <w:rPr>
                <w:b/>
                <w:b/>
                <w:bCs/>
              </w:rPr>
            </w:pPr>
            <w:r>
              <w:rPr>
                <w:b/>
                <w:bCs/>
              </w:rPr>
              <w:t xml:space="preserve">Task </w:t>
            </w:r>
            <w:r>
              <w:rPr>
                <w:b/>
                <w:bCs/>
              </w:rPr>
              <w:t>2</w:t>
            </w:r>
            <w:r>
              <w:rPr>
                <w:b/>
                <w:bCs/>
              </w:rPr>
              <w:t>.3: Risk management plan (M1</w:t>
            </w:r>
            <w:r>
              <w:rPr>
                <w:b/>
                <w:bCs/>
              </w:rPr>
              <w:t>9</w:t>
            </w:r>
            <w:r>
              <w:rPr>
                <w:b/>
                <w:bCs/>
              </w:rPr>
              <w:t>-M</w:t>
            </w:r>
            <w:r>
              <w:rPr>
                <w:b/>
                <w:bCs/>
              </w:rPr>
              <w:t>36</w:t>
            </w:r>
            <w:r>
              <w:rPr>
                <w:b/>
                <w:bCs/>
              </w:rPr>
              <w:t xml:space="preserve">): Lead GFZ </w:t>
            </w:r>
            <w:r>
              <w:rPr>
                <w:b w:val="false"/>
                <w:bCs w:val="false"/>
                <w:i/>
                <w:iCs/>
              </w:rPr>
              <w:t>(continuation of Task 1.3)</w:t>
            </w:r>
          </w:p>
          <w:p>
            <w:pPr>
              <w:pStyle w:val="TextBody"/>
              <w:widowControl w:val="false"/>
              <w:ind w:left="0" w:hanging="0"/>
              <w:rPr>
                <w:b/>
                <w:b/>
                <w:bCs/>
              </w:rPr>
            </w:pPr>
            <w:r>
              <w:rPr>
                <w:b/>
                <w:bCs/>
              </w:rPr>
              <w:t xml:space="preserve">Task </w:t>
            </w:r>
            <w:r>
              <w:rPr>
                <w:b/>
                <w:bCs/>
              </w:rPr>
              <w:t>2</w:t>
            </w:r>
            <w:r>
              <w:rPr>
                <w:b/>
                <w:bCs/>
              </w:rPr>
              <w:t>.4: Financial management (M1</w:t>
            </w:r>
            <w:r>
              <w:rPr>
                <w:b/>
                <w:bCs/>
              </w:rPr>
              <w:t>9</w:t>
            </w:r>
            <w:r>
              <w:rPr>
                <w:b/>
                <w:bCs/>
              </w:rPr>
              <w:t>-M</w:t>
            </w:r>
            <w:r>
              <w:rPr>
                <w:b/>
                <w:bCs/>
              </w:rPr>
              <w:t>36</w:t>
            </w:r>
            <w:r>
              <w:rPr>
                <w:b/>
                <w:bCs/>
              </w:rPr>
              <w:t xml:space="preserve">); Lead NTUA </w:t>
            </w:r>
            <w:r>
              <w:rPr>
                <w:b w:val="false"/>
                <w:bCs w:val="false"/>
                <w:i/>
                <w:iCs/>
              </w:rPr>
              <w:t>(continuation of Task 1.4)</w:t>
            </w:r>
          </w:p>
          <w:p>
            <w:pPr>
              <w:pStyle w:val="TextBody"/>
              <w:widowControl w:val="false"/>
              <w:ind w:left="0" w:hanging="0"/>
              <w:rPr>
                <w:b/>
                <w:b/>
                <w:bCs/>
              </w:rPr>
            </w:pPr>
            <w:r>
              <w:rPr>
                <w:b/>
                <w:bCs/>
              </w:rPr>
              <w:t xml:space="preserve">Task </w:t>
            </w:r>
            <w:r>
              <w:rPr>
                <w:b/>
                <w:bCs/>
              </w:rPr>
              <w:t>2</w:t>
            </w:r>
            <w:r>
              <w:rPr>
                <w:b/>
                <w:bCs/>
              </w:rPr>
              <w:t>.5: Coordination, communication and administration (M1</w:t>
            </w:r>
            <w:r>
              <w:rPr>
                <w:b/>
                <w:bCs/>
              </w:rPr>
              <w:t>9</w:t>
            </w:r>
            <w:r>
              <w:rPr>
                <w:b/>
                <w:bCs/>
              </w:rPr>
              <w:t>-M</w:t>
            </w:r>
            <w:r>
              <w:rPr>
                <w:b/>
                <w:bCs/>
              </w:rPr>
              <w:t>36</w:t>
            </w:r>
            <w:r>
              <w:rPr>
                <w:b/>
                <w:bCs/>
              </w:rPr>
              <w:t xml:space="preserve">); Lead NTUA </w:t>
            </w:r>
            <w:r>
              <w:rPr>
                <w:b w:val="false"/>
                <w:bCs w:val="false"/>
                <w:i/>
                <w:iCs/>
              </w:rPr>
              <w:t>(continuation of Task 1.5)</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TextBody"/>
              <w:widowControl w:val="false"/>
              <w:ind w:left="0" w:hanging="0"/>
              <w:rPr>
                <w:b w:val="false"/>
                <w:b w:val="false"/>
                <w:bCs w:val="false"/>
              </w:rPr>
            </w:pPr>
            <w:r>
              <w:rPr/>
              <w:t>The objectives of this WP are to:</w:t>
            </w:r>
          </w:p>
          <w:p>
            <w:pPr>
              <w:pStyle w:val="TextBody"/>
              <w:widowControl w:val="false"/>
              <w:numPr>
                <w:ilvl w:val="0"/>
                <w:numId w:val="23"/>
              </w:numPr>
              <w:rPr>
                <w:b w:val="false"/>
                <w:b w:val="false"/>
                <w:bCs w:val="false"/>
              </w:rPr>
            </w:pPr>
            <w:r>
              <w:rPr>
                <w:b w:val="false"/>
                <w:bCs w:val="false"/>
              </w:rPr>
              <w:t>establish solid, agile research task forces allocated per Space Geodetic technique, making skill building and knowledge dispersion more effective and efficient</w:t>
            </w:r>
          </w:p>
          <w:p>
            <w:pPr>
              <w:pStyle w:val="TextBody"/>
              <w:widowControl w:val="false"/>
              <w:numPr>
                <w:ilvl w:val="0"/>
                <w:numId w:val="23"/>
              </w:numPr>
              <w:rPr/>
            </w:pPr>
            <w:r>
              <w:rPr/>
              <w:t>transfer knowledge from expert nodes to the Coordinator, building foundations for scientific excellence</w:t>
            </w:r>
          </w:p>
          <w:p>
            <w:pPr>
              <w:pStyle w:val="TextBody"/>
              <w:widowControl w:val="false"/>
              <w:numPr>
                <w:ilvl w:val="0"/>
                <w:numId w:val="23"/>
              </w:numPr>
              <w:rPr/>
            </w:pPr>
            <w:r>
              <w:rPr/>
              <w:t>establish technical standards, requirements and specifications for further research capacity (building software, WP3)</w:t>
            </w:r>
          </w:p>
          <w:p>
            <w:pPr>
              <w:pStyle w:val="TextBody"/>
              <w:widowControl w:val="false"/>
              <w:numPr>
                <w:ilvl w:val="0"/>
                <w:numId w:val="23"/>
              </w:numPr>
              <w:rPr/>
            </w:pPr>
            <w:r>
              <w:rPr/>
              <w:t>involve talented young scientists in training and increase inwards/outwards mobility (via co-supervision and visits)</w:t>
            </w:r>
          </w:p>
          <w:p>
            <w:pPr>
              <w:pStyle w:val="TextBody"/>
              <w:widowControl w:val="false"/>
              <w:numPr>
                <w:ilvl w:val="0"/>
                <w:numId w:val="23"/>
              </w:numPr>
              <w:rPr/>
            </w:pPr>
            <w:r>
              <w:rPr/>
              <w:t>seek and utilize training channels/options other than ACRONYM</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b/>
                <w:b/>
                <w:bCs/>
              </w:rPr>
            </w:pPr>
            <w:r>
              <w:rPr>
                <w:b/>
                <w:bCs/>
              </w:rPr>
              <w:t xml:space="preserve">Task </w:t>
            </w:r>
            <w:r>
              <w:rPr>
                <w:b/>
                <w:bCs/>
              </w:rPr>
              <w:t>3</w:t>
            </w:r>
            <w:r>
              <w:rPr>
                <w:b/>
                <w:bCs/>
              </w:rPr>
              <w:t>.1 Transfer of knowledge for DORIS (M1-M12); Lead IPGP</w:t>
            </w:r>
          </w:p>
          <w:p>
            <w:pPr>
              <w:pStyle w:val="TextBody"/>
              <w:widowControl w:val="false"/>
              <w:ind w:left="0" w:hanging="0"/>
              <w:rPr/>
            </w:pPr>
            <w:r>
              <w:rPr/>
              <w:t>The Coordinator will establish a task-force to be trained in the DORIS technique. IPGP and CLS will act as the expert nodes for DORIS-specific training. They will introduce the technique to their peers via online webinars, virtual training, videos conferences, venture labs and one short term encounter (duration between one and two weeks). At this stage, virtual meetings will be held once every two months.</w:t>
            </w:r>
          </w:p>
          <w:p>
            <w:pPr>
              <w:pStyle w:val="TextBody"/>
              <w:widowControl w:val="false"/>
              <w:ind w:left="0" w:hanging="0"/>
              <w:rPr/>
            </w:pPr>
            <w:r>
              <w:rPr/>
              <w:t>Exploiting the expertise of the top-class institutes, the task-force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3</w:t>
            </w:r>
            <w:r>
              <w:rPr>
                <w:b/>
                <w:bCs/>
              </w:rPr>
              <w:t>.2 Transfer of knowledge for SLR (M1-M12); Lead GFZ</w:t>
            </w:r>
          </w:p>
          <w:p>
            <w:pPr>
              <w:pStyle w:val="TextBody"/>
              <w:widowControl w:val="false"/>
              <w:ind w:left="0" w:hanging="0"/>
              <w:rPr/>
            </w:pPr>
            <w:r>
              <w:rPr/>
              <w:t>The Coordinator will establish a task-force to be trained in the SLR technique and GFZ will act as the expert node. It will introduce technical aspects to their peers via online webinars, virtual training, videos conferences, venture labs and one short term encounter (duration between one and two weeks). Virtual meetings will be held once per two months. During the visit, NTUA personnel will make a guided in-situ visit to the SLR station operated by GFZ, where they will be introduced to the instrumentation and operational aspects of the site.</w:t>
            </w:r>
          </w:p>
          <w:p>
            <w:pPr>
              <w:pStyle w:val="TextBody"/>
              <w:widowControl w:val="false"/>
              <w:ind w:left="0" w:hanging="0"/>
              <w:rPr/>
            </w:pPr>
            <w:r>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3</w:t>
            </w:r>
            <w:r>
              <w:rPr>
                <w:b/>
                <w:bCs/>
              </w:rPr>
              <w:t>.3 Transfer of knowledge for VLBI (M1-M12); Lead OSO</w:t>
            </w:r>
          </w:p>
          <w:p>
            <w:pPr>
              <w:pStyle w:val="TextBody"/>
              <w:widowControl w:val="false"/>
              <w:ind w:left="0" w:hanging="0"/>
              <w:rPr/>
            </w:pPr>
            <w:r>
              <w:rPr/>
              <w:t>The Coordinator will establish a task-force to be trained in the VLBI technique and OSO will act as the expert node. It will introduce the technique to their peers via online webinars, virtual training, videos conferences, venture labs and one short term encounter (duration between one and two weeks). At this stage, virtual meetings will be held once per two months. During the visit, NTUA personnel will make a guided in-situ visit to the VLBI site operated by OSO, where they will be introduced to the instrumentation and operational aspects of the site.</w:t>
            </w:r>
          </w:p>
          <w:p>
            <w:pPr>
              <w:pStyle w:val="TextBody"/>
              <w:widowControl w:val="false"/>
              <w:ind w:left="0" w:hanging="0"/>
              <w:rPr/>
            </w:pPr>
            <w:r>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TextBody"/>
              <w:widowControl w:val="false"/>
              <w:ind w:left="0" w:hanging="0"/>
              <w:rPr/>
            </w:pPr>
            <w:r>
              <w:rPr/>
            </w:r>
          </w:p>
          <w:p>
            <w:pPr>
              <w:pStyle w:val="TextBody"/>
              <w:widowControl w:val="false"/>
              <w:ind w:left="0" w:hanging="0"/>
              <w:rPr/>
            </w:pPr>
            <w:r>
              <w:rPr>
                <w:b/>
                <w:bCs/>
              </w:rPr>
              <w:t xml:space="preserve">Task </w:t>
            </w:r>
            <w:r>
              <w:rPr>
                <w:b/>
                <w:bCs/>
              </w:rPr>
              <w:t>3</w:t>
            </w:r>
            <w:r>
              <w:rPr>
                <w:b/>
                <w:bCs/>
              </w:rPr>
              <w:t>.</w:t>
            </w:r>
            <w:r>
              <w:rPr>
                <w:b/>
                <w:bCs/>
              </w:rPr>
              <w:t>4</w:t>
            </w:r>
            <w:r>
              <w:rPr>
                <w:b/>
                <w:bCs/>
              </w:rPr>
              <w:t xml:space="preserve"> Attending training events (M7-M</w:t>
            </w:r>
            <w:r>
              <w:rPr>
                <w:b/>
                <w:bCs/>
              </w:rPr>
              <w:t>12</w:t>
            </w:r>
            <w:r>
              <w:rPr>
                <w:b/>
                <w:bCs/>
              </w:rPr>
              <w:t>); Lead NTUA</w:t>
            </w:r>
          </w:p>
          <w:p>
            <w:pPr>
              <w:pStyle w:val="TextBody"/>
              <w:widowControl w:val="false"/>
              <w:ind w:left="0" w:hanging="0"/>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p>
            <w:pPr>
              <w:pStyle w:val="TextBody"/>
              <w:widowControl w:val="false"/>
              <w:ind w:left="0" w:hanging="0"/>
              <w:rPr/>
            </w:pPr>
            <w:r>
              <w:rPr/>
            </w:r>
          </w:p>
          <w:p>
            <w:pPr>
              <w:pStyle w:val="TextBody"/>
              <w:widowControl w:val="false"/>
              <w:ind w:left="0" w:hanging="0"/>
              <w:rPr/>
            </w:pPr>
            <w:r>
              <w:rPr>
                <w:b/>
                <w:bCs/>
              </w:rPr>
              <w:t xml:space="preserve">Task </w:t>
            </w:r>
            <w:r>
              <w:rPr>
                <w:b/>
                <w:bCs/>
              </w:rPr>
              <w:t>3</w:t>
            </w:r>
            <w:r>
              <w:rPr>
                <w:b/>
                <w:bCs/>
              </w:rPr>
              <w:t>.</w:t>
            </w:r>
            <w:r>
              <w:rPr>
                <w:b/>
                <w:bCs/>
              </w:rPr>
              <w:t>5</w:t>
            </w:r>
            <w:r>
              <w:rPr>
                <w:b/>
                <w:bCs/>
              </w:rPr>
              <w:t xml:space="preserve"> Assessment of currently available software tools (M7-12); Lead GFZ</w:t>
            </w:r>
          </w:p>
          <w:p>
            <w:pPr>
              <w:pStyle w:val="TextBody"/>
              <w:widowControl w:val="false"/>
              <w:ind w:left="0" w:hanging="0"/>
              <w:rPr/>
            </w:pPr>
            <w:r>
              <w:rPr>
                <w:b w:val="false"/>
                <w:bCs w:val="false"/>
              </w:rPr>
              <w:t>All partners will be involved, according to their respective fields of expertise, in an effort to inspect, assess, test and validate software tools that the Coordinator has already developed (in the past). Expert nodes will evaluate design and implementation issues, possible shortcomings and mitigation/refinement actions. This is expected to significantly assist the software building process described in WP3.</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 xml:space="preserve">Building Excellence Capacity </w:t>
            </w:r>
            <w:r>
              <w:rPr>
                <w:lang w:val="en-GB"/>
              </w:rPr>
              <w:t>(RP1)</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4"/>
              </w:numPr>
              <w:rPr/>
            </w:pPr>
            <w:r>
              <w:rPr/>
              <w:t>effectively enhance host’s research capacity through exchange of expertise, skill building and software implementation</w:t>
            </w:r>
          </w:p>
          <w:p>
            <w:pPr>
              <w:pStyle w:val="TextBody"/>
              <w:widowControl w:val="false"/>
              <w:numPr>
                <w:ilvl w:val="0"/>
                <w:numId w:val="24"/>
              </w:numPr>
              <w:rPr/>
            </w:pPr>
            <w:r>
              <w:rPr/>
              <w:t>transfer of knowledge and best practices using a “hands-on” approach</w:t>
            </w:r>
          </w:p>
          <w:p>
            <w:pPr>
              <w:pStyle w:val="TextBody"/>
              <w:widowControl w:val="false"/>
              <w:numPr>
                <w:ilvl w:val="0"/>
                <w:numId w:val="24"/>
              </w:numPr>
              <w:rPr/>
            </w:pPr>
            <w:r>
              <w:rPr/>
              <w:t>build a software toolbox to perform state-of-the-art data analysis for observations collected by both DORIS and SLR techniques. Additionally, efficiently incorporate recent advances and high-quality products from VLBI analysis.</w:t>
            </w:r>
          </w:p>
          <w:p>
            <w:pPr>
              <w:pStyle w:val="TextBody"/>
              <w:widowControl w:val="false"/>
              <w:numPr>
                <w:ilvl w:val="0"/>
                <w:numId w:val="24"/>
              </w:numPr>
              <w:rPr/>
            </w:pPr>
            <w:r>
              <w:rPr/>
              <w:t>create highly skilled scientific personnel at the host institute</w:t>
            </w:r>
          </w:p>
          <w:p>
            <w:pPr>
              <w:pStyle w:val="TextBody"/>
              <w:widowControl w:val="false"/>
              <w:numPr>
                <w:ilvl w:val="0"/>
                <w:numId w:val="24"/>
              </w:numPr>
              <w:rPr/>
            </w:pPr>
            <w:r>
              <w:rPr/>
              <w:t>establish a long term plan for further enhancing the host institute’s research capacity, international standing and involvement in the future of Space Geodesy</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lang w:val="en-GB"/>
              </w:rPr>
              <w:t xml:space="preserve">Task </w:t>
            </w:r>
            <w:r>
              <w:rPr>
                <w:b/>
                <w:bCs/>
                <w:lang w:val="en-GB"/>
              </w:rPr>
              <w:t>4</w:t>
            </w:r>
            <w:r>
              <w:rPr>
                <w:b/>
                <w:bCs/>
                <w:lang w:val="en-GB"/>
              </w:rPr>
              <w:t>.1 Building research capacity via DORIS (M13-M</w:t>
            </w:r>
            <w:r>
              <w:rPr>
                <w:b/>
                <w:bCs/>
                <w:lang w:val="en-GB"/>
              </w:rPr>
              <w:t>18</w:t>
            </w:r>
            <w:r>
              <w:rPr>
                <w:b/>
                <w:bCs/>
                <w:lang w:val="en-GB"/>
              </w:rPr>
              <w:t>); Lead CLS</w:t>
            </w:r>
          </w:p>
          <w:p>
            <w:pPr>
              <w:pStyle w:val="TextBody"/>
              <w:widowControl w:val="false"/>
              <w:ind w:left="0" w:hanging="0"/>
              <w:rPr/>
            </w:pPr>
            <w:r>
              <w:rPr/>
              <w:t>CLS and IPGP will provide assistance to NTUA aiming at the upgrade and refinement of its own DORIS analysis software, to perform precise orbit determination and estimation of geodetic parameters. Both expert nodes will assist NTUA’s task-force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three months to monitor progress, while additional meetings will take place on demand, targeting specific issues and/or problems that may come up (problem solving and training sessions).</w:t>
            </w:r>
          </w:p>
          <w:p>
            <w:pPr>
              <w:pStyle w:val="TextBody"/>
              <w:widowControl w:val="false"/>
              <w:ind w:left="0" w:hanging="0"/>
              <w:rPr/>
            </w:pPr>
            <w:r>
              <w:rPr/>
              <w:t>Software development will adopt the work plan established in Task 2.2, enabling step-by-step validation, to enable the efficient administration of the capacity building process,  monitoring progress through well established, timely milestones, goals and validation tests.</w:t>
            </w:r>
          </w:p>
          <w:p>
            <w:pPr>
              <w:pStyle w:val="TextBody"/>
              <w:widowControl w:val="false"/>
              <w:ind w:left="0" w:hanging="0"/>
              <w:rPr/>
            </w:pPr>
            <w:r>
              <w:rPr/>
            </w:r>
          </w:p>
          <w:p>
            <w:pPr>
              <w:pStyle w:val="TextBody"/>
              <w:widowControl w:val="false"/>
              <w:ind w:left="0" w:hanging="0"/>
              <w:rPr/>
            </w:pPr>
            <w:r>
              <w:rPr>
                <w:b/>
                <w:bCs/>
                <w:lang w:val="en-GB"/>
              </w:rPr>
              <w:t xml:space="preserve">Task </w:t>
            </w:r>
            <w:r>
              <w:rPr>
                <w:b/>
                <w:bCs/>
                <w:lang w:val="en-GB"/>
              </w:rPr>
              <w:t>4</w:t>
            </w:r>
            <w:r>
              <w:rPr>
                <w:b/>
                <w:bCs/>
                <w:lang w:val="en-GB"/>
              </w:rPr>
              <w:t>.2 Building research capacity via SLR (M13-M</w:t>
            </w:r>
            <w:r>
              <w:rPr>
                <w:b/>
                <w:bCs/>
                <w:lang w:val="en-GB"/>
              </w:rPr>
              <w:t>18</w:t>
            </w:r>
            <w:r>
              <w:rPr>
                <w:b/>
                <w:bCs/>
                <w:lang w:val="en-GB"/>
              </w:rPr>
              <w:t>); Lead GFZ</w:t>
            </w:r>
          </w:p>
          <w:p>
            <w:pPr>
              <w:pStyle w:val="TextBody"/>
              <w:widowControl w:val="false"/>
              <w:ind w:left="0" w:hanging="0"/>
              <w:rPr/>
            </w:pPr>
            <w:r>
              <w:rPr/>
              <w:t>GFZ will provide assistance to NTUA aiming at the development of its own SLR analysis software, to perform precise orbit determination and estimation of geodetic parameters. 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three months to monitor progress, while additional meetings will take place on demand, targeting specific issues and/or problems that may come up (problem solving and training sessions). Software development will adopt the work plan established in Task 2.3, enabling step-by-step validation.</w:t>
            </w:r>
          </w:p>
          <w:p>
            <w:pPr>
              <w:pStyle w:val="TextBody"/>
              <w:widowControl w:val="false"/>
              <w:ind w:left="0" w:hanging="0"/>
              <w:rPr/>
            </w:pPr>
            <w:r>
              <w:rPr/>
            </w:r>
          </w:p>
          <w:p>
            <w:pPr>
              <w:pStyle w:val="TextBody"/>
              <w:widowControl w:val="false"/>
              <w:ind w:left="0" w:hanging="0"/>
              <w:rPr/>
            </w:pPr>
            <w:r>
              <w:rPr>
                <w:b/>
                <w:bCs/>
                <w:lang w:val="en-GB"/>
              </w:rPr>
              <w:t xml:space="preserve">Task </w:t>
            </w:r>
            <w:r>
              <w:rPr>
                <w:b/>
                <w:bCs/>
                <w:lang w:val="en-GB"/>
              </w:rPr>
              <w:t>4</w:t>
            </w:r>
            <w:r>
              <w:rPr>
                <w:b/>
                <w:bCs/>
                <w:lang w:val="en-GB"/>
              </w:rPr>
              <w:t>.3 Building research capacity via VLBI (M13-M</w:t>
            </w:r>
            <w:r>
              <w:rPr>
                <w:b/>
                <w:bCs/>
                <w:lang w:val="en-GB"/>
              </w:rPr>
              <w:t>18</w:t>
            </w:r>
            <w:r>
              <w:rPr>
                <w:b/>
                <w:bCs/>
                <w:lang w:val="en-GB"/>
              </w:rPr>
              <w:t>); Lead OSO</w:t>
            </w:r>
          </w:p>
          <w:p>
            <w:pPr>
              <w:pStyle w:val="TextBody"/>
              <w:widowControl w:val="false"/>
              <w:ind w:left="0" w:hanging="0"/>
              <w:rPr/>
            </w:pPr>
            <w:r>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TextBody"/>
              <w:widowControl w:val="false"/>
              <w:ind w:left="0" w:hanging="0"/>
              <w:rPr/>
            </w:pPr>
            <w:r>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Regular virtual meetings will be held once per three months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 (duration between one and two weeks).</w:t>
            </w:r>
          </w:p>
          <w:p>
            <w:pPr>
              <w:pStyle w:val="TextBody"/>
              <w:widowControl w:val="false"/>
              <w:ind w:left="0" w:hanging="0"/>
              <w:rPr/>
            </w:pPr>
            <w:r>
              <w:rPr/>
              <w:t>Knowledge transfer at this stage will include robust algorithmic and design approaches, best modeling practices, state-of-the-art methodologies and implementation strategies. Software development will adopt the work plan established in Task 2.4, enabling step-by-step validation.</w:t>
            </w:r>
          </w:p>
          <w:p>
            <w:pPr>
              <w:pStyle w:val="TextBody"/>
              <w:widowControl w:val="false"/>
              <w:ind w:left="0" w:hanging="0"/>
              <w:rPr/>
            </w:pPr>
            <w:r>
              <w:rPr/>
            </w:r>
          </w:p>
          <w:p>
            <w:pPr>
              <w:pStyle w:val="TextBody"/>
              <w:widowControl w:val="false"/>
              <w:ind w:left="0" w:hanging="0"/>
              <w:rPr/>
            </w:pPr>
            <w:r>
              <w:rPr>
                <w:b/>
                <w:bCs/>
              </w:rPr>
              <w:t xml:space="preserve">Task </w:t>
            </w:r>
            <w:r>
              <w:rPr>
                <w:b/>
                <w:bCs/>
              </w:rPr>
              <w:t>4</w:t>
            </w:r>
            <w:r>
              <w:rPr>
                <w:b/>
                <w:bCs/>
              </w:rPr>
              <w:t>.</w:t>
            </w:r>
            <w:r>
              <w:rPr>
                <w:b/>
                <w:bCs/>
              </w:rPr>
              <w:t>4</w:t>
            </w:r>
            <w:r>
              <w:rPr>
                <w:b/>
                <w:bCs/>
              </w:rPr>
              <w:t xml:space="preserve"> Attending training events (M</w:t>
            </w:r>
            <w:r>
              <w:rPr>
                <w:b/>
                <w:bCs/>
              </w:rPr>
              <w:t>13</w:t>
            </w:r>
            <w:r>
              <w:rPr>
                <w:b/>
                <w:bCs/>
              </w:rPr>
              <w:t>-M</w:t>
            </w:r>
            <w:r>
              <w:rPr>
                <w:b/>
                <w:bCs/>
              </w:rPr>
              <w:t>18</w:t>
            </w:r>
            <w:r>
              <w:rPr>
                <w:b/>
                <w:bCs/>
              </w:rPr>
              <w:t xml:space="preserve">); Lead NTUA </w:t>
            </w:r>
            <w:r>
              <w:rPr>
                <w:b w:val="false"/>
                <w:bCs w:val="false"/>
                <w:i/>
                <w:iCs/>
              </w:rPr>
              <w:t>(continuation of Task 3.4)</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 xml:space="preserve">Building Excellence Capacity </w:t>
            </w:r>
            <w:r>
              <w:rPr>
                <w:lang w:val="en-GB"/>
              </w:rPr>
              <w:t>(RP2)</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b w:val="false"/>
                <w:b w:val="false"/>
                <w:bCs w:val="false"/>
                <w:i/>
                <w:i/>
                <w:iCs/>
                <w:u w:val="single"/>
              </w:rPr>
            </w:pPr>
            <w:r>
              <w:rPr>
                <w:rFonts w:ascii="Times New Roman" w:hAnsi="Times New Roman"/>
                <w:b w:val="false"/>
                <w:bCs w:val="false"/>
                <w:i/>
                <w:iCs/>
                <w:u w:val="single"/>
                <w:lang w:val="en-GB"/>
              </w:rPr>
              <w:t>Continuation of WP4 for the second Reporting Period</w:t>
            </w:r>
          </w:p>
          <w:p>
            <w:pPr>
              <w:pStyle w:val="Normal"/>
              <w:widowControl w:val="false"/>
              <w:spacing w:before="60" w:after="60"/>
              <w:rPr>
                <w:b w:val="false"/>
                <w:b w:val="false"/>
                <w:bCs w:val="false"/>
                <w:i/>
                <w:i/>
                <w:iCs/>
              </w:rPr>
            </w:pPr>
            <w:r>
              <w:rPr/>
            </w:r>
          </w:p>
          <w:p>
            <w:pPr>
              <w:pStyle w:val="TextBody"/>
              <w:widowControl w:val="false"/>
              <w:ind w:left="0" w:hanging="0"/>
              <w:rPr/>
            </w:pPr>
            <w:r>
              <w:rPr>
                <w:b/>
                <w:bCs/>
                <w:lang w:val="en-GB"/>
              </w:rPr>
              <w:t xml:space="preserve">Task </w:t>
            </w:r>
            <w:r>
              <w:rPr>
                <w:b/>
                <w:bCs/>
                <w:lang w:val="en-GB"/>
              </w:rPr>
              <w:t>5</w:t>
            </w:r>
            <w:r>
              <w:rPr>
                <w:b/>
                <w:bCs/>
                <w:lang w:val="en-GB"/>
              </w:rPr>
              <w:t>.1 Building research capacity via DORIS (M1</w:t>
            </w:r>
            <w:r>
              <w:rPr>
                <w:b/>
                <w:bCs/>
                <w:lang w:val="en-GB"/>
              </w:rPr>
              <w:t>9</w:t>
            </w:r>
            <w:r>
              <w:rPr>
                <w:b/>
                <w:bCs/>
                <w:lang w:val="en-GB"/>
              </w:rPr>
              <w:t>-M</w:t>
            </w:r>
            <w:r>
              <w:rPr>
                <w:b/>
                <w:bCs/>
                <w:lang w:val="en-GB"/>
              </w:rPr>
              <w:t>36</w:t>
            </w:r>
            <w:r>
              <w:rPr>
                <w:b/>
                <w:bCs/>
                <w:lang w:val="en-GB"/>
              </w:rPr>
              <w:t xml:space="preserve">); Lead CLS </w:t>
            </w:r>
            <w:r>
              <w:rPr>
                <w:b w:val="false"/>
                <w:bCs w:val="false"/>
                <w:i/>
                <w:iCs/>
                <w:lang w:val="en-GB"/>
              </w:rPr>
              <w:t>(continuation of Task 4.1)</w:t>
            </w:r>
          </w:p>
          <w:p>
            <w:pPr>
              <w:pStyle w:val="TextBody"/>
              <w:widowControl w:val="false"/>
              <w:ind w:left="0" w:hanging="0"/>
              <w:rPr/>
            </w:pPr>
            <w:r>
              <w:rPr>
                <w:b/>
                <w:bCs/>
                <w:lang w:val="en-GB"/>
              </w:rPr>
              <w:t xml:space="preserve">Task </w:t>
            </w:r>
            <w:r>
              <w:rPr>
                <w:b/>
                <w:bCs/>
                <w:lang w:val="en-GB"/>
              </w:rPr>
              <w:t>5</w:t>
            </w:r>
            <w:r>
              <w:rPr>
                <w:b/>
                <w:bCs/>
                <w:lang w:val="en-GB"/>
              </w:rPr>
              <w:t>.2 Building research capacity via SLR (M1</w:t>
            </w:r>
            <w:r>
              <w:rPr>
                <w:b/>
                <w:bCs/>
                <w:lang w:val="en-GB"/>
              </w:rPr>
              <w:t>9</w:t>
            </w:r>
            <w:r>
              <w:rPr>
                <w:b/>
                <w:bCs/>
                <w:lang w:val="en-GB"/>
              </w:rPr>
              <w:t>-M</w:t>
            </w:r>
            <w:r>
              <w:rPr>
                <w:b/>
                <w:bCs/>
                <w:lang w:val="en-GB"/>
              </w:rPr>
              <w:t>36</w:t>
            </w:r>
            <w:r>
              <w:rPr>
                <w:b/>
                <w:bCs/>
                <w:lang w:val="en-GB"/>
              </w:rPr>
              <w:t xml:space="preserve">); Lead GFZ </w:t>
            </w:r>
            <w:r>
              <w:rPr>
                <w:b w:val="false"/>
                <w:bCs w:val="false"/>
                <w:i/>
                <w:iCs/>
                <w:lang w:val="en-GB"/>
              </w:rPr>
              <w:t>(continuation of Task 4.2)</w:t>
            </w:r>
          </w:p>
          <w:p>
            <w:pPr>
              <w:pStyle w:val="TextBody"/>
              <w:widowControl w:val="false"/>
              <w:ind w:left="0" w:hanging="0"/>
              <w:rPr/>
            </w:pPr>
            <w:r>
              <w:rPr>
                <w:b/>
                <w:bCs/>
                <w:lang w:val="en-GB"/>
              </w:rPr>
              <w:t xml:space="preserve">Task </w:t>
            </w:r>
            <w:r>
              <w:rPr>
                <w:b/>
                <w:bCs/>
                <w:lang w:val="en-GB"/>
              </w:rPr>
              <w:t>5</w:t>
            </w:r>
            <w:r>
              <w:rPr>
                <w:b/>
                <w:bCs/>
                <w:lang w:val="en-GB"/>
              </w:rPr>
              <w:t>.3 Building research capacity via VLBI (M</w:t>
            </w:r>
            <w:r>
              <w:rPr>
                <w:b/>
                <w:bCs/>
                <w:lang w:val="en-GB"/>
              </w:rPr>
              <w:t>19</w:t>
            </w:r>
            <w:r>
              <w:rPr>
                <w:b/>
                <w:bCs/>
                <w:lang w:val="en-GB"/>
              </w:rPr>
              <w:t>-M</w:t>
            </w:r>
            <w:r>
              <w:rPr>
                <w:b/>
                <w:bCs/>
                <w:lang w:val="en-GB"/>
              </w:rPr>
              <w:t>36</w:t>
            </w:r>
            <w:r>
              <w:rPr>
                <w:b/>
                <w:bCs/>
                <w:lang w:val="en-GB"/>
              </w:rPr>
              <w:t xml:space="preserve">); Lead OSO </w:t>
            </w:r>
            <w:r>
              <w:rPr>
                <w:b w:val="false"/>
                <w:bCs w:val="false"/>
                <w:i/>
                <w:iCs/>
                <w:lang w:val="en-GB"/>
              </w:rPr>
              <w:t>(continuation of Task 4.3)</w:t>
            </w:r>
          </w:p>
          <w:p>
            <w:pPr>
              <w:pStyle w:val="TextBody"/>
              <w:widowControl w:val="false"/>
              <w:ind w:left="0" w:hanging="0"/>
              <w:rPr/>
            </w:pPr>
            <w:r>
              <w:rPr>
                <w:b/>
                <w:bCs/>
              </w:rPr>
              <w:t xml:space="preserve">Task </w:t>
            </w:r>
            <w:r>
              <w:rPr>
                <w:b/>
                <w:bCs/>
              </w:rPr>
              <w:t>5</w:t>
            </w:r>
            <w:r>
              <w:rPr>
                <w:b/>
                <w:bCs/>
              </w:rPr>
              <w:t>.</w:t>
            </w:r>
            <w:r>
              <w:rPr>
                <w:b/>
                <w:bCs/>
              </w:rPr>
              <w:t>4</w:t>
            </w:r>
            <w:r>
              <w:rPr>
                <w:b/>
                <w:bCs/>
              </w:rPr>
              <w:t xml:space="preserve"> Attending training events (M</w:t>
            </w:r>
            <w:r>
              <w:rPr>
                <w:b/>
                <w:bCs/>
              </w:rPr>
              <w:t>19</w:t>
            </w:r>
            <w:r>
              <w:rPr>
                <w:b/>
                <w:bCs/>
              </w:rPr>
              <w:t>-M</w:t>
            </w:r>
            <w:r>
              <w:rPr>
                <w:b/>
                <w:bCs/>
              </w:rPr>
              <w:t>36</w:t>
            </w:r>
            <w:r>
              <w:rPr>
                <w:b/>
                <w:bCs/>
              </w:rPr>
              <w:t xml:space="preserve">); Lead NTUA </w:t>
            </w:r>
            <w:r>
              <w:rPr>
                <w:b w:val="false"/>
                <w:bCs w:val="false"/>
                <w:i/>
                <w:iCs/>
              </w:rPr>
              <w:t>(continuation of Task 4.4)</w:t>
            </w:r>
          </w:p>
          <w:p>
            <w:pPr>
              <w:pStyle w:val="TextBody"/>
              <w:widowControl w:val="false"/>
              <w:ind w:left="0" w:hanging="0"/>
              <w:rPr/>
            </w:pPr>
            <w:r>
              <w:rPr/>
            </w:r>
          </w:p>
          <w:p>
            <w:pPr>
              <w:pStyle w:val="TextBody"/>
              <w:widowControl w:val="false"/>
              <w:ind w:left="0" w:hanging="0"/>
              <w:rPr>
                <w:highlight w:val="none"/>
                <w:shd w:fill="auto" w:val="clear"/>
              </w:rPr>
            </w:pPr>
            <w:r>
              <w:rPr>
                <w:b/>
                <w:bCs/>
              </w:rPr>
              <w:t xml:space="preserve">Task </w:t>
            </w:r>
            <w:r>
              <w:rPr>
                <w:b/>
                <w:bCs/>
              </w:rPr>
              <w:t>5</w:t>
            </w:r>
            <w:r>
              <w:rPr>
                <w:b/>
                <w:bCs/>
              </w:rPr>
              <w:t>.</w:t>
            </w:r>
            <w:r>
              <w:rPr>
                <w:b/>
                <w:bCs/>
              </w:rPr>
              <w:t>5</w:t>
            </w:r>
            <w:r>
              <w:rPr>
                <w:b/>
                <w:bCs/>
              </w:rPr>
              <w:t xml:space="preserve"> Long term plan for scientific excellence (M30-36); Lead NTUA</w:t>
            </w:r>
          </w:p>
          <w:p>
            <w:pPr>
              <w:pStyle w:val="TextBody"/>
              <w:widowControl w:val="false"/>
              <w:ind w:left="0" w:hanging="0"/>
              <w:rPr/>
            </w:pPr>
            <w:r>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TextBody"/>
              <w:rPr>
                <w:i w:val="false"/>
                <w:i w:val="false"/>
                <w:iCs w:val="false"/>
              </w:rPr>
            </w:pPr>
            <w:r>
              <w:rPr>
                <w:i w:val="false"/>
                <w:iCs w:val="false"/>
              </w:rPr>
              <w:t>Additionally, the consortium will identify weak points in the capacity built and propose means to mitigate them. Finally, it will identify and propose a number of study areas that currently lay in research frontiers and attract international research interest. Ecosystem needs (scientific, research and commercial) will also be thoroughly accessed (via Tasks 5.4 and 5.5) and considered. These focus areas will act as pathways for future evolution and growth of the Center of Excellence.</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5"/>
              </w:numPr>
              <w:rPr/>
            </w:pPr>
            <w:r>
              <w:rPr/>
              <w:t>strengthen research management capacity and administrative skills of the Coordinator</w:t>
            </w:r>
          </w:p>
          <w:p>
            <w:pPr>
              <w:pStyle w:val="TextBody"/>
              <w:widowControl w:val="false"/>
              <w:numPr>
                <w:ilvl w:val="0"/>
                <w:numId w:val="25"/>
              </w:numPr>
              <w:rPr/>
            </w:pPr>
            <w:r>
              <w:rPr/>
              <w:t>create a dedicated, skilled workforce at NTUA responsible for project claiming and management</w:t>
            </w:r>
          </w:p>
          <w:p>
            <w:pPr>
              <w:pStyle w:val="TextBody"/>
              <w:widowControl w:val="false"/>
              <w:numPr>
                <w:ilvl w:val="0"/>
                <w:numId w:val="25"/>
              </w:numPr>
              <w:rPr/>
            </w:pPr>
            <w:r>
              <w:rPr/>
              <w:t>build expertise at efficient and successful research proposal writing; boost Coordinator’s success rate in research funding bids</w:t>
            </w:r>
          </w:p>
          <w:p>
            <w:pPr>
              <w:pStyle w:val="TextBody"/>
              <w:widowControl w:val="false"/>
              <w:numPr>
                <w:ilvl w:val="0"/>
                <w:numId w:val="25"/>
              </w:numPr>
              <w:rPr/>
            </w:pPr>
            <w:r>
              <w:rPr/>
              <w:t>expand and diversify funding pools and capabilities targeted by NTUA</w:t>
            </w:r>
          </w:p>
          <w:p>
            <w:pPr>
              <w:pStyle w:val="TextBody"/>
              <w:widowControl w:val="false"/>
              <w:numPr>
                <w:ilvl w:val="0"/>
                <w:numId w:val="25"/>
              </w:numPr>
              <w:rPr/>
            </w:pPr>
            <w:r>
              <w:rPr/>
              <w:t>claim research funds to enhance NTUA’s appealingness to scientists, recruitment opportunities, increase mobility and support and expand research activities (financially-wise)</w:t>
            </w:r>
          </w:p>
          <w:p>
            <w:pPr>
              <w:pStyle w:val="TextBody"/>
              <w:widowControl w:val="false"/>
              <w:numPr>
                <w:ilvl w:val="0"/>
                <w:numId w:val="25"/>
              </w:numPr>
              <w:rPr/>
            </w:pPr>
            <w:r>
              <w:rPr/>
              <w:t>secure financial aid for the host’s research activities in the long-run and boost long-term synergy between the consortium partners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b/>
                <w:b/>
                <w:bCs/>
              </w:rPr>
            </w:pPr>
            <w:r>
              <w:rPr>
                <w:b/>
                <w:bCs/>
              </w:rPr>
              <w:t xml:space="preserve">Task </w:t>
            </w:r>
            <w:r>
              <w:rPr>
                <w:b/>
                <w:bCs/>
              </w:rPr>
              <w:t>6</w:t>
            </w:r>
            <w:r>
              <w:rPr>
                <w:b/>
                <w:bCs/>
              </w:rPr>
              <w:t>.1 Establish a research management/administration unit in the Coordinator institute (M1-M3); Lead NTUA</w:t>
            </w:r>
          </w:p>
          <w:p>
            <w:pPr>
              <w:pStyle w:val="TextBody"/>
              <w:widowControl w:val="false"/>
              <w:ind w:left="0" w:hanging="0"/>
              <w:rPr/>
            </w:pPr>
            <w:r>
              <w:rPr/>
              <w:t xml:space="preserve">The Coordinator will establish a task force made up of four to six NTUA employees including administrative staff, which will be trained in project funding seeking, proposal writing and efficient research project management and administration, via remote mentoring and coaching for the expert partners. </w:t>
            </w:r>
            <w:r>
              <w:rPr>
                <w:color w:val="000000"/>
                <w:shd w:fill="auto" w:val="clear"/>
              </w:rPr>
              <w:t xml:space="preserve">The sole purpose of this unit will be to seek, claim and manage research proposals, while its scope will expand well beyond ACRONYM, effectively </w:t>
            </w:r>
            <w:r>
              <w:rPr>
                <w:color w:val="000000"/>
                <w:shd w:fill="auto" w:val="clear"/>
                <w:lang w:val="en-GB"/>
              </w:rPr>
              <w:t xml:space="preserve">securing financial aid and supporting and administration for research activities in the long run. The unit will report on its activities every six months to the </w:t>
            </w:r>
            <w:r>
              <w:rPr>
                <w:color w:val="000000"/>
                <w:u w:val="none"/>
                <w:shd w:fill="auto" w:val="clear"/>
                <w:lang w:val="en-GB"/>
              </w:rPr>
              <w:t>Project Management Board.</w:t>
            </w:r>
          </w:p>
          <w:p>
            <w:pPr>
              <w:pStyle w:val="TextBody"/>
              <w:widowControl w:val="false"/>
              <w:ind w:left="0" w:hanging="0"/>
              <w:rPr/>
            </w:pPr>
            <w:r>
              <w:rPr/>
            </w:r>
          </w:p>
          <w:p>
            <w:pPr>
              <w:pStyle w:val="TextBody"/>
              <w:widowControl w:val="false"/>
              <w:ind w:left="0" w:hanging="0"/>
              <w:rPr/>
            </w:pPr>
            <w:r>
              <w:rPr>
                <w:b/>
                <w:bCs/>
              </w:rPr>
              <w:t xml:space="preserve">Task </w:t>
            </w:r>
            <w:r>
              <w:rPr>
                <w:b/>
                <w:bCs/>
              </w:rPr>
              <w:t>6</w:t>
            </w:r>
            <w:r>
              <w:rPr>
                <w:b/>
                <w:bCs/>
              </w:rPr>
              <w:t>.2 Exploring funding pools and opportunities (M4-M8); Lead GFZ</w:t>
            </w:r>
          </w:p>
          <w:p>
            <w:pPr>
              <w:pStyle w:val="TextBody"/>
              <w:widowControl w:val="false"/>
              <w:ind w:left="0" w:hanging="0"/>
              <w:rPr/>
            </w:pPr>
            <w:r>
              <w:rPr>
                <w:b w:val="false"/>
                <w:bCs w:val="false"/>
                <w:color w:val="000000"/>
                <w:u w:val="none"/>
                <w:shd w:fill="auto" w:val="clear"/>
                <w:lang w:val="en-GB"/>
              </w:rPr>
              <w:t>The consortium partners (CLS, IPGP, GFZ and OSO) will introduce and acquaint the Coordinator’s research administration unit to various, diverse research funding pools, grants, capabilities and opportunities,</w:t>
            </w:r>
            <w:r>
              <w:rPr>
                <w:color w:val="000000"/>
                <w:u w:val="none"/>
                <w:shd w:fill="auto" w:val="clear"/>
                <w:lang w:val="en-GB"/>
              </w:rPr>
              <w:t xml:space="preserve"> which the unit can utilize to support research either individually (i.e. NTUA being the sole recipient of funding) or through partnerships (Section 1.2.3). Partners will use their own experience to transfer relevant knowledge to the Coordinator. At least one training session will be hosted per partner and attended by the unit.</w:t>
            </w:r>
          </w:p>
          <w:p>
            <w:pPr>
              <w:pStyle w:val="TextBody"/>
              <w:widowControl w:val="false"/>
              <w:ind w:left="0" w:hanging="0"/>
              <w:rPr/>
            </w:pPr>
            <w:r>
              <w:rPr/>
            </w:r>
          </w:p>
          <w:p>
            <w:pPr>
              <w:pStyle w:val="TextBody"/>
              <w:widowControl w:val="false"/>
              <w:ind w:left="0" w:hanging="0"/>
              <w:rPr/>
            </w:pPr>
            <w:r>
              <w:rPr>
                <w:b/>
                <w:bCs/>
              </w:rPr>
              <w:t xml:space="preserve">Task </w:t>
            </w:r>
            <w:r>
              <w:rPr>
                <w:b/>
                <w:bCs/>
              </w:rPr>
              <w:t>6</w:t>
            </w:r>
            <w:r>
              <w:rPr>
                <w:b/>
                <w:bCs/>
              </w:rPr>
              <w:t>.3 Strengthening research management capacity and administrative skills (M9-M13); Lead OSO</w:t>
            </w:r>
          </w:p>
          <w:p>
            <w:pPr>
              <w:pStyle w:val="TextBody"/>
              <w:widowControl w:val="false"/>
              <w:ind w:left="0" w:hanging="0"/>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6</w:t>
            </w:r>
            <w:r>
              <w:rPr>
                <w:b/>
                <w:bCs/>
              </w:rPr>
              <w:t>.4 Enhancing research funding capacity (M12-M36); Lead CLS</w:t>
            </w:r>
          </w:p>
          <w:p>
            <w:pPr>
              <w:pStyle w:val="TextBody"/>
              <w:widowControl w:val="false"/>
              <w:ind w:left="0" w:hanging="0"/>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five research funding proposals, targeting various funding opportunities and schema. These will build upon the research capacity build and scientific excellence gained via ACRONYM.</w:t>
            </w:r>
          </w:p>
          <w:p>
            <w:pPr>
              <w:pStyle w:val="TextBody"/>
              <w:widowControl w:val="false"/>
              <w:ind w:left="0" w:hanging="0"/>
              <w:rPr/>
            </w:pPr>
            <w:r>
              <w:rPr/>
              <w:t xml:space="preserve">At a minimum, the following funding bids will be submitted (i) two EU large scale research and innovation calls (e.g. HORIZON), (ii) </w:t>
            </w:r>
            <w:r>
              <w:rPr>
                <w:shd w:fill="auto" w:val="clear"/>
              </w:rPr>
              <w:t>two research proposals targeting young scientists and/or mobility (e.g. EU MSCA calls) and (iii) one funding bid targeting private/public collaboration, including at least one the ecosystem commercial partner.</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7</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6"/>
              </w:numPr>
              <w:rPr/>
            </w:pPr>
            <w:r>
              <w:rPr/>
              <w:t>establish efficient and seamless communication and knowledge transfer channels</w:t>
            </w:r>
          </w:p>
          <w:p>
            <w:pPr>
              <w:pStyle w:val="TextBody"/>
              <w:widowControl w:val="false"/>
              <w:numPr>
                <w:ilvl w:val="0"/>
                <w:numId w:val="26"/>
              </w:numPr>
              <w:rPr/>
            </w:pPr>
            <w:r>
              <w:rPr/>
              <w:t>establish efficient and solid networking and collaboration between twinning partners</w:t>
            </w:r>
          </w:p>
          <w:p>
            <w:pPr>
              <w:pStyle w:val="TextBody"/>
              <w:widowControl w:val="false"/>
              <w:numPr>
                <w:ilvl w:val="0"/>
                <w:numId w:val="26"/>
              </w:numPr>
              <w:rPr/>
            </w:pPr>
            <w:r>
              <w:rPr/>
              <w:t>introduction of NTUA to international consortia and/or services (i.e. IDS, ILRS and IVS)</w:t>
            </w:r>
          </w:p>
          <w:p>
            <w:pPr>
              <w:pStyle w:val="TextBody"/>
              <w:widowControl w:val="false"/>
              <w:numPr>
                <w:ilvl w:val="0"/>
                <w:numId w:val="26"/>
              </w:numPr>
              <w:rPr/>
            </w:pPr>
            <w:r>
              <w:rPr/>
              <w:t>establishment of a Greek ecosystem of partners involved in space-based geosciences and applications</w:t>
            </w:r>
          </w:p>
          <w:p>
            <w:pPr>
              <w:pStyle w:val="TextBody"/>
              <w:widowControl w:val="false"/>
              <w:numPr>
                <w:ilvl w:val="0"/>
                <w:numId w:val="26"/>
              </w:numPr>
              <w:rPr>
                <w:b w:val="false"/>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rPr>
              <w:t xml:space="preserve">Task </w:t>
            </w:r>
            <w:r>
              <w:rPr>
                <w:b/>
                <w:bCs/>
              </w:rPr>
              <w:t>7</w:t>
            </w:r>
            <w:r>
              <w:rPr>
                <w:b/>
                <w:bCs/>
              </w:rPr>
              <w:t>.1 Agreement on PhD and PostDoc co-supervision (M1-M4); Lead NTUA</w:t>
            </w:r>
          </w:p>
          <w:p>
            <w:pPr>
              <w:pStyle w:val="TextBody"/>
              <w:widowControl w:val="false"/>
              <w:ind w:left="0" w:hanging="0"/>
              <w:rPr/>
            </w:pPr>
            <w:r>
              <w:rPr/>
              <w:t>The Coordinator will reach an agreement with each of IPGP, GFZ and OSO, regarding the co-supervision of three PhD and three PostDoc theses (each partner involved in one PhD and one PostDoc). The agreement will be formally submitted to NTUA, and one  representative of each partner will be included in the three-part advisory committee (for PhD Thesis). The subjects of the thesis will be co-decided between the partners, depending on their respective expertise; the students will be allocated in the task forces described in WP2 and WP3.</w:t>
            </w:r>
          </w:p>
          <w:p>
            <w:pPr>
              <w:pStyle w:val="TextBody"/>
              <w:widowControl w:val="false"/>
              <w:ind w:left="0" w:hanging="0"/>
              <w:rPr/>
            </w:pPr>
            <w:r>
              <w:rPr/>
            </w:r>
          </w:p>
          <w:p>
            <w:pPr>
              <w:pStyle w:val="TextBody"/>
              <w:widowControl w:val="false"/>
              <w:ind w:left="0" w:hanging="0"/>
              <w:rPr>
                <w:b/>
                <w:b/>
                <w:bCs/>
                <w:highlight w:val="none"/>
                <w:shd w:fill="FAE180" w:val="clear"/>
              </w:rPr>
            </w:pPr>
            <w:r>
              <w:rPr>
                <w:b/>
                <w:bCs/>
                <w:shd w:fill="FAE180" w:val="clear"/>
              </w:rPr>
              <w:t xml:space="preserve">Task </w:t>
            </w:r>
            <w:r>
              <w:rPr>
                <w:b/>
                <w:bCs/>
                <w:shd w:fill="FAE180" w:val="clear"/>
              </w:rPr>
              <w:t>7</w:t>
            </w:r>
            <w:r>
              <w:rPr>
                <w:b/>
                <w:bCs/>
                <w:shd w:fill="FAE180" w:val="clear"/>
              </w:rPr>
              <w:t>.2 Introduction to Space Geodetic International Services and International Geodetic Consortia</w:t>
            </w:r>
          </w:p>
          <w:p>
            <w:pPr>
              <w:pStyle w:val="TextBody"/>
              <w:widowControl w:val="false"/>
              <w:ind w:left="0" w:hanging="0"/>
              <w:rPr/>
            </w:pPr>
            <w:r>
              <w:rPr/>
              <w:t>Expert nodes will introduce the Coordinator to the IDS consortium, facilitating its involvement within the service and further networking with prestigious international top-class institutes.</w:t>
            </w:r>
          </w:p>
          <w:p>
            <w:pPr>
              <w:pStyle w:val="TextBody"/>
              <w:widowControl w:val="false"/>
              <w:ind w:left="0" w:hanging="0"/>
              <w:rPr/>
            </w:pPr>
            <w:r>
              <w:rPr/>
            </w:r>
          </w:p>
          <w:p>
            <w:pPr>
              <w:pStyle w:val="TextBody"/>
              <w:widowControl w:val="false"/>
              <w:ind w:left="0" w:hanging="0"/>
              <w:rPr/>
            </w:pPr>
            <w:r>
              <w:rPr>
                <w:b/>
                <w:bCs/>
              </w:rPr>
              <w:t xml:space="preserve">Task </w:t>
            </w:r>
            <w:r>
              <w:rPr>
                <w:b/>
                <w:bCs/>
              </w:rPr>
              <w:t>7</w:t>
            </w:r>
            <w:r>
              <w:rPr>
                <w:b/>
                <w:bCs/>
              </w:rPr>
              <w:t>.3 Establishing a Greek Ecosystem of partners in space-based geosciences (M3-12); Lead NTUA</w:t>
            </w:r>
          </w:p>
          <w:p>
            <w:pPr>
              <w:pStyle w:val="TextBody"/>
              <w:widowControl w:val="false"/>
              <w:ind w:left="0" w:hanging="0"/>
              <w:rPr/>
            </w:pPr>
            <w:r>
              <w:rPr>
                <w:lang w:val="en-GB"/>
              </w:rPr>
              <w:t>NTUA will take the initiative of bringing together all parties in Greece involved in Space-based geosciences, related applications and industry. This will include possible industry partners, businesses, commercial users, governmental agencies and institutions, as well as universities (see also Section 1.2.5). The Coordinator will issue multiple calls through social media, e-mails, personnal communication, national conferences and scientific/engineering journals, ACRONYM’s website and will utilize its already large list of national collaborators and academia and research network to attract members of the ecosystem. Membership will be free and open and new members will be able to join even after the end of this task. A series of dissemination, communication and exploitation activities will follow to strengthen the ties and synergies between ecosystem members.</w:t>
            </w:r>
          </w:p>
          <w:p>
            <w:pPr>
              <w:pStyle w:val="TextBody"/>
              <w:widowControl w:val="false"/>
              <w:ind w:left="0" w:hanging="0"/>
              <w:rPr/>
            </w:pPr>
            <w:r>
              <w:rPr/>
            </w:r>
          </w:p>
          <w:p>
            <w:pPr>
              <w:pStyle w:val="TextBody"/>
              <w:widowControl w:val="false"/>
              <w:ind w:left="0" w:hanging="0"/>
              <w:rPr/>
            </w:pPr>
            <w:r>
              <w:rPr>
                <w:b/>
                <w:bCs/>
                <w:lang w:val="en-GB"/>
              </w:rPr>
              <w:t xml:space="preserve">Task </w:t>
            </w:r>
            <w:r>
              <w:rPr>
                <w:b/>
                <w:bCs/>
                <w:lang w:val="en-GB"/>
              </w:rPr>
              <w:t>7</w:t>
            </w:r>
            <w:r>
              <w:rPr>
                <w:b/>
                <w:bCs/>
                <w:lang w:val="en-GB"/>
              </w:rPr>
              <w:t>.4 Exploring Greek academia needs and interest in Space Geodesy (M13-18); Lead NTUA</w:t>
            </w:r>
          </w:p>
          <w:p>
            <w:pPr>
              <w:pStyle w:val="TextBody"/>
              <w:widowControl w:val="false"/>
              <w:ind w:left="0" w:hanging="0"/>
              <w:rPr>
                <w:b w:val="false"/>
                <w:b w:val="false"/>
                <w:bCs w:val="false"/>
              </w:rPr>
            </w:pPr>
            <w:r>
              <w:rPr>
                <w:b w:val="false"/>
                <w:bCs w:val="false"/>
                <w:lang w:val="en-GB"/>
              </w:rPr>
              <w:t>The Coordinator along with the expert partners will compile a series of two on-line questionnaires to be sent to the academia members (including scientific and research institutions)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Greek academia/scientific and research needs and interest in Space Geodesy and Earth Observation</w:t>
            </w:r>
            <w:r>
              <w:rPr>
                <w:b w:val="false"/>
                <w:bCs w:val="false"/>
                <w:shd w:fill="auto" w:val="clear"/>
                <w:lang w:val="en-GB"/>
              </w:rPr>
              <w:t xml:space="preserve"> (Section 1.2.5</w:t>
            </w:r>
            <w:r>
              <w:rPr>
                <w:b w:val="false"/>
                <w:bCs w:val="false"/>
                <w:color w:val="000000"/>
                <w:shd w:fill="auto" w:val="clear"/>
                <w:lang w:val="en-GB"/>
              </w:rPr>
              <w:t>).</w:t>
            </w:r>
          </w:p>
          <w:p>
            <w:pPr>
              <w:pStyle w:val="TextBody"/>
              <w:widowControl w:val="false"/>
              <w:ind w:left="0" w:hanging="0"/>
              <w:rPr/>
            </w:pPr>
            <w:r>
              <w:rPr/>
            </w:r>
          </w:p>
          <w:p>
            <w:pPr>
              <w:pStyle w:val="TextBody"/>
              <w:widowControl w:val="false"/>
              <w:ind w:left="0" w:hanging="0"/>
              <w:rPr/>
            </w:pPr>
            <w:r>
              <w:rPr>
                <w:b/>
                <w:bCs/>
                <w:lang w:val="en-GB"/>
              </w:rPr>
              <w:t xml:space="preserve">Task </w:t>
            </w:r>
            <w:r>
              <w:rPr>
                <w:b/>
                <w:bCs/>
                <w:lang w:val="en-GB"/>
              </w:rPr>
              <w:t>7</w:t>
            </w:r>
            <w:r>
              <w:rPr>
                <w:b/>
                <w:bCs/>
                <w:lang w:val="en-GB"/>
              </w:rPr>
              <w:t>.5 Exploring stakeholders and commercial needs and interest in Space Geodesy (M13-18); Lead CLS</w:t>
            </w:r>
          </w:p>
          <w:p>
            <w:pPr>
              <w:pStyle w:val="TextBody"/>
              <w:widowControl w:val="false"/>
              <w:ind w:left="0" w:hanging="0"/>
              <w:rPr>
                <w:b w:val="false"/>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(Section 1.2.5</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8</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 xml:space="preserve">Dissemination, Exploitation and Communication </w:t>
            </w:r>
            <w:r>
              <w:rPr>
                <w:lang w:val="en-GB"/>
              </w:rPr>
              <w:t>(RP1)</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7"/>
              </w:numPr>
              <w:rPr/>
            </w:pPr>
            <w:r>
              <w:rPr/>
              <w:t>significantly enhance the host institute’s international standing and prestige via dissemination and communication activities</w:t>
            </w:r>
          </w:p>
          <w:p>
            <w:pPr>
              <w:pStyle w:val="TextBody"/>
              <w:widowControl w:val="false"/>
              <w:numPr>
                <w:ilvl w:val="0"/>
                <w:numId w:val="27"/>
              </w:numPr>
              <w:rPr/>
            </w:pPr>
            <w:r>
              <w:rPr/>
              <w:t>endorse and promote the achievements of ACRONYM and the newly established center of excellence</w:t>
            </w:r>
          </w:p>
          <w:p>
            <w:pPr>
              <w:pStyle w:val="TextBody"/>
              <w:widowControl w:val="false"/>
              <w:numPr>
                <w:ilvl w:val="0"/>
                <w:numId w:val="27"/>
              </w:numPr>
              <w:rPr/>
            </w:pPr>
            <w:r>
              <w:rPr/>
              <w:t>enhance NTUA’s research profile through scientific papers in top-tier peer reviewed journals, co-authored with the top-class consortium partners (at least three)</w:t>
            </w:r>
          </w:p>
          <w:p>
            <w:pPr>
              <w:pStyle w:val="TextBody"/>
              <w:widowControl w:val="false"/>
              <w:numPr>
                <w:ilvl w:val="0"/>
                <w:numId w:val="27"/>
              </w:numPr>
              <w:rPr/>
            </w:pPr>
            <w:r>
              <w:rPr/>
              <w:t>enhance NTUA’s visibility, prominence and networking capabilities via consortium presence in at least five international conferences/workshops</w:t>
            </w:r>
          </w:p>
          <w:p>
            <w:pPr>
              <w:pStyle w:val="TextBody"/>
              <w:widowControl w:val="false"/>
              <w:numPr>
                <w:ilvl w:val="0"/>
                <w:numId w:val="27"/>
              </w:numPr>
              <w:rPr/>
            </w:pPr>
            <w:r>
              <w:rPr/>
              <w:t>strengthen the potential for future collaborations nationally and beyond borders</w:t>
            </w:r>
          </w:p>
          <w:p>
            <w:pPr>
              <w:pStyle w:val="TextBody"/>
              <w:widowControl w:val="false"/>
              <w:numPr>
                <w:ilvl w:val="0"/>
                <w:numId w:val="27"/>
              </w:numPr>
              <w:rPr/>
            </w:pPr>
            <w:r>
              <w:rPr/>
              <w:t>enhance NTUA’s appeal to young talented scientists</w:t>
            </w:r>
          </w:p>
          <w:p>
            <w:pPr>
              <w:pStyle w:val="TextBody"/>
              <w:widowControl w:val="false"/>
              <w:numPr>
                <w:ilvl w:val="0"/>
                <w:numId w:val="27"/>
              </w:numPr>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rPr>
              <w:t xml:space="preserve">Task </w:t>
            </w:r>
            <w:r>
              <w:rPr>
                <w:b/>
                <w:bCs/>
              </w:rPr>
              <w:t>8</w:t>
            </w:r>
            <w:r>
              <w:rPr>
                <w:b/>
                <w:bCs/>
              </w:rPr>
              <w:t>.1 Project website and social media engagement (M6-M</w:t>
            </w:r>
            <w:r>
              <w:rPr>
                <w:b/>
                <w:bCs/>
              </w:rPr>
              <w:t>18</w:t>
            </w:r>
            <w:r>
              <w:rPr>
                <w:b/>
                <w:bCs/>
              </w:rPr>
              <w:t>); Lead NTUA</w:t>
            </w:r>
          </w:p>
          <w:p>
            <w:pPr>
              <w:pStyle w:val="TextBody"/>
              <w:widowControl w:val="false"/>
              <w:ind w:left="0" w:hanging="0"/>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TextBody"/>
              <w:widowControl w:val="false"/>
              <w:ind w:left="0" w:hanging="0"/>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TextBody"/>
              <w:widowControl w:val="false"/>
              <w:ind w:left="0" w:hanging="0"/>
              <w:rPr/>
            </w:pPr>
            <w:r>
              <w:rPr/>
              <w:t>Promotion, communication and endorsement activities will also be performed via social media (e.g. LinkedIn) on a timely manner, throughout the duration of ACRONYM.</w:t>
            </w:r>
          </w:p>
          <w:p>
            <w:pPr>
              <w:pStyle w:val="TextBody"/>
              <w:widowControl w:val="false"/>
              <w:ind w:left="0" w:hanging="0"/>
              <w:rPr/>
            </w:pPr>
            <w:r>
              <w:rPr/>
            </w:r>
          </w:p>
          <w:p>
            <w:pPr>
              <w:pStyle w:val="TextBody"/>
              <w:widowControl w:val="false"/>
              <w:ind w:left="0" w:hanging="0"/>
              <w:rPr/>
            </w:pPr>
            <w:r>
              <w:rPr>
                <w:b/>
                <w:bCs/>
                <w:lang w:val="en-GB"/>
              </w:rPr>
              <w:t xml:space="preserve">Task </w:t>
            </w:r>
            <w:r>
              <w:rPr>
                <w:b/>
                <w:bCs/>
                <w:lang w:val="en-GB"/>
              </w:rPr>
              <w:t>8</w:t>
            </w:r>
            <w:r>
              <w:rPr>
                <w:b/>
                <w:bCs/>
                <w:lang w:val="en-GB"/>
              </w:rPr>
              <w:t>.2 Sharing of technical knowledge and know-how (M13-M</w:t>
            </w:r>
            <w:r>
              <w:rPr>
                <w:b/>
                <w:bCs/>
                <w:lang w:val="en-GB"/>
              </w:rPr>
              <w:t>18</w:t>
            </w:r>
            <w:r>
              <w:rPr>
                <w:b/>
                <w:bCs/>
                <w:lang w:val="en-GB"/>
              </w:rPr>
              <w:t>); Lead IPGP</w:t>
            </w:r>
          </w:p>
          <w:p>
            <w:pPr>
              <w:pStyle w:val="TextBody"/>
              <w:widowControl w:val="false"/>
              <w:ind w:left="0" w:hanging="0"/>
              <w:rPr/>
            </w:pPr>
            <w:r>
              <w:rPr/>
              <w:t>Lectures and presentations prepared by the expert nodes (see WP2) will be made available (on-line, free access) to any interested parties on demand, via ACRONYM’s website. Users will be able to browse content, lecture notes and watch video-lectures, shared on the project’s web site.</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8</w:t>
            </w:r>
            <w:r>
              <w:rPr>
                <w:b/>
                <w:bCs/>
              </w:rPr>
              <w:t>.</w:t>
            </w:r>
            <w:r>
              <w:rPr>
                <w:b/>
                <w:bCs/>
              </w:rPr>
              <w:t>3</w:t>
            </w:r>
            <w:r>
              <w:rPr>
                <w:b/>
                <w:bCs/>
              </w:rPr>
              <w:t xml:space="preserve"> Open-Access publications (M</w:t>
            </w:r>
            <w:r>
              <w:rPr>
                <w:b/>
                <w:bCs/>
              </w:rPr>
              <w:t>6</w:t>
            </w:r>
            <w:r>
              <w:rPr>
                <w:b/>
                <w:bCs/>
              </w:rPr>
              <w:t>-M</w:t>
            </w:r>
            <w:r>
              <w:rPr>
                <w:b/>
                <w:bCs/>
              </w:rPr>
              <w:t>18</w:t>
            </w:r>
            <w:r>
              <w:rPr>
                <w:b/>
                <w:bCs/>
              </w:rPr>
              <w:t>); Lead NTUA</w:t>
            </w:r>
          </w:p>
          <w:p>
            <w:pPr>
              <w:pStyle w:val="TextBody"/>
              <w:widowControl w:val="false"/>
              <w:ind w:left="0" w:hanging="0"/>
              <w:rPr/>
            </w:pPr>
            <w:r>
              <w:rPr/>
              <w:t>Expert partners will collaborate with the host institution in the co-authorship of nine scientific papers (in their respective fields of expertise) to be published in peer-reviewed journals. Three of these will be high-impact publications, i.e. journals with impact factor &gt; 2.4. Scientific publications will adhering to an open-access policy.</w:t>
            </w:r>
          </w:p>
          <w:p>
            <w:pPr>
              <w:pStyle w:val="TextBody"/>
              <w:widowControl w:val="false"/>
              <w:ind w:left="0" w:hanging="0"/>
              <w:rPr>
                <w:lang w:val="en-GB"/>
              </w:rPr>
            </w:pPr>
            <w:r>
              <w:rPr>
                <w:lang w:val="en-GB"/>
              </w:rPr>
              <w:t>Additionally, members of the consortium will attend and present relevant publications in ten</w:t>
            </w:r>
            <w:r>
              <w:rPr>
                <w:shd w:fill="auto" w:val="clear"/>
                <w:lang w:val="en-GB"/>
              </w:rPr>
              <w:t xml:space="preser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8</w:t>
            </w:r>
            <w:r>
              <w:rPr>
                <w:b/>
                <w:bCs/>
              </w:rPr>
              <w:t>.</w:t>
            </w:r>
            <w:r>
              <w:rPr>
                <w:b/>
                <w:bCs/>
              </w:rPr>
              <w:t>4</w:t>
            </w:r>
            <w:r>
              <w:rPr>
                <w:b/>
                <w:bCs/>
              </w:rPr>
              <w:t xml:space="preserve"> Approaching high-schools students and the Greek STEM community (M12-M</w:t>
            </w:r>
            <w:r>
              <w:rPr>
                <w:b/>
                <w:bCs/>
              </w:rPr>
              <w:t>18</w:t>
            </w:r>
            <w:r>
              <w:rPr>
                <w:b/>
                <w:bCs/>
              </w:rPr>
              <w:t>); Lead NTUA</w:t>
            </w:r>
          </w:p>
          <w:p>
            <w:pPr>
              <w:pStyle w:val="TextBody"/>
              <w:widowControl w:val="false"/>
              <w:ind w:left="0" w:hanging="0"/>
              <w:rPr/>
            </w:pPr>
            <w:r>
              <w:rPr>
                <w:b w:val="false"/>
                <w:bCs w:val="false"/>
              </w:rPr>
              <w:t xml:space="preserve">Issue calls to the STEM community of Greece and high-schools around the country. Each beneficiary will be hosted at the observational facilities of DSO, where they will be </w:t>
            </w:r>
            <w:r>
              <w:rPr>
                <w:b w:val="false"/>
                <w:bCs w:val="false"/>
                <w:shd w:fill="auto" w:val="clear"/>
              </w:rPr>
              <w:t>introduced to fundamental concepts of Space Geodesy, Earth Observation, their crucial input for Climate Change monitoring and Space Science and their application range. Visits will also include interactive and  venture labs, educational activities and guided tours at the instrumentation sites.</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8</w:t>
            </w:r>
            <w:r>
              <w:rPr>
                <w:b/>
                <w:bCs/>
              </w:rPr>
              <w:t>.</w:t>
            </w:r>
            <w:r>
              <w:rPr>
                <w:b/>
                <w:bCs/>
              </w:rPr>
              <w:t>5</w:t>
            </w:r>
            <w:r>
              <w:rPr>
                <w:b/>
                <w:bCs/>
              </w:rPr>
              <w:t xml:space="preserve"> ACRONYM Newletter (M10-M</w:t>
            </w:r>
            <w:r>
              <w:rPr>
                <w:b/>
                <w:bCs/>
              </w:rPr>
              <w:t>18</w:t>
            </w:r>
            <w:r>
              <w:rPr>
                <w:b/>
                <w:bCs/>
              </w:rPr>
              <w:t>); Lead CLS</w:t>
            </w:r>
          </w:p>
          <w:p>
            <w:pPr>
              <w:pStyle w:val="TextBody"/>
              <w:widowControl w:val="false"/>
              <w:ind w:left="0" w:hanging="0"/>
              <w:rPr/>
            </w:pPr>
            <w:r>
              <w:rPr>
                <w:b w:val="false"/>
                <w:bCs w:val="false"/>
                <w:shd w:fill="auto" w:val="clear"/>
                <w:lang w:val="en-GB"/>
              </w:rPr>
              <w:t xml:space="preserve">NTUA and partners will prepare and disseminate a newletter, containing outreach material, results and activities of ACRONYM, and trending news on Space Geodesy and Earth Observation (detailed description in Section 2.2). </w:t>
            </w:r>
            <w:r>
              <w:rPr>
                <w:b w:val="false"/>
                <w:bCs w:val="false"/>
                <w:shd w:fill="auto" w:val="clear"/>
              </w:rPr>
              <w:t>The first issue of the newsletter will be prepared and published by the 12</w:t>
            </w:r>
            <w:r>
              <w:rPr>
                <w:b w:val="false"/>
                <w:bCs w:val="false"/>
                <w:shd w:fill="auto" w:val="clear"/>
                <w:vertAlign w:val="superscript"/>
              </w:rPr>
              <w:t>th</w:t>
            </w:r>
            <w:r>
              <w:rPr>
                <w:b w:val="false"/>
                <w:bCs w:val="false"/>
                <w:shd w:fill="auto" w:val="clear"/>
              </w:rPr>
              <w:t xml:space="preserve"> month and from then on, a new issue will be released every six months. The newsletter will be published to subscribers, posted on social media (e.g. LinkedIn) and on ACRONYM’s website.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9</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 xml:space="preserve">Dissemination, Exploitation and Communication </w:t>
            </w:r>
            <w:r>
              <w:rPr>
                <w:lang w:val="en-GB"/>
              </w:rPr>
              <w:t>(RP2)</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rPr>
              <w:t xml:space="preserve">Task </w:t>
            </w:r>
            <w:r>
              <w:rPr>
                <w:b/>
                <w:bCs/>
              </w:rPr>
              <w:t>9</w:t>
            </w:r>
            <w:r>
              <w:rPr>
                <w:b/>
                <w:bCs/>
              </w:rPr>
              <w:t>.1 Project website and social media engagement (M</w:t>
            </w:r>
            <w:r>
              <w:rPr>
                <w:b/>
                <w:bCs/>
              </w:rPr>
              <w:t>19</w:t>
            </w:r>
            <w:r>
              <w:rPr>
                <w:b/>
                <w:bCs/>
              </w:rPr>
              <w:t>-M</w:t>
            </w:r>
            <w:r>
              <w:rPr>
                <w:b/>
                <w:bCs/>
              </w:rPr>
              <w:t>36</w:t>
            </w:r>
            <w:r>
              <w:rPr>
                <w:b/>
                <w:bCs/>
              </w:rPr>
              <w:t xml:space="preserve">); Lead NTUA </w:t>
            </w:r>
            <w:r>
              <w:rPr>
                <w:b w:val="false"/>
                <w:bCs w:val="false"/>
                <w:i/>
                <w:iCs/>
                <w:lang w:val="en-GB"/>
              </w:rPr>
              <w:t>(continuation of Task 8.1)</w:t>
            </w:r>
          </w:p>
          <w:p>
            <w:pPr>
              <w:pStyle w:val="TextBody"/>
              <w:widowControl w:val="false"/>
              <w:ind w:left="0" w:hanging="0"/>
              <w:rPr/>
            </w:pPr>
            <w:r>
              <w:rPr>
                <w:b/>
                <w:bCs/>
                <w:lang w:val="en-GB"/>
              </w:rPr>
              <w:t xml:space="preserve">Task </w:t>
            </w:r>
            <w:r>
              <w:rPr>
                <w:b/>
                <w:bCs/>
                <w:lang w:val="en-GB"/>
              </w:rPr>
              <w:t>9</w:t>
            </w:r>
            <w:r>
              <w:rPr>
                <w:b/>
                <w:bCs/>
                <w:lang w:val="en-GB"/>
              </w:rPr>
              <w:t>.2 Sharing of technical knowledge and know-how (M</w:t>
            </w:r>
            <w:r>
              <w:rPr>
                <w:b/>
                <w:bCs/>
                <w:lang w:val="en-GB"/>
              </w:rPr>
              <w:t>19</w:t>
            </w:r>
            <w:r>
              <w:rPr>
                <w:b/>
                <w:bCs/>
                <w:lang w:val="en-GB"/>
              </w:rPr>
              <w:t>-M</w:t>
            </w:r>
            <w:r>
              <w:rPr>
                <w:b/>
                <w:bCs/>
                <w:lang w:val="en-GB"/>
              </w:rPr>
              <w:t>24</w:t>
            </w:r>
            <w:r>
              <w:rPr>
                <w:b/>
                <w:bCs/>
                <w:lang w:val="en-GB"/>
              </w:rPr>
              <w:t xml:space="preserve">); Lead IPGP </w:t>
            </w:r>
            <w:r>
              <w:rPr>
                <w:b w:val="false"/>
                <w:bCs w:val="false"/>
                <w:i/>
                <w:iCs/>
                <w:lang w:val="en-GB"/>
              </w:rPr>
              <w:t>(continuation of Task 8.2)</w:t>
            </w:r>
          </w:p>
          <w:p>
            <w:pPr>
              <w:pStyle w:val="TextBody"/>
              <w:widowControl w:val="false"/>
              <w:ind w:left="0" w:hanging="0"/>
              <w:rPr>
                <w:b/>
                <w:b/>
                <w:bCs/>
              </w:rPr>
            </w:pPr>
            <w:r>
              <w:rPr>
                <w:b/>
                <w:bCs/>
              </w:rPr>
              <w:t xml:space="preserve">Task </w:t>
            </w:r>
            <w:r>
              <w:rPr>
                <w:b/>
                <w:bCs/>
              </w:rPr>
              <w:t>9</w:t>
            </w:r>
            <w:r>
              <w:rPr>
                <w:b/>
                <w:bCs/>
              </w:rPr>
              <w:t>.</w:t>
            </w:r>
            <w:r>
              <w:rPr>
                <w:b/>
                <w:bCs/>
              </w:rPr>
              <w:t>3</w:t>
            </w:r>
            <w:r>
              <w:rPr>
                <w:b/>
                <w:bCs/>
              </w:rPr>
              <w:t xml:space="preserve"> Open-Access publications (M</w:t>
            </w:r>
            <w:r>
              <w:rPr>
                <w:b/>
                <w:bCs/>
              </w:rPr>
              <w:t>19</w:t>
            </w:r>
            <w:r>
              <w:rPr>
                <w:b/>
                <w:bCs/>
              </w:rPr>
              <w:t>-M</w:t>
            </w:r>
            <w:r>
              <w:rPr>
                <w:b/>
                <w:bCs/>
              </w:rPr>
              <w:t>36</w:t>
            </w:r>
            <w:r>
              <w:rPr>
                <w:b/>
                <w:bCs/>
              </w:rPr>
              <w:t xml:space="preserve">); Lead NTUA </w:t>
            </w:r>
            <w:r>
              <w:rPr>
                <w:b w:val="false"/>
                <w:bCs w:val="false"/>
                <w:i/>
                <w:iCs/>
                <w:lang w:val="en-GB"/>
              </w:rPr>
              <w:t>(continuation of Task 8.3)</w:t>
            </w:r>
          </w:p>
          <w:p>
            <w:pPr>
              <w:pStyle w:val="TextBody"/>
              <w:widowControl w:val="false"/>
              <w:ind w:left="0" w:hanging="0"/>
              <w:rPr>
                <w:b/>
                <w:b/>
                <w:bCs/>
              </w:rPr>
            </w:pPr>
            <w:r>
              <w:rPr>
                <w:b/>
                <w:bCs/>
              </w:rPr>
              <w:t xml:space="preserve">Task </w:t>
            </w:r>
            <w:r>
              <w:rPr>
                <w:b/>
                <w:bCs/>
              </w:rPr>
              <w:t>9</w:t>
            </w:r>
            <w:r>
              <w:rPr>
                <w:b/>
                <w:bCs/>
              </w:rPr>
              <w:t>.</w:t>
            </w:r>
            <w:r>
              <w:rPr>
                <w:b/>
                <w:bCs/>
              </w:rPr>
              <w:t>4</w:t>
            </w:r>
            <w:r>
              <w:rPr>
                <w:b/>
                <w:bCs/>
              </w:rPr>
              <w:t xml:space="preserve"> Approaching high-schools students and the Greek STEM community (M1</w:t>
            </w:r>
            <w:r>
              <w:rPr>
                <w:b/>
                <w:bCs/>
              </w:rPr>
              <w:t>9</w:t>
            </w:r>
            <w:r>
              <w:rPr>
                <w:b/>
                <w:bCs/>
              </w:rPr>
              <w:t>-M</w:t>
            </w:r>
            <w:r>
              <w:rPr>
                <w:b/>
                <w:bCs/>
              </w:rPr>
              <w:t>36</w:t>
            </w:r>
            <w:r>
              <w:rPr>
                <w:b/>
                <w:bCs/>
              </w:rPr>
              <w:t xml:space="preserve">); Lead NTUA </w:t>
            </w:r>
            <w:r>
              <w:rPr>
                <w:b w:val="false"/>
                <w:bCs w:val="false"/>
                <w:i/>
                <w:iCs/>
                <w:lang w:val="en-GB"/>
              </w:rPr>
              <w:t>(continuation of Task 8.4)</w:t>
            </w:r>
          </w:p>
          <w:p>
            <w:pPr>
              <w:pStyle w:val="TextBody"/>
              <w:widowControl w:val="false"/>
              <w:ind w:left="0" w:hanging="0"/>
              <w:rPr>
                <w:b/>
                <w:b/>
                <w:bCs/>
              </w:rPr>
            </w:pPr>
            <w:r>
              <w:rPr>
                <w:b/>
                <w:bCs/>
              </w:rPr>
              <w:t xml:space="preserve">Task </w:t>
            </w:r>
            <w:r>
              <w:rPr>
                <w:b/>
                <w:bCs/>
              </w:rPr>
              <w:t>9</w:t>
            </w:r>
            <w:r>
              <w:rPr>
                <w:b/>
                <w:bCs/>
              </w:rPr>
              <w:t>.</w:t>
            </w:r>
            <w:r>
              <w:rPr>
                <w:b/>
                <w:bCs/>
              </w:rPr>
              <w:t>5</w:t>
            </w:r>
            <w:r>
              <w:rPr>
                <w:b/>
                <w:bCs/>
              </w:rPr>
              <w:t xml:space="preserve"> ACRONYM Newletter (M1</w:t>
            </w:r>
            <w:r>
              <w:rPr>
                <w:b/>
                <w:bCs/>
              </w:rPr>
              <w:t>9</w:t>
            </w:r>
            <w:r>
              <w:rPr>
                <w:b/>
                <w:bCs/>
              </w:rPr>
              <w:t>-M</w:t>
            </w:r>
            <w:r>
              <w:rPr>
                <w:b/>
                <w:bCs/>
              </w:rPr>
              <w:t>36</w:t>
            </w:r>
            <w:r>
              <w:rPr>
                <w:b/>
                <w:bCs/>
              </w:rPr>
              <w:t xml:space="preserve">); Lead CLS </w:t>
            </w:r>
            <w:r>
              <w:rPr>
                <w:b w:val="false"/>
                <w:bCs w:val="false"/>
                <w:i/>
                <w:iCs/>
                <w:lang w:val="en-GB"/>
              </w:rPr>
              <w:t>(continuation of Task 8.5)</w:t>
            </w:r>
          </w:p>
          <w:p>
            <w:pPr>
              <w:pStyle w:val="TextBody"/>
              <w:widowControl w:val="false"/>
              <w:ind w:left="0" w:hanging="0"/>
              <w:rPr/>
            </w:pPr>
            <w:r>
              <w:rPr/>
            </w:r>
          </w:p>
          <w:p>
            <w:pPr>
              <w:pStyle w:val="TextBody"/>
              <w:widowControl w:val="false"/>
              <w:ind w:left="0" w:hanging="0"/>
              <w:rPr>
                <w:b/>
                <w:b/>
                <w:bCs/>
              </w:rPr>
            </w:pPr>
            <w:r>
              <w:rPr>
                <w:b/>
                <w:bCs/>
              </w:rPr>
              <w:t xml:space="preserve">Task </w:t>
            </w:r>
            <w:r>
              <w:rPr>
                <w:b/>
                <w:bCs/>
              </w:rPr>
              <w:t>9</w:t>
            </w:r>
            <w:r>
              <w:rPr>
                <w:b/>
                <w:bCs/>
              </w:rPr>
              <w:t>.</w:t>
            </w:r>
            <w:r>
              <w:rPr>
                <w:b/>
                <w:bCs/>
              </w:rPr>
              <w:t>6</w:t>
            </w:r>
            <w:r>
              <w:rPr>
                <w:b/>
                <w:bCs/>
              </w:rPr>
              <w:t xml:space="preserve"> Dissemination activities and support for the Greek ecosystem (M1</w:t>
            </w:r>
            <w:r>
              <w:rPr>
                <w:b/>
                <w:bCs/>
              </w:rPr>
              <w:t>9</w:t>
            </w:r>
            <w:r>
              <w:rPr>
                <w:b/>
                <w:bCs/>
              </w:rPr>
              <w:t>-M3</w:t>
            </w:r>
            <w:r>
              <w:rPr>
                <w:b/>
                <w:bCs/>
              </w:rPr>
              <w:t>6</w:t>
            </w:r>
            <w:r>
              <w:rPr>
                <w:b/>
                <w:bCs/>
              </w:rPr>
              <w:t>); Lead CLS</w:t>
            </w:r>
          </w:p>
          <w:p>
            <w:pPr>
              <w:pStyle w:val="TextBody"/>
              <w:widowControl w:val="false"/>
              <w:ind w:left="0" w:hanging="0"/>
              <w:rPr/>
            </w:pPr>
            <w:r>
              <w:rPr>
                <w:b w:val="false"/>
                <w:bCs w:val="false"/>
              </w:rPr>
              <w:t>To support the establishment and longevity of the Greek space-based geoscienences ecosystem (Task 5.3</w:t>
            </w:r>
            <w:r>
              <w:rPr>
                <w:b w:val="false"/>
                <w:bCs w:val="false"/>
                <w:lang w:val="en-GB"/>
              </w:rPr>
              <w:t xml:space="preserve">), </w:t>
            </w:r>
            <w:r>
              <w:rPr/>
              <w:t>NTUA will organize:</w:t>
            </w:r>
          </w:p>
          <w:p>
            <w:pPr>
              <w:pStyle w:val="TextBody"/>
              <w:widowControl w:val="false"/>
              <w:numPr>
                <w:ilvl w:val="0"/>
                <w:numId w:val="28"/>
              </w:numPr>
              <w:rPr/>
            </w:pPr>
            <w:r>
              <w:rPr/>
              <w:t>one hybrid two-day conference to take place in Greece, with the (virtual or physical) attendance of all ecosystem partners as well as all ACRONYM partners; target here will be presentation of ACRONYM’s aim and results, dispersing knowledge on Space Geodesy and Earth Observation and introduction of ecosystem members via short presentations of their research and activity portfolios. Each ACRONYM partner will present its area of expertise, covering introductory technical details and application range.</w:t>
            </w:r>
          </w:p>
          <w:p>
            <w:pPr>
              <w:pStyle w:val="TextBody"/>
              <w:widowControl w:val="false"/>
              <w:numPr>
                <w:ilvl w:val="0"/>
                <w:numId w:val="28"/>
              </w:numPr>
              <w:rPr/>
            </w:pPr>
            <w:r>
              <w:rPr>
                <w:color w:val="000000"/>
                <w:shd w:fill="auto" w:val="clear"/>
              </w:rPr>
              <w:t>one info-day to take place in Greece, with the attendance of all ecosystem partners, co-organized by CLS; focus here will be placed on current products and trends related to Space-based solutions. CLS will address issues of providing high value-added products and services, being a worldwide pioneer.</w:t>
            </w:r>
          </w:p>
          <w:p>
            <w:pPr>
              <w:pStyle w:val="TextBody"/>
              <w:widowControl w:val="false"/>
              <w:ind w:left="0" w:hanging="0"/>
              <w:rPr/>
            </w:pPr>
            <w:r>
              <w:rPr/>
              <w:t>The activities are described in detail in Section 2.2.</w:t>
            </w:r>
          </w:p>
          <w:p>
            <w:pPr>
              <w:pStyle w:val="TextBody"/>
              <w:widowControl w:val="false"/>
              <w:ind w:left="0" w:hanging="0"/>
              <w:rPr/>
            </w:pPr>
            <w:r>
              <w:rPr/>
            </w:r>
          </w:p>
          <w:p>
            <w:pPr>
              <w:pStyle w:val="TextBody"/>
              <w:widowControl w:val="false"/>
              <w:ind w:left="0" w:hanging="0"/>
              <w:rPr/>
            </w:pPr>
            <w:r>
              <w:rPr>
                <w:b/>
                <w:bCs/>
                <w:lang w:val="en-GB"/>
              </w:rPr>
              <w:t xml:space="preserve">Task </w:t>
            </w:r>
            <w:r>
              <w:rPr>
                <w:b/>
                <w:bCs/>
                <w:lang w:val="en-GB"/>
              </w:rPr>
              <w:t>9</w:t>
            </w:r>
            <w:r>
              <w:rPr>
                <w:b/>
                <w:bCs/>
                <w:lang w:val="en-GB"/>
              </w:rPr>
              <w:t>.</w:t>
            </w:r>
            <w:r>
              <w:rPr>
                <w:b/>
                <w:bCs/>
                <w:lang w:val="en-GB"/>
              </w:rPr>
              <w:t>7</w:t>
            </w:r>
            <w:r>
              <w:rPr>
                <w:b/>
                <w:bCs/>
                <w:lang w:val="en-GB"/>
              </w:rPr>
              <w:t xml:space="preserve"> </w:t>
            </w:r>
            <w:r>
              <w:rPr>
                <w:b/>
                <w:bCs/>
                <w:shd w:fill="auto" w:val="clear"/>
                <w:lang w:val="en-GB"/>
              </w:rPr>
              <w:t>Joint Summer School (M</w:t>
            </w:r>
            <w:r>
              <w:rPr>
                <w:b/>
                <w:bCs/>
                <w:shd w:fill="auto" w:val="clear"/>
                <w:lang w:val="en-GB"/>
              </w:rPr>
              <w:t>25</w:t>
            </w:r>
            <w:r>
              <w:rPr>
                <w:b/>
                <w:bCs/>
                <w:shd w:fill="auto" w:val="clear"/>
                <w:lang w:val="en-GB"/>
              </w:rPr>
              <w:t>-M</w:t>
            </w:r>
            <w:r>
              <w:rPr>
                <w:b/>
                <w:bCs/>
                <w:shd w:fill="auto" w:val="clear"/>
                <w:lang w:val="en-GB"/>
              </w:rPr>
              <w:t>36</w:t>
            </w:r>
            <w:r>
              <w:rPr>
                <w:b/>
                <w:bCs/>
                <w:shd w:fill="auto" w:val="clear"/>
                <w:lang w:val="en-GB"/>
              </w:rPr>
              <w:t>); Lead NTUA</w:t>
            </w:r>
          </w:p>
          <w:p>
            <w:pPr>
              <w:pStyle w:val="TextBody"/>
              <w:widowControl w:val="false"/>
              <w:ind w:left="0" w:hanging="0"/>
              <w:rPr/>
            </w:pPr>
            <w:r>
              <w:rPr/>
              <w:t>During the last year of ACRONYM, all partners will be involved in organizing a five-day Summer School, which will take place in the premises of NTUA in Attica, Greece. The School will include venture labs, seminars, lectures and training on Space Geodesy concepts, methods, observational techniques, modeling approaches and results/products. ACRONYM scientific outcomes and software tools will also be presented, as well as a wide range of multidisciplinary applications related to Earth Observation from Space. ACRONYM partners will contribute according to their expertise.</w:t>
            </w:r>
          </w:p>
          <w:p>
            <w:pPr>
              <w:pStyle w:val="TextBody"/>
              <w:widowControl w:val="false"/>
              <w:ind w:left="0" w:hanging="0"/>
              <w:rPr/>
            </w:pPr>
            <w:r>
              <w:rPr>
                <w:b w:val="false"/>
                <w:bCs w:val="false"/>
                <w:lang w:val="en-GB"/>
              </w:rPr>
              <w:t xml:space="preserve">Attendance will be free and open and applications will be examined by all partners; young researches and ecosystem members will be prioritized. The School will include (at the last day) a guided tour to </w:t>
            </w:r>
            <w:r>
              <w:rPr>
                <w:b w:val="false"/>
                <w:bCs w:val="false"/>
                <w:color w:val="000000"/>
                <w:lang w:val="en-GB"/>
              </w:rPr>
              <w:t>the geodetic observation sites hosted at DSO will be performed (stationed in Dionysos, Attica). An attendance of approximately thirty individuals is expected.</w:t>
            </w:r>
          </w:p>
        </w:tc>
      </w:tr>
    </w:tbl>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5"/>
        <w:gridCol w:w="3154"/>
        <w:gridCol w:w="986"/>
        <w:gridCol w:w="1354"/>
        <w:gridCol w:w="810"/>
        <w:gridCol w:w="1350"/>
        <w:gridCol w:w="1562"/>
      </w:tblGrid>
      <w:tr>
        <w:trPr/>
        <w:tc>
          <w:tcPr>
            <w:tcW w:w="11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3154"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98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54"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81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35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562"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18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D1.1</w:t>
            </w:r>
          </w:p>
        </w:tc>
        <w:tc>
          <w:tcPr>
            <w:tcW w:w="31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Kick-Off Meeting</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3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4</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7</w:t>
            </w:r>
            <w:r>
              <w:rPr/>
              <w:t>.1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Formal agreement on PhD &amp; PostDoc co-supervision</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WP5</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4</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6</w:t>
            </w:r>
            <w:r>
              <w:rPr/>
              <w:t>.1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Research management and administration unit</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3</w:t>
            </w:r>
          </w:p>
        </w:tc>
      </w:tr>
      <w:tr>
        <w:trPr/>
        <w:tc>
          <w:tcPr>
            <w:tcW w:w="118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D1.2</w:t>
            </w:r>
          </w:p>
        </w:tc>
        <w:tc>
          <w:tcPr>
            <w:tcW w:w="31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Project Management Board Meetings</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3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6,12,18,24,30</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7</w:t>
            </w:r>
            <w:r>
              <w:rPr/>
              <w:t>.2</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Greek ecosystem of space-based geosciences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WP5</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12</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8</w:t>
            </w:r>
            <w:r>
              <w:rPr/>
              <w:t>.1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Project Website</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12</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8</w:t>
            </w:r>
            <w:r>
              <w:rPr/>
              <w:t>.2</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ACRONYM Newsletter</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t>CLS</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12,18,24,30,36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3</w:t>
            </w:r>
            <w:r>
              <w:rPr/>
              <w:t>.1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Assessment of NTUA’s in-house software tools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GFZ</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w:t>
            </w:r>
            <w:r>
              <w:rPr>
                <w:color w:val="000000"/>
                <w:shd w:fill="auto" w:val="clear"/>
                <w:lang w:val="en-GB"/>
              </w:rPr>
              <w:t>2</w:t>
            </w:r>
          </w:p>
        </w:tc>
      </w:tr>
      <w:tr>
        <w:trPr/>
        <w:tc>
          <w:tcPr>
            <w:tcW w:w="118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pPr>
            <w:r>
              <w:rPr/>
              <w:t>D</w:t>
            </w:r>
            <w:r>
              <w:rPr/>
              <w:t>3</w:t>
            </w:r>
            <w:r>
              <w:rPr/>
              <w:t>.2</w:t>
            </w:r>
          </w:p>
        </w:tc>
        <w:tc>
          <w:tcPr>
            <w:tcW w:w="31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Standards and  specification for DORIS analysis</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IPGP</w:t>
            </w:r>
          </w:p>
        </w:tc>
        <w:tc>
          <w:tcPr>
            <w:tcW w:w="81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pPr>
            <w:r>
              <w:rPr/>
              <w:t>D</w:t>
            </w:r>
            <w:r>
              <w:rPr/>
              <w:t>3</w:t>
            </w:r>
            <w:r>
              <w:rPr/>
              <w:t>.3</w:t>
            </w:r>
          </w:p>
        </w:tc>
        <w:tc>
          <w:tcPr>
            <w:tcW w:w="31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Standards and  specification for SLR analysis</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GFZ</w:t>
            </w:r>
          </w:p>
        </w:tc>
        <w:tc>
          <w:tcPr>
            <w:tcW w:w="81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3</w:t>
            </w:r>
            <w:r>
              <w:rPr/>
              <w:t>.4</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Standards and specification for  EOP and tidal analysis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OSO</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6</w:t>
            </w:r>
            <w:r>
              <w:rPr/>
              <w:t>.2</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Research management and administration unit training</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w:t>
            </w:r>
            <w:r>
              <w:rPr>
                <w:color w:val="000000"/>
                <w:shd w:fill="auto" w:val="clear"/>
              </w:rPr>
              <w:t>3</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7</w:t>
            </w:r>
            <w:r>
              <w:rPr/>
              <w:t>.3</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Exploring ecosystem’s needs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WP5</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w:t>
            </w:r>
            <w:r>
              <w:rPr>
                <w:color w:val="000000"/>
                <w:shd w:fill="auto" w:val="clear"/>
              </w:rPr>
              <w:t>8</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6</w:t>
            </w:r>
            <w:r>
              <w:rPr/>
              <w:t>.3</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Research proposal (funding) submissions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24, 36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9.1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Lecture notes and Training material</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2</w:t>
            </w:r>
            <w:r>
              <w:rPr>
                <w:color w:val="000000"/>
                <w:shd w:fill="auto" w:val="clear"/>
              </w:rPr>
              <w:t>4</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D</w:t>
            </w:r>
            <w:r>
              <w:rPr>
                <w:shd w:fill="FFFF00" w:val="clear"/>
              </w:rPr>
              <w:t>9.2</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Greek ecosystem meeting I</w:t>
            </w:r>
            <w:r>
              <w:rPr>
                <w:shd w:fill="FFFF00" w:val="clear"/>
                <w:lang w:val="en-GB"/>
              </w:rPr>
              <w:t xml:space="preserve"> (indo-day)</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WP2</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color w:val="000000"/>
                <w:shd w:fill="FFFF00" w:val="clear"/>
              </w:rPr>
              <w:t>30</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D</w:t>
            </w:r>
            <w:r>
              <w:rPr>
                <w:shd w:fill="FFFF00" w:val="clear"/>
              </w:rPr>
              <w:t>9.3</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Greek ecosystem meeting II</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WP2</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color w:val="000000"/>
                <w:shd w:fill="FFFF00" w:val="clear"/>
              </w:rPr>
              <w:t>3</w:t>
            </w:r>
            <w:r>
              <w:rPr>
                <w:color w:val="000000"/>
                <w:shd w:fill="FFFF00" w:val="clear"/>
              </w:rPr>
              <w:t>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5.1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Attendance report of training events (omitting ACRONYM)</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D</w:t>
            </w:r>
            <w:r>
              <w:rPr/>
              <w:t>5</w:t>
            </w:r>
            <w:r>
              <w:rPr/>
              <w:t>.</w:t>
            </w:r>
            <w:r>
              <w:rPr/>
              <w:t>2</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Software for analysis of DORIS observations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WP3</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IPGP</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R+O</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D</w:t>
            </w:r>
            <w:r>
              <w:rPr>
                <w:color w:val="2A6099"/>
              </w:rPr>
              <w:t>5.3</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Software for analysis of SLR observations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WP3</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SLR</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R+O</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D</w:t>
            </w:r>
            <w:r>
              <w:rPr/>
              <w:t>5.4</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color w:val="2A6099"/>
                <w:highlight w:val="none"/>
                <w:shd w:fill="auto" w:val="clear"/>
              </w:rPr>
            </w:pPr>
            <w:r>
              <w:rPr/>
              <w:t>Validation tests for EOP  precise handling</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WP3</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OSO</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R+O</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D</w:t>
            </w:r>
            <w:r>
              <w:rPr/>
              <w:t>5.5</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color w:val="2A6099"/>
              </w:rPr>
            </w:pPr>
            <w:r>
              <w:rPr/>
              <w:t>Long term plan for scientific excellence</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WP3</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9.4</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pPr>
            <w:r>
              <w:rPr/>
              <w:t>Space Geodesy Summer School</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9.5</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Open-Access Publications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36</w:t>
            </w:r>
          </w:p>
        </w:tc>
      </w:tr>
      <w:tr>
        <w:trPr/>
        <w:tc>
          <w:tcPr>
            <w:tcW w:w="1185" w:type="dxa"/>
            <w:tcBorders>
              <w:left w:val="single" w:sz="4" w:space="0" w:color="000000"/>
              <w:bottom w:val="single" w:sz="4" w:space="0" w:color="000000"/>
              <w:right w:val="single" w:sz="4" w:space="0" w:color="000000"/>
            </w:tcBorders>
          </w:tcPr>
          <w:p>
            <w:pPr>
              <w:pStyle w:val="TextBody"/>
              <w:widowControl w:val="false"/>
              <w:ind w:left="0" w:hanging="0"/>
              <w:rPr/>
            </w:pPr>
            <w:r>
              <w:rPr/>
              <w:t>D</w:t>
            </w:r>
            <w:r>
              <w:rPr/>
              <w:t>2.1</w:t>
            </w:r>
          </w:p>
        </w:tc>
        <w:tc>
          <w:tcPr>
            <w:tcW w:w="3154"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Evaluation and Conclusions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354"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GFZ</w:t>
            </w:r>
          </w:p>
        </w:tc>
        <w:tc>
          <w:tcPr>
            <w:tcW w:w="81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2"/>
        <w:gridCol w:w="2477"/>
        <w:gridCol w:w="1536"/>
        <w:gridCol w:w="1078"/>
        <w:gridCol w:w="3658"/>
      </w:tblGrid>
      <w:tr>
        <w:trPr/>
        <w:tc>
          <w:tcPr>
            <w:tcW w:w="13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24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153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107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365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Kick-Off Meeting Organized</w:t>
            </w:r>
          </w:p>
        </w:tc>
        <w:tc>
          <w:tcPr>
            <w:tcW w:w="153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07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3</w:t>
            </w:r>
          </w:p>
        </w:tc>
        <w:tc>
          <w:tcPr>
            <w:tcW w:w="365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Organization of an all-partner meeting</w:t>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lang w:val="en-GB"/>
              </w:rPr>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lang w:val="en-GB"/>
              </w:rPr>
              <w:t>Establishment of technique-specific task forces</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lang w:val="en-GB"/>
              </w:rPr>
              <w:t>WP2</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lang w:val="en-GB"/>
              </w:rPr>
              <w:t>3</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lang w:val="en-GB"/>
              </w:rPr>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Agreement on PhD/Post-Doc co-supervision</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WP2</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8</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Official certification by NTUA and the respective partner involved</w:t>
            </w:r>
          </w:p>
        </w:tc>
      </w:tr>
      <w:tr>
        <w:trPr/>
        <w:tc>
          <w:tcPr>
            <w:tcW w:w="131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ACRONYM website</w:t>
            </w:r>
          </w:p>
        </w:tc>
        <w:tc>
          <w:tcPr>
            <w:tcW w:w="153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07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8</w:t>
            </w:r>
          </w:p>
        </w:tc>
        <w:tc>
          <w:tcPr>
            <w:tcW w:w="365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ACRONYM website accessible by ACRONYM partners</w:t>
            </w:r>
          </w:p>
        </w:tc>
      </w:tr>
      <w:tr>
        <w:trPr/>
        <w:tc>
          <w:tcPr>
            <w:tcW w:w="131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Standards and specifications for software development</w:t>
            </w:r>
          </w:p>
        </w:tc>
        <w:tc>
          <w:tcPr>
            <w:tcW w:w="153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WP2</w:t>
            </w:r>
          </w:p>
        </w:tc>
        <w:tc>
          <w:tcPr>
            <w:tcW w:w="107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12</w:t>
            </w:r>
          </w:p>
        </w:tc>
        <w:tc>
          <w:tcPr>
            <w:tcW w:w="365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Document reports (three individual reports as described in Tasks 2.1, 2.2 and 2.3)</w:t>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Issue of the first volume of the ACRONYM newletter</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12</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Delivery by e-mail to all parties involved in the Greek ecosystem</w:t>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Establishment of a Greek ecosystem for space-based Earth observation</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WP2</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12</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Two open meetings of the Greek ecosystem performed. Expected attendance of over 12 different individual institutions</w:t>
            </w:r>
          </w:p>
        </w:tc>
      </w:tr>
      <w:tr>
        <w:trPr/>
        <w:tc>
          <w:tcPr>
            <w:tcW w:w="131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Orbit determination via SLR and DORIS</w:t>
            </w:r>
          </w:p>
        </w:tc>
        <w:tc>
          <w:tcPr>
            <w:tcW w:w="153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WP3</w:t>
            </w:r>
          </w:p>
        </w:tc>
        <w:tc>
          <w:tcPr>
            <w:tcW w:w="107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20</w:t>
            </w:r>
          </w:p>
        </w:tc>
        <w:tc>
          <w:tcPr>
            <w:tcW w:w="365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Software tests validated by expert nodes; publicly available via software repository (version 1.0)</w:t>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Precise orbit determination via SLR and DORIS for one satellite</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WP3</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28</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Software tests validated by expert nodes; publicly available via software repository (version 2.0)</w:t>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Estimation of parameters of geodetic interest</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WP3</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34</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Software tests validated by expert nodes; publicly available via software repository (version 3.0)</w:t>
            </w:r>
          </w:p>
        </w:tc>
      </w:tr>
      <w:tr>
        <w:trPr/>
        <w:tc>
          <w:tcPr>
            <w:tcW w:w="131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Wrap Up Meeting</w:t>
            </w:r>
          </w:p>
        </w:tc>
        <w:tc>
          <w:tcPr>
            <w:tcW w:w="153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078"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36</w:t>
            </w:r>
          </w:p>
        </w:tc>
        <w:tc>
          <w:tcPr>
            <w:tcW w:w="3658"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7" w:name="_Hlk106802874"/>
      <w:r>
        <w:rPr>
          <w:rFonts w:cs="Arial"/>
          <w:color w:val="B5B5B5"/>
          <w:sz w:val="18"/>
          <w:szCs w:val="16"/>
        </w:rPr>
        <w:t>#@RSK-MGT-RM@#</w:t>
      </w:r>
      <w:bookmarkEnd w:id="27"/>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WP3</w:t>
            </w:r>
          </w:p>
        </w:tc>
        <w:tc>
          <w:tcPr>
            <w:tcW w:w="382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pPr>
            <w:r>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TextBody"/>
              <w:widowControl w:val="false"/>
              <w:ind w:left="0" w:hanging="0"/>
              <w:jc w:val="left"/>
              <w:rPr/>
            </w:pPr>
            <w:r>
              <w:rPr/>
            </w:r>
          </w:p>
          <w:p>
            <w:pPr>
              <w:pStyle w:val="TextBody"/>
              <w:widowControl w:val="false"/>
              <w:ind w:left="0" w:hanging="0"/>
              <w:jc w:val="left"/>
              <w:rPr/>
            </w:pPr>
            <w:r>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8" w:name="_Hlk106802885"/>
      <w:r>
        <w:rPr>
          <w:rFonts w:cs="Arial"/>
          <w:color w:val="B5B5B5"/>
          <w:sz w:val="18"/>
          <w:szCs w:val="16"/>
        </w:rPr>
        <w:t>#§RSK-MGT-RM§#</w:t>
      </w:r>
      <w:bookmarkEnd w:id="28"/>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65"/>
        <w:gridCol w:w="1512"/>
        <w:gridCol w:w="1467"/>
        <w:gridCol w:w="1446"/>
        <w:gridCol w:w="3134"/>
      </w:tblGrid>
      <w:tr>
        <w:trPr/>
        <w:tc>
          <w:tcPr>
            <w:tcW w:w="2365"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6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9" w:name="_Hlk106802899"/>
      <w:r>
        <w:rPr>
          <w:rFonts w:cs="Arial"/>
          <w:caps/>
          <w:color w:val="B5B5B5"/>
          <w:sz w:val="18"/>
          <w:szCs w:val="16"/>
          <w:lang w:val="en-GB" w:eastAsia="it-IT"/>
        </w:rPr>
        <w:t xml:space="preserve">#§QUA-LIT-QL§# </w:t>
      </w:r>
      <w:r>
        <w:rPr>
          <w:rFonts w:cs="Arial"/>
          <w:color w:val="B5B5B5"/>
          <w:sz w:val="18"/>
          <w:szCs w:val="16"/>
        </w:rPr>
        <w:t>#§WRK-PLA-WP§#</w:t>
      </w:r>
      <w:bookmarkEnd w:id="29"/>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7"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54"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80"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R&amp;I Country Profile for Greece, https://dashboard.tech.ec.europa.eu/qs_digit_dashboard_mt/public/sense/app/1213b8cd-3ebe-4730-b0f5-fa4e326df2e2/sheet/0c8af38b-b73c-4da2-ba41-73ea34ab7ac4/state/analysis/select/Programme/H2020/select/Country%20Code/EL</w:t>
      </w:r>
    </w:p>
  </w:footnote>
  <w:footnote w:id="3">
    <w:p>
      <w:pPr>
        <w:pStyle w:val="Footnote"/>
        <w:rPr/>
      </w:pPr>
      <w:r>
        <w:rPr>
          <w:rStyle w:val="FootnoteCharacters"/>
        </w:rPr>
        <w:footnoteRef/>
      </w:r>
      <w:r>
        <w:rPr/>
        <w:t>European innovation scoreboard 2023, https://research-and-innovation.ec.europa.eu/statistics/performance-indicators/european-innovation-scoreboard_en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0"/>
      </w:numPr>
      <w:tabs>
        <w:tab w:val="clear" w:pos="720"/>
      </w:tabs>
      <w:jc w:val="both"/>
    </w:pPr>
    <w:rPr>
      <w:sz w:val="18"/>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15242</TotalTime>
  <Application>LibreOffice/7.4.7.2$Linux_X86_64 LibreOffice_project/40$Build-2</Application>
  <AppVersion>15.0000</AppVersion>
  <Pages>35</Pages>
  <Words>19019</Words>
  <Characters>112213</Characters>
  <CharactersWithSpaces>130284</CharactersWithSpaces>
  <Paragraphs>944</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2023-09-05T18:03:37Z</dcterms:modified>
  <cp:revision>1939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