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101"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3645004"/>
            <w:bookmarkStart w:id="1" w:name="_Toc445930535"/>
            <w:bookmarkStart w:id="2" w:name="_Toc448828577"/>
            <w:bookmarkStart w:id="3" w:name="_Toc448828797"/>
            <w:bookmarkStart w:id="4" w:name="_Toc448834151"/>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5930536"/>
            <w:bookmarkStart w:id="6" w:name="_Toc448828578"/>
            <w:bookmarkStart w:id="7" w:name="_Toc448828798"/>
            <w:bookmarkStart w:id="8" w:name="_Toc448834152"/>
            <w:bookmarkStart w:id="9" w:name="_Toc443645005"/>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8834153"/>
            <w:bookmarkStart w:id="11" w:name="_Toc448828799"/>
            <w:bookmarkStart w:id="12" w:name="_Toc443645006"/>
            <w:bookmarkStart w:id="13" w:name="_Toc448828579"/>
            <w:bookmarkStart w:id="14" w:name="_Toc445930537"/>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5930538"/>
            <w:bookmarkStart w:id="16" w:name="_Toc448828580"/>
            <w:bookmarkStart w:id="17" w:name="_Toc448828800"/>
            <w:bookmarkStart w:id="18" w:name="_Toc448834154"/>
            <w:bookmarkStart w:id="19" w:name="_Toc443645007"/>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Normal"/>
        <w:widowControl/>
        <w:spacing w:before="0" w:after="200"/>
        <w:jc w:val="both"/>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9">
        <w:r>
          <w:rPr>
            <w:rStyle w:val="InternetLink"/>
          </w:rPr>
          <w:t>https://www.earthobservations.org/index.php</w:t>
        </w:r>
      </w:hyperlink>
      <w:r>
        <w:rPr/>
        <w:t>) and its Global Earth Observation System of Systems (GEOSS) 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Normal"/>
        <w:widowControl/>
        <w:spacing w:before="0" w:after="200"/>
        <w:jc w:val="both"/>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Normal"/>
        <w:widowControl/>
        <w:spacing w:before="0" w:after="200"/>
        <w:jc w:val="both"/>
        <w:rPr>
          <w:b/>
          <w:b/>
          <w:bCs/>
        </w:rPr>
      </w:pPr>
      <w:r>
        <w:rPr>
          <w:b/>
          <w:bCs/>
        </w:rPr>
        <w:t>1.2 NTUA and Space Geodesy in Greece</w:t>
      </w:r>
    </w:p>
    <w:p>
      <w:pPr>
        <w:pStyle w:val="Normal"/>
        <w:widowControl/>
        <w:spacing w:before="0" w:after="200"/>
        <w:jc w:val="both"/>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Normal"/>
        <w:widowControl/>
        <w:spacing w:before="0" w:after="200"/>
        <w:jc w:val="both"/>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Normal"/>
        <w:widowControl/>
        <w:spacing w:before="0" w:after="200"/>
        <w:jc w:val="both"/>
        <w:rPr>
          <w:b/>
          <w:b/>
          <w:bCs/>
        </w:rPr>
      </w:pPr>
      <w:r>
        <w:rPr>
          <w:b/>
          <w:bCs/>
        </w:rPr>
        <w:t xml:space="preserve">1.3 Center of Excellence for Space Geodesy in Greece </w:t>
      </w:r>
    </w:p>
    <w:p>
      <w:pPr>
        <w:pStyle w:val="Normal"/>
        <w:widowControl/>
        <w:spacing w:before="0" w:after="200"/>
        <w:jc w:val="both"/>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tbl>
      <w:tblPr>
        <w:tblW w:w="9675" w:type="dxa"/>
        <w:jc w:val="left"/>
        <w:tblInd w:w="55" w:type="dxa"/>
        <w:tblLayout w:type="fixed"/>
        <w:tblCellMar>
          <w:top w:w="55" w:type="dxa"/>
          <w:left w:w="55" w:type="dxa"/>
          <w:bottom w:w="55" w:type="dxa"/>
          <w:right w:w="55" w:type="dxa"/>
        </w:tblCellMar>
      </w:tblPr>
      <w:tblGrid>
        <w:gridCol w:w="2470"/>
        <w:gridCol w:w="1717"/>
        <w:gridCol w:w="2162"/>
        <w:gridCol w:w="3325"/>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7"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2162"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Target Group</w:t>
            </w:r>
          </w:p>
        </w:tc>
        <w:tc>
          <w:tcPr>
            <w:tcW w:w="3325"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Creation of highly skilled workforce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20"/>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host institute staff trained</w:t>
            </w:r>
          </w:p>
          <w:p>
            <w:pPr>
              <w:pStyle w:val="Normal"/>
              <w:widowControl w:val="false"/>
              <w:numPr>
                <w:ilvl w:val="0"/>
                <w:numId w:val="20"/>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Recruit and train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PhD and PostDoc students trained</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Research capacity enhancement via in-house software</w:t>
            </w:r>
          </w:p>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Reaching scientific excellence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In-house software to accommodate:</w:t>
            </w:r>
          </w:p>
          <w:p>
            <w:pPr>
              <w:pStyle w:val="Normal"/>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DORIS observations</w:t>
            </w:r>
          </w:p>
          <w:p>
            <w:pPr>
              <w:pStyle w:val="Normal"/>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SLR observations</w:t>
            </w:r>
          </w:p>
          <w:p>
            <w:pPr>
              <w:pStyle w:val="Normal"/>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state-of-the-art handling of EOPs</w:t>
            </w:r>
          </w:p>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high-caliber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Mitigation of  technological/scientific gap between the host institute and top-tier institutes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Attractive center of excellence for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5"/>
              </w:numPr>
              <w:rPr/>
            </w:pPr>
            <w:r>
              <w:rPr/>
              <w:t>Number of applicants for PhD, PostDoc and (possible) tenure open positions. Expected to take place gradually after the start of ACRONYM.</w:t>
            </w:r>
          </w:p>
          <w:p>
            <w:pPr>
              <w:pStyle w:val="Normal"/>
              <w:widowControl w:val="false"/>
              <w:numPr>
                <w:ilvl w:val="0"/>
                <w:numId w:val="15"/>
              </w:numPr>
              <w:rPr/>
            </w:pPr>
            <w:r>
              <w:rPr/>
              <w:t>Number of young scientists (from partners) traveling to NTUA</w:t>
            </w:r>
          </w:p>
          <w:p>
            <w:pPr>
              <w:pStyle w:val="Normal"/>
              <w:widowControl w:val="false"/>
              <w:numPr>
                <w:ilvl w:val="0"/>
                <w:numId w:val="15"/>
              </w:numPr>
              <w:rPr/>
            </w:pPr>
            <w:r>
              <w:rPr/>
              <w:t>Number of funding bids submitted for PhD and PostDoc studies (carried out in host institute)</w:t>
            </w:r>
          </w:p>
          <w:p>
            <w:pPr>
              <w:pStyle w:val="Normal"/>
              <w:widowControl w:val="false"/>
              <w:numPr>
                <w:ilvl w:val="0"/>
                <w:numId w:val="15"/>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Establish a national (Greek) ecosystem of space related stakeholders</w:t>
            </w:r>
          </w:p>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Center of innovation for Greece in the field of space-based geosciences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present in info-days and seminars.</w:t>
            </w:r>
          </w:p>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included in research proposals submitted</w:t>
            </w:r>
          </w:p>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interested in and/or subscribed to the ACRONYM newsletter</w:t>
            </w:r>
          </w:p>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requesting/accessing online lectures and training videos (via ACRONYM’s website)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conferences/workshops attended</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scientific publications in high-impact journals</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Impact factor of scientific journals publishing results of ACRONYM</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in International Association of Geodesy (IAG) and GGOS</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free and open software tools, available on-line</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Create a network of international collaborators, get involved in high-calibre international consortia</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Enhance the host's capacity and efficiency in partnership-building, preparation and carrying out of research proposals funded by a series of alternate grant pools.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6"/>
              </w:numPr>
              <w:rPr/>
            </w:pPr>
            <w:r>
              <w:rPr/>
              <w:t>Number of host institute staff trained</w:t>
            </w:r>
          </w:p>
          <w:p>
            <w:pPr>
              <w:pStyle w:val="Normal"/>
              <w:widowControl w:val="false"/>
              <w:numPr>
                <w:ilvl w:val="0"/>
                <w:numId w:val="16"/>
              </w:numPr>
              <w:rPr/>
            </w:pPr>
            <w:r>
              <w:rPr/>
              <w:t>Number of research proposals submitted (within the time span of ACRONYM)</w:t>
            </w:r>
          </w:p>
          <w:p>
            <w:pPr>
              <w:pStyle w:val="Normal"/>
              <w:widowControl w:val="false"/>
              <w:numPr>
                <w:ilvl w:val="0"/>
                <w:numId w:val="16"/>
              </w:numPr>
              <w:rPr/>
            </w:pPr>
            <w:r>
              <w:rPr/>
              <w:t>Diversity of funding pools targeted</w:t>
            </w:r>
          </w:p>
          <w:p>
            <w:pPr>
              <w:pStyle w:val="Normal"/>
              <w:widowControl w:val="false"/>
              <w:numPr>
                <w:ilvl w:val="0"/>
                <w:numId w:val="16"/>
              </w:numPr>
              <w:rPr/>
            </w:pPr>
            <w:r>
              <w:rPr/>
              <w:t>Success rate of funding bids (research and scholarships)</w:t>
            </w:r>
          </w:p>
        </w:tc>
      </w:tr>
    </w:tbl>
    <w:p>
      <w:pPr>
        <w:pStyle w:val="Normal"/>
        <w:widowControl/>
        <w:spacing w:before="0" w:after="200"/>
        <w:jc w:val="both"/>
        <w:rPr/>
      </w:pPr>
      <w:r>
        <w:rPr/>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
          <w:bCs/>
        </w:rPr>
      </w:pPr>
      <w:r>
        <w:rPr>
          <w:b/>
          <w:bCs/>
        </w:rPr>
        <w:t>1.2.1 General Concept and Overview</w:t>
      </w:r>
    </w:p>
    <w:p>
      <w:pPr>
        <w:pStyle w:val="Normal"/>
        <w:spacing w:before="0" w:after="200"/>
        <w:jc w:val="both"/>
        <w:rPr>
          <w:b w:val="false"/>
          <w:b w:val="false"/>
          <w:bCs w:val="false"/>
        </w:rPr>
      </w:pPr>
      <w:r>
        <w:rPr>
          <w:b w:val="false"/>
          <w:bCs w:val="false"/>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Normal"/>
        <w:spacing w:before="0" w:after="200"/>
        <w:jc w:val="both"/>
        <w:rPr/>
      </w:pPr>
      <w:r>
        <w:rPr>
          <w:b w:val="false"/>
          <w:bCs w:val="false"/>
        </w:rPr>
        <w:t>A second pillar is the s</w:t>
      </w:r>
      <w:r>
        <w:rPr/>
        <w:t>trengthening of research management capacity and administrative skills of the staff working in the host institute. Furthermore, this task aims at significantly broadening possible funding pools (available or targeted by the host institute) and capabilities and increase mobility (inwards and outwards) of qualified scientists.</w:t>
      </w:r>
    </w:p>
    <w:p>
      <w:pPr>
        <w:pStyle w:val="Normal"/>
        <w:spacing w:before="0" w:after="200"/>
        <w:jc w:val="both"/>
        <w:rPr/>
      </w:pPr>
      <w:r>
        <w:rPr/>
        <w:t>Finally, a third pillar focuses on networking activities and involvement of the Coordinator in international, high prestige consortia, raising NTUA’s reputation and visibility. Additionally, a Greek Space and Earth Observation ecosystem will be established aiming at promoting relevant technology, innovation and collaboration on a national level.</w:t>
      </w:r>
    </w:p>
    <w:p>
      <w:pPr>
        <w:pStyle w:val="Normal"/>
        <w:spacing w:before="0" w:after="200"/>
        <w:jc w:val="both"/>
        <w:rPr/>
      </w:pPr>
      <w:r>
        <w:rPr>
          <w:b w:val="false"/>
          <w:bCs w:val="false"/>
        </w:rPr>
        <w:t xml:space="preserve">Dedicated dissemination and communication activities are included aiming at boosting the impact of ACRONYM and the </w:t>
      </w:r>
      <w:r>
        <w:rPr/>
        <w:t>attractiveness of the coordinating institution.</w:t>
      </w:r>
    </w:p>
    <w:p>
      <w:pPr>
        <w:pStyle w:val="Normal"/>
        <w:spacing w:before="0" w:after="200"/>
        <w:jc w:val="both"/>
        <w:rPr>
          <w:b/>
          <w:b/>
          <w:bCs/>
        </w:rPr>
      </w:pPr>
      <w:r>
        <w:rPr>
          <w:b/>
          <w:bCs/>
        </w:rPr>
        <w:t>1.2.2 Enhancing Research Capacity and Achieving Scientific Excellence</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Within the framework of ACRONYM, synergies are proposed with leading experts in the techniques of DORIS, SLR and VLBI with the aim of closing the knowledge and technological gap and thus significantly strengthening NTUA's research capacity and potential. A strategic aim of ACRONYM is that by the end of the project’s lifespan, the host institute will have an in-house collection of software tools and a highly-skilled workforce to support high-end research in the field of Space Geodesy and Earth observation.</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highlight w:val="none"/>
          <w:shd w:fill="FFFF00" w:val="clear"/>
        </w:rPr>
      </w:pPr>
      <w:r>
        <w:rPr>
          <w:shd w:fill="FFFF00" w:val="clea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Normal"/>
        <w:spacing w:before="0" w:after="200"/>
        <w:jc w:val="both"/>
        <w:rPr/>
      </w:pPr>
      <w:r>
        <w:rPr>
          <w:rFonts w:ascii="Times New Roman" w:hAnsi="Times New Roman"/>
          <w:lang w:val="en-GB"/>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virtual trainings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Normal"/>
        <w:numPr>
          <w:ilvl w:val="0"/>
          <w:numId w:val="17"/>
        </w:numPr>
        <w:spacing w:before="0" w:after="200"/>
        <w:jc w:val="both"/>
        <w:rPr/>
      </w:pPr>
      <w:r>
        <w:rPr>
          <w:rFonts w:ascii="Times New Roman" w:hAnsi="Times New Roman"/>
          <w:lang w:val="en-GB"/>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Normal"/>
        <w:numPr>
          <w:ilvl w:val="0"/>
          <w:numId w:val="17"/>
        </w:numPr>
        <w:spacing w:before="0" w:after="200"/>
        <w:jc w:val="both"/>
        <w:rPr/>
      </w:pPr>
      <w:r>
        <w:rPr>
          <w:rFonts w:ascii="Times New Roman" w:hAnsi="Times New Roman"/>
          <w:lang w:val="en-GB"/>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solidifing networking activities and allow for further one-on-one communication and intercourse.</w:t>
      </w:r>
    </w:p>
    <w:p>
      <w:pPr>
        <w:pStyle w:val="Normal"/>
        <w:spacing w:before="0" w:after="200"/>
        <w:jc w:val="both"/>
        <w:rPr/>
      </w:pPr>
      <w:r>
        <w:rPr>
          <w:rFonts w:ascii="Times New Roman" w:hAnsi="Times New Roman"/>
          <w:lang w:val="en-GB"/>
        </w:rPr>
        <w:t>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Normal"/>
        <w:spacing w:before="0" w:after="200"/>
        <w:jc w:val="both"/>
        <w:rPr>
          <w:highlight w:val="none"/>
          <w:shd w:fill="FFFF00" w:val="clear"/>
          <w:lang w:val="en-GB"/>
        </w:rPr>
      </w:pPr>
      <w:r>
        <w:rPr/>
        <w:t>The next,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Normal"/>
        <w:widowControl w:val="false"/>
        <w:spacing w:before="60" w:after="60"/>
        <w:jc w:val="both"/>
        <w:rPr>
          <w:highlight w:val="none"/>
          <w:shd w:fill="FFFF00" w:val="clear"/>
        </w:rPr>
      </w:pPr>
      <w:r>
        <w:rPr>
          <w:shd w:fill="FFFF00" w:val="clea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spacing w:before="0" w:after="200"/>
        <w:jc w:val="both"/>
        <w:rPr/>
      </w:pPr>
      <w:r>
        <w:rPr/>
        <w:t xml:space="preserve">Focus will be placed on (a) problem solving skills, (b) robust algorithmic approaches and best practices, (c) numerical methodologies, (d) program design and implementation strategies and (e) adoption of state-of-the-art models. </w:t>
      </w: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hosted by the expert nodes and attended by the dedicated task force set-up at the Coordinator institution, focusing on implementation and validation of specific specific technical issues, i.e. modeling approaches  (according to the roadmap laied out in the technical dpocuments of the previous step). These meets will be performed once every two months.</w:t>
      </w:r>
    </w:p>
    <w:p>
      <w:pPr>
        <w:pStyle w:val="Normal"/>
        <w:numPr>
          <w:ilvl w:val="0"/>
          <w:numId w:val="17"/>
        </w:numPr>
        <w:spacing w:before="0" w:after="200"/>
        <w:jc w:val="both"/>
        <w:rPr/>
      </w:pPr>
      <w:r>
        <w:rPr>
          <w:rFonts w:ascii="Times New Roman" w:hAnsi="Times New Roman"/>
          <w:lang w:val="en-GB"/>
        </w:rPr>
        <w:t>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w:t>
      </w:r>
    </w:p>
    <w:p>
      <w:pPr>
        <w:pStyle w:val="Normal"/>
        <w:numPr>
          <w:ilvl w:val="0"/>
          <w:numId w:val="17"/>
        </w:numPr>
        <w:spacing w:before="0" w:after="200"/>
        <w:jc w:val="both"/>
        <w:rPr/>
      </w:pPr>
      <w:r>
        <w:rPr>
          <w:rFonts w:ascii="Times New Roman" w:hAnsi="Times New Roman"/>
          <w:lang w:val="en-GB"/>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Normal"/>
        <w:spacing w:before="0" w:after="200"/>
        <w:jc w:val="both"/>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Normal"/>
        <w:spacing w:before="0" w:after="200"/>
        <w:jc w:val="both"/>
        <w:rPr>
          <w:b/>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Normal"/>
        <w:spacing w:before="0" w:after="200"/>
        <w:jc w:val="both"/>
        <w:rPr/>
      </w:pPr>
      <w:r>
        <w:rPr/>
        <w:t xml:space="preserve">In order to further enhance NTUA’s research capacity and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Normal"/>
        <w:spacing w:before="0" w:after="200"/>
        <w:jc w:val="both"/>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utilising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Normal"/>
        <w:numPr>
          <w:ilvl w:val="0"/>
          <w:numId w:val="18"/>
        </w:numPr>
        <w:spacing w:before="0" w:after="200"/>
        <w:jc w:val="both"/>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Normal"/>
        <w:numPr>
          <w:ilvl w:val="0"/>
          <w:numId w:val="18"/>
        </w:numPr>
        <w:spacing w:before="0" w:after="200"/>
        <w:jc w:val="both"/>
        <w:rPr/>
      </w:pPr>
      <w:r>
        <w:rPr>
          <w:rStyle w:val="Strong"/>
          <w:b w:val="false"/>
          <w:bCs w:val="false"/>
          <w:u w:val="single"/>
          <w:shd w:fill="auto" w:val="clear"/>
          <w:lang w:val="en-GB"/>
        </w:rPr>
        <w:t>Project preparation, proposal writing and organisational issues.</w:t>
      </w:r>
      <w:r>
        <w:rPr>
          <w:rStyle w:val="Strong"/>
          <w:b w:val="false"/>
          <w:bCs w:val="false"/>
          <w:shd w:fill="auto" w:val="clear"/>
          <w:lang w:val="en-GB"/>
        </w:rPr>
        <w:t xml:space="preserve"> The leading partners will share their experience and skills gained throughout the years in successfully preparing and organizing a research proposal submission. This will include project team composition, networking and partnership building, budget considerations and allocation, research focus presentation, dissemination activities and organization, common pitfalls and best practices in proposal preparation (writing and/or submition), seeking greater impact and pathways to achieving it.</w:t>
      </w:r>
    </w:p>
    <w:p>
      <w:pPr>
        <w:pStyle w:val="Normal"/>
        <w:numPr>
          <w:ilvl w:val="0"/>
          <w:numId w:val="18"/>
        </w:numPr>
        <w:spacing w:before="0" w:after="200"/>
        <w:jc w:val="both"/>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Normal"/>
        <w:spacing w:before="0" w:after="200"/>
        <w:jc w:val="both"/>
        <w:rPr/>
      </w:pPr>
      <w:r>
        <w:rPr>
          <w:rStyle w:val="Strong"/>
          <w:b w:val="false"/>
          <w:bCs w:val="false"/>
          <w:shd w:fill="auto" w:val="clear"/>
          <w:lang w:val="en-GB"/>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Normal"/>
        <w:spacing w:before="0" w:after="200"/>
        <w:jc w:val="both"/>
        <w:rPr/>
      </w:pPr>
      <w:r>
        <w:rPr>
          <w:rStyle w:val="Strong"/>
          <w:b w:val="false"/>
          <w:bCs w:val="false"/>
          <w:shd w:fill="auto" w:val="clear"/>
          <w:lang w:val="en-GB"/>
        </w:rPr>
        <w:t>Once this training phase is over and throughout the rest of ACRONYM’s lifespan, the research administration unit with the help and guidance of the twinning partners, will prepare and submit at least four research funding proposals. These will build upon the research capacity build via ACRONYM, and will specifically target:</w:t>
      </w:r>
    </w:p>
    <w:p>
      <w:pPr>
        <w:pStyle w:val="Normal"/>
        <w:numPr>
          <w:ilvl w:val="0"/>
          <w:numId w:val="19"/>
        </w:numPr>
        <w:spacing w:before="0" w:after="200"/>
        <w:jc w:val="both"/>
        <w:rPr/>
      </w:pPr>
      <w:r>
        <w:rPr>
          <w:rStyle w:val="Strong"/>
          <w:b w:val="false"/>
          <w:bCs w:val="false"/>
          <w:shd w:fill="auto" w:val="clear"/>
          <w:lang w:val="en-GB"/>
        </w:rPr>
        <w:t>two EU large scale research and innovation calls (e.g. HORIZON), and</w:t>
      </w:r>
    </w:p>
    <w:p>
      <w:pPr>
        <w:pStyle w:val="Normal"/>
        <w:numPr>
          <w:ilvl w:val="0"/>
          <w:numId w:val="19"/>
        </w:numPr>
        <w:spacing w:before="0" w:after="200"/>
        <w:jc w:val="both"/>
        <w:rPr/>
      </w:pPr>
      <w:r>
        <w:rPr>
          <w:rStyle w:val="Strong"/>
          <w:b w:val="false"/>
          <w:bCs w:val="false"/>
          <w:shd w:fill="auto" w:val="clear"/>
          <w:lang w:val="en-GB"/>
        </w:rPr>
        <w:t>two research proposals targeting young scientists and mobility (e.g. EU MSCA calls)</w:t>
      </w:r>
    </w:p>
    <w:p>
      <w:pPr>
        <w:pStyle w:val="Normal"/>
        <w:widowControl w:val="false"/>
        <w:numPr>
          <w:ilvl w:val="0"/>
          <w:numId w:val="19"/>
        </w:numPr>
        <w:jc w:val="both"/>
        <w:rPr/>
      </w:pPr>
      <w:r>
        <w:rPr>
          <w:shd w:fill="auto" w:val="clear"/>
        </w:rPr>
        <w:t>one funding bid targeting private/public collaboration, including at least one the ecosystem commercial (business) partner</w:t>
      </w:r>
    </w:p>
    <w:p>
      <w:pPr>
        <w:pStyle w:val="Normal"/>
        <w:widowControl w:val="false"/>
        <w:numPr>
          <w:ilvl w:val="0"/>
          <w:numId w:val="0"/>
        </w:numPr>
        <w:ind w:left="720" w:hanging="0"/>
        <w:jc w:val="both"/>
        <w:rPr>
          <w:shd w:fill="auto" w:val="clear"/>
        </w:rPr>
      </w:pPr>
      <w:r>
        <w:rPr>
          <w:shd w:fill="auto" w:val="clear"/>
        </w:rPr>
      </w:r>
    </w:p>
    <w:p>
      <w:pPr>
        <w:pStyle w:val="Normal"/>
        <w:spacing w:before="0" w:after="200"/>
        <w:jc w:val="both"/>
        <w:rPr/>
      </w:pPr>
      <w:r>
        <w:rPr>
          <w:rStyle w:val="Strong"/>
          <w:b w:val="false"/>
          <w:bCs w:val="false"/>
          <w:shd w:fill="auto" w:val="clear"/>
          <w:lang w:val="en-GB"/>
        </w:rPr>
        <w:t>Apart from NTUA, at least two of the ACRONYM partners will be involved in each of the proposals to be submitted, the aim being however for the consortium to be included as a whole.</w:t>
      </w:r>
    </w:p>
    <w:p>
      <w:pPr>
        <w:pStyle w:val="Normal"/>
        <w:spacing w:before="0" w:after="200"/>
        <w:jc w:val="both"/>
        <w:rPr>
          <w:highlight w:val="none"/>
          <w:shd w:fill="auto" w:val="clear"/>
        </w:rPr>
      </w:pPr>
      <w:r>
        <w:rPr>
          <w:b/>
          <w:bCs/>
          <w:shd w:fill="auto" w:val="clear"/>
        </w:rPr>
        <w:t>1.2.4 Raising Research profile, Dissemination Activities and Strategic Networking</w:t>
      </w:r>
    </w:p>
    <w:p>
      <w:pPr>
        <w:pStyle w:val="Normal"/>
        <w:spacing w:before="0" w:after="200"/>
        <w:jc w:val="both"/>
        <w:rPr/>
      </w:pPr>
      <w:r>
        <w:rPr/>
        <w:t xml:space="preserve">Through the consortium synergy and in the framework of ACRONYM, at least three papers will be published in high impact, peer-reviewed scientific journals (impact factor &gt; 2.4).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 </w:t>
      </w:r>
    </w:p>
    <w:p>
      <w:pPr>
        <w:pStyle w:val="Normal"/>
        <w:spacing w:before="0" w:after="200"/>
        <w:jc w:val="both"/>
        <w:rPr/>
      </w:pPr>
      <w:r>
        <w:rPr/>
        <w:t>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XXX) and the co-supervision will be performed by one representative of the respective expert node (i.e. GFZ, IPGP and OSO), acting as a member of the three-party advisory committee.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Normal"/>
        <w:spacing w:before="0" w:after="200"/>
        <w:jc w:val="both"/>
        <w:rPr>
          <w:highlight w:val="none"/>
          <w:shd w:fill="FF4000" w:val="clear"/>
        </w:rPr>
      </w:pPr>
      <w:r>
        <w:rPr>
          <w:shd w:fill="FF4000" w:val="clear"/>
        </w:rPr>
        <w:t>More specific next paragraph</w:t>
      </w:r>
    </w:p>
    <w:p>
      <w:pPr>
        <w:pStyle w:val="Normal"/>
        <w:spacing w:before="0" w:after="200"/>
        <w:jc w:val="both"/>
        <w:rPr/>
      </w:pPr>
      <w:r>
        <w:rPr/>
        <w:t>Further strengthening of networking activities and scientific prominence will be seeked through the consortium’s presence in at le</w:t>
      </w:r>
      <w:r>
        <w:rPr>
          <w:shd w:fill="auto" w:val="clear"/>
        </w:rPr>
        <w:t xml:space="preserve">ast </w:t>
      </w:r>
      <w:r>
        <w:rPr>
          <w:color w:val="000000"/>
          <w:shd w:fill="auto" w:val="clear"/>
        </w:rPr>
        <w:t>five i</w:t>
      </w:r>
      <w:r>
        <w:rPr>
          <w:shd w:fill="auto" w:val="clear"/>
        </w:rPr>
        <w:t>nternational conferences, where outcomes of ACRONYM will be presented. Presence in technique-specific workshops organized by the respective international services (i.e. IDS, ILRS and IVS) will be prioritized. The partners will also attend at least two IAG  related events, which are known to attract top class scientists in the field. Coordinator’s staff, and especially young scientists involved, will seek to attend any virtual and/or on-site training events organized by IGS, IDS, ILRS, IVS and IAG (e.g. DORIS-days organized by IDS).</w:t>
      </w:r>
    </w:p>
    <w:p>
      <w:pPr>
        <w:pStyle w:val="Normal"/>
        <w:spacing w:before="0" w:after="200"/>
        <w:jc w:val="both"/>
        <w:rPr>
          <w:b/>
          <w:b/>
          <w:bCs/>
        </w:rPr>
      </w:pPr>
      <w:r>
        <w:rPr>
          <w:b/>
          <w:bCs/>
          <w:shd w:fill="auto" w:val="clear"/>
        </w:rPr>
        <w:t>1.2.5 Establishing a Greek ecosystem of Space-based geosciences and ties between market and academia</w:t>
      </w:r>
    </w:p>
    <w:p>
      <w:pPr>
        <w:pStyle w:val="Normal"/>
        <w:jc w:val="both"/>
        <w:rPr/>
      </w:pPr>
      <w:r>
        <w:rPr>
          <w:lang w:val="en-GB"/>
        </w:rPr>
        <w:t>The coordinator will take the initiative of bringing together all parties in Greece involved in space-based geosciences and related applications, thus establishing a Greek ecosystem of related partners, in an effort to disperse and disseminate the impact of ACRONYM on a national scale. Through this newly established ecosystem, it will seek further strategic networking, both with research institutions and collaboration agreements with businesses active in the field.</w:t>
      </w:r>
    </w:p>
    <w:p>
      <w:pPr>
        <w:pStyle w:val="Normal"/>
        <w:jc w:val="both"/>
        <w:rPr>
          <w:lang w:val="en-GB"/>
        </w:rPr>
      </w:pPr>
      <w:r>
        <w:rPr>
          <w:lang w:val="en-GB"/>
        </w:rPr>
      </w:r>
    </w:p>
    <w:p>
      <w:pPr>
        <w:pStyle w:val="Normal"/>
        <w:jc w:val="both"/>
        <w:rPr/>
      </w:pPr>
      <w:r>
        <w:rPr>
          <w:lang w:val="en-GB"/>
        </w:rPr>
        <w:t>The ecosystem call is expected to attract more than ten participants, including  possible industry partners active in:</w:t>
      </w:r>
    </w:p>
    <w:p>
      <w:pPr>
        <w:pStyle w:val="Normal"/>
        <w:numPr>
          <w:ilvl w:val="0"/>
          <w:numId w:val="22"/>
        </w:numPr>
        <w:jc w:val="both"/>
        <w:rPr/>
      </w:pPr>
      <w:r>
        <w:rPr>
          <w:lang w:val="en-GB"/>
        </w:rPr>
        <w:t>Space industry, space sciences, space awareness and  security, geosciences, Earth observation, tracking and navigation and related fields (e.g. Libre Space Foundation (</w:t>
      </w:r>
      <w:hyperlink r:id="rId12">
        <w:r>
          <w:rPr>
            <w:rStyle w:val="InternetLink"/>
            <w:lang w:val="en-GB"/>
          </w:rPr>
          <w:t>https://libre.space/</w:t>
        </w:r>
      </w:hyperlink>
      <w:r>
        <w:rPr>
          <w:lang w:val="en-GB"/>
        </w:rPr>
        <w:t>), Geosystems Hellas (</w:t>
      </w:r>
      <w:hyperlink r:id="rId13">
        <w:r>
          <w:rPr>
            <w:rStyle w:val="InternetLink"/>
            <w:lang w:val="en-GB"/>
          </w:rPr>
          <w:t>https://www.geosystems-hellas.gr/</w:t>
        </w:r>
      </w:hyperlink>
      <w:r>
        <w:rPr>
          <w:lang w:val="en-GB"/>
        </w:rPr>
        <w:t>), Planetek Hellas (</w:t>
      </w:r>
      <w:hyperlink r:id="rId14">
        <w:r>
          <w:rPr>
            <w:rStyle w:val="InternetLink"/>
            <w:lang w:val="en-GB"/>
          </w:rPr>
          <w:t>https://www.planetek.gr/</w:t>
        </w:r>
      </w:hyperlink>
      <w:r>
        <w:rPr>
          <w:lang w:val="en-GB"/>
        </w:rPr>
        <w:t xml:space="preserve">)), </w:t>
      </w:r>
    </w:p>
    <w:p>
      <w:pPr>
        <w:pStyle w:val="Normal"/>
        <w:numPr>
          <w:ilvl w:val="0"/>
          <w:numId w:val="22"/>
        </w:numPr>
        <w:jc w:val="both"/>
        <w:rPr/>
      </w:pPr>
      <w:r>
        <w:rPr>
          <w:lang w:val="en-GB"/>
        </w:rPr>
        <w:t>Governmental agencies and research institutions (e.g. National Observatory of Athens, Beyond Centre (</w:t>
      </w:r>
      <w:hyperlink r:id="rId15">
        <w:r>
          <w:rPr>
            <w:rStyle w:val="InternetLink"/>
            <w:lang w:val="en-GB"/>
          </w:rPr>
          <w:t>http://beyond-eocenter.eu/</w:t>
        </w:r>
      </w:hyperlink>
      <w:r>
        <w:rPr>
          <w:lang w:val="en-GB"/>
        </w:rPr>
        <w:t>), Hellenic Group on Earth Observations (</w:t>
      </w:r>
      <w:hyperlink r:id="rId16">
        <w:r>
          <w:rPr>
            <w:rStyle w:val="InternetLink"/>
            <w:lang w:val="en-GB"/>
          </w:rPr>
          <w:t>https://www.greekgeo.noa.gr/</w:t>
        </w:r>
      </w:hyperlink>
      <w:r>
        <w:rPr>
          <w:lang w:val="en-GB"/>
        </w:rPr>
        <w:t xml:space="preserve">)) </w:t>
      </w:r>
    </w:p>
    <w:p>
      <w:pPr>
        <w:pStyle w:val="Normal"/>
        <w:numPr>
          <w:ilvl w:val="0"/>
          <w:numId w:val="22"/>
        </w:numPr>
        <w:jc w:val="both"/>
        <w:rPr/>
      </w:pPr>
      <w:r>
        <w:rPr>
          <w:lang w:val="en-GB"/>
        </w:rPr>
        <w:t>Universities (e.g. Aristotle University of Thessaloniki, National and Kapodistrian University of Athens and the University of West Attica).</w:t>
      </w:r>
    </w:p>
    <w:p>
      <w:pPr>
        <w:pStyle w:val="Normal"/>
        <w:jc w:val="both"/>
        <w:rPr>
          <w:lang w:val="en-GB"/>
        </w:rPr>
      </w:pPr>
      <w:r>
        <w:rPr>
          <w:lang w:val="en-GB"/>
        </w:rPr>
      </w:r>
    </w:p>
    <w:p>
      <w:pPr>
        <w:pStyle w:val="Normal"/>
        <w:jc w:val="both"/>
        <w:rPr>
          <w:highlight w:val="none"/>
          <w:shd w:fill="auto" w:val="clear"/>
        </w:rPr>
      </w:pPr>
      <w:r>
        <w:rPr>
          <w:shd w:fill="auto" w:val="clear"/>
        </w:rPr>
        <w:t>Two dedicated (on-site) meetings will be organized by NTUA to take place in Greece, aiming at networking activities and potential collaborations between ecosystem parties.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Normal"/>
        <w:jc w:val="both"/>
        <w:rPr>
          <w:highlight w:val="none"/>
          <w:shd w:fill="auto" w:val="clear"/>
        </w:rPr>
      </w:pPr>
      <w:r>
        <w:rPr>
          <w:shd w:fill="auto" w:val="clear"/>
        </w:rPr>
      </w:r>
    </w:p>
    <w:p>
      <w:pPr>
        <w:pStyle w:val="Normal"/>
        <w:spacing w:before="0" w:after="200"/>
        <w:jc w:val="both"/>
        <w:rPr/>
      </w:pPr>
      <w:r>
        <w:rPr/>
        <w:t>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w:t>
      </w:r>
    </w:p>
    <w:p>
      <w:pPr>
        <w:pStyle w:val="Normal"/>
        <w:spacing w:before="0" w:after="200"/>
        <w:jc w:val="both"/>
        <w:rPr/>
      </w:pPr>
      <w:r>
        <w:rPr/>
        <w:t>In order to further raise interest in both ACRONYM itself, its impact and participation in the ecosystem, the partners will issue a Newsletter to be published every six months (throughout the lifetime of the project). All partners will take the effort to submit short articles related to ACRONYM activities and outcomes as well as Space Geodesy related research and products.</w:t>
      </w:r>
    </w:p>
    <w:p>
      <w:pPr>
        <w:pStyle w:val="Normal"/>
        <w:spacing w:before="0" w:after="200"/>
        <w:jc w:val="both"/>
        <w:rPr/>
      </w:pPr>
      <w:r>
        <w:rPr/>
        <w:t xml:space="preserve">To explore, access and evaluate both academia and commercial needs and interest on a national scale, the ACRONYM partners will compile and hand out a series of (on-line) questionnaires; one subset of these will target academia partners of the ecosystem and a second set will target commercial users/businesses. Information to be collected will target </w:t>
      </w:r>
      <w:r>
        <w:rPr>
          <w:b w:val="false"/>
          <w:bCs w:val="false"/>
          <w:lang w:val="en-GB"/>
        </w:rPr>
        <w:t>(a) methods and techniques of Space Geodesy they use, (b) application range, (c) datasets and analysis pipelines (d) specific needs in data processing and products (e) research interest, aspirations and future plans.</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Normal"/>
        <w:spacing w:before="0" w:after="200"/>
        <w:jc w:val="both"/>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2.1</w:t>
        <w:tab/>
        <w:t>Project’s pathways towards impact</w:t>
      </w:r>
    </w:p>
    <w:p>
      <w:pPr>
        <w:pStyle w:val="Normal"/>
        <w:spacing w:before="0" w:after="200"/>
        <w:jc w:val="both"/>
        <w:rPr>
          <w:highlight w:val="none"/>
          <w:shd w:fill="auto" w:val="clear"/>
        </w:rPr>
      </w:pPr>
      <w:r>
        <w:rPr>
          <w:rFonts w:ascii="Times New Roman" w:hAnsi="Times New Roman"/>
          <w:b/>
          <w:shd w:fill="auto" w:val="clear"/>
          <w:lang w:val="en-GB"/>
        </w:rPr>
        <w:t>2.1.1 ACRONYM Outcomes</w:t>
      </w:r>
    </w:p>
    <w:p>
      <w:pPr>
        <w:pStyle w:val="Normal"/>
        <w:rPr/>
      </w:pPr>
      <w:r>
        <w:rPr>
          <w:b/>
          <w:bCs/>
          <w:u w:val="single"/>
        </w:rPr>
        <w:t>Improved excellence capacity and resources in Widening countries enabling to close the still apparent research and innovation gap within the European Union.</w:t>
      </w:r>
    </w:p>
    <w:p>
      <w:pPr>
        <w:pStyle w:val="Normal"/>
        <w:jc w:val="both"/>
        <w:rPr/>
      </w:pPr>
      <w:r>
        <w:rPr/>
        <w:t>ACRONYM specifically targets the significant enhancement of the Coordinator’s research capacity and resources. Two Working Packages are allocated solely for this purpose (WP2 and WP3). To successfully reach this goal, expert assistance from top-class scientific partners is not only crucial but imperative. This Twinning action thus provides the perfect framework for such a cooperation.  ACRONYM partners are world leading research institutes in their respective fields of expertise and ACRONYM is organized in a way that fully exploits their commitment in sharing knowledge and expertise.</w:t>
      </w:r>
    </w:p>
    <w:p>
      <w:pPr>
        <w:pStyle w:val="Normal"/>
        <w:jc w:val="both"/>
        <w:rPr/>
      </w:pPr>
      <w:r>
        <w:rPr/>
      </w:r>
    </w:p>
    <w:p>
      <w:pPr>
        <w:pStyle w:val="Normal"/>
        <w:jc w:val="both"/>
        <w:rPr/>
      </w:pPr>
      <w:r>
        <w:rPr/>
        <w:t>In a first phase (WP2), the partners will share knowledge and best practices with their peers in the Coordinator institute, using a well structured series of online seminars, venture labs and a short term visit. In a second phase (WP3), focus will be placed in a joint effort to build a crucial research and scientific asset, that is a state-of-the-art package of software tools to enable analysis of Space Geodesy data. On-line meetings and a further set of short term visits will be performed here.</w:t>
      </w:r>
    </w:p>
    <w:p>
      <w:pPr>
        <w:pStyle w:val="Normal"/>
        <w:jc w:val="both"/>
        <w:rPr/>
      </w:pPr>
      <w:r>
        <w:rPr/>
      </w:r>
    </w:p>
    <w:p>
      <w:pPr>
        <w:pStyle w:val="Normal"/>
        <w:jc w:val="both"/>
        <w:rPr/>
      </w:pPr>
      <w:r>
        <w:rPr/>
        <w:t xml:space="preserve">This list of activities will result in a highly skilled, extensively trained scientific workforce at NTUA, counting no less than 10 individuals (including research and academic staff and young scientists). Additionally, the resulting software tools will provide an unprecedented, invaluable asset for NTUA providing (in combination with the newly found expertise)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e.g. climate studies, atmospheric studies, orbit determination, geodynamics and geophysics. </w:t>
      </w:r>
    </w:p>
    <w:p>
      <w:pPr>
        <w:pStyle w:val="Normal"/>
        <w:jc w:val="both"/>
        <w:rPr/>
      </w:pPr>
      <w:r>
        <w:rPr/>
      </w:r>
    </w:p>
    <w:p>
      <w:pPr>
        <w:pStyle w:val="Normal"/>
        <w:jc w:val="both"/>
        <w:rPr/>
      </w:pPr>
      <w:r>
        <w:rPr/>
        <w:t xml:space="preserve">For the first time in decades NTUA, and in general a Greek institution, will be equipped with the knowledge and tools/resources to tackle research frontiers and innovation in the field. Through the establishment of a Greek ecosystem of </w:t>
      </w:r>
      <w:r>
        <w:rPr>
          <w:b w:val="false"/>
          <w:bCs w:val="false"/>
          <w:shd w:fill="auto" w:val="clear"/>
        </w:rPr>
        <w:t>Space-based geosciences (see</w:t>
      </w:r>
      <w:r>
        <w:rPr>
          <w:b w:val="false"/>
          <w:bCs w:val="false"/>
          <w:shd w:fill="C9211E" w:val="clear"/>
        </w:rPr>
        <w:t xml:space="preserve"> XX</w:t>
      </w:r>
      <w:r>
        <w:rPr>
          <w:b w:val="false"/>
          <w:bCs w:val="false"/>
          <w:shd w:fill="auto" w:val="clear"/>
        </w:rPr>
        <w:t xml:space="preserve">) the Coordinator will gradually disperse knowledge and help raise expertise and involvement in Earth Observation on a national scale (actions described in Task </w:t>
      </w:r>
      <w:r>
        <w:rPr>
          <w:b w:val="false"/>
          <w:bCs w:val="false"/>
          <w:shd w:fill="C9211E" w:val="clear"/>
        </w:rPr>
        <w:t>XX</w:t>
      </w:r>
      <w:r>
        <w:rPr>
          <w:b w:val="false"/>
          <w:bCs w:val="false"/>
          <w:shd w:fill="auto" w:val="clear"/>
        </w:rPr>
        <w:t xml:space="preserve">). </w:t>
      </w:r>
      <w:r>
        <w:rPr/>
        <w:t>This is expected to significantly assist in closing the -still apparent- research and innovation gap with leading European institutions and countries.</w:t>
      </w:r>
    </w:p>
    <w:p>
      <w:pPr>
        <w:pStyle w:val="Normal"/>
        <w:jc w:val="both"/>
        <w:rPr/>
      </w:pPr>
      <w:r>
        <w:rPr/>
      </w:r>
    </w:p>
    <w:p>
      <w:pPr>
        <w:pStyle w:val="Normal"/>
        <w:rPr/>
      </w:pPr>
      <w:r>
        <w:rPr>
          <w:b/>
          <w:bCs/>
          <w:u w:val="single"/>
        </w:rPr>
        <w:t>A new set of free and open-source software tools to process space geodesy data.</w:t>
      </w:r>
    </w:p>
    <w:p>
      <w:pPr>
        <w:pStyle w:val="Normal"/>
        <w:jc w:val="both"/>
        <w:rPr/>
      </w:pPr>
      <w:r>
        <w:rPr/>
        <w:t>One results of ACRONYM that is of special importance, is the creation of a new software toolbox to tackle state-of-the-art analysis of Space geodetic data, especially targeting the fundamental DORIS and SLR techniques. The work-flow followed to reach this goal is described in WP3. As noted in Section XX, such software tools are not only few in number, but also either not-free or not open-source or even both. They are usually developed by in-house scientific teams in prestigious, top-class institutes worldwide. Via ACRONYM, the Coordinator with the crucial input of the expert partners will build a set of tools using standards and models of the highest standards and follow a policy of imminent, direct sharing with any interested partners (via development on the public domain using a free and open-source policy).</w:t>
      </w:r>
    </w:p>
    <w:p>
      <w:pPr>
        <w:pStyle w:val="Normal"/>
        <w:jc w:val="both"/>
        <w:rPr/>
      </w:pPr>
      <w:r>
        <w:rPr/>
      </w:r>
    </w:p>
    <w:p>
      <w:pPr>
        <w:pStyle w:val="Normal"/>
        <w:jc w:val="both"/>
        <w:rPr/>
      </w:pPr>
      <w:r>
        <w:rPr/>
        <w:t>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w:t>
      </w:r>
    </w:p>
    <w:p>
      <w:pPr>
        <w:pStyle w:val="Normal"/>
        <w:jc w:val="both"/>
        <w:rPr/>
      </w:pPr>
      <w:r>
        <w:rPr/>
      </w:r>
    </w:p>
    <w:p>
      <w:pPr>
        <w:pStyle w:val="Normal"/>
        <w:rPr/>
      </w:pPr>
      <w:r>
        <w:rPr>
          <w:b/>
          <w:bCs/>
          <w:u w:val="single"/>
        </w:rPr>
        <w:t>Scientific Results.</w:t>
      </w:r>
    </w:p>
    <w:p>
      <w:pPr>
        <w:pStyle w:val="Normal"/>
        <w:jc w:val="both"/>
        <w:rPr/>
      </w:pPr>
      <w:r>
        <w:rPr/>
        <w:t>One results</w:t>
      </w:r>
    </w:p>
    <w:p>
      <w:pPr>
        <w:pStyle w:val="Normal"/>
        <w:rPr/>
      </w:pPr>
      <w:r>
        <w:rPr/>
      </w:r>
    </w:p>
    <w:p>
      <w:pPr>
        <w:pStyle w:val="Normal"/>
        <w:jc w:val="both"/>
        <w:rPr>
          <w:b/>
          <w:b/>
          <w:bCs/>
          <w:u w:val="single"/>
        </w:rPr>
      </w:pPr>
      <w:r>
        <w:rPr>
          <w:b/>
          <w:bCs/>
          <w:u w:val="single"/>
        </w:rPr>
        <w:t>Enhanced strategic networking activities between the research institutions of the Widening countries and at least two internationally-leading counterparts at European Union level.</w:t>
      </w:r>
    </w:p>
    <w:p>
      <w:pPr>
        <w:pStyle w:val="Normal"/>
        <w:jc w:val="both"/>
        <w:rPr/>
      </w:pPr>
      <w:r>
        <w:rPr>
          <w:b w:val="false"/>
          <w:bCs w:val="false"/>
          <w:u w:val="none"/>
        </w:rPr>
        <w:t xml:space="preserve">As already described and thoroughly presented in Section </w:t>
      </w:r>
      <w:r>
        <w:rPr>
          <w:b w:val="false"/>
          <w:bCs w:val="false"/>
          <w:u w:val="none"/>
          <w:shd w:fill="C9211E" w:val="clear"/>
        </w:rPr>
        <w:t xml:space="preserve">XX </w:t>
      </w:r>
      <w:r>
        <w:rPr>
          <w:b w:val="false"/>
          <w:bCs w:val="false"/>
          <w:u w:val="none"/>
          <w:shd w:fill="auto" w:val="clear"/>
        </w:rPr>
        <w:t>all 4 ACRONYM partners (excluding the Coordinator) are world leading experts in Space Geodesy. ACRONYM activities are targeted towards creating solid, seamless networking between the Coordinator and the partners, past the lifetime of this project. On-line meeting and a series of visits (at least two visits from and to the partners) are expected to solidify networking. Additionally, a number of tasks focuses on networking, including (a) co-supervision of PhD and PostDoc students, (b) submission of further (at least four) research proposals including all or a subset of ACRONYM’s consortium, (c) co-authorship of (at least three) research scientific papers and (d) attendance as a group to (at least five) conferences.</w:t>
      </w:r>
    </w:p>
    <w:p>
      <w:pPr>
        <w:pStyle w:val="Normal"/>
        <w:jc w:val="both"/>
        <w:rPr/>
      </w:pPr>
      <w:r>
        <w:rPr/>
      </w:r>
    </w:p>
    <w:p>
      <w:pPr>
        <w:pStyle w:val="Normal"/>
        <w:jc w:val="both"/>
        <w:rPr>
          <w:b/>
          <w:b/>
          <w:bCs/>
          <w:u w:val="single"/>
        </w:rPr>
      </w:pPr>
      <w:r>
        <w:rPr>
          <w:b/>
          <w:bCs/>
          <w:u w:val="single"/>
        </w:rPr>
        <w:t>Raised reputation, research profile and attractiveness of the coordinating institution from the Widening country and the research profile of its staff.</w:t>
      </w:r>
    </w:p>
    <w:p>
      <w:pPr>
        <w:pStyle w:val="Normal"/>
        <w:jc w:val="both"/>
        <w:rPr>
          <w:b w:val="false"/>
          <w:b w:val="false"/>
          <w:bCs w:val="false"/>
          <w:u w:val="none"/>
        </w:rPr>
      </w:pPr>
      <w:r>
        <w:rPr>
          <w:b w:val="false"/>
          <w:bCs w:val="false"/>
          <w:u w:val="none"/>
        </w:rPr>
        <w:t>ACRONYM recognizes the need to raise the Coordinator’s institute attractiveness and reputation. To revert this fact and significantly boost NTUA’s appealingness, specific actions are proposed, targeting:</w:t>
      </w:r>
    </w:p>
    <w:p>
      <w:pPr>
        <w:pStyle w:val="Normal"/>
        <w:numPr>
          <w:ilvl w:val="0"/>
          <w:numId w:val="24"/>
        </w:numPr>
        <w:jc w:val="both"/>
        <w:rPr>
          <w:b w:val="false"/>
          <w:b w:val="false"/>
          <w:bCs w:val="false"/>
          <w:u w:val="none"/>
        </w:rPr>
      </w:pPr>
      <w:r>
        <w:rPr>
          <w:b w:val="false"/>
          <w:bCs w:val="false"/>
          <w:u w:val="none"/>
        </w:rPr>
        <w:t>a raised research profile of the Coordinator and its staff; (a) scientific publications</w:t>
      </w:r>
      <w:r>
        <w:rPr>
          <w:b w:val="false"/>
          <w:bCs w:val="false"/>
          <w:u w:val="none"/>
          <w:shd w:fill="auto" w:val="clear"/>
        </w:rPr>
        <w:t xml:space="preserve"> in peer-reviewed, high impact scientific journals, (b) attendance of international, high prestige conferences, and (c) introduction of the Coordinator and involvement of its staff in prominent international geodetic services and consortia (such as IDS, ILRS, IAG, GGOS, see Tasks </w:t>
      </w:r>
      <w:r>
        <w:rPr>
          <w:b w:val="false"/>
          <w:bCs w:val="false"/>
          <w:u w:val="none"/>
          <w:shd w:fill="C9211E" w:val="clear"/>
        </w:rPr>
        <w:t>5.XX</w:t>
      </w:r>
      <w:r>
        <w:rPr>
          <w:b w:val="false"/>
          <w:bCs w:val="false"/>
          <w:u w:val="none"/>
          <w:shd w:fill="auto" w:val="clear"/>
        </w:rPr>
        <w:t>) are all measures to maximize the reputation and research profile of the institution and its staff.</w:t>
      </w:r>
    </w:p>
    <w:p>
      <w:pPr>
        <w:pStyle w:val="Normal"/>
        <w:numPr>
          <w:ilvl w:val="0"/>
          <w:numId w:val="24"/>
        </w:numPr>
        <w:jc w:val="both"/>
        <w:rPr>
          <w:b w:val="false"/>
          <w:b w:val="false"/>
          <w:bCs w:val="false"/>
          <w:u w:val="none"/>
        </w:rPr>
      </w:pPr>
      <w:r>
        <w:rPr>
          <w:b w:val="false"/>
          <w:bCs w:val="false"/>
          <w:u w:val="none"/>
          <w:shd w:fill="auto" w:val="clear"/>
        </w:rPr>
        <w:t xml:space="preserve">significantly enhanced funding capabilities and successful funding bid rate; a series of measures are proposed, such as (a) the establishment of a research administration and management unit in the Coordinator, (b) its training in project seeking, claiming, and proposal submission (see Task </w:t>
      </w:r>
      <w:r>
        <w:rPr>
          <w:b w:val="false"/>
          <w:bCs w:val="false"/>
          <w:u w:val="none"/>
          <w:shd w:fill="C9211E" w:val="clear"/>
        </w:rPr>
        <w:t>XX</w:t>
      </w:r>
      <w:r>
        <w:rPr>
          <w:b w:val="false"/>
          <w:bCs w:val="false"/>
          <w:u w:val="none"/>
          <w:shd w:fill="auto" w:val="clear"/>
        </w:rPr>
        <w:t xml:space="preserve">), (c) diversification of funding pools and schema (see Task </w:t>
      </w:r>
      <w:r>
        <w:rPr>
          <w:b w:val="false"/>
          <w:bCs w:val="false"/>
          <w:u w:val="none"/>
          <w:shd w:fill="C9211E" w:val="clear"/>
        </w:rPr>
        <w:t>XX</w:t>
      </w:r>
      <w:r>
        <w:rPr>
          <w:b w:val="false"/>
          <w:bCs w:val="false"/>
          <w:u w:val="none"/>
          <w:shd w:fill="auto" w:val="clear"/>
        </w:rPr>
        <w:t>) and finally (d) the submission of at least five further research proposals. These measures are expected greatly enhance the Coordinator’s competence in claiming research funding bis and thus secure significant financial aid for its research activities.</w:t>
      </w:r>
    </w:p>
    <w:p>
      <w:pPr>
        <w:pStyle w:val="Normal"/>
        <w:jc w:val="both"/>
        <w:rPr>
          <w:b w:val="false"/>
          <w:b w:val="false"/>
          <w:bCs w:val="false"/>
          <w:u w:val="none"/>
        </w:rPr>
      </w:pPr>
      <w:r>
        <w:rPr>
          <w:b w:val="false"/>
          <w:bCs w:val="false"/>
          <w:u w:val="none"/>
          <w:shd w:fill="auto" w:val="clear"/>
        </w:rPr>
        <w:t>A raised reputation and research profile of the Coordinator institution and its staff, accompanied with significantly enhanced research funding capacity, is expected to cast NTUA into an attractive scientific destination, both for skilled researchers and young talented scientists.</w:t>
      </w:r>
    </w:p>
    <w:p>
      <w:pPr>
        <w:pStyle w:val="Normal"/>
        <w:rPr>
          <w:lang w:val="en-GB"/>
        </w:rPr>
      </w:pPr>
      <w:r>
        <w:rPr>
          <w:lang w:val="en-GB"/>
        </w:rPr>
      </w:r>
    </w:p>
    <w:p>
      <w:pPr>
        <w:pStyle w:val="Normal"/>
        <w:jc w:val="both"/>
        <w:rPr>
          <w:b/>
          <w:b/>
          <w:bCs/>
          <w:u w:val="single"/>
        </w:rPr>
      </w:pPr>
      <w:r>
        <w:rPr>
          <w:b/>
          <w:bCs/>
          <w:u w:val="single"/>
        </w:rPr>
        <w:t>Strengthened research management capacities and administrative skills of the staff working in institutions from the Widening country.</w:t>
      </w:r>
    </w:p>
    <w:p>
      <w:pPr>
        <w:pStyle w:val="Normal"/>
        <w:jc w:val="both"/>
        <w:rPr>
          <w:b w:val="false"/>
          <w:b w:val="false"/>
          <w:bCs w:val="false"/>
          <w:u w:val="none"/>
        </w:rPr>
      </w:pPr>
      <w:r>
        <w:rPr>
          <w:b w:val="false"/>
          <w:bCs w:val="false"/>
          <w:u w:val="none"/>
        </w:rPr>
        <w:t>ACRONYM makes special provision for strengthening the Coordinator’s research management and administrative capacity. On top of that, it seeks to significantly enhance its competence in claiming research funding bids and the diversification of the targeted funding pools and schema. A dedicated Working Package (WP4) is allocated to meet these aims.</w:t>
      </w:r>
    </w:p>
    <w:p>
      <w:pPr>
        <w:pStyle w:val="Normal"/>
        <w:jc w:val="both"/>
        <w:rPr>
          <w:b w:val="false"/>
          <w:b w:val="false"/>
          <w:bCs w:val="false"/>
          <w:u w:val="none"/>
        </w:rPr>
      </w:pPr>
      <w:r>
        <w:rPr>
          <w:b w:val="false"/>
          <w:bCs w:val="false"/>
          <w:u w:val="none"/>
        </w:rPr>
        <w:t>A dedicated research management and administration unit will be established in NTUA, consisting of both scientific and administrative staff. This unit is going to be trained by all of the partners included in ACRONYM, utilizing their own extensive experience and exchange of best practices via a series of on-line seminars. Each partner will provide a series of webinars (at least three), harshly covering topics of (a) diverse funding pools and schema (b) p</w:t>
      </w:r>
      <w:r>
        <w:rPr>
          <w:rStyle w:val="Strong"/>
          <w:b w:val="false"/>
          <w:bCs w:val="false"/>
          <w:u w:val="none"/>
          <w:shd w:fill="auto" w:val="clear"/>
          <w:lang w:val="en-GB"/>
        </w:rPr>
        <w:t>roject preparation, proposal writing and organisational issues and (c) project management and administration (see Section XX). The unit is going to be further trained following a “hands-on” approach, as by the end of ACRONYM it is expected that it will have prepared and submitted at least five research funding proposals, under the guidence of the expert partners.</w:t>
      </w:r>
    </w:p>
    <w:p>
      <w:pPr>
        <w:pStyle w:val="Normal"/>
        <w:jc w:val="both"/>
        <w:rPr>
          <w:b w:val="false"/>
          <w:b w:val="false"/>
          <w:bCs w:val="false"/>
          <w:u w:val="none"/>
        </w:rPr>
      </w:pPr>
      <w:r>
        <w:rPr>
          <w:rStyle w:val="Strong"/>
          <w:b w:val="false"/>
          <w:bCs w:val="false"/>
          <w:u w:val="none"/>
          <w:shd w:fill="auto" w:val="clear"/>
          <w:lang w:val="en-GB"/>
        </w:rPr>
        <w:t>Given the fact that such a unit currently does not exists in NTUA, it is expected to greatly enhance the institution's capacity in managing research projects and substantially help in securing funding for preserving and extending the scope and reach of the institution’s research activities.</w:t>
      </w:r>
    </w:p>
    <w:p>
      <w:pPr>
        <w:pStyle w:val="Normal"/>
        <w:rPr>
          <w:lang w:val="en-GB"/>
        </w:rPr>
      </w:pPr>
      <w:r>
        <w:rPr>
          <w:lang w:val="en-GB"/>
        </w:rPr>
      </w:r>
    </w:p>
    <w:p>
      <w:pPr>
        <w:pStyle w:val="Normal"/>
        <w:jc w:val="both"/>
        <w:rPr>
          <w:lang w:val="en-GB"/>
        </w:rPr>
      </w:pPr>
      <w:r>
        <w:rPr>
          <w:u w:val="single"/>
        </w:rPr>
        <w:t>I</w:t>
      </w:r>
      <w:r>
        <w:rPr>
          <w:b/>
          <w:bCs/>
          <w:u w:val="single"/>
        </w:rPr>
        <w:t>mproved creativity supported by development of new approaches in Research and Innovation collaboration, increased mobility (inwards and outwards) of qualified scientists.</w:t>
      </w:r>
    </w:p>
    <w:p>
      <w:pPr>
        <w:pStyle w:val="Normal"/>
        <w:spacing w:before="0" w:after="200"/>
        <w:jc w:val="both"/>
        <w:rPr>
          <w:lang w:val="en-GB"/>
        </w:rPr>
      </w:pPr>
      <w:r>
        <w:rPr>
          <w:lang w:val="en-GB"/>
        </w:rPr>
      </w:r>
    </w:p>
    <w:p>
      <w:pPr>
        <w:pStyle w:val="Normal"/>
        <w:jc w:val="both"/>
        <w:rPr>
          <w:b/>
          <w:b/>
          <w:bCs/>
          <w:u w:val="single"/>
        </w:rPr>
      </w:pPr>
      <w:r>
        <w:rPr>
          <w:b/>
          <w:bCs/>
          <w:u w:val="single"/>
        </w:rPr>
        <w:t>A Greek ecosystem of Space-based geosciences stakeholders</w:t>
      </w:r>
      <w:r>
        <w:rPr>
          <w:b/>
          <w:bCs/>
          <w:u w:val="single"/>
        </w:rPr>
        <w:t>.</w:t>
      </w:r>
    </w:p>
    <w:p>
      <w:pPr>
        <w:pStyle w:val="Normal"/>
        <w:spacing w:before="0" w:after="200"/>
        <w:jc w:val="both"/>
        <w:rPr>
          <w:b/>
          <w:b/>
          <w:bCs/>
          <w:u w:val="single"/>
          <w:lang w:val="en-GB"/>
        </w:rPr>
      </w:pPr>
      <w:r>
        <w:rPr>
          <w:b w:val="false"/>
          <w:bCs w:val="false"/>
          <w:u w:val="none"/>
          <w:lang w:val="en-GB"/>
        </w:rPr>
        <w:t xml:space="preserve">The Coordinator with the support of ACRONYM partners, will take up the effort of establishing, for the first time, a national ecosystem of stakeholders involved in Space studies, Earth observation, Geosciences and related applications and fields. Despite the fact that Greece, as a region, constitutes a “natural laboratory” of global interest for a series of Earth observation studies, relevant research in Greek institutes is sporadic, unorganized (strategically) and dependent on expertise, products and tools only available via internationally leading experts (see Section </w:t>
      </w:r>
      <w:r>
        <w:rPr>
          <w:b w:val="false"/>
          <w:bCs w:val="false"/>
          <w:u w:val="none"/>
          <w:shd w:fill="C9211E" w:val="clear"/>
          <w:lang w:val="en-GB"/>
        </w:rPr>
        <w:t>XX</w:t>
      </w:r>
      <w:r>
        <w:rPr>
          <w:b w:val="false"/>
          <w:bCs w:val="false"/>
          <w:u w:val="none"/>
          <w:lang w:val="en-GB"/>
        </w:rPr>
        <w:t>). Additionally, scientific and commercial partnerships are hardly ever conducted and there are no ties between the industry and commercial users to the research community. This fact significantly inhibits innovation and the national growth in a growing market.</w:t>
      </w:r>
    </w:p>
    <w:p>
      <w:pPr>
        <w:pStyle w:val="Normal"/>
        <w:spacing w:before="0" w:after="200"/>
        <w:jc w:val="both"/>
        <w:rPr>
          <w:b w:val="false"/>
          <w:b w:val="false"/>
          <w:bCs w:val="false"/>
          <w:u w:val="none"/>
        </w:rPr>
      </w:pPr>
      <w:r>
        <w:rPr>
          <w:b w:val="false"/>
          <w:bCs w:val="false"/>
          <w:u w:val="none"/>
        </w:rPr>
        <w:t>A major part of WP5 and its Tasks are dedicating to reaching this goal. The Coordinator will make extensive calls to all possible interested parties, for establishing the ecosystem described above. It is expected, that at a first phase at least 10 to 15 individual partners will participate in relevant activities. Two meeting will take place in Greece, to further strengthen ties and enable networking between ecosystem members. ACRONYM will issue a six-month Newsletter, to further attract interest in the ecosystem and at the same time promote and advertise ACRONYM activities and results. Through a series of questionnaires, answered by all members of the ecosystem, an insightful, clear view of all activities relevant to the fields of interest (on a national scale) will be gained.</w:t>
      </w:r>
    </w:p>
    <w:p>
      <w:pPr>
        <w:pStyle w:val="Normal"/>
        <w:spacing w:before="0" w:after="200"/>
        <w:jc w:val="both"/>
        <w:rPr>
          <w:highlight w:val="none"/>
          <w:shd w:fill="auto" w:val="clear"/>
        </w:rPr>
      </w:pPr>
      <w:r>
        <w:rPr>
          <w:rFonts w:ascii="Times New Roman" w:hAnsi="Times New Roman"/>
          <w:b/>
          <w:shd w:fill="auto" w:val="clear"/>
          <w:lang w:val="en-GB"/>
        </w:rPr>
        <w:t>2.1.2 ACRONYM Impact</w:t>
      </w:r>
    </w:p>
    <w:p>
      <w:pPr>
        <w:pStyle w:val="Normal"/>
        <w:jc w:val="both"/>
        <w:rPr>
          <w:b/>
          <w:b/>
          <w:bCs/>
          <w:u w:val="single"/>
        </w:rPr>
      </w:pPr>
      <w:r>
        <w:rPr>
          <w:b/>
          <w:bCs/>
          <w:u w:val="single"/>
        </w:rPr>
        <w:t>A Space Geodesy science, technology and academic hub.</w:t>
      </w:r>
    </w:p>
    <w:p>
      <w:pPr>
        <w:pStyle w:val="Normal"/>
        <w:spacing w:before="0" w:after="200"/>
        <w:jc w:val="both"/>
        <w:rPr>
          <w:b/>
          <w:b/>
          <w:bCs/>
          <w:u w:val="single"/>
          <w:lang w:val="en-GB"/>
        </w:rPr>
      </w:pPr>
      <w:r>
        <w:rPr>
          <w:rFonts w:ascii="Times New Roman" w:hAnsi="Times New Roman"/>
          <w:b w:val="false"/>
          <w:bCs w:val="false"/>
          <w:u w:val="none"/>
          <w:shd w:fill="auto" w:val="clear"/>
          <w:lang w:val="en-GB"/>
        </w:rPr>
        <w:t xml:space="preserve">A direct impact of ACRONYM is the establishment of the Coordinator as a new science, technology and academic hub, dedicated to Space Geodesy. While in most European countries the existence of  such hubs are usual (e.g. GFZ in Germany), in Greece no such centre exists. With a highly skilled and prestigious research personnel, the newly found scientific excellence capacity, an elevated international standing and a dedicated research management and administration unit, the Coordinator will be promoted to a highly capable centre of expertise and innovation. </w:t>
      </w:r>
    </w:p>
    <w:p>
      <w:pPr>
        <w:pStyle w:val="Normal"/>
        <w:spacing w:before="0" w:after="200"/>
        <w:jc w:val="both"/>
        <w:rPr>
          <w:highlight w:val="none"/>
          <w:shd w:fill="auto" w:val="clear"/>
        </w:rPr>
      </w:pPr>
      <w:r>
        <w:rPr>
          <w:rFonts w:ascii="Times New Roman" w:hAnsi="Times New Roman"/>
          <w:b/>
          <w:shd w:fill="auto" w:val="clear"/>
          <w:lang w:val="en-GB"/>
        </w:rPr>
        <w:t xml:space="preserve">Scientific </w:t>
      </w:r>
      <w:r>
        <w:rPr>
          <w:rFonts w:ascii="Times New Roman" w:hAnsi="Times New Roman"/>
          <w:b/>
          <w:shd w:fill="auto" w:val="clear"/>
          <w:lang w:val="en-GB"/>
        </w:rPr>
        <w:t>Impact</w:t>
      </w:r>
    </w:p>
    <w:p>
      <w:pPr>
        <w:pStyle w:val="Normal"/>
        <w:spacing w:before="0" w:after="200"/>
        <w:jc w:val="both"/>
        <w:rPr>
          <w:b w:val="false"/>
          <w:b w:val="false"/>
          <w:bCs w:val="false"/>
        </w:rPr>
      </w:pPr>
      <w:r>
        <w:rPr>
          <w:rFonts w:ascii="Times New Roman" w:hAnsi="Times New Roman"/>
          <w:b w:val="false"/>
          <w:bCs w:val="false"/>
          <w:shd w:fill="auto" w:val="clear"/>
          <w:lang w:val="en-GB"/>
        </w:rPr>
        <w:t>With its newly found expertise and research capacity, the highly skilled scientific staff of the Coordinator will be able to significantly contribute to on-going research in the the field of Space Geodesy and Earth Observation. Utilizing its training and its deep understanding of the underlying methods and models, its staff will be able to perform high-impact research in a series of fields such as precise orbit determination, reference spatial and time frames, gravity and geopotential, modelling of non-conservative forces (e.g. atmospheric drag and solar radiation pressure), etc. As already noted, only a few, selected international research teams are able to take up such challenging research areas, hence the Coordinator’s expected scientific input could prove to be crucial.</w:t>
      </w:r>
    </w:p>
    <w:p>
      <w:pPr>
        <w:pStyle w:val="Normal"/>
        <w:spacing w:before="0" w:after="200"/>
        <w:jc w:val="both"/>
        <w:rPr>
          <w:b w:val="false"/>
          <w:b w:val="false"/>
          <w:bCs w:val="false"/>
        </w:rPr>
      </w:pPr>
      <w:r>
        <w:rPr>
          <w:rFonts w:ascii="Times New Roman" w:hAnsi="Times New Roman"/>
          <w:b w:val="false"/>
          <w:bCs w:val="false"/>
          <w:shd w:fill="auto" w:val="clear"/>
          <w:lang w:val="en-GB"/>
        </w:rPr>
        <w:t>High-end scientific contribution will also result from the 3 PhD and 3 PostDoc theses to be implemented (partly) within the framework of ACRONYM. With the co-supervision of the expert partners, this series of theses is expected to target open issues in analysis and modelling approaches of space based geodetic data, specifically targeting DORIS and SLR.</w:t>
      </w:r>
    </w:p>
    <w:p>
      <w:pPr>
        <w:pStyle w:val="Normal"/>
        <w:spacing w:before="0" w:after="200"/>
        <w:jc w:val="both"/>
        <w:rPr>
          <w:b w:val="false"/>
          <w:b w:val="false"/>
          <w:bCs w:val="false"/>
        </w:rPr>
      </w:pPr>
      <w:r>
        <w:rPr>
          <w:rFonts w:ascii="Times New Roman" w:hAnsi="Times New Roman"/>
          <w:b w:val="false"/>
          <w:bCs w:val="false"/>
          <w:shd w:fill="auto" w:val="clear"/>
          <w:lang w:val="en-GB"/>
        </w:rPr>
        <w:t>Apart from ACRONYM’s consortium direct scientific contribution, the creation of a state-of-the-art, free and open collection of software tools, is expected to allure newcomers in the field of Space Geodesy and Earth Observation. This new set of tools, will equip such teams with the necessary toolset to perform high-end scientific studies and apply results and products to a wide range of multi-disciplinary applications such as climate change and atmospheric studies, space studies, geodynamics and geophysics, etc. Additionally, the set of tools can provide crucial and needed input in a series of international services providing solutions of utmost importance; IDS and ILRS can further strengthen and validate/access their disseminated product quality, while the IERS will benefit from a more diverse and robust solution-base, helping in reaching the global declared objective of 1mm accuracy and 0.1mm/yr stability for the TRF realization. ACRONYM’s impact is thus expected to significantly support an enhance space geodesy analysis quality and products in the long run, hence indirectly boosting scientific research in a wide range of fields that use its products.</w:t>
      </w:r>
    </w:p>
    <w:p>
      <w:pPr>
        <w:pStyle w:val="Normal"/>
        <w:spacing w:before="0" w:after="200"/>
        <w:jc w:val="both"/>
        <w:rPr/>
      </w:pPr>
      <w:r>
        <w:rPr>
          <w:rFonts w:ascii="Times New Roman" w:hAnsi="Times New Roman"/>
          <w:b w:val="false"/>
          <w:bCs w:val="false"/>
          <w:shd w:fill="auto" w:val="clear"/>
          <w:lang w:val="en-GB"/>
        </w:rPr>
        <w:t>The scope and reach of  ACRONYM’s scientific contribution will be further enhanced by the ability to strategically coordinate and drive a (national) ecosystem of related stakeholders and the dispersion of new knowledge within its established networks. Instead of acting individually and being dependent on (external) expert contribution, which is currently the case, synergies between ecosystem members will be able to lead to high value research. Since these institutes already have, through the years, gained experience in the exceptional tectonic, volcanic and seismic characteristics of the region, coupled with extensive instrumentation networks installed throughout the country, synergies can lead to world class scientific output.</w:t>
      </w:r>
    </w:p>
    <w:p>
      <w:pPr>
        <w:pStyle w:val="Normal"/>
        <w:spacing w:before="0" w:after="200"/>
        <w:jc w:val="both"/>
        <w:rPr>
          <w:b/>
          <w:b/>
          <w:bCs/>
          <w:u w:val="none"/>
        </w:rPr>
      </w:pPr>
      <w:r>
        <w:rPr>
          <w:rFonts w:ascii="Times New Roman" w:hAnsi="Times New Roman"/>
          <w:b/>
          <w:bCs/>
          <w:u w:val="none"/>
          <w:shd w:fill="auto" w:val="clear"/>
          <w:lang w:val="en-GB"/>
        </w:rPr>
        <w:t>T</w:t>
      </w:r>
      <w:r>
        <w:rPr>
          <w:rFonts w:ascii="Times New Roman" w:hAnsi="Times New Roman"/>
          <w:b/>
          <w:bCs/>
          <w:u w:val="none"/>
          <w:shd w:fill="auto" w:val="clear"/>
          <w:lang w:val="en-GB"/>
        </w:rPr>
        <w:t xml:space="preserve">arget Groups: </w:t>
      </w:r>
      <w:r>
        <w:rPr>
          <w:rFonts w:ascii="Times New Roman" w:hAnsi="Times New Roman"/>
          <w:b w:val="false"/>
          <w:bCs w:val="false"/>
          <w:u w:val="none"/>
          <w:shd w:fill="auto" w:val="clear"/>
          <w:lang w:val="en-GB"/>
        </w:rPr>
        <w:t>Greek and national scientific community and researchers involved in Space Geodesy, Earth Observation, Geosciences and big list of related disciplines such as climate and atmospheric studies, geophysics, geodynamics, space studies.</w:t>
      </w:r>
    </w:p>
    <w:p>
      <w:pPr>
        <w:pStyle w:val="Normal"/>
        <w:spacing w:before="0" w:after="200"/>
        <w:jc w:val="both"/>
        <w:rPr>
          <w:highlight w:val="none"/>
          <w:shd w:fill="auto" w:val="clear"/>
        </w:rPr>
      </w:pPr>
      <w:r>
        <w:rPr/>
      </w:r>
    </w:p>
    <w:p>
      <w:pPr>
        <w:pStyle w:val="Normal"/>
        <w:spacing w:before="0" w:after="200"/>
        <w:jc w:val="both"/>
        <w:rPr>
          <w:rFonts w:ascii="Times New Roman" w:hAnsi="Times New Roman"/>
          <w:shd w:fill="auto" w:val="clear"/>
          <w:lang w:val="en-GB"/>
        </w:rPr>
      </w:pPr>
      <w:r>
        <w:rPr>
          <w:b w:val="false"/>
          <w:bCs w:val="false"/>
        </w:rPr>
      </w:r>
    </w:p>
    <w:p>
      <w:pPr>
        <w:pStyle w:val="Normal"/>
        <w:numPr>
          <w:ilvl w:val="0"/>
          <w:numId w:val="25"/>
        </w:numPr>
        <w:spacing w:before="0" w:after="200"/>
        <w:jc w:val="both"/>
        <w:rPr/>
      </w:pPr>
      <w:r>
        <w:rPr/>
        <w:t xml:space="preserve">Increased contribution of the Coordinator and Greek institutions in Space-based geosciences. </w:t>
      </w:r>
    </w:p>
    <w:p>
      <w:pPr>
        <w:pStyle w:val="Normal"/>
        <w:numPr>
          <w:ilvl w:val="0"/>
          <w:numId w:val="25"/>
        </w:numPr>
        <w:spacing w:before="0" w:after="200"/>
        <w:jc w:val="both"/>
        <w:rPr/>
      </w:pPr>
      <w:r>
        <w:rPr/>
        <w:t>support an enhance space geodesy analysis quality and products</w:t>
      </w:r>
    </w:p>
    <w:p>
      <w:pPr>
        <w:pStyle w:val="Normal"/>
        <w:numPr>
          <w:ilvl w:val="0"/>
          <w:numId w:val="25"/>
        </w:numPr>
        <w:spacing w:before="0" w:after="200"/>
        <w:jc w:val="both"/>
        <w:rPr/>
      </w:pPr>
      <w:r>
        <w:rPr/>
        <w:t>provide tools to potential new scientific users</w:t>
      </w:r>
    </w:p>
    <w:p>
      <w:pPr>
        <w:pStyle w:val="Normal"/>
        <w:numPr>
          <w:ilvl w:val="0"/>
          <w:numId w:val="25"/>
        </w:numPr>
        <w:spacing w:before="0" w:after="200"/>
        <w:jc w:val="both"/>
        <w:rPr/>
      </w:pPr>
      <w:r>
        <w:rPr/>
        <w:t>increase mobility (inwards/outwards) of skilled scientists</w:t>
      </w:r>
    </w:p>
    <w:p>
      <w:pPr>
        <w:pStyle w:val="Normal"/>
        <w:numPr>
          <w:ilvl w:val="0"/>
          <w:numId w:val="25"/>
        </w:numPr>
        <w:spacing w:before="0" w:after="200"/>
        <w:jc w:val="both"/>
        <w:rPr/>
      </w:pPr>
      <w:r>
        <w:rPr/>
        <w:t>coordinate Greece’s contribution in Space-based geosciences</w:t>
      </w:r>
    </w:p>
    <w:p>
      <w:pPr>
        <w:pStyle w:val="Normal"/>
        <w:numPr>
          <w:ilvl w:val="0"/>
          <w:numId w:val="25"/>
        </w:numPr>
        <w:spacing w:before="0" w:after="200"/>
        <w:jc w:val="both"/>
        <w:rPr/>
      </w:pPr>
      <w:r>
        <w:rPr/>
        <w:t>new knowledge via 3 PhD and 3 PostDoc thesis</w:t>
      </w:r>
    </w:p>
    <w:p>
      <w:pPr>
        <w:pStyle w:val="Normal"/>
        <w:spacing w:before="0" w:after="200"/>
        <w:jc w:val="both"/>
        <w:rPr>
          <w:highlight w:val="none"/>
          <w:shd w:fill="auto" w:val="clear"/>
        </w:rPr>
      </w:pPr>
      <w:r>
        <w:rPr>
          <w:rFonts w:ascii="Times New Roman" w:hAnsi="Times New Roman"/>
          <w:b/>
          <w:shd w:fill="auto" w:val="clear"/>
          <w:lang w:val="en-GB"/>
        </w:rPr>
        <w:t>Economic/Technological</w:t>
      </w:r>
    </w:p>
    <w:p>
      <w:pPr>
        <w:pStyle w:val="Normal"/>
        <w:spacing w:before="0" w:after="200"/>
        <w:jc w:val="both"/>
        <w:rPr>
          <w:highlight w:val="none"/>
          <w:shd w:fill="auto" w:val="clear"/>
        </w:rPr>
      </w:pPr>
      <w:r>
        <w:rPr/>
      </w:r>
    </w:p>
    <w:p>
      <w:pPr>
        <w:pStyle w:val="Normal"/>
        <w:numPr>
          <w:ilvl w:val="0"/>
          <w:numId w:val="27"/>
        </w:numPr>
        <w:spacing w:before="0" w:after="200"/>
        <w:jc w:val="both"/>
        <w:rPr>
          <w:b w:val="false"/>
          <w:b w:val="false"/>
          <w:bCs w:val="false"/>
        </w:rPr>
      </w:pPr>
      <w:r>
        <w:rPr>
          <w:rFonts w:ascii="Times New Roman" w:hAnsi="Times New Roman"/>
          <w:b w:val="false"/>
          <w:bCs w:val="false"/>
          <w:shd w:fill="auto" w:val="clear"/>
          <w:lang w:val="en-GB"/>
        </w:rPr>
        <w:t>boost its success rate in research funding bids</w:t>
      </w:r>
    </w:p>
    <w:p>
      <w:pPr>
        <w:pStyle w:val="Normal"/>
        <w:numPr>
          <w:ilvl w:val="0"/>
          <w:numId w:val="27"/>
        </w:numPr>
        <w:spacing w:before="0" w:after="200"/>
        <w:jc w:val="both"/>
        <w:rPr>
          <w:b w:val="false"/>
          <w:b w:val="false"/>
          <w:bCs w:val="false"/>
        </w:rPr>
      </w:pPr>
      <w:r>
        <w:rPr>
          <w:rFonts w:ascii="Times New Roman" w:hAnsi="Times New Roman"/>
          <w:b w:val="false"/>
          <w:bCs w:val="false"/>
          <w:shd w:fill="auto" w:val="clear"/>
          <w:lang w:val="en-GB"/>
        </w:rPr>
        <w:t>stimulate preparation of joint research projects</w:t>
      </w:r>
    </w:p>
    <w:p>
      <w:pPr>
        <w:pStyle w:val="Normal"/>
        <w:numPr>
          <w:ilvl w:val="0"/>
          <w:numId w:val="27"/>
        </w:numPr>
        <w:spacing w:before="0" w:after="200"/>
        <w:jc w:val="both"/>
        <w:rPr>
          <w:b w:val="false"/>
          <w:b w:val="false"/>
          <w:bCs w:val="false"/>
        </w:rPr>
      </w:pPr>
      <w:r>
        <w:rPr>
          <w:rFonts w:ascii="Times New Roman" w:hAnsi="Times New Roman"/>
          <w:b w:val="false"/>
          <w:bCs w:val="false"/>
          <w:shd w:fill="auto" w:val="clear"/>
          <w:lang w:val="en-GB"/>
        </w:rPr>
        <w:t>strengthen ties and synergies between research and commercial users</w:t>
      </w:r>
    </w:p>
    <w:p>
      <w:pPr>
        <w:pStyle w:val="Normal"/>
        <w:numPr>
          <w:ilvl w:val="0"/>
          <w:numId w:val="27"/>
        </w:numPr>
        <w:spacing w:before="0" w:after="200"/>
        <w:jc w:val="both"/>
        <w:rPr>
          <w:b w:val="false"/>
          <w:b w:val="false"/>
          <w:bCs w:val="false"/>
        </w:rPr>
      </w:pPr>
      <w:r>
        <w:rPr>
          <w:rFonts w:ascii="Times New Roman" w:hAnsi="Times New Roman"/>
          <w:b w:val="false"/>
          <w:bCs w:val="false"/>
          <w:shd w:fill="auto" w:val="clear"/>
          <w:lang w:val="en-GB"/>
        </w:rPr>
        <w:t>enhanced recruitment opportunities/capacity</w:t>
      </w:r>
    </w:p>
    <w:p>
      <w:pPr>
        <w:pStyle w:val="Normal"/>
        <w:numPr>
          <w:ilvl w:val="0"/>
          <w:numId w:val="27"/>
        </w:numPr>
        <w:spacing w:before="0" w:after="200"/>
        <w:jc w:val="both"/>
        <w:rPr>
          <w:b w:val="false"/>
          <w:b w:val="false"/>
          <w:bCs w:val="false"/>
        </w:rPr>
      </w:pPr>
      <w:r>
        <w:rPr>
          <w:rFonts w:ascii="Times New Roman" w:hAnsi="Times New Roman"/>
          <w:b w:val="false"/>
          <w:bCs w:val="false"/>
          <w:shd w:fill="auto" w:val="clear"/>
          <w:lang w:val="en-GB"/>
        </w:rPr>
        <w:t>support independence of  Greece’s space research</w:t>
      </w:r>
    </w:p>
    <w:p>
      <w:pPr>
        <w:pStyle w:val="Normal"/>
        <w:numPr>
          <w:ilvl w:val="0"/>
          <w:numId w:val="27"/>
        </w:numPr>
        <w:spacing w:before="0" w:after="200"/>
        <w:jc w:val="both"/>
        <w:rPr>
          <w:b w:val="false"/>
          <w:b w:val="false"/>
          <w:bCs w:val="false"/>
        </w:rPr>
      </w:pPr>
      <w:r>
        <w:rPr>
          <w:rFonts w:ascii="Times New Roman" w:hAnsi="Times New Roman"/>
          <w:b w:val="false"/>
          <w:bCs w:val="false"/>
          <w:shd w:fill="auto" w:val="clear"/>
          <w:lang w:val="en-GB"/>
        </w:rPr>
        <w:t>increase Greece’s share in research funding pools</w:t>
      </w:r>
    </w:p>
    <w:p>
      <w:pPr>
        <w:pStyle w:val="Normal"/>
        <w:spacing w:before="0" w:after="200"/>
        <w:jc w:val="both"/>
        <w:rPr>
          <w:highlight w:val="none"/>
          <w:shd w:fill="auto" w:val="clear"/>
        </w:rPr>
      </w:pPr>
      <w:r>
        <w:rPr>
          <w:rFonts w:ascii="Times New Roman" w:hAnsi="Times New Roman"/>
          <w:b/>
          <w:shd w:fill="auto" w:val="clear"/>
          <w:lang w:val="en-GB"/>
        </w:rPr>
        <w:t>Societal</w:t>
      </w:r>
    </w:p>
    <w:p>
      <w:pPr>
        <w:pStyle w:val="Normal"/>
        <w:numPr>
          <w:ilvl w:val="0"/>
          <w:numId w:val="26"/>
        </w:numPr>
        <w:spacing w:before="0" w:after="200"/>
        <w:jc w:val="both"/>
        <w:rPr/>
      </w:pPr>
      <w:r>
        <w:rPr/>
        <w:t>Enhancement of NTUA’s academic capacity</w:t>
      </w:r>
    </w:p>
    <w:p>
      <w:pPr>
        <w:pStyle w:val="Normal"/>
        <w:numPr>
          <w:ilvl w:val="0"/>
          <w:numId w:val="26"/>
        </w:numPr>
        <w:spacing w:before="0" w:after="200"/>
        <w:jc w:val="both"/>
        <w:rPr/>
      </w:pPr>
      <w:r>
        <w:rPr/>
        <w:t>quenching of the crowding-out effect experienced in the European Research Area</w:t>
      </w:r>
    </w:p>
    <w:p>
      <w:pPr>
        <w:pStyle w:val="Normal"/>
        <w:numPr>
          <w:ilvl w:val="0"/>
          <w:numId w:val="26"/>
        </w:numPr>
        <w:spacing w:before="0" w:after="200"/>
        <w:jc w:val="both"/>
        <w:rPr/>
      </w:pPr>
      <w:r>
        <w:rPr/>
        <w:t>support climate studies and related fields</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
          <w:bCs/>
        </w:rPr>
      </w:pPr>
      <w:r>
        <w:rPr>
          <w:rFonts w:ascii="Times New Roman" w:hAnsi="Times New Roman"/>
          <w:b/>
          <w:bCs/>
          <w:shd w:fill="FFFF00" w:val="clear"/>
          <w:lang w:val="en-GB"/>
        </w:rPr>
        <w:t>todo</w:t>
      </w:r>
    </w:p>
    <w:p>
      <w:pPr>
        <w:sectPr>
          <w:headerReference w:type="even" r:id="rId17"/>
          <w:headerReference w:type="default" r:id="rId18"/>
          <w:headerReference w:type="first" r:id="rId19"/>
          <w:footerReference w:type="default" r:id="rId20"/>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Establish a Greek ecosystem of stakeholders active in space-based geosciences; enable communication, collaboration and promote research and innovation.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r>
              <w:rPr>
                <w:rFonts w:ascii="Times New Roman" w:hAnsi="Times New Roman"/>
                <w:color w:val="auto"/>
              </w:rPr>
              <w:t>: Issue a Newsletter and use social media (e.g. LinkedIn) to promote Center of Excellence and inform the public about its activities and results.</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auto"/>
              </w:rPr>
              <w:t>Communication</w:t>
            </w:r>
            <w:r>
              <w:rPr>
                <w:rFonts w:ascii="Times New Roman" w:hAnsi="Times New Roman"/>
                <w:color w:val="auto"/>
              </w:rPr>
              <w:t xml:space="preserve">: Issue calls to any interested party (universities, research institutions, government agencies, businesses, etc) to get involved in a national ecosystem of </w:t>
            </w:r>
            <w:r>
              <w:rPr>
                <w:rFonts w:ascii="Times New Roman" w:hAnsi="Times New Roman"/>
                <w:color w:val="auto"/>
                <w:lang w:val="en-GB"/>
              </w:rPr>
              <w:t>space-based geosciences. Use ACRONYM results and activities to make the call more appealing.</w:t>
            </w:r>
          </w:p>
          <w:p>
            <w:pPr>
              <w:pStyle w:val="Normal"/>
              <w:widowControl w:val="false"/>
              <w:jc w:val="both"/>
              <w:rPr>
                <w:rFonts w:ascii="Times New Roman" w:hAnsi="Times New Roman"/>
                <w:color w:val="auto"/>
                <w:lang w:val="en-GB"/>
              </w:rPr>
            </w:pPr>
            <w:r>
              <w:rPr>
                <w:rFonts w:ascii="Times New Roman" w:hAnsi="Times New Roman"/>
                <w:color w:val="auto"/>
                <w:lang w:val="en-GB"/>
              </w:rPr>
            </w:r>
          </w:p>
          <w:p>
            <w:pPr>
              <w:pStyle w:val="Normal"/>
              <w:widowControl w:val="false"/>
              <w:jc w:val="both"/>
              <w:rPr>
                <w:rFonts w:ascii="Times New Roman" w:hAnsi="Times New Roman"/>
                <w:color w:val="auto"/>
              </w:rPr>
            </w:pPr>
            <w:r>
              <w:rPr>
                <w:rFonts w:ascii="Times New Roman" w:hAnsi="Times New Roman"/>
                <w:b/>
                <w:bCs/>
                <w:color w:val="auto"/>
                <w:lang w:val="en-GB"/>
              </w:rPr>
              <w:t>Communication</w:t>
            </w:r>
            <w:r>
              <w:rPr>
                <w:rFonts w:ascii="Times New Roman" w:hAnsi="Times New Roman"/>
                <w:color w:val="auto"/>
                <w:lang w:val="en-GB"/>
              </w:rPr>
              <w:t>:  Promote ACRONYM to graduate level students in Greece, using NTUA’s academic capacity (e.g. lectures, national meetings and consortia, etc).</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r>
              <w:rPr>
                <w:rFonts w:ascii="Times New Roman" w:hAnsi="Times New Roman"/>
                <w:color w:val="000000"/>
                <w:lang w:val="en-GB"/>
              </w:rPr>
              <w:t xml:space="preserve"> (a) Release of DORIS analysis software, attributing a citeable and trackable DOI (e.g. via zenodo). Software release using a public domain software repository/development platform using MIT license.</w:t>
            </w:r>
          </w:p>
          <w:p>
            <w:pPr>
              <w:pStyle w:val="Normal"/>
              <w:widowControl w:val="false"/>
              <w:jc w:val="both"/>
              <w:rPr/>
            </w:pPr>
            <w:r>
              <w:rPr>
                <w:color w:val="000000"/>
              </w:rPr>
              <w:t xml:space="preserve">(b) Release of SLR analysis software, attributing a citeable and trackable DOI (e.g. via zenodo). </w:t>
            </w:r>
            <w:r>
              <w:rPr>
                <w:rFonts w:ascii="Times New Roman" w:hAnsi="Times New Roman"/>
                <w:color w:val="000000"/>
                <w:lang w:val="en-GB"/>
              </w:rPr>
              <w:t>Software release using a public domain software repository/development platform using MIT license.</w:t>
            </w:r>
          </w:p>
          <w:p>
            <w:pPr>
              <w:pStyle w:val="Normal"/>
              <w:widowControl w:val="false"/>
              <w:jc w:val="both"/>
              <w:rPr>
                <w:color w:val="000000"/>
              </w:rPr>
            </w:pPr>
            <w:r>
              <w:rPr>
                <w:color w:val="000000"/>
              </w:rPr>
            </w:r>
          </w:p>
          <w:p>
            <w:pPr>
              <w:pStyle w:val="Normal"/>
              <w:widowControl w:val="false"/>
              <w:jc w:val="both"/>
              <w:rPr/>
            </w:pPr>
            <w:r>
              <w:rPr>
                <w:b/>
                <w:bCs/>
                <w:color w:val="000000"/>
              </w:rPr>
              <w:t>Dissemination</w:t>
            </w:r>
            <w:r>
              <w:rPr>
                <w:color w:val="000000"/>
              </w:rPr>
              <w:t>: Scientific publications in high-impact peer-reviewed journals.</w:t>
            </w:r>
          </w:p>
          <w:p>
            <w:pPr>
              <w:pStyle w:val="Normal"/>
              <w:widowControl w:val="false"/>
              <w:jc w:val="both"/>
              <w:rPr/>
            </w:pPr>
            <w:r>
              <w:rPr/>
            </w:r>
          </w:p>
          <w:p>
            <w:pPr>
              <w:pStyle w:val="Normal"/>
              <w:widowControl w:val="false"/>
              <w:jc w:val="both"/>
              <w:rPr/>
            </w:pPr>
            <w:r>
              <w:rPr>
                <w:b/>
                <w:bCs/>
                <w:color w:val="000000"/>
              </w:rPr>
              <w:t>Dissemination:</w:t>
            </w:r>
            <w:r>
              <w:rPr>
                <w:color w:val="000000"/>
              </w:rPr>
              <w:t xml:space="preserve"> Attendance and presentations in international conference.</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pPr>
            <w:r>
              <w:rPr>
                <w:b/>
                <w:bCs/>
                <w:color w:val="000000"/>
              </w:rPr>
              <w:t>Exploitation:</w:t>
            </w:r>
            <w:r>
              <w:rPr>
                <w:color w:val="000000"/>
              </w:rPr>
              <w:t xml:space="preserve"> 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jc w:val="both"/>
              <w:rPr>
                <w:b w:val="false"/>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jc w:val="both"/>
              <w:rPr>
                <w:b w:val="false"/>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jc w:val="both"/>
              <w:rPr>
                <w:b w:val="false"/>
                <w:b w:val="false"/>
                <w:bCs w:val="false"/>
                <w:color w:val="000000"/>
              </w:rPr>
            </w:pPr>
            <w:r>
              <w:rPr>
                <w:b w:val="false"/>
                <w:bCs w:val="false"/>
                <w:color w:val="000000"/>
              </w:rPr>
            </w:r>
          </w:p>
          <w:p>
            <w:pPr>
              <w:pStyle w:val="Normal"/>
              <w:widowControl w:val="false"/>
              <w:jc w:val="both"/>
              <w:rPr/>
            </w:pPr>
            <w:r>
              <w:rPr>
                <w:b/>
                <w:bCs/>
                <w:color w:val="000000"/>
              </w:rPr>
              <w:t>Exploitation:</w:t>
            </w:r>
            <w:r>
              <w:rPr>
                <w:b w:val="false"/>
                <w:bCs w:val="false"/>
                <w:color w:val="000000"/>
              </w:rPr>
              <w:t xml:space="preserve"> Use synergies within the national ecosystem to</w:t>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Three scientific papers in peer-reviewed, high-impact journals.</w:t>
            </w:r>
            <w:r>
              <w:rPr>
                <w:color w:val="000000"/>
                <w:shd w:fill="auto" w:val="clear"/>
                <w:lang w:val="en-GB"/>
              </w:rPr>
              <w:t xml:space="preserve"> Five </w:t>
            </w:r>
            <w:r>
              <w:rPr>
                <w:color w:val="000000"/>
                <w:lang w:val="en-GB"/>
              </w:rPr>
              <w:t>publications in international conferences.</w:t>
            </w:r>
          </w:p>
          <w:p>
            <w:pPr>
              <w:pStyle w:val="Normal"/>
              <w:widowControl w:val="false"/>
              <w:jc w:val="both"/>
              <w:rPr>
                <w:lang w:val="en-GB"/>
              </w:rPr>
            </w:pPr>
            <w:r>
              <w:rPr>
                <w:lang w:val="en-GB"/>
              </w:rPr>
            </w:r>
          </w:p>
          <w:p>
            <w:pPr>
              <w:pStyle w:val="Normal"/>
              <w:widowControl w:val="false"/>
              <w:jc w:val="both"/>
              <w:rPr/>
            </w:pPr>
            <w:r>
              <w:rPr>
                <w:color w:val="000000"/>
                <w:lang w:val="en-GB"/>
              </w:rPr>
              <w:t>Three PhD and three Post-Doc students trained. Trained and highly skilled work force in the coordinator, with increased scientific reputation.</w:t>
            </w:r>
          </w:p>
          <w:p>
            <w:pPr>
              <w:pStyle w:val="Normal"/>
              <w:widowControl w:val="false"/>
              <w:jc w:val="both"/>
              <w:rPr>
                <w:lang w:val="en-GB"/>
              </w:rPr>
            </w:pPr>
            <w:r>
              <w:rPr>
                <w:lang w:val="en-GB"/>
              </w:rPr>
            </w:r>
          </w:p>
          <w:p>
            <w:pPr>
              <w:pStyle w:val="Normal"/>
              <w:widowControl w:val="false"/>
              <w:jc w:val="both"/>
              <w:rPr/>
            </w:pPr>
            <w:r>
              <w:rPr>
                <w:color w:val="000000"/>
                <w:lang w:val="en-GB"/>
              </w:rPr>
              <w:t>Grant agreements and secure financial support for relevant research activities (extending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A prestigious network of collaborators, Involvement in international, high-prestige consortia such as IDS, IRLS and GGOS,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trained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national ecosystem of</w:t>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Research and Scientific community</w:t>
            </w:r>
            <w:r>
              <w:rPr>
                <w:color w:val="000000"/>
                <w:lang w:val="en-GB"/>
              </w:rPr>
              <w:t xml:space="preserve"> in the field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of stakeholders active in space-based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pPr>
            <w:r>
              <w:rPr>
                <w:i/>
                <w:iCs/>
                <w:color w:val="000000"/>
                <w:lang w:val="en-GB"/>
              </w:rPr>
              <w:t>Quench the crowding-out effect of young, skilled scientists experienced in Greece, targeting the field of Space Geodesy and Geosciences.</w:t>
            </w:r>
          </w:p>
          <w:p>
            <w:pPr>
              <w:pStyle w:val="Normal"/>
              <w:widowControl w:val="false"/>
              <w:jc w:val="both"/>
              <w:rPr/>
            </w:pPr>
            <w:r>
              <w:rPr/>
            </w:r>
          </w:p>
          <w:p>
            <w:pPr>
              <w:pStyle w:val="Normal"/>
              <w:widowControl w:val="false"/>
              <w:jc w:val="both"/>
              <w:rPr/>
            </w:pPr>
            <w:r>
              <w:rPr>
                <w:i/>
                <w:iCs/>
                <w:color w:val="000000"/>
                <w:lang w:val="en-GB"/>
              </w:rPr>
              <w:t>Increase Greece’s share in research funding pools.</w:t>
            </w:r>
          </w:p>
          <w:p>
            <w:pPr>
              <w:pStyle w:val="Normal"/>
              <w:widowControl w:val="false"/>
              <w:jc w:val="both"/>
              <w:rPr/>
            </w:pPr>
            <w:r>
              <w:rPr/>
            </w:r>
          </w:p>
          <w:p>
            <w:pPr>
              <w:pStyle w:val="Normal"/>
              <w:widowControl w:val="false"/>
              <w:jc w:val="both"/>
              <w:rPr/>
            </w:pPr>
            <w:r>
              <w:rPr>
                <w:i/>
                <w:iCs/>
                <w:color w:val="000000"/>
                <w:lang w:val="en-GB"/>
              </w:rPr>
              <w:t>Increase Greece’s awareness, interest and involvement in a rapidly growing international market, that of Space technology and Earth observation.</w:t>
            </w:r>
          </w:p>
          <w:p>
            <w:pPr>
              <w:pStyle w:val="Normal"/>
              <w:widowControl w:val="false"/>
              <w:jc w:val="both"/>
              <w:rPr/>
            </w:pPr>
            <w:r>
              <w:rPr/>
            </w:r>
          </w:p>
          <w:p>
            <w:pPr>
              <w:pStyle w:val="Normal"/>
              <w:widowControl w:val="false"/>
              <w:jc w:val="both"/>
              <w:rPr/>
            </w:pPr>
            <w:r>
              <w:rPr>
                <w:i/>
                <w:iCs/>
                <w:color w:val="000000"/>
                <w:lang w:val="en-GB"/>
              </w:rPr>
              <w:t>Significantly up-scale academic curriculum and research scope in Greece. Create a pool of experts in Space and studies and Geosciences, boosting innovation and research capacity on a national scale.</w:t>
            </w:r>
          </w:p>
          <w:p>
            <w:pPr>
              <w:pStyle w:val="Normal"/>
              <w:widowControl w:val="false"/>
              <w:jc w:val="both"/>
              <w:rPr/>
            </w:pPr>
            <w:r>
              <w:rPr/>
            </w:r>
          </w:p>
          <w:p>
            <w:pPr>
              <w:pStyle w:val="Normal"/>
              <w:widowControl w:val="false"/>
              <w:jc w:val="both"/>
              <w:rPr/>
            </w:pPr>
            <w:r>
              <w:rPr>
                <w:i/>
                <w:iCs/>
                <w:color w:val="000000"/>
                <w:lang w:val="en-GB"/>
              </w:rPr>
              <w:t>Stimulate NTUA’s collaboration with the private sector, involvement in R&amp;D and products/solutions targeting Space technology and Earth observation.</w:t>
            </w:r>
          </w:p>
          <w:p>
            <w:pPr>
              <w:pStyle w:val="Normal"/>
              <w:widowControl w:val="false"/>
              <w:jc w:val="both"/>
              <w:rPr/>
            </w:pPr>
            <w:r>
              <w:rPr/>
            </w:r>
          </w:p>
          <w:p>
            <w:pPr>
              <w:pStyle w:val="Normal"/>
              <w:widowControl w:val="false"/>
              <w:jc w:val="both"/>
              <w:rPr/>
            </w:pPr>
            <w:r>
              <w:rPr>
                <w:i/>
                <w:iCs/>
                <w:color w:val="000000"/>
                <w:lang w:val="en-GB"/>
              </w:rPr>
              <w:t>Mitigate the currently apparent technological gap between Greece and leading European countries in Space and Earth Observation.</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1"/>
          <w:footerReference w:type="default" r:id="rId22"/>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1"/>
              </w:numPr>
              <w:spacing w:before="60" w:after="60"/>
              <w:jc w:val="both"/>
              <w:rPr/>
            </w:pPr>
            <w:r>
              <w:rPr/>
              <w:t>Establish a strong project management scheme</w:t>
            </w:r>
          </w:p>
          <w:p>
            <w:pPr>
              <w:pStyle w:val="Normal"/>
              <w:widowControl w:val="false"/>
              <w:numPr>
                <w:ilvl w:val="0"/>
                <w:numId w:val="11"/>
              </w:numPr>
              <w:spacing w:before="60" w:after="60"/>
              <w:jc w:val="both"/>
              <w:rPr/>
            </w:pPr>
            <w:r>
              <w:rPr/>
              <w:t>Establish appropriate communication and reporting channels to the European Commission</w:t>
            </w:r>
          </w:p>
          <w:p>
            <w:pPr>
              <w:pStyle w:val="Normal"/>
              <w:widowControl w:val="false"/>
              <w:numPr>
                <w:ilvl w:val="0"/>
                <w:numId w:val="11"/>
              </w:numPr>
              <w:spacing w:before="60" w:after="60"/>
              <w:jc w:val="both"/>
              <w:rPr/>
            </w:pPr>
            <w:r>
              <w:rPr/>
              <w:t>Ensure successful achievement of the project objectives on time and within budget</w:t>
            </w:r>
          </w:p>
          <w:p>
            <w:pPr>
              <w:pStyle w:val="Normal"/>
              <w:widowControl w:val="false"/>
              <w:numPr>
                <w:ilvl w:val="0"/>
                <w:numId w:val="11"/>
              </w:numPr>
              <w:spacing w:before="60" w:after="60"/>
              <w:jc w:val="both"/>
              <w:rPr/>
            </w:pPr>
            <w:r>
              <w:rPr/>
              <w:t>Establish an efficient electronic service for communications, and document exchanging</w:t>
            </w:r>
          </w:p>
          <w:p>
            <w:pPr>
              <w:pStyle w:val="Normal"/>
              <w:widowControl w:val="false"/>
              <w:numPr>
                <w:ilvl w:val="0"/>
                <w:numId w:val="11"/>
              </w:numPr>
              <w:spacing w:before="60" w:after="60"/>
              <w:jc w:val="both"/>
              <w:rPr/>
            </w:pPr>
            <w:r>
              <w:rPr/>
              <w:t>Conduct continuous quality assurance activities for the operation of the project and the production of its results within its lifespan</w:t>
            </w:r>
          </w:p>
          <w:p>
            <w:pPr>
              <w:pStyle w:val="Normal"/>
              <w:widowControl w:val="false"/>
              <w:numPr>
                <w:ilvl w:val="0"/>
                <w:numId w:val="11"/>
              </w:numPr>
              <w:spacing w:before="60" w:after="60"/>
              <w:jc w:val="both"/>
              <w:rPr/>
            </w:pPr>
            <w:r>
              <w:rPr/>
              <w:t>Ensure continuous monitoring of the project’s progress and timely initiation of corrective actions (if needed)</w:t>
            </w:r>
          </w:p>
          <w:p>
            <w:pPr>
              <w:pStyle w:val="Normal"/>
              <w:widowControl w:val="false"/>
              <w:numPr>
                <w:ilvl w:val="0"/>
                <w:numId w:val="11"/>
              </w:numPr>
              <w:spacing w:before="60" w:after="60"/>
              <w:jc w:val="both"/>
              <w:rPr/>
            </w:pPr>
            <w:r>
              <w:rPr/>
              <w:t>Coordinate the organization and execution of the various project meetings, and/or participation of the project in various external or self-organized events</w:t>
            </w:r>
          </w:p>
          <w:p>
            <w:pPr>
              <w:pStyle w:val="Normal"/>
              <w:widowControl w:val="false"/>
              <w:numPr>
                <w:ilvl w:val="0"/>
                <w:numId w:val="11"/>
              </w:numPr>
              <w:spacing w:before="60" w:after="60"/>
              <w:jc w:val="both"/>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
                <w:bCs/>
                <w:highlight w:val="none"/>
                <w:shd w:fill="FFFF00" w:val="clear"/>
              </w:rPr>
            </w:pPr>
            <w:r>
              <w:rPr>
                <w:b/>
                <w:bCs/>
                <w:shd w:fill="FFFF00" w:val="clear"/>
              </w:rPr>
              <w:t>Task 1.X Kick-Off Meeting (M1-3); Lead: OSO</w:t>
            </w:r>
          </w:p>
          <w:p>
            <w:pPr>
              <w:pStyle w:val="Normal"/>
              <w:widowControl w:val="false"/>
              <w:spacing w:before="60" w:after="60"/>
              <w:rPr>
                <w:b w:val="false"/>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 w:val="false"/>
                <w:bCs w:val="false"/>
                <w:highlight w:val="none"/>
                <w:shd w:fill="FFFF00" w:val="clear"/>
              </w:rPr>
            </w:pPr>
            <w:r>
              <w:rPr>
                <w:b w:val="false"/>
                <w:bCs w:val="false"/>
                <w:shd w:fill="FFFF00" w:val="clear"/>
              </w:rPr>
            </w:r>
          </w:p>
          <w:p>
            <w:pPr>
              <w:pStyle w:val="Normal"/>
              <w:widowControl w:val="false"/>
              <w:spacing w:before="60" w:after="60"/>
              <w:jc w:val="both"/>
              <w:rPr>
                <w:b/>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Normal"/>
              <w:widowControl w:val="false"/>
              <w:spacing w:before="60" w:after="60"/>
              <w:rPr>
                <w:b w:val="false"/>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transfer knowledge from expert nodes to the Coordinator, building fundations for scientific excelence</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further research capacity (building software, WP3)</w:t>
            </w:r>
          </w:p>
          <w:p>
            <w:pPr>
              <w:pStyle w:val="Normal"/>
              <w:widowControl w:val="false"/>
              <w:numPr>
                <w:ilvl w:val="0"/>
                <w:numId w:val="8"/>
              </w:numPr>
              <w:spacing w:before="60" w:after="60"/>
              <w:rPr/>
            </w:pPr>
            <w:r>
              <w:rPr>
                <w:rFonts w:ascii="Times New Roman" w:hAnsi="Times New Roman"/>
                <w:b w:val="false"/>
                <w:bCs w:val="false"/>
                <w:lang w:val="en-GB"/>
              </w:rPr>
              <w:t>involve talented young scientists in training and increase inwards/outwards mobility (via co-supervision and visits)</w:t>
            </w:r>
          </w:p>
          <w:p>
            <w:pPr>
              <w:pStyle w:val="Normal"/>
              <w:widowControl w:val="false"/>
              <w:numPr>
                <w:ilvl w:val="0"/>
                <w:numId w:val="8"/>
              </w:numPr>
              <w:spacing w:before="60" w:after="60"/>
              <w:rPr/>
            </w:pPr>
            <w:r>
              <w:rPr>
                <w:rFonts w:ascii="Times New Roman" w:hAnsi="Times New Roman"/>
                <w:b w:val="false"/>
                <w:bCs w:val="false"/>
                <w:lang w:val="en-GB"/>
              </w:rPr>
              <w:t>seek and utilize training channels/options other than ACRONYM</w:t>
            </w:r>
          </w:p>
          <w:p>
            <w:pPr>
              <w:pStyle w:val="Normal"/>
              <w:widowControl w:val="false"/>
              <w:numPr>
                <w:ilvl w:val="0"/>
                <w:numId w:val="8"/>
              </w:numPr>
              <w:spacing w:before="60" w:after="60"/>
              <w:rPr/>
            </w:pPr>
            <w:r>
              <w:rPr>
                <w:rFonts w:ascii="Times New Roman" w:hAnsi="Times New Roman"/>
                <w:b w:val="false"/>
                <w:bCs w:val="false"/>
                <w:lang w:val="en-GB"/>
              </w:rPr>
              <w:t>establish solid, agile research task forces allocated per Space Geodetic technique, making skill building and knowledge dispersion more effective and efficient</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Transfer of knowledge for DORIS (M1-M12); Lead IPGP</w:t>
            </w:r>
          </w:p>
          <w:p>
            <w:pPr>
              <w:pStyle w:val="Normal"/>
              <w:widowControl w:val="false"/>
              <w:spacing w:before="60" w:after="60"/>
              <w:jc w:val="both"/>
              <w:rPr/>
            </w:pPr>
            <w:r>
              <w:rPr>
                <w:lang w:val="en-GB"/>
              </w:rPr>
              <w:t>The Coordinator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via online webinars, virtual training, videos conferences, venture labs and one short term encounter (duration between one and two weeks) of all three involved partners. At this stage, virtual meetings will be held twice per month.</w:t>
            </w:r>
          </w:p>
          <w:p>
            <w:pPr>
              <w:pStyle w:val="Normal"/>
              <w:widowControl w:val="false"/>
              <w:spacing w:before="60" w:after="60"/>
              <w:jc w:val="both"/>
              <w:rPr/>
            </w:pPr>
            <w:r>
              <w:rPr/>
              <w:t>Exploiting the expertise of the top-class institutes (IPGP and CLS), the partners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SLR station in Potsdam (operated by GFZ), where they will be introduced to the instrumentation and operational aspects of the site.</w:t>
            </w:r>
          </w:p>
          <w:p>
            <w:pPr>
              <w:pStyle w:val="Normal"/>
              <w:widowControl w:val="false"/>
              <w:spacing w:before="60" w:after="60"/>
              <w:jc w:val="both"/>
              <w:rPr/>
            </w:pPr>
            <w:r>
              <w:rPr>
                <w:lang w:val="en-GB"/>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Transfer of knowledge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VLBI site in Onsala (operated by OSO), where they will be introduced to the instrumentation and operational aspects of the site.</w:t>
            </w:r>
          </w:p>
          <w:p>
            <w:pPr>
              <w:pStyle w:val="Normal"/>
              <w:widowControl w:val="false"/>
              <w:spacing w:before="60" w:after="60"/>
              <w:jc w:val="both"/>
              <w:rPr/>
            </w:pPr>
            <w:r>
              <w:rPr>
                <w:lang w:val="en-GB"/>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Normal"/>
              <w:widowControl w:val="false"/>
              <w:spacing w:before="60" w:after="60"/>
              <w:jc w:val="both"/>
              <w:rPr/>
            </w:pPr>
            <w:r>
              <w:rPr/>
            </w:r>
          </w:p>
          <w:p>
            <w:pPr>
              <w:pStyle w:val="Normal"/>
              <w:widowControl w:val="false"/>
              <w:spacing w:before="60" w:after="60"/>
              <w:jc w:val="both"/>
              <w:rPr>
                <w:b/>
                <w:b/>
                <w:bCs/>
              </w:rPr>
            </w:pPr>
            <w:r>
              <w:rPr>
                <w:b/>
                <w:bCs/>
              </w:rPr>
              <w:t>Task 2.4 Assessment of currently available software tools (M6-12); Lead GFZ</w:t>
            </w:r>
          </w:p>
          <w:p>
            <w:pPr>
              <w:pStyle w:val="Normal"/>
              <w:widowControl w:val="false"/>
              <w:spacing w:before="60" w:after="60"/>
              <w:jc w:val="both"/>
              <w:rPr>
                <w:b w:val="false"/>
                <w:b w:val="false"/>
                <w:bCs w:val="false"/>
              </w:rPr>
            </w:pPr>
            <w:r>
              <w:rPr>
                <w:b w:val="false"/>
                <w:bCs w:val="false"/>
              </w:rPr>
              <w:t>All partners will be involved, according to their respective fields of expertise, in an effort to inspect, assess, test and validate software tools that the Coordinator has in the past designed and built. Expert nodes will evaluate design and implementation issues, possible shortcomings and mitigation/refinement actions. This is expected to significantly assist the software building process described in WP3.</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2.5 Attending training events (M6-M36); Lead NTUA</w:t>
            </w:r>
          </w:p>
          <w:p>
            <w:pPr>
              <w:pStyle w:val="Normal"/>
              <w:widowControl w:val="false"/>
              <w:jc w:val="both"/>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transfer of knowledge and best practices using a “hands-on” approach</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efficiently incorporate recent advances and high-quality products from VLBI analysis.</w:t>
            </w:r>
          </w:p>
          <w:p>
            <w:pPr>
              <w:pStyle w:val="Normal"/>
              <w:widowControl w:val="false"/>
              <w:numPr>
                <w:ilvl w:val="0"/>
                <w:numId w:val="9"/>
              </w:numPr>
              <w:spacing w:before="60" w:after="60"/>
              <w:rPr>
                <w:color w:val="C9211E"/>
              </w:rPr>
            </w:pPr>
            <w:r>
              <w:rPr>
                <w:rFonts w:ascii="Times New Roman" w:hAnsi="Times New Roman"/>
                <w:b w:val="false"/>
                <w:bCs w:val="false"/>
                <w:color w:val="C9211E"/>
                <w:lang w:val="en-GB"/>
              </w:rPr>
              <w:t>enhance NTUA research profile via adherence to a  free and open-source policy (software)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create highly skilled scientific personnel at the host institute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a long term plan for further enhancing the host institute’s research capacity, international standing and involvement</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Coordinator’s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2.3,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2.4,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scientific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rFonts w:ascii="Times New Roman" w:hAnsi="Times New Roman"/>
                <w:b w:val="false"/>
                <w:bCs w:val="false"/>
                <w:lang w:val="en-GB"/>
              </w:rPr>
              <w:t>strengthen research management capacity and administrative skills of the Coordinator</w:t>
            </w:r>
          </w:p>
          <w:p>
            <w:pPr>
              <w:pStyle w:val="Normal"/>
              <w:widowControl w:val="false"/>
              <w:numPr>
                <w:ilvl w:val="0"/>
                <w:numId w:val="9"/>
              </w:numPr>
              <w:spacing w:before="60" w:after="60"/>
              <w:jc w:val="both"/>
              <w:rPr/>
            </w:pPr>
            <w:r>
              <w:rPr>
                <w:rFonts w:ascii="Times New Roman" w:hAnsi="Times New Roman"/>
                <w:b w:val="false"/>
                <w:bCs w:val="false"/>
                <w:lang w:val="en-GB"/>
              </w:rPr>
              <w:t>create a dedicated, skilled workforce at NTUA responsible for project claiming</w:t>
            </w:r>
          </w:p>
          <w:p>
            <w:pPr>
              <w:pStyle w:val="Normal"/>
              <w:widowControl w:val="false"/>
              <w:numPr>
                <w:ilvl w:val="0"/>
                <w:numId w:val="9"/>
              </w:numPr>
              <w:spacing w:before="60" w:after="60"/>
              <w:rPr/>
            </w:pPr>
            <w:r>
              <w:rPr>
                <w:rFonts w:ascii="Times New Roman" w:hAnsi="Times New Roman"/>
                <w:b w:val="false"/>
                <w:bCs w:val="false"/>
                <w:lang w:val="en-GB"/>
              </w:rPr>
              <w:t>boost Coordinator’s success rate in research funding bids</w:t>
            </w:r>
          </w:p>
          <w:p>
            <w:pPr>
              <w:pStyle w:val="Normal"/>
              <w:widowControl w:val="false"/>
              <w:numPr>
                <w:ilvl w:val="0"/>
                <w:numId w:val="9"/>
              </w:numPr>
              <w:spacing w:before="60" w:after="60"/>
              <w:jc w:val="both"/>
              <w:rPr/>
            </w:pPr>
            <w:r>
              <w:rPr>
                <w:rFonts w:ascii="Times New Roman" w:hAnsi="Times New Roman"/>
                <w:b w:val="false"/>
                <w:bCs w:val="false"/>
                <w:lang w:val="en-GB"/>
              </w:rPr>
              <w:t>expand and diversify funding pools and capabilities targeted by NTUA</w:t>
            </w:r>
          </w:p>
          <w:p>
            <w:pPr>
              <w:pStyle w:val="Normal"/>
              <w:widowControl w:val="false"/>
              <w:numPr>
                <w:ilvl w:val="0"/>
                <w:numId w:val="9"/>
              </w:numPr>
              <w:spacing w:before="60" w:after="60"/>
              <w:jc w:val="both"/>
              <w:rPr/>
            </w:pPr>
            <w:r>
              <w:rPr>
                <w:rFonts w:ascii="Times New Roman" w:hAnsi="Times New Roman"/>
                <w:b w:val="false"/>
                <w:bCs w:val="false"/>
                <w:lang w:val="en-GB"/>
              </w:rPr>
              <w:t>build expertise at efficient and succeseful research proposal writing</w:t>
            </w:r>
          </w:p>
          <w:p>
            <w:pPr>
              <w:pStyle w:val="Normal"/>
              <w:widowControl w:val="false"/>
              <w:numPr>
                <w:ilvl w:val="0"/>
                <w:numId w:val="9"/>
              </w:numPr>
              <w:spacing w:before="60" w:after="60"/>
              <w:jc w:val="both"/>
              <w:rPr/>
            </w:pPr>
            <w:r>
              <w:rPr>
                <w:rFonts w:ascii="Times New Roman" w:hAnsi="Times New Roman"/>
                <w:b w:val="false"/>
                <w:bCs w:val="false"/>
                <w:lang w:val="en-GB"/>
              </w:rPr>
              <w:t>claim research and scholarhsip funds to enahnce NTUA’s appealingness to young scientits and recruitement opportunities, increase mobility and support and expand research activities (financialy-wise)</w:t>
            </w:r>
          </w:p>
          <w:p>
            <w:pPr>
              <w:pStyle w:val="Normal"/>
              <w:widowControl w:val="false"/>
              <w:numPr>
                <w:ilvl w:val="0"/>
                <w:numId w:val="9"/>
              </w:numPr>
              <w:spacing w:before="0" w:after="200"/>
              <w:jc w:val="both"/>
              <w:rPr/>
            </w:pPr>
            <w:r>
              <w:rPr>
                <w:shd w:fill="auto" w:val="clear"/>
                <w:lang w:val="en-GB"/>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4.1 Establish a research management/administration unit in the Coordinator institute (M1-M3); Lead NTUA</w:t>
            </w:r>
          </w:p>
          <w:p>
            <w:pPr>
              <w:pStyle w:val="Normal"/>
              <w:widowControl w:val="false"/>
              <w:spacing w:before="60" w:after="60"/>
              <w:jc w:val="both"/>
              <w:rPr/>
            </w:pPr>
            <w:r>
              <w:rPr/>
              <w:t xml:space="preserve">The host institute will establish a task force made up of four to six NTUA employees including administrative staff, which will be trained in project funding seeking, proposal writing and efficient research project management and administration, via remote mentoring and coaching. </w:t>
            </w:r>
            <w:r>
              <w:rPr>
                <w:color w:val="000000"/>
                <w:shd w:fill="auto" w:val="clear"/>
              </w:rPr>
              <w:t xml:space="preserve">The sole purpose of this unit will be to seek, claim and manage research proposals and its </w:t>
              <w:br/>
              <w:t xml:space="preserve">scope will expand well beyond ACRONYM, effectively </w:t>
            </w:r>
            <w:r>
              <w:rPr>
                <w:color w:val="000000"/>
                <w:shd w:fill="auto" w:val="clear"/>
                <w:lang w:val="en-GB"/>
              </w:rPr>
              <w:t>securing financial aid and supporting and administration for research activities in the long run.</w:t>
            </w:r>
          </w:p>
          <w:p>
            <w:pPr>
              <w:pStyle w:val="Normal"/>
              <w:widowControl w:val="false"/>
              <w:jc w:val="both"/>
              <w:rPr/>
            </w:pPr>
            <w:r>
              <w:rPr>
                <w:color w:val="000000"/>
                <w:shd w:fill="auto" w:val="clear"/>
                <w:lang w:val="en-GB"/>
              </w:rPr>
              <w:t xml:space="preserve">The unit will report on its activities every six months to the </w:t>
            </w:r>
            <w:r>
              <w:rPr>
                <w:color w:val="000000"/>
                <w:u w:val="none"/>
                <w:shd w:fill="auto" w:val="clear"/>
                <w:lang w:val="en-GB"/>
              </w:rPr>
              <w:t>Project Management Board.</w:t>
            </w:r>
          </w:p>
          <w:p>
            <w:pPr>
              <w:pStyle w:val="Normal"/>
              <w:widowControl w:val="false"/>
              <w:spacing w:before="60" w:after="60"/>
              <w:jc w:val="both"/>
              <w:rPr/>
            </w:pPr>
            <w:r>
              <w:rPr/>
            </w:r>
          </w:p>
          <w:p>
            <w:pPr>
              <w:pStyle w:val="Normal"/>
              <w:widowControl w:val="false"/>
              <w:spacing w:before="60" w:after="60"/>
              <w:jc w:val="both"/>
              <w:rPr>
                <w:b/>
                <w:b/>
                <w:bCs/>
              </w:rPr>
            </w:pPr>
            <w:r>
              <w:rPr>
                <w:b/>
                <w:bCs/>
              </w:rPr>
              <w:t>Task 4.2 Strengthening research management capacity and administrative skills (M3-M12); Lead OSO</w:t>
            </w:r>
          </w:p>
          <w:p>
            <w:pPr>
              <w:pStyle w:val="Normal"/>
              <w:widowControl w:val="false"/>
              <w:spacing w:before="60" w:after="60"/>
              <w:jc w:val="both"/>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 xml:space="preserve">Project preperation, proposal writing and oragnisational issues and (b) Project management and administration (see section </w:t>
            </w:r>
            <w:r>
              <w:rPr>
                <w:shd w:fill="FF4000" w:val="clear"/>
                <w:lang w:val="en-GB"/>
              </w:rPr>
              <w:t>XX</w:t>
            </w:r>
            <w:r>
              <w:rPr>
                <w:shd w:fill="auto" w:val="clear"/>
                <w:lang w:val="en-GB"/>
              </w:rPr>
              <w:t>). Partners will use large scale research projects they have managed in the past, to provide detailed examples of successeful management and administration schema.</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4.3 Exploring funding pools and opportunities (M12-M16); Lead GFZ</w:t>
            </w:r>
          </w:p>
          <w:p>
            <w:pPr>
              <w:pStyle w:val="Normal"/>
              <w:widowControl w:val="false"/>
              <w:spacing w:before="60" w:after="60"/>
              <w:jc w:val="both"/>
              <w:rPr/>
            </w:pPr>
            <w:r>
              <w:rPr>
                <w:b w:val="false"/>
                <w:bCs w:val="false"/>
                <w:lang w:val="en-GB"/>
              </w:rPr>
              <w:t xml:space="preserve">The consortium partners (CLS, IPGP, GFZ and OSO) will introduce and acquaint the 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(see section </w:t>
            </w:r>
            <w:r>
              <w:rPr>
                <w:shd w:fill="FF4000" w:val="clear"/>
                <w:lang w:val="en-GB"/>
              </w:rPr>
              <w:t>XX</w:t>
            </w:r>
            <w:r>
              <w:rPr>
                <w:shd w:fill="auto" w:val="clear"/>
                <w:lang w:val="en-GB"/>
              </w:rPr>
              <w:t>). Partners will use their own experience to transfer relevant knowledge to the Coordinator. At least one training session will be hosted per partner and attended by the unit.</w:t>
            </w:r>
          </w:p>
          <w:p>
            <w:pPr>
              <w:pStyle w:val="Normal"/>
              <w:widowControl w:val="false"/>
              <w:spacing w:before="60" w:after="60"/>
              <w:jc w:val="both"/>
              <w:rPr>
                <w:b/>
                <w:b/>
                <w:bCs/>
              </w:rPr>
            </w:pPr>
            <w:r>
              <w:rPr>
                <w:b/>
                <w:bCs/>
              </w:rPr>
            </w:r>
          </w:p>
          <w:p>
            <w:pPr>
              <w:pStyle w:val="Normal"/>
              <w:widowControl w:val="false"/>
              <w:spacing w:before="60" w:after="60"/>
              <w:jc w:val="both"/>
              <w:rPr/>
            </w:pPr>
            <w:r>
              <w:rPr>
                <w:b/>
                <w:bCs/>
                <w:lang w:val="en-GB"/>
              </w:rPr>
              <w:t>Task 4.4 Enhancing research funding capacity (M12-M36); Lead CLS</w:t>
            </w:r>
          </w:p>
          <w:p>
            <w:pPr>
              <w:pStyle w:val="Normal"/>
              <w:widowControl w:val="false"/>
              <w:jc w:val="both"/>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four research funding proposals, targeting various funding opportunities. These will build upon the research capacity build and scientific excellence gained via ACRONYM.</w:t>
            </w:r>
          </w:p>
          <w:p>
            <w:pPr>
              <w:pStyle w:val="Normal"/>
              <w:widowControl w:val="false"/>
              <w:jc w:val="both"/>
              <w:rPr/>
            </w:pPr>
            <w:r>
              <w:rPr/>
              <w:t>At a minimum, the following funding bids will be submitted:</w:t>
            </w:r>
          </w:p>
          <w:p>
            <w:pPr>
              <w:pStyle w:val="Normal"/>
              <w:widowControl w:val="false"/>
              <w:numPr>
                <w:ilvl w:val="0"/>
                <w:numId w:val="21"/>
              </w:numPr>
              <w:jc w:val="both"/>
              <w:rPr/>
            </w:pPr>
            <w:r>
              <w:rPr/>
              <w:t>two EU large scale research and innovation calls (e.g. HORIZON), and</w:t>
            </w:r>
          </w:p>
          <w:p>
            <w:pPr>
              <w:pStyle w:val="Normal"/>
              <w:widowControl w:val="false"/>
              <w:numPr>
                <w:ilvl w:val="0"/>
                <w:numId w:val="21"/>
              </w:numPr>
              <w:jc w:val="both"/>
              <w:rPr/>
            </w:pPr>
            <w:r>
              <w:rPr>
                <w:shd w:fill="auto" w:val="clear"/>
              </w:rPr>
              <w:t>two research proposals targeting young scientists and/or mobility (e.g. EU MSCA calls)</w:t>
            </w:r>
          </w:p>
          <w:p>
            <w:pPr>
              <w:pStyle w:val="Normal"/>
              <w:widowControl w:val="false"/>
              <w:numPr>
                <w:ilvl w:val="0"/>
                <w:numId w:val="21"/>
              </w:numPr>
              <w:jc w:val="both"/>
              <w:rPr/>
            </w:pPr>
            <w:r>
              <w:rPr>
                <w:shd w:fill="auto" w:val="clear"/>
              </w:rPr>
              <w:t xml:space="preserve">one funding bid targeting private/public collaboration, including at least one the ecosystem commercial partner (see Task </w:t>
            </w:r>
            <w:r>
              <w:rPr>
                <w:shd w:fill="C9211E" w:val="clear"/>
              </w:rPr>
              <w:t>XX</w:t>
            </w:r>
            <w:r>
              <w:rPr>
                <w:shd w:fill="auto" w:val="clear"/>
              </w:rPr>
              <w:t>)</w:t>
            </w:r>
          </w:p>
          <w:p>
            <w:pPr>
              <w:pStyle w:val="Normal"/>
              <w:widowControl w:val="false"/>
              <w:jc w:val="both"/>
              <w:rPr/>
            </w:pPr>
            <w:r>
              <w:rPr>
                <w:shd w:fill="auto" w:val="clear"/>
              </w:rPr>
              <w:t xml:space="preserve">Apart from NTUA, at least two of the ACRONYM partners will be involved in each of the proposals to be submitted, the aim being </w:t>
              <w:br/>
              <w:t>however for the consortium to be included as a whole.</w:t>
            </w:r>
          </w:p>
          <w:p>
            <w:pPr>
              <w:pStyle w:val="Normal"/>
              <w:widowControl w:val="false"/>
              <w:spacing w:before="60" w:after="60"/>
              <w:jc w:val="both"/>
              <w:rPr/>
            </w:pPr>
            <w:r>
              <w:rPr/>
            </w:r>
          </w:p>
          <w:p>
            <w:pPr>
              <w:pStyle w:val="Normal"/>
              <w:widowControl w:val="false"/>
              <w:spacing w:before="60" w:after="60"/>
              <w:jc w:val="both"/>
              <w:rPr>
                <w:highlight w:val="none"/>
                <w:shd w:fill="FF4000" w:val="clear"/>
              </w:rPr>
            </w:pPr>
            <w:r>
              <w:rPr>
                <w:b/>
                <w:bCs/>
                <w:shd w:fill="FF4000" w:val="clear"/>
              </w:rPr>
              <w:t>Task 4.4 Attracting new scientists and increasing mobility (M12-M36); Lead IPGP</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8"/>
              </w:numPr>
              <w:spacing w:before="60" w:after="60"/>
              <w:jc w:val="both"/>
              <w:rPr>
                <w:b w:val="false"/>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9"/>
              </w:numPr>
              <w:spacing w:before="60" w:after="60"/>
              <w:jc w:val="both"/>
              <w:rPr>
                <w:b w:val="false"/>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9"/>
              </w:numPr>
              <w:spacing w:before="60" w:after="60"/>
              <w:jc w:val="both"/>
              <w:rPr>
                <w:b/>
                <w:b/>
                <w:bCs/>
              </w:rPr>
            </w:pPr>
            <w:r>
              <w:rPr>
                <w:rFonts w:ascii="Times New Roman" w:hAnsi="Times New Roman"/>
                <w:b w:val="false"/>
                <w:bCs w:val="false"/>
                <w:lang w:val="en-GB"/>
              </w:rPr>
              <w:t>establishment of a Greek ecosystem of partners involved in space-based geosciences and applications</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lang w:val="en-GB"/>
              </w:rPr>
            </w:pPr>
            <w:r>
              <w:rPr>
                <w:b/>
                <w:bCs/>
                <w:lang w:val="en-GB"/>
              </w:rPr>
              <w:t>Task 5.1 Agreement on PhD and PostDoc co-supervision (M1-M4); Lead NTUA</w:t>
            </w:r>
          </w:p>
          <w:p>
            <w:pPr>
              <w:pStyle w:val="Normal"/>
              <w:widowControl w:val="false"/>
              <w:spacing w:before="60" w:after="60"/>
              <w:jc w:val="both"/>
              <w:rPr>
                <w:b w:val="false"/>
                <w:b w:val="false"/>
                <w:bCs w:val="false"/>
                <w:lang w:val="en-GB"/>
              </w:rPr>
            </w:pPr>
            <w:r>
              <w:rPr>
                <w:b w:val="false"/>
                <w:bCs w:val="false"/>
                <w:lang w:val="en-GB"/>
              </w:rPr>
              <w:t>The Coordinator will reach an agreement with each of IPGP, GFZ and OSO, regarding the co-supervision of three PhD and three PostDoc thesis (each partner involved in one PhD and one PostDoc). The agreement will be formaly submitted to NTUA, and one  representative of each partner will be included in the three-part advisory committee (for PhD Thesis).</w:t>
            </w:r>
          </w:p>
          <w:p>
            <w:pPr>
              <w:pStyle w:val="Normal"/>
              <w:widowControl w:val="false"/>
              <w:spacing w:before="60" w:after="60"/>
              <w:jc w:val="both"/>
              <w:rPr>
                <w:b w:val="false"/>
                <w:b w:val="false"/>
                <w:bCs w:val="false"/>
                <w:lang w:val="en-GB"/>
              </w:rPr>
            </w:pPr>
            <w:r>
              <w:rPr>
                <w:b w:val="false"/>
                <w:bCs w:val="false"/>
                <w:lang w:val="en-GB"/>
              </w:rPr>
              <w:t>The subjects of the thesis will be codecided between the partners, depending on their respective expertise; the students will be allocated in the task forces descibed in WP2 (Tasks 2.2 to 2.4).</w:t>
            </w:r>
          </w:p>
          <w:p>
            <w:pPr>
              <w:pStyle w:val="Normal"/>
              <w:widowControl w:val="false"/>
              <w:spacing w:before="60" w:after="60"/>
              <w:jc w:val="both"/>
              <w:rPr/>
            </w:pPr>
            <w:r>
              <w:rPr/>
            </w:r>
          </w:p>
          <w:p>
            <w:pPr>
              <w:pStyle w:val="Normal"/>
              <w:widowControl w:val="false"/>
              <w:spacing w:before="60" w:after="60"/>
              <w:jc w:val="both"/>
              <w:rPr>
                <w:lang w:val="en-GB"/>
              </w:rPr>
            </w:pPr>
            <w:r>
              <w:rPr>
                <w:rFonts w:ascii="Times New Roman" w:hAnsi="Times New Roman"/>
                <w:b/>
                <w:lang w:val="en-GB"/>
              </w:rPr>
              <w:t>Task 2.2 Introduction to Space Geodetic International Services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2.3 Introduction to International Geodetic Consortia</w:t>
            </w:r>
          </w:p>
          <w:p>
            <w:pPr>
              <w:pStyle w:val="Normal"/>
              <w:widowControl w:val="false"/>
              <w:rPr>
                <w:b w:val="false"/>
                <w:b w:val="false"/>
                <w:bCs w:val="false"/>
              </w:rPr>
            </w:pPr>
            <w:r>
              <w:rPr>
                <w:rFonts w:ascii="Times New Roman" w:hAnsi="Times New Roman"/>
                <w:b w:val="false"/>
                <w:bCs w:val="false"/>
                <w:lang w:val="en-GB"/>
              </w:rPr>
              <w:t>Expert nodes will introduce the Coordinator to the IDS consortium, facilitating its involvement within the service and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2.6 Establishing a Greek Ecosystem of Partners in Space-based Geosciences (M6-18); Lead NTUA</w:t>
            </w:r>
          </w:p>
          <w:p>
            <w:pPr>
              <w:pStyle w:val="Normal"/>
              <w:widowControl w:val="false"/>
              <w:spacing w:before="60" w:after="60"/>
              <w:jc w:val="both"/>
              <w:rPr/>
            </w:pPr>
            <w:r>
              <w:rPr>
                <w:lang w:val="en-GB"/>
              </w:rPr>
              <w:t>NTUA will take the initiative of bringing together all parties in Greece involved in Space-based geosciences, related applications and industries (e.g. Space industry, space awareness and security, tracking and navigation, etc). This will include possible industry partners, governmental agencies and institutions, as well as universities.</w:t>
            </w:r>
          </w:p>
          <w:p>
            <w:pPr>
              <w:pStyle w:val="Normal"/>
              <w:widowControl w:val="false"/>
              <w:spacing w:before="60" w:after="60"/>
              <w:jc w:val="both"/>
              <w:rPr/>
            </w:pPr>
            <w:r>
              <w:rPr/>
              <w:t>NTUA will organize:</w:t>
            </w:r>
          </w:p>
          <w:p>
            <w:pPr>
              <w:pStyle w:val="Normal"/>
              <w:widowControl w:val="false"/>
              <w:numPr>
                <w:ilvl w:val="0"/>
                <w:numId w:val="23"/>
              </w:numPr>
              <w:spacing w:before="60" w:after="60"/>
              <w:jc w:val="both"/>
              <w:rPr/>
            </w:pPr>
            <w:r>
              <w:rPr/>
              <w:t xml:space="preserve">on two-day conference to take place in Greece, with the attendance of all ecosystem partners as well as ACRONYM partners.  ACRONYM’s aims, objectives and anticipated impact will be presented, relevant research activities carried out in different NTUA laboratories. </w:t>
            </w:r>
            <w:r>
              <w:rPr>
                <w:color w:val="000000"/>
                <w:shd w:fill="auto" w:val="clear"/>
              </w:rPr>
              <w:t>Ecosystem parties will be asked to present their current activities, research and industry portfolios, aspirations, products and solutions, as well as specific needs and interest related to ACRONYM and Space Geodesy.</w:t>
            </w:r>
          </w:p>
          <w:p>
            <w:pPr>
              <w:pStyle w:val="Normal"/>
              <w:widowControl w:val="false"/>
              <w:numPr>
                <w:ilvl w:val="0"/>
                <w:numId w:val="23"/>
              </w:numPr>
              <w:spacing w:before="60" w:after="60"/>
              <w:jc w:val="both"/>
              <w:rPr/>
            </w:pPr>
            <w:r>
              <w:rPr>
                <w:color w:val="000000"/>
                <w:shd w:fill="auto" w:val="clear"/>
              </w:rPr>
              <w:t xml:space="preserve">One info-day to take place in Greece, with the attendance of all ecosystem partners co-organized by CLS. This meeting will focus on </w:t>
            </w:r>
            <w:r>
              <w:rPr>
                <w:b w:val="false"/>
                <w:bCs w:val="false"/>
                <w:color w:val="000000"/>
                <w:shd w:fill="auto" w:val="clear"/>
                <w:lang w:val="en-GB"/>
              </w:rPr>
              <w:t>presenting current products and trends related to Space-based solutions in an application range of interest to the ecosystem partners (see Section</w:t>
            </w:r>
            <w:r>
              <w:rPr>
                <w:b w:val="false"/>
                <w:bCs w:val="false"/>
                <w:color w:val="000000"/>
                <w:shd w:fill="C9211E" w:val="clear"/>
                <w:lang w:val="en-GB"/>
              </w:rPr>
              <w:t xml:space="preserve"> XX)</w:t>
            </w:r>
            <w:r>
              <w:rPr>
                <w:b w:val="false"/>
                <w:bCs w:val="false"/>
                <w:color w:val="000000"/>
                <w:shd w:fill="auto" w:val="clear"/>
                <w:lang w:val="en-GB"/>
              </w:rPr>
              <w:t>.</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Task 2.X Exploring Greek academia needs and interest in Space Geodesy (M18-24); Lead NTUA</w:t>
            </w:r>
          </w:p>
          <w:p>
            <w:pPr>
              <w:pStyle w:val="Normal"/>
              <w:widowControl w:val="false"/>
              <w:spacing w:before="60" w:after="60"/>
              <w:jc w:val="both"/>
              <w:rPr>
                <w:b w:val="false"/>
                <w:b w:val="false"/>
                <w:bCs w:val="false"/>
              </w:rPr>
            </w:pPr>
            <w:r>
              <w:rPr>
                <w:b w:val="false"/>
                <w:bCs w:val="false"/>
                <w:lang w:val="en-GB"/>
              </w:rPr>
              <w:t xml:space="preserve">The Coordinator along with the expert partners will compile a series of two on-line questionnaires to be sent to the academia 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Greek academia needs and interest in Space Geodesy and Earth Observation. See also Section </w:t>
            </w:r>
            <w:r>
              <w:rPr>
                <w:b w:val="false"/>
                <w:bCs w:val="false"/>
                <w:color w:val="000000"/>
                <w:shd w:fill="C9211E" w:val="clear"/>
                <w:lang w:val="en-GB"/>
              </w:rPr>
              <w:t>XX.</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Task 2.X Exploring stakeholders and commercial needs and interest in Space Geodesy (M18-24); Lead CLS</w:t>
            </w:r>
          </w:p>
          <w:p>
            <w:pPr>
              <w:pStyle w:val="Normal"/>
              <w:widowControl w:val="false"/>
              <w:spacing w:before="60" w:after="60"/>
              <w:jc w:val="both"/>
              <w:rPr>
                <w:b w:val="false"/>
                <w:b w:val="false"/>
                <w:bCs w:val="false"/>
              </w:rPr>
            </w:pPr>
            <w:r>
              <w:rPr>
                <w:b w:val="false"/>
                <w:bCs w:val="false"/>
                <w:lang w:val="en-GB"/>
              </w:rPr>
              <w:t xml:space="preserve">The Coordinator along with the expert partners will compile a series of two on-line questionnaires to be sent to the commercial/business 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market needs and interest related to Space Geodesy and Earth Observation (see also Section </w:t>
            </w:r>
            <w:r>
              <w:rPr>
                <w:b w:val="false"/>
                <w:bCs w:val="false"/>
                <w:color w:val="000000"/>
                <w:shd w:fill="C9211E" w:val="clear"/>
                <w:lang w:val="en-GB"/>
              </w:rPr>
              <w:t>XX).</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4.5 Dissemination Activities and Support for the Greek Ecosystem (M12-M36); Lead CLS</w:t>
            </w:r>
          </w:p>
          <w:p>
            <w:pPr>
              <w:pStyle w:val="Normal"/>
              <w:widowControl w:val="false"/>
              <w:spacing w:before="60" w:after="60"/>
              <w:jc w:val="both"/>
              <w:rPr>
                <w:b w:val="false"/>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6"/>
        <w:gridCol w:w="2077"/>
        <w:gridCol w:w="1293"/>
        <w:gridCol w:w="1385"/>
        <w:gridCol w:w="1388"/>
        <w:gridCol w:w="1757"/>
        <w:gridCol w:w="1125"/>
      </w:tblGrid>
      <w:tr>
        <w:trPr/>
        <w:tc>
          <w:tcPr>
            <w:tcW w:w="137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D5.X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Formal agreement on PhD &amp; PostDoc co-supervision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WP5</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Assessement of NTUA’s in-house software tools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Attendance report of training events (omitting ACRONYM)</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Report on research proposal submission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24, 36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3</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 training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12, 16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color w:val="2A6099"/>
              </w:rPr>
            </w:pPr>
            <w:r>
              <w:rPr>
                <w:color w:val="2A6099"/>
              </w:rPr>
              <w:t>Long term plan for scientific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D6.4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30"/>
        <w:gridCol w:w="2280"/>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8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3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3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3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3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3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3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3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0"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6"/>
        <w:gridCol w:w="2441"/>
        <w:gridCol w:w="3828"/>
      </w:tblGrid>
      <w:tr>
        <w:trPr/>
        <w:tc>
          <w:tcPr>
            <w:tcW w:w="379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4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7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4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4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9"/>
        <w:gridCol w:w="1498"/>
        <w:gridCol w:w="1467"/>
        <w:gridCol w:w="1446"/>
        <w:gridCol w:w="3134"/>
      </w:tblGrid>
      <w:tr>
        <w:trPr/>
        <w:tc>
          <w:tcPr>
            <w:tcW w:w="2379"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9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9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3"/>
      <w:footerReference w:type="default" r:id="rId24"/>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31"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71"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19</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19</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98"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33</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33</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842"/>
        </w:tabs>
        <w:ind w:left="842" w:hanging="360"/>
      </w:pPr>
      <w:rPr>
        <w:rFonts w:ascii="Symbol" w:hAnsi="Symbol" w:cs="Symbol" w:hint="default"/>
      </w:rPr>
    </w:lvl>
    <w:lvl w:ilvl="1">
      <w:start w:val="1"/>
      <w:numFmt w:val="bullet"/>
      <w:lvlText w:val="◦"/>
      <w:lvlJc w:val="left"/>
      <w:pPr>
        <w:tabs>
          <w:tab w:val="num" w:pos="1202"/>
        </w:tabs>
        <w:ind w:left="1202" w:hanging="360"/>
      </w:pPr>
      <w:rPr>
        <w:rFonts w:ascii="OpenSymbol" w:hAnsi="OpenSymbol" w:cs="OpenSymbol" w:hint="default"/>
      </w:rPr>
    </w:lvl>
    <w:lvl w:ilvl="2">
      <w:start w:val="1"/>
      <w:numFmt w:val="bullet"/>
      <w:lvlText w:val="▪"/>
      <w:lvlJc w:val="left"/>
      <w:pPr>
        <w:tabs>
          <w:tab w:val="num" w:pos="1562"/>
        </w:tabs>
        <w:ind w:left="1562" w:hanging="360"/>
      </w:pPr>
      <w:rPr>
        <w:rFonts w:ascii="OpenSymbol" w:hAnsi="OpenSymbol" w:cs="OpenSymbol" w:hint="default"/>
      </w:rPr>
    </w:lvl>
    <w:lvl w:ilvl="3">
      <w:start w:val="1"/>
      <w:numFmt w:val="bullet"/>
      <w:lvlText w:val=""/>
      <w:lvlJc w:val="left"/>
      <w:pPr>
        <w:tabs>
          <w:tab w:val="num" w:pos="1922"/>
        </w:tabs>
        <w:ind w:left="1922" w:hanging="360"/>
      </w:pPr>
      <w:rPr>
        <w:rFonts w:ascii="Symbol" w:hAnsi="Symbol" w:cs="Symbol" w:hint="default"/>
      </w:rPr>
    </w:lvl>
    <w:lvl w:ilvl="4">
      <w:start w:val="1"/>
      <w:numFmt w:val="bullet"/>
      <w:lvlText w:val="◦"/>
      <w:lvlJc w:val="left"/>
      <w:pPr>
        <w:tabs>
          <w:tab w:val="num" w:pos="2282"/>
        </w:tabs>
        <w:ind w:left="2282" w:hanging="360"/>
      </w:pPr>
      <w:rPr>
        <w:rFonts w:ascii="OpenSymbol" w:hAnsi="OpenSymbol" w:cs="OpenSymbol" w:hint="default"/>
      </w:rPr>
    </w:lvl>
    <w:lvl w:ilvl="5">
      <w:start w:val="1"/>
      <w:numFmt w:val="bullet"/>
      <w:lvlText w:val="▪"/>
      <w:lvlJc w:val="left"/>
      <w:pPr>
        <w:tabs>
          <w:tab w:val="num" w:pos="2642"/>
        </w:tabs>
        <w:ind w:left="2642" w:hanging="360"/>
      </w:pPr>
      <w:rPr>
        <w:rFonts w:ascii="OpenSymbol" w:hAnsi="OpenSymbol" w:cs="OpenSymbol" w:hint="default"/>
      </w:rPr>
    </w:lvl>
    <w:lvl w:ilvl="6">
      <w:start w:val="1"/>
      <w:numFmt w:val="bullet"/>
      <w:lvlText w:val=""/>
      <w:lvlJc w:val="left"/>
      <w:pPr>
        <w:tabs>
          <w:tab w:val="num" w:pos="3002"/>
        </w:tabs>
        <w:ind w:left="3002" w:hanging="360"/>
      </w:pPr>
      <w:rPr>
        <w:rFonts w:ascii="Symbol" w:hAnsi="Symbol" w:cs="Symbol" w:hint="default"/>
      </w:rPr>
    </w:lvl>
    <w:lvl w:ilvl="7">
      <w:start w:val="1"/>
      <w:numFmt w:val="bullet"/>
      <w:lvlText w:val="◦"/>
      <w:lvlJc w:val="left"/>
      <w:pPr>
        <w:tabs>
          <w:tab w:val="num" w:pos="3362"/>
        </w:tabs>
        <w:ind w:left="3362" w:hanging="360"/>
      </w:pPr>
      <w:rPr>
        <w:rFonts w:ascii="OpenSymbol" w:hAnsi="OpenSymbol" w:cs="OpenSymbol" w:hint="default"/>
      </w:rPr>
    </w:lvl>
    <w:lvl w:ilvl="8">
      <w:start w:val="1"/>
      <w:numFmt w:val="bullet"/>
      <w:lvlText w:val="▪"/>
      <w:lvlJc w:val="left"/>
      <w:pPr>
        <w:tabs>
          <w:tab w:val="num" w:pos="3722"/>
        </w:tabs>
        <w:ind w:left="3722"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yperlink" Target="https://libre.space/" TargetMode="External"/><Relationship Id="rId13" Type="http://schemas.openxmlformats.org/officeDocument/2006/relationships/hyperlink" Target="https://www.geosystems-hellas.gr/" TargetMode="External"/><Relationship Id="rId14" Type="http://schemas.openxmlformats.org/officeDocument/2006/relationships/hyperlink" Target="https://www.planetek.gr/" TargetMode="External"/><Relationship Id="rId15" Type="http://schemas.openxmlformats.org/officeDocument/2006/relationships/hyperlink" Target="http://beyond-eocenter.eu/" TargetMode="External"/><Relationship Id="rId16" Type="http://schemas.openxmlformats.org/officeDocument/2006/relationships/hyperlink" Target="https://www.greekgeo.noa.gr/" TargetMode="Externa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3.xml"/><Relationship Id="rId21" Type="http://schemas.openxmlformats.org/officeDocument/2006/relationships/header" Target="header8.xml"/><Relationship Id="rId22" Type="http://schemas.openxmlformats.org/officeDocument/2006/relationships/footer" Target="footer4.xm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10416</TotalTime>
  <Application>LibreOffice/7.4.7.2$Linux_X86_64 LibreOffice_project/40$Build-2</Application>
  <AppVersion>15.0000</AppVersion>
  <Pages>35</Pages>
  <Words>15854</Words>
  <Characters>92850</Characters>
  <CharactersWithSpaces>107852</CharactersWithSpaces>
  <Paragraphs>850</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2023-08-24T15:11:34Z</dcterms:modified>
  <cp:revision>1053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