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92"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0"/>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5930535"/>
            <w:bookmarkStart w:id="1" w:name="_Toc448828577"/>
            <w:bookmarkStart w:id="2" w:name="_Toc448828797"/>
            <w:bookmarkStart w:id="3" w:name="_Toc448834151"/>
            <w:bookmarkStart w:id="4" w:name="_Toc443645004"/>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5930536"/>
            <w:bookmarkStart w:id="6" w:name="_Toc448828578"/>
            <w:bookmarkStart w:id="7" w:name="_Toc448828798"/>
            <w:bookmarkStart w:id="8" w:name="_Toc448834152"/>
            <w:bookmarkStart w:id="9" w:name="_Toc443645005"/>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5930537"/>
            <w:bookmarkStart w:id="11" w:name="_Toc448828579"/>
            <w:bookmarkStart w:id="12" w:name="_Toc448828799"/>
            <w:bookmarkStart w:id="13" w:name="_Toc448834153"/>
            <w:bookmarkStart w:id="14" w:name="_Toc443645006"/>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5930538"/>
            <w:bookmarkStart w:id="16" w:name="_Toc448828580"/>
            <w:bookmarkStart w:id="17" w:name="_Toc448828800"/>
            <w:bookmarkStart w:id="18" w:name="_Toc448834154"/>
            <w:bookmarkStart w:id="19" w:name="_Toc443645007"/>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0"/>
        </w:sect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
          <w:bCs/>
        </w:rPr>
      </w:pPr>
      <w:r>
        <w:rPr>
          <w:b/>
          <w:bCs/>
        </w:rPr>
        <w:t>1.1 Space Geodesy and Earth Observation</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 xml:space="preserve">Space Geodesy is </w:t>
      </w:r>
      <w:r>
        <w:rPr/>
        <w:t xml:space="preserve">a </w:t>
      </w:r>
      <w:r>
        <w:rPr/>
        <w:t xml:space="preserve">rapidly evolving multidisciplinary scientific field, playing a </w:t>
      </w:r>
      <w:r>
        <w:rPr/>
        <w:t>crucial</w:t>
      </w:r>
      <w:r>
        <w:rPr/>
        <w:t xml:space="preserve"> role in a series of applications </w:t>
      </w:r>
      <w:r>
        <w:rPr/>
        <w:t>and research areas including Earth monitoring, navigation and positioning, climate studies, earthquake and volcano monitoring, spacecraft navigation, Earth’s interior and geodynamic research, astronomy and fundamental physics</w:t>
      </w:r>
      <w:r>
        <w:rPr/>
        <w:t xml:space="preserve">.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w:t>
      </w:r>
      <w:r>
        <w:rPr/>
        <w:t>S</w:t>
      </w:r>
      <w:r>
        <w:rPr/>
        <w:t xml:space="preserve">pace </w:t>
      </w:r>
      <w:r>
        <w:rPr/>
        <w:t>G</w:t>
      </w:r>
      <w:r>
        <w:rPr/>
        <w:t>eodesy provides the fundamental data and measurements that underpin various scientific, environmental, and practical applications essential for our understanding of Earth and space.</w:t>
      </w:r>
    </w:p>
    <w:p>
      <w:pPr>
        <w:pStyle w:val="Normal"/>
        <w:widowControl/>
        <w:spacing w:before="0" w:after="200"/>
        <w:jc w:val="both"/>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w:t>
      </w:r>
      <w:r>
        <w:rPr/>
        <w:t xml:space="preserve">Sentinel series (Sentinel-3, 4, 5 and 6) and the </w:t>
      </w:r>
      <w:r>
        <w:rPr>
          <w:b w:val="false"/>
          <w:bCs w:val="false"/>
        </w:rPr>
        <w:t xml:space="preserve">Surface Water and Ocean Topography (SWOT) </w:t>
      </w:r>
      <w:r>
        <w:rPr>
          <w:b w:val="false"/>
          <w:bCs w:val="false"/>
        </w:rPr>
        <w:t>mission among others</w:t>
      </w:r>
      <w:r>
        <w:rPr/>
        <w:t xml:space="preserve">, are evidence of the exciting future and renovated importance and expectations of the field. </w:t>
      </w:r>
    </w:p>
    <w:p>
      <w:pPr>
        <w:pStyle w:val="Normal"/>
        <w:widowControl/>
        <w:spacing w:before="0" w:after="200"/>
        <w:jc w:val="both"/>
        <w:rPr/>
      </w:pPr>
      <w:r>
        <w:rPr/>
        <w:t xml:space="preserve">ESA’s most ambitious Earth observation program to date, COPERNICUS, </w:t>
      </w:r>
      <w:r>
        <w:rPr/>
        <w:t xml:space="preserve">headed by the European Commission (EC) in partnership with the European Space Agency (ESA), </w:t>
      </w:r>
      <w:r>
        <w:rPr/>
        <w:t>heavily depends on and contributes to Space Geodesy. The GEO international partnership (</w:t>
      </w:r>
      <w:hyperlink r:id="rId9">
        <w:r>
          <w:rPr>
            <w:rStyle w:val="InternetLink"/>
          </w:rPr>
          <w:t>https://www.earthobservations.org/index.php</w:t>
        </w:r>
      </w:hyperlink>
      <w:r>
        <w:rPr/>
        <w:t xml:space="preserve">) and its </w:t>
      </w:r>
      <w:r>
        <w:rPr/>
        <w:t xml:space="preserve">Global Earth Observation System of Systems (GEOSS) </w:t>
      </w:r>
      <w:r>
        <w:rPr/>
        <w:t>initiative (</w:t>
      </w:r>
      <w:hyperlink r:id="rId10">
        <w:r>
          <w:rPr>
            <w:rStyle w:val="InternetLink"/>
          </w:rPr>
          <w:t>https://www.earthobservations.org/geoss.php</w:t>
        </w:r>
      </w:hyperlink>
      <w:r>
        <w:rPr/>
        <w:t>) as well as the Global Geodetic Observing System (GGOS) (</w:t>
      </w:r>
      <w:hyperlink r:id="rId11">
        <w:r>
          <w:rPr>
            <w:rStyle w:val="InternetLink"/>
          </w:rPr>
          <w:t>https://ggos.org/</w:t>
        </w:r>
      </w:hyperlink>
      <w:r>
        <w:rPr/>
        <w:t>), both established in the last two decades, underpin the global interest in a</w:t>
      </w:r>
      <w:r>
        <w:rPr>
          <w:rStyle w:val="StrongEmphasis"/>
          <w:b w:val="false"/>
          <w:bCs w:val="false"/>
        </w:rPr>
        <w:t>dvancing our understanding of the dynamic Earth system by quantifying our planet’s changes in space and time.</w:t>
      </w:r>
    </w:p>
    <w:p>
      <w:pPr>
        <w:pStyle w:val="Normal"/>
        <w:widowControl/>
        <w:spacing w:before="0" w:after="200"/>
        <w:jc w:val="both"/>
        <w:rPr>
          <w:b/>
          <w:b/>
          <w:bCs/>
        </w:rPr>
      </w:pPr>
      <w:r>
        <w:rPr>
          <w:b/>
          <w:bCs/>
        </w:rPr>
        <w:t>1.2 NTUA and Space Geodesy in Greece</w:t>
      </w:r>
    </w:p>
    <w:p>
      <w:pPr>
        <w:pStyle w:val="Normal"/>
        <w:widowControl/>
        <w:spacing w:before="0" w:after="200"/>
        <w:jc w:val="both"/>
        <w:rPr/>
      </w:pPr>
      <w:r>
        <w:rPr/>
        <w:t xml:space="preserve">Space Geodesy can also provide crucial insight on a regional scale. </w:t>
      </w:r>
      <w:r>
        <w:rPr/>
        <w:t>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academic and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The lack of a dedicated excellence center in the field of Space Geodesy, is also reflected in the limited involvement of Greece in one of the currently fastest blooming markets internationally, that of Space. Lack of expertise and a modern knowledge hub in the field are definitely factors that should be swiftly addressed to reverse the current situation.</w:t>
      </w:r>
    </w:p>
    <w:p>
      <w:pPr>
        <w:pStyle w:val="Normal"/>
        <w:widowControl/>
        <w:spacing w:before="0" w:after="200"/>
        <w:jc w:val="both"/>
        <w:rPr>
          <w:b/>
          <w:b/>
          <w:bCs/>
        </w:rPr>
      </w:pPr>
      <w:r>
        <w:rPr>
          <w:b/>
          <w:bCs/>
        </w:rPr>
        <w:t xml:space="preserve">1.3 Center of Excellence for Space Geodesy in Greece </w:t>
      </w:r>
    </w:p>
    <w:p>
      <w:pPr>
        <w:pStyle w:val="Normal"/>
        <w:widowControl/>
        <w:spacing w:before="0" w:after="20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 xml:space="preserve">Create a dedicated task force trained in research project claiming, submission and management and boost </w:t>
      </w:r>
      <w:r>
        <w:rPr/>
        <w:t>host’s</w:t>
      </w:r>
      <w:r>
        <w:rPr/>
        <w:t xml:space="preserve"> success rate in research funding bids. </w:t>
      </w:r>
      <w:r>
        <w:rPr>
          <w:rFonts w:ascii="Times New Roman" w:hAnsi="Times New Roman"/>
          <w:lang w:val="en-GB"/>
        </w:rPr>
        <w:t xml:space="preserve">Enhance the host's capacity in partnership-building, preparation and carrying out of research proposals funded by national authorities, the European Commission (EC) and the European Space Agency (ESA). </w:t>
      </w:r>
      <w:r>
        <w:rPr/>
        <w:t xml:space="preserve">Increase financial support </w:t>
      </w:r>
      <w:r>
        <w:rPr/>
        <w:t xml:space="preserve">capabilities </w:t>
      </w:r>
      <w:r>
        <w:rPr/>
        <w:t>for its research activities (both in the long-run and for the duration of ACRONYM) and its ability and capacity to attract talented young scientists.</w:t>
      </w:r>
    </w:p>
    <w:p>
      <w:pPr>
        <w:pStyle w:val="Normal"/>
        <w:widowControl/>
        <w:numPr>
          <w:ilvl w:val="0"/>
          <w:numId w:val="7"/>
        </w:numPr>
        <w:spacing w:before="0" w:after="200"/>
        <w:jc w:val="both"/>
        <w:rPr/>
      </w:pPr>
      <w:r>
        <w:rPr/>
        <w:t xml:space="preserve">Establish a national (Greek) ecosystem of space related stakeholders, including universities, research institutes and (private) companies; promote innovation, networking and dissemination of scientific expertise and advancements. </w:t>
      </w:r>
      <w:r>
        <w:rPr/>
        <w:t>Boost Greece’s involvement and role in the space and earth observation areas</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 xml:space="preserve">Within the framework of ACRONYM, synergies are proposed with leading experts in the techniques of DORIS, SLR and VLBI with the aim of closing the knowledge and technological gap and thus significantly strengthening NTUA's academic and research capacity and potential. </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optionally one Post-Doc student  per technique. This allocation is expected to significantly enhance knowledge assimilation, create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jc w:val="both"/>
        <w:rPr/>
      </w:pPr>
      <w:r>
        <w:rPr>
          <w:rFonts w:ascii="Times New Roman" w:hAnsi="Times New Roman"/>
          <w:lang w:val="en-GB"/>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 xml:space="preserve">Knowledge transfer will flow from the expert nodes to the (per-technique) dedicated task force at NTUA. The aim here is twofold: on the one hand establish a seamless knowledge flow between the twinning partners and on the other hand introduce and train the dedicated task force on the Space Geodetic techniques, so that they gain a deep understanding of the methodologies involved. Lectures, on-line training courses, presentation of relevant bibliography, venture labs and one-on-one communication will take place to accommodate flow of expertise.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and respective validation procedures. </w:t>
      </w:r>
    </w:p>
    <w:p>
      <w:pPr>
        <w:pStyle w:val="Normal"/>
        <w:spacing w:before="0" w:after="200"/>
        <w:jc w:val="both"/>
        <w:rPr/>
      </w:pPr>
      <w:r>
        <w:rPr/>
        <w:t>The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jc w:val="both"/>
        <w:rPr/>
      </w:pPr>
      <w:r>
        <w:rPr/>
        <w:t>This second phase of capacity building, will also include dedicated webinars and venture labs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jc w:val="both"/>
        <w:rPr/>
      </w:pPr>
      <w:r>
        <w:rPr/>
        <w:t>In order to further enhance NTUA’s research capacity and funding capabilities and resources, knowledge and expertise transfer will expand beyond technical matters, to include coaching on research proposal preparation/writing, submission and management (WP2). A dedicated task force will be established at NTUA, that will be targeting funding bids on a national and European level, with the aim of enhancing its ability to claim funding bids.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jc w:val="both"/>
        <w:rPr/>
      </w:pPr>
      <w:r>
        <w:rPr/>
        <w:t xml:space="preserve">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w:t>
      </w:r>
    </w:p>
    <w:p>
      <w:pPr>
        <w:pStyle w:val="Normal"/>
        <w:spacing w:before="0" w:after="200"/>
        <w:jc w:val="both"/>
        <w:rPr/>
      </w:pPr>
      <w:r>
        <w:rPr/>
        <w:t>Further strengthening of the host’s networking activities and prominence will be seeked through the consortium’s presence in at le</w:t>
      </w:r>
      <w:r>
        <w:rPr>
          <w:shd w:fill="auto" w:val="clear"/>
        </w:rPr>
        <w:t xml:space="preserve">ast five international conferences, where outcomes of ACRONYM will be presented. If possible, the host will </w:t>
      </w:r>
      <w:r>
        <w:rPr/>
        <w:t>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jc w:val="both"/>
        <w:rPr/>
      </w:pPr>
      <w:r>
        <w:rPr/>
        <w:t>Special care will be taken for efficiently disseminating the results and outcomes of ACRONYM. Besides adhering to an  open-science policy (see 1.2.1), the consortium will organize a three-day summer school on Space Geodesy to take place in Greece. The goal here will be to introduce space geodetic techniques as well as recent trends, applications and use cases to the Greek ecosystem of involved in Space studies and Geosciences. This will include public research institutions, universities and private sector organizations/companies. OSO, IPGP and GFZ will all be present and give presentations and/or lectures in their respective areas of expertise. NTUA will present the ongoing effort to establish a center of excellence for Space Geodesy in Greece, ACRONYM results and outcomes (e.g. software tools and products), expected impact and possible synergy opportunities.</w:t>
      </w:r>
    </w:p>
    <w:p>
      <w:pPr>
        <w:pStyle w:val="Normal"/>
        <w:spacing w:before="0" w:after="200"/>
        <w:jc w:val="both"/>
        <w:rPr/>
      </w:pPr>
      <w:r>
        <w:rPr/>
        <w:t>Additionally, one info-day/seminar will take place in Greece, 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of involved institutes in Space studies and Geosciences, with special focus on companies and stakeholders active in the field. Both the summer schools and the seminar are additionally expected to strengthen ties and networking within the national ecosystem.</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jc w:val="both"/>
        <w:rPr/>
      </w:pPr>
      <w:r>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FFFF00" w:val="clear"/>
          <w:lang w:val="en-GB"/>
        </w:rPr>
        <w:t>Impact</w:t>
      </w:r>
    </w:p>
    <w:p>
      <w:pPr>
        <w:pStyle w:val="Normal"/>
        <w:spacing w:before="0" w:after="200"/>
        <w:jc w:val="both"/>
        <w:rPr>
          <w:lang w:val="en-GB"/>
        </w:rPr>
      </w:pPr>
      <w:r>
        <w:rPr>
          <w:rFonts w:ascii="Times New Roman" w:hAnsi="Times New Roman"/>
          <w:b/>
          <w:lang w:val="en-GB"/>
        </w:rPr>
        <w:t>2.1</w:t>
        <w:tab/>
      </w:r>
      <w:r>
        <w:rPr>
          <w:rFonts w:ascii="Times New Roman" w:hAnsi="Times New Roman"/>
          <w:b/>
          <w:shd w:fill="FFFF00" w:val="clear"/>
          <w:lang w:val="en-GB"/>
        </w:rPr>
        <w:t>Project’s pathways towards impact</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
          <w:bCs/>
        </w:rPr>
      </w:pPr>
      <w:r>
        <w:rPr>
          <w:rFonts w:ascii="Times New Roman" w:hAnsi="Times New Roman"/>
          <w:b/>
          <w:bCs/>
          <w:shd w:fill="FFFF00" w:val="clear"/>
          <w:lang w:val="en-GB"/>
        </w:rPr>
        <w:t>todo</w:t>
      </w:r>
    </w:p>
    <w:p>
      <w:pPr>
        <w:sectPr>
          <w:headerReference w:type="even" r:id="rId12"/>
          <w:headerReference w:type="default" r:id="rId13"/>
          <w:headerReference w:type="first" r:id="rId14"/>
          <w:footerReference w:type="default" r:id="rId15"/>
          <w:type w:val="nextPage"/>
          <w:pgSz w:w="11906" w:h="16838"/>
          <w:pgMar w:left="1134" w:right="1134" w:gutter="0" w:header="720" w:top="1134" w:footer="720" w:bottom="1134"/>
          <w:pgNumType w:fmt="decimal"/>
          <w:formProt w:val="false"/>
          <w:textDirection w:val="lrTb"/>
          <w:docGrid w:type="default" w:linePitch="100" w:charSpace="0"/>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5"/>
      </w:tblGrid>
      <w:tr>
        <w:trPr>
          <w:trHeight w:val="124" w:hRule="atLeast"/>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rPr/>
            </w:pPr>
            <w:r>
              <w:rPr>
                <w:color w:val="000000"/>
                <w:lang w:val="en-GB"/>
              </w:rPr>
              <w:t>Closing of the scientific gap between top class European institutes and Greece in the field of Space Geodesy.</w:t>
            </w:r>
          </w:p>
          <w:p>
            <w:pPr>
              <w:pStyle w:val="Normal"/>
              <w:widowControl w:val="false"/>
              <w:rPr/>
            </w:pPr>
            <w:r>
              <w:rPr/>
            </w:r>
          </w:p>
          <w:p>
            <w:pPr>
              <w:pStyle w:val="Normal"/>
              <w:widowControl w:val="false"/>
              <w:rPr/>
            </w:pPr>
            <w:r>
              <w:rPr>
                <w:color w:val="000000"/>
                <w:lang w:val="en-GB"/>
              </w:rPr>
              <w:t>Enhancement of research capacity of NTUA in terms of technical assets, expertise and qualified staff.</w:t>
            </w:r>
          </w:p>
          <w:p>
            <w:pPr>
              <w:pStyle w:val="Normal"/>
              <w:widowControl w:val="false"/>
              <w:rPr/>
            </w:pPr>
            <w:r>
              <w:rPr/>
            </w:r>
          </w:p>
          <w:p>
            <w:pPr>
              <w:pStyle w:val="Normal"/>
              <w:widowControl w:val="false"/>
              <w:rPr/>
            </w:pPr>
            <w:r>
              <w:rPr>
                <w:color w:val="000000"/>
                <w:lang w:val="en-GB"/>
              </w:rPr>
              <w:t>Improve prestige and international standing of the host institute.</w:t>
            </w:r>
          </w:p>
          <w:p>
            <w:pPr>
              <w:pStyle w:val="Normal"/>
              <w:widowControl w:val="false"/>
              <w:rPr/>
            </w:pPr>
            <w:r>
              <w:rPr/>
            </w:r>
          </w:p>
          <w:p>
            <w:pPr>
              <w:pStyle w:val="Normal"/>
              <w:widowControl w:val="false"/>
              <w:rPr/>
            </w:pPr>
            <w:r>
              <w:rPr>
                <w:color w:val="000000"/>
                <w:lang w:val="en-GB"/>
              </w:rPr>
              <w:t>Establish a network of top-class collaborators and boost involvement in high-esteem consortia.</w:t>
            </w:r>
          </w:p>
          <w:p>
            <w:pPr>
              <w:pStyle w:val="Normal"/>
              <w:widowControl w:val="false"/>
              <w:rPr/>
            </w:pPr>
            <w:r>
              <w:rPr/>
            </w:r>
          </w:p>
          <w:p>
            <w:pPr>
              <w:pStyle w:val="Normal"/>
              <w:widowControl w:val="false"/>
              <w:rPr/>
            </w:pPr>
            <w:r>
              <w:rPr>
                <w:rFonts w:ascii="Times New Roman" w:hAnsi="Times New Roman"/>
                <w:color w:val="000000"/>
                <w:lang w:val="en-GB"/>
              </w:rPr>
              <w:t>Increase funding capabilities and resources for research (project claiming).</w:t>
            </w:r>
          </w:p>
          <w:p>
            <w:pPr>
              <w:pStyle w:val="Normal"/>
              <w:widowControl w:val="false"/>
              <w:rPr/>
            </w:pPr>
            <w:r>
              <w:rPr/>
            </w:r>
          </w:p>
          <w:p>
            <w:pPr>
              <w:pStyle w:val="Normal"/>
              <w:widowControl w:val="false"/>
              <w:rPr/>
            </w:pPr>
            <w:r>
              <w:rPr>
                <w:color w:val="000000"/>
                <w:lang w:val="en-GB"/>
              </w:rPr>
              <w:t>Boost Greece’s involvement and innovation in the wider field of Space studies and Geosciences and establish a national ecosystem in the field.</w:t>
            </w:r>
          </w:p>
          <w:p>
            <w:pPr>
              <w:pStyle w:val="Normal"/>
              <w:widowControl w:val="false"/>
              <w:rPr/>
            </w:pPr>
            <w:r>
              <w:rPr/>
            </w:r>
          </w:p>
          <w:p>
            <w:pPr>
              <w:pStyle w:val="Normal"/>
              <w:widowControl w:val="false"/>
              <w:rPr>
                <w:rFonts w:ascii="Times New Roman" w:hAnsi="Times New Roman"/>
                <w:i/>
                <w:i/>
                <w:color w:val="00B0F0"/>
              </w:rPr>
            </w:pPr>
            <w:r>
              <w:rPr>
                <w:rFonts w:ascii="Times New Roman" w:hAnsi="Times New Roman"/>
                <w:i/>
                <w:color w:val="00B0F0"/>
              </w:rPr>
            </w:r>
          </w:p>
        </w:tc>
      </w:tr>
      <w:tr>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rPr>
                <w:color w:val="000000"/>
              </w:rPr>
            </w:pPr>
            <w:r>
              <w:rPr>
                <w:rFonts w:ascii="Times New Roman" w:hAnsi="Times New Roman"/>
                <w:b/>
                <w:bCs/>
                <w:color w:val="000000"/>
                <w:lang w:val="en-GB"/>
              </w:rPr>
              <w:t>Exploitation:</w:t>
            </w:r>
            <w:r>
              <w:rPr>
                <w:rFonts w:ascii="Times New Roman" w:hAnsi="Times New Roman"/>
                <w:color w:val="000000"/>
                <w:lang w:val="en-GB"/>
              </w:rPr>
              <w:t xml:space="preserve"> Release of DORIS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rPr>
                <w:color w:val="000000"/>
              </w:rPr>
            </w:pPr>
            <w:r>
              <w:rPr>
                <w:color w:val="000000"/>
              </w:rPr>
            </w:r>
          </w:p>
          <w:p>
            <w:pPr>
              <w:pStyle w:val="Normal"/>
              <w:widowControl w:val="false"/>
              <w:rPr>
                <w:lang w:val="en-GB"/>
              </w:rPr>
            </w:pPr>
            <w:r>
              <w:rPr>
                <w:rFonts w:ascii="Times New Roman" w:hAnsi="Times New Roman"/>
                <w:b/>
                <w:color w:val="000000"/>
                <w:lang w:val="en-GB"/>
              </w:rPr>
              <w:t xml:space="preserve">Communication towards </w:t>
            </w:r>
            <w:r>
              <w:rPr>
                <w:rFonts w:ascii="Times New Roman" w:hAnsi="Times New Roman"/>
                <w:b/>
                <w:bCs/>
                <w:color w:val="000000"/>
                <w:lang w:val="en-GB"/>
              </w:rPr>
              <w:t>the scientific community and Space Industry</w:t>
            </w:r>
            <w:r>
              <w:rPr>
                <w:rFonts w:ascii="Times New Roman" w:hAnsi="Times New Roman"/>
                <w:b/>
                <w:color w:val="000000"/>
                <w:lang w:val="en-GB"/>
              </w:rPr>
              <w:t xml:space="preserve">: </w:t>
            </w:r>
            <w:r>
              <w:rPr>
                <w:rFonts w:ascii="Times New Roman" w:hAnsi="Times New Roman"/>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rPr/>
            </w:pPr>
            <w:r>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DORIS data.</w:t>
            </w:r>
          </w:p>
          <w:p>
            <w:pPr>
              <w:pStyle w:val="Normal"/>
              <w:widowControl w:val="false"/>
              <w:rPr>
                <w:lang w:val="en-GB"/>
              </w:rPr>
            </w:pPr>
            <w:r>
              <w:rPr>
                <w:lang w:val="en-GB"/>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SLR data.</w:t>
            </w:r>
          </w:p>
          <w:p>
            <w:pPr>
              <w:pStyle w:val="Normal"/>
              <w:widowControl w:val="false"/>
              <w:rPr>
                <w:lang w:val="en-GB"/>
              </w:rPr>
            </w:pPr>
            <w:r>
              <w:rPr>
                <w:lang w:val="en-GB"/>
              </w:rPr>
            </w:r>
          </w:p>
          <w:p>
            <w:pPr>
              <w:pStyle w:val="Normal"/>
              <w:widowControl w:val="false"/>
              <w:rPr>
                <w:color w:val="000000"/>
              </w:rPr>
            </w:pPr>
            <w:r>
              <w:rPr>
                <w:b/>
                <w:bCs/>
                <w:color w:val="000000"/>
                <w:lang w:val="en-GB"/>
              </w:rPr>
              <w:t>Publications:</w:t>
            </w:r>
            <w:r>
              <w:rPr>
                <w:color w:val="000000"/>
                <w:lang w:val="en-GB"/>
              </w:rPr>
              <w:t xml:space="preserve"> Three scientific papers in peer-reviewed journals a</w:t>
            </w:r>
            <w:r>
              <w:rPr>
                <w:color w:val="000000"/>
                <w:shd w:fill="auto" w:val="clear"/>
                <w:lang w:val="en-GB"/>
              </w:rPr>
              <w:t xml:space="preserve">nd five </w:t>
            </w:r>
            <w:r>
              <w:rPr>
                <w:color w:val="000000"/>
                <w:lang w:val="en-GB"/>
              </w:rPr>
              <w:t>publication in international conferences.</w:t>
            </w:r>
          </w:p>
          <w:p>
            <w:pPr>
              <w:pStyle w:val="Normal"/>
              <w:widowControl w:val="false"/>
              <w:rPr>
                <w:lang w:val="en-GB"/>
              </w:rPr>
            </w:pPr>
            <w:r>
              <w:rPr>
                <w:lang w:val="en-GB"/>
              </w:rPr>
            </w:r>
          </w:p>
          <w:p>
            <w:pPr>
              <w:pStyle w:val="Normal"/>
              <w:widowControl w:val="false"/>
              <w:rPr>
                <w:color w:val="000000"/>
              </w:rPr>
            </w:pPr>
            <w:r>
              <w:rPr>
                <w:b/>
                <w:bCs/>
                <w:color w:val="000000"/>
                <w:lang w:val="en-GB"/>
              </w:rPr>
              <w:t>Expertise:</w:t>
            </w:r>
            <w:r>
              <w:rPr>
                <w:color w:val="000000"/>
                <w:lang w:val="en-GB"/>
              </w:rPr>
              <w:t xml:space="preserve"> Three PhD students trained and one Post-Doc trained. NTUA personnel will have gained extended expertise and enhanced its research profile.</w:t>
            </w:r>
          </w:p>
          <w:p>
            <w:pPr>
              <w:pStyle w:val="Normal"/>
              <w:widowControl w:val="false"/>
              <w:rPr>
                <w:lang w:val="en-GB"/>
              </w:rPr>
            </w:pPr>
            <w:r>
              <w:rPr>
                <w:lang w:val="en-GB"/>
              </w:rPr>
            </w:r>
          </w:p>
          <w:p>
            <w:pPr>
              <w:pStyle w:val="Normal"/>
              <w:widowControl w:val="false"/>
              <w:rPr>
                <w:color w:val="000000"/>
              </w:rPr>
            </w:pPr>
            <w:r>
              <w:rPr>
                <w:b/>
                <w:bCs/>
                <w:color w:val="000000"/>
                <w:lang w:val="en-GB"/>
              </w:rPr>
              <w:t>Further Grants and Long Term Plan:</w:t>
            </w:r>
            <w:r>
              <w:rPr>
                <w:color w:val="000000"/>
                <w:lang w:val="en-GB"/>
              </w:rPr>
              <w:t xml:space="preserve"> At least two grant proposals submitted to secure further, long term involvement in state-of-the-art Space Geodesy.</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Involvement:</w:t>
            </w:r>
            <w:r>
              <w:rPr>
                <w:rFonts w:ascii="Times New Roman" w:hAnsi="Times New Roman"/>
                <w:color w:val="000000"/>
                <w:lang w:val="en-GB"/>
              </w:rPr>
              <w:t xml:space="preserve"> Involvement in international, high-prestige consortia such as IDS and IRLS, which shape the future of Space Geodesy.</w:t>
            </w:r>
          </w:p>
          <w:p>
            <w:pPr>
              <w:pStyle w:val="Normal"/>
              <w:widowControl w:val="false"/>
              <w:rPr>
                <w:rFonts w:ascii="Times New Roman" w:hAnsi="Times New Roman"/>
                <w:lang w:val="en-GB"/>
              </w:rPr>
            </w:pPr>
            <w:r>
              <w:rPr>
                <w:rFonts w:ascii="Times New Roman" w:hAnsi="Times New Roman"/>
                <w:lang w:val="en-GB"/>
              </w:rPr>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Scientific community</w:t>
            </w:r>
            <w:r>
              <w:rPr>
                <w:color w:val="000000"/>
                <w:lang w:val="en-GB"/>
              </w:rPr>
              <w:t xml:space="preserve">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of institutions involved in monitoring the region’s unique crust  kinematics/behavior (due to tectonics, seismic events, etc).</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and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rPr>
                <w:i/>
                <w:i/>
                <w:iCs/>
                <w:color w:val="000000"/>
              </w:rPr>
            </w:pPr>
            <w:r>
              <w:rPr>
                <w:b/>
                <w:bCs/>
                <w:i/>
                <w:iCs/>
                <w:color w:val="000000"/>
                <w:lang w:val="en-GB"/>
              </w:rPr>
              <w:t>S</w:t>
            </w:r>
            <w:r>
              <w:rPr>
                <w:b/>
                <w:bCs/>
                <w:color w:val="000000"/>
                <w:lang w:val="en-GB"/>
              </w:rPr>
              <w:t xml:space="preserve">ocietal: </w:t>
            </w:r>
            <w:r>
              <w:rPr>
                <w:color w:val="000000"/>
                <w:lang w:val="en-GB"/>
              </w:rPr>
              <w:t>Quenching of the crowding-out effect of young scientists experienced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Creation of a centre of excellence for Space Geodesy in Greece, with elevated international standing.</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Boost involvement, innovation and expertise for Space studies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Economic/Scientific:</w:t>
            </w:r>
            <w:r>
              <w:rPr>
                <w:color w:val="000000"/>
                <w:lang w:val="en-GB"/>
              </w:rPr>
              <w:t xml:space="preserve"> Boost host institute’s success rate in research funding bids.</w:t>
            </w:r>
          </w:p>
          <w:p>
            <w:pPr>
              <w:pStyle w:val="Normal"/>
              <w:widowControl w:val="false"/>
              <w:rPr>
                <w:color w:val="000000"/>
              </w:rPr>
            </w:pPr>
            <w:r>
              <w:rPr>
                <w:color w:val="000000"/>
              </w:rPr>
            </w:r>
          </w:p>
          <w:p>
            <w:pPr>
              <w:pStyle w:val="Normal"/>
              <w:widowControl w:val="false"/>
              <w:rPr/>
            </w:pPr>
            <w:r>
              <w:rPr>
                <w:rFonts w:ascii="Times New Roman" w:hAnsi="Times New Roman"/>
                <w:b/>
                <w:bCs/>
                <w:color w:val="000000"/>
                <w:lang w:val="en-GB"/>
              </w:rPr>
              <w:t>Scientific:</w:t>
            </w:r>
            <w:r>
              <w:rPr>
                <w:rFonts w:ascii="Times New Roman" w:hAnsi="Times New Roman"/>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sectPr>
          <w:headerReference w:type="default" r:id="rId16"/>
          <w:footerReference w:type="default" r:id="rId17"/>
          <w:type w:val="nextPage"/>
          <w:pgSz w:orient="landscape" w:w="16838" w:h="11906"/>
          <w:pgMar w:left="851" w:right="851" w:gutter="0" w:header="720" w:top="851" w:footer="720" w:bottom="851"/>
          <w:pgNumType w:fmt="decimal"/>
          <w:formProt w:val="false"/>
          <w:textDirection w:val="lrTb"/>
          <w:docGrid w:type="default" w:linePitch="100" w:charSpace="0"/>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rPr>
                <w:lang w:val="en-GB"/>
              </w:rPr>
            </w:pPr>
            <w:r>
              <w:rPr/>
              <w:t xml:space="preserve">The objective of this WP is to ensure </w:t>
            </w:r>
            <w:r>
              <w:rPr/>
              <w:t xml:space="preserve">successful </w:t>
            </w:r>
            <w:r>
              <w:rPr/>
              <w:t>implementation of project activities and timely delivery of high-quality results, so that by the end of implementation life the project achieves its overall goal and fulfills all foreseen objectives as given in the Proposal. In more detail, specific aims target</w:t>
            </w:r>
            <w:r>
              <w:rPr/>
              <w:t>ed</w:t>
            </w:r>
            <w:r>
              <w:rPr/>
              <w:t xml:space="preserve"> at this WP are:</w:t>
            </w:r>
          </w:p>
          <w:p>
            <w:pPr>
              <w:pStyle w:val="Normal"/>
              <w:widowControl w:val="false"/>
              <w:numPr>
                <w:ilvl w:val="0"/>
                <w:numId w:val="12"/>
              </w:numPr>
              <w:spacing w:before="60" w:after="60"/>
              <w:rPr>
                <w:lang w:val="en-GB"/>
              </w:rPr>
            </w:pPr>
            <w:r>
              <w:rPr/>
              <w:t>Establish a strong project management scheme</w:t>
            </w:r>
          </w:p>
          <w:p>
            <w:pPr>
              <w:pStyle w:val="Normal"/>
              <w:widowControl w:val="false"/>
              <w:numPr>
                <w:ilvl w:val="0"/>
                <w:numId w:val="12"/>
              </w:numPr>
              <w:spacing w:before="60" w:after="60"/>
              <w:rPr>
                <w:lang w:val="en-GB"/>
              </w:rPr>
            </w:pPr>
            <w:r>
              <w:rPr/>
              <w:t>Establish appropriate communication and reporting channels to the European Commission</w:t>
            </w:r>
          </w:p>
          <w:p>
            <w:pPr>
              <w:pStyle w:val="Normal"/>
              <w:widowControl w:val="false"/>
              <w:numPr>
                <w:ilvl w:val="0"/>
                <w:numId w:val="12"/>
              </w:numPr>
              <w:spacing w:before="60" w:after="60"/>
              <w:rPr>
                <w:lang w:val="en-GB"/>
              </w:rPr>
            </w:pPr>
            <w:r>
              <w:rPr/>
              <w:t>Ensure successful achievement of the project objectives on time and within budget</w:t>
            </w:r>
          </w:p>
          <w:p>
            <w:pPr>
              <w:pStyle w:val="Normal"/>
              <w:widowControl w:val="false"/>
              <w:numPr>
                <w:ilvl w:val="0"/>
                <w:numId w:val="12"/>
              </w:numPr>
              <w:spacing w:before="60" w:after="60"/>
              <w:rPr>
                <w:lang w:val="en-GB"/>
              </w:rPr>
            </w:pPr>
            <w:r>
              <w:rPr/>
              <w:t>Establish an efficient electronic service for communications, and document exchanging</w:t>
            </w:r>
          </w:p>
          <w:p>
            <w:pPr>
              <w:pStyle w:val="Normal"/>
              <w:widowControl w:val="false"/>
              <w:numPr>
                <w:ilvl w:val="0"/>
                <w:numId w:val="12"/>
              </w:numPr>
              <w:spacing w:before="60" w:after="60"/>
              <w:rPr>
                <w:lang w:val="en-GB"/>
              </w:rPr>
            </w:pPr>
            <w:r>
              <w:rPr/>
              <w:t>Conduct continuous quality assurance activities for the operation of the project and the production of its results within its lifespan</w:t>
            </w:r>
          </w:p>
          <w:p>
            <w:pPr>
              <w:pStyle w:val="Normal"/>
              <w:widowControl w:val="false"/>
              <w:numPr>
                <w:ilvl w:val="0"/>
                <w:numId w:val="12"/>
              </w:numPr>
              <w:spacing w:before="60" w:after="60"/>
              <w:rPr>
                <w:lang w:val="en-GB"/>
              </w:rPr>
            </w:pPr>
            <w:r>
              <w:rPr/>
              <w:t>Ensure continuous monitoring of the project’s progress and timely initiation of corrective actions (if needed)</w:t>
            </w:r>
          </w:p>
          <w:p>
            <w:pPr>
              <w:pStyle w:val="Normal"/>
              <w:widowControl w:val="false"/>
              <w:numPr>
                <w:ilvl w:val="0"/>
                <w:numId w:val="12"/>
              </w:numPr>
              <w:spacing w:before="60" w:after="60"/>
              <w:rPr>
                <w:lang w:val="en-GB"/>
              </w:rPr>
            </w:pPr>
            <w:r>
              <w:rPr/>
              <w:t>Coordinate the organization and execution of the various project meetings, and/or participation of the project in various external or self-organized events</w:t>
            </w:r>
          </w:p>
          <w:p>
            <w:pPr>
              <w:pStyle w:val="Normal"/>
              <w:widowControl w:val="false"/>
              <w:numPr>
                <w:ilvl w:val="0"/>
                <w:numId w:val="12"/>
              </w:numPr>
              <w:spacing w:before="60" w:after="60"/>
              <w:rPr>
                <w:lang w:val="en-GB"/>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original workplan from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
                <w:bCs/>
                <w:highlight w:val="none"/>
                <w:shd w:fill="FFFF00" w:val="clear"/>
              </w:rPr>
            </w:pPr>
            <w:r>
              <w:rPr>
                <w:b/>
                <w:bCs/>
                <w:shd w:fill="FFFF00" w:val="clear"/>
              </w:rPr>
              <w:t>Task 1.X Kick-Off Meeting (M1-3); Lead: OSO</w:t>
            </w:r>
          </w:p>
          <w:p>
            <w:pPr>
              <w:pStyle w:val="Normal"/>
              <w:widowControl w:val="false"/>
              <w:spacing w:before="60" w:after="60"/>
              <w:rPr>
                <w:b w:val="false"/>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 w:val="false"/>
                <w:bCs w:val="false"/>
                <w:highlight w:val="none"/>
                <w:shd w:fill="FFFF00" w:val="clear"/>
              </w:rPr>
            </w:pPr>
            <w:r>
              <w:rPr>
                <w:b w:val="false"/>
                <w:bCs w:val="false"/>
                <w:shd w:fill="FFFF00" w:val="clear"/>
              </w:rPr>
            </w:r>
          </w:p>
          <w:p>
            <w:pPr>
              <w:pStyle w:val="Normal"/>
              <w:widowControl w:val="false"/>
              <w:spacing w:before="60" w:after="60"/>
              <w:jc w:val="both"/>
              <w:rPr>
                <w:b/>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60" w:after="60"/>
              <w:rPr>
                <w:lang w:val="en-GB"/>
              </w:rPr>
            </w:pPr>
            <w:r>
              <w:rPr>
                <w:rFonts w:ascii="Times New Roman" w:hAnsi="Times New Roman"/>
                <w:b/>
                <w:lang w:val="en-GB"/>
              </w:rPr>
              <w:t>Objectives</w:t>
            </w:r>
          </w:p>
          <w:p>
            <w:pPr>
              <w:pStyle w:val="Normal"/>
              <w:widowControl w:val="false"/>
              <w:spacing w:before="60" w:after="60"/>
              <w:rPr>
                <w:b w:val="false"/>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 xml:space="preserve">establish </w:t>
            </w:r>
            <w:r>
              <w:rPr>
                <w:rFonts w:ascii="Times New Roman" w:hAnsi="Times New Roman"/>
                <w:b w:val="false"/>
                <w:bCs w:val="false"/>
                <w:lang w:val="en-GB"/>
              </w:rPr>
              <w:t xml:space="preserve">efficient and solid </w:t>
            </w:r>
            <w:r>
              <w:rPr>
                <w:rFonts w:ascii="Times New Roman" w:hAnsi="Times New Roman"/>
                <w:b w:val="false"/>
                <w:bCs w:val="false"/>
                <w:lang w:val="en-GB"/>
              </w:rPr>
              <w:t xml:space="preserve">networking and collaboration between twinning partners </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 xml:space="preserve">introduction of NTUA to </w:t>
            </w:r>
            <w:r>
              <w:rPr>
                <w:rFonts w:ascii="Times New Roman" w:hAnsi="Times New Roman"/>
                <w:b w:val="false"/>
                <w:bCs w:val="false"/>
                <w:lang w:val="en-GB"/>
              </w:rPr>
              <w:t xml:space="preserve">international consortia </w:t>
            </w:r>
            <w:r>
              <w:rPr>
                <w:rFonts w:ascii="Times New Roman" w:hAnsi="Times New Roman"/>
                <w:b w:val="false"/>
                <w:bCs w:val="false"/>
                <w:lang w:val="en-GB"/>
              </w:rPr>
              <w:t>and/or services</w:t>
            </w:r>
            <w:r>
              <w:rPr>
                <w:rFonts w:ascii="Times New Roman" w:hAnsi="Times New Roman"/>
                <w:b w:val="false"/>
                <w:bCs w:val="false"/>
                <w:lang w:val="en-GB"/>
              </w:rPr>
              <w:t xml:space="preserve"> (i.e. IDS, ILRS and IVS)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transfer knowledge (per technique) from expert nodes to the coordinator</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research capacity building (mid-term and long-term)</w:t>
            </w:r>
          </w:p>
          <w:p>
            <w:pPr>
              <w:pStyle w:val="Normal"/>
              <w:widowControl w:val="false"/>
              <w:numPr>
                <w:ilvl w:val="0"/>
                <w:numId w:val="8"/>
              </w:numPr>
              <w:spacing w:before="60" w:after="60"/>
              <w:rPr/>
            </w:pPr>
            <w:r>
              <w:rPr>
                <w:rFonts w:ascii="Times New Roman" w:hAnsi="Times New Roman"/>
                <w:b w:val="false"/>
                <w:bCs w:val="false"/>
                <w:lang w:val="en-GB"/>
              </w:rPr>
              <w:t>recruitment of at least three PhD students and three PostDoc students to support research capacity building</w:t>
            </w:r>
          </w:p>
          <w:p>
            <w:pPr>
              <w:pStyle w:val="Normal"/>
              <w:widowControl w:val="false"/>
              <w:numPr>
                <w:ilvl w:val="0"/>
                <w:numId w:val="8"/>
              </w:numPr>
              <w:spacing w:before="60" w:after="60"/>
              <w:rPr/>
            </w:pPr>
            <w:r>
              <w:rPr>
                <w:rFonts w:ascii="Times New Roman" w:hAnsi="Times New Roman"/>
                <w:b w:val="false"/>
                <w:bCs w:val="false"/>
                <w:lang w:val="en-GB"/>
              </w:rPr>
              <w:t>establish and train a task force at NTUA aiming at boosting its success rate in research funding bids</w:t>
            </w:r>
          </w:p>
          <w:p>
            <w:pPr>
              <w:pStyle w:val="Normal"/>
              <w:widowControl w:val="false"/>
              <w:numPr>
                <w:ilvl w:val="0"/>
                <w:numId w:val="8"/>
              </w:numPr>
              <w:spacing w:before="60" w:after="60"/>
              <w:jc w:val="both"/>
              <w:rPr>
                <w:b/>
                <w:b/>
                <w:bCs/>
              </w:rPr>
            </w:pPr>
            <w:r>
              <w:rPr>
                <w:rFonts w:ascii="Times New Roman" w:hAnsi="Times New Roman"/>
                <w:b w:val="false"/>
                <w:bCs w:val="false"/>
                <w:lang w:val="en-GB"/>
              </w:rPr>
              <w:t>establishment of a Greek ecosystem of partners involved in space-based geosciences and applications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Networking and transfer of knowledge for DORIS (M1-M12); Lead IPGP</w:t>
            </w:r>
          </w:p>
          <w:p>
            <w:pPr>
              <w:pStyle w:val="Normal"/>
              <w:widowControl w:val="false"/>
              <w:spacing w:before="60" w:after="60"/>
              <w:jc w:val="both"/>
              <w:rPr/>
            </w:pPr>
            <w:r>
              <w:rPr>
                <w:lang w:val="en-GB"/>
              </w:rPr>
              <w:t>The host institute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in the host institute via online webinars, virtual training, videos conferences, venture labs and one short term encounter (duration between one and two weeks) of all three involved partners.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The short term visit will be hosted by IPGP and will include the schooling of the host’s personnel and its training on software tools used by the expert nodes in their respective institutes.</w:t>
            </w:r>
          </w:p>
          <w:p>
            <w:pPr>
              <w:pStyle w:val="Normal"/>
              <w:widowControl w:val="false"/>
              <w:spacing w:before="60" w:after="60"/>
              <w:jc w:val="both"/>
              <w:rPr/>
            </w:pPr>
            <w:r>
              <w:rPr/>
              <w:t>The partners will also decide on a technique-specific PhD thesis and one Post-Doc Thesis, which they will co-supervise, thus strengthening ties and synergies. Both theses will be carried out in NTUA, in close cooperation with the expert nodes, and written/defended in English.</w:t>
            </w:r>
          </w:p>
          <w:p>
            <w:pPr>
              <w:pStyle w:val="Normal"/>
              <w:widowControl w:val="false"/>
              <w:spacing w:before="60" w:after="60"/>
              <w:jc w:val="both"/>
              <w:rPr/>
            </w:pPr>
            <w:r>
              <w:rPr/>
              <w:t>Additionally, exploiting the expertise of the top-class institutes (IPGP and CLS), the partners will draw out a detailed plan on significantly enhancing the host’s research capacity within the time frame of ACRONYM, through designing and implementing a DORIS data analysis toolbox. This plan will include specifications, standards and models as well as hierarchically ordered tasks, eventually leading to reaching state-of-the-art analysis results (i.e. Associate Analysis Center status). The plan will include timely milestones, goals and validation tests.</w:t>
            </w:r>
          </w:p>
          <w:p>
            <w:pPr>
              <w:pStyle w:val="Normal"/>
              <w:widowControl w:val="false"/>
              <w:spacing w:before="60" w:after="60"/>
              <w:jc w:val="both"/>
              <w:rPr/>
            </w:pPr>
            <w:r>
              <w:rPr/>
              <w:t>Furthermore, this three-part consortium will decide on  two technique-related subjects to work on, aiming at two scientific publications in high-impact peer-reviewed scientific journals (impact factor &gt; 2.4).</w:t>
            </w:r>
          </w:p>
          <w:p>
            <w:pPr>
              <w:pStyle w:val="Normal"/>
              <w:widowControl w:val="false"/>
              <w:spacing w:before="60" w:after="60"/>
              <w:jc w:val="both"/>
              <w:rPr/>
            </w:pPr>
            <w:r>
              <w:rPr/>
              <w:t>Expert nodes will introduce the host to the IDS consortium</w:t>
            </w:r>
            <w:r>
              <w:rPr>
                <w:lang w:val="en-GB"/>
              </w:rPr>
              <w:t>,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Networking and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its peers in the host institute via online webinars, virtual training, video conferences, venture labs and one short term encounter (duration between one and two weeks), hosted by GFZ.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GFZ, the two partners will lay out a detailed plan on significantly enhancing the host’s research capacity within the time frame of ACRONYM, through designing and implementing an SLR data analysis toolbox. It will include specifications, standards and models as well as hierarchically ordered tasks, eventually leading to reaching state-of-the-art analysis results (i.e. Associate Analysis Center status). 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GFZ will introduce the host to the ILRS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Networking and preparing research capacity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its peers in the host institute via online webinars, virtual training, video conferences, venture labs and one short term encounter (duration between one and two weeks), hosted by OSO.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OSO, the partners will lay out a detailed plan on significantly enhancing the host’s research capacity within the time frame of ACRONYM, through designing and implementing a geodetic toolbox, specifically aiming at an efficient and accurate handling of Earth orientation parameters, celestial and terrestrial reference frame transformations and modeling of tidal phenomena. This plan will include state-of-the-art standards and models to be used, as well as testing and validation cases. Tasks will be hierarchically ordered in a precision ordered fashion, eventually leading to achieving utmost quality. 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OSO will introduce the host to the IVS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2.4 Enhancing Research Funding Capacity (M1-M24); Lead CLS</w:t>
            </w:r>
          </w:p>
          <w:p>
            <w:pPr>
              <w:pStyle w:val="Normal"/>
              <w:widowControl w:val="false"/>
              <w:spacing w:before="60" w:after="60"/>
              <w:jc w:val="both"/>
              <w:rPr/>
            </w:pPr>
            <w:r>
              <w:rPr>
                <w:lang w:val="en-GB"/>
              </w:rPr>
              <w:t>The host institute will establish a task force made up of six NTUA employees, which will be trained in project funding seeking, proposal writing and efficient research project management and administration, via remote mentoring and coaching. The consortium partners (CLS, IPGP, GFZ and OSO) will transfer technical knowledge, know-how and best practices to the NTUA task force.</w:t>
            </w:r>
          </w:p>
          <w:p>
            <w:pPr>
              <w:pStyle w:val="Normal"/>
              <w:widowControl w:val="false"/>
              <w:spacing w:before="60" w:after="60"/>
              <w:jc w:val="both"/>
              <w:rPr/>
            </w:pPr>
            <w:r>
              <w:rPr/>
              <w:t>The task force along with the partners will be involved in exploring possibilities and capabilities in:</w:t>
            </w:r>
          </w:p>
          <w:p>
            <w:pPr>
              <w:pStyle w:val="Normal"/>
              <w:widowControl w:val="false"/>
              <w:numPr>
                <w:ilvl w:val="0"/>
                <w:numId w:val="11"/>
              </w:numPr>
              <w:spacing w:before="60" w:after="60"/>
              <w:jc w:val="both"/>
              <w:rPr/>
            </w:pPr>
            <w:r>
              <w:rPr/>
              <w:t xml:space="preserve">research funding  possibilities  via </w:t>
            </w:r>
            <w:r>
              <w:rPr>
                <w:lang w:val="en-GB"/>
              </w:rPr>
              <w:t>European research funding pools and consortia (e.g. EU, ESA, etc)</w:t>
            </w:r>
          </w:p>
          <w:p>
            <w:pPr>
              <w:pStyle w:val="Normal"/>
              <w:widowControl w:val="false"/>
              <w:numPr>
                <w:ilvl w:val="0"/>
                <w:numId w:val="11"/>
              </w:numPr>
              <w:spacing w:before="60" w:after="60"/>
              <w:jc w:val="both"/>
              <w:rPr/>
            </w:pPr>
            <w:r>
              <w:rPr>
                <w:rStyle w:val="Strong"/>
                <w:b w:val="false"/>
                <w:bCs w:val="false"/>
              </w:rPr>
              <w:t>collaborative funding (contributions from various stakeholders, such as government agencies, private foundations and industry partners)</w:t>
            </w:r>
          </w:p>
          <w:p>
            <w:pPr>
              <w:pStyle w:val="Normal"/>
              <w:widowControl w:val="false"/>
              <w:numPr>
                <w:ilvl w:val="0"/>
                <w:numId w:val="11"/>
              </w:numPr>
              <w:spacing w:before="60" w:after="60"/>
              <w:jc w:val="both"/>
              <w:rPr/>
            </w:pPr>
            <w:r>
              <w:rPr>
                <w:rStyle w:val="Strong"/>
                <w:b w:val="false"/>
                <w:bCs w:val="false"/>
              </w:rPr>
              <w:t>funding via research consortia and networks (e.g. funding claiming via contribution in international services such as the IDS, ILRS and IVS)</w:t>
            </w:r>
          </w:p>
          <w:p>
            <w:pPr>
              <w:pStyle w:val="Normal"/>
              <w:widowControl w:val="false"/>
              <w:numPr>
                <w:ilvl w:val="0"/>
                <w:numId w:val="11"/>
              </w:numPr>
              <w:spacing w:before="60" w:after="60"/>
              <w:jc w:val="both"/>
              <w:rPr/>
            </w:pPr>
            <w:r>
              <w:rPr>
                <w:rStyle w:val="Strong"/>
                <w:b w:val="false"/>
                <w:bCs w:val="false"/>
              </w:rPr>
              <w:t>public-private partnerships</w:t>
            </w:r>
            <w:r>
              <w:rPr>
                <w:rStyle w:val="Strong"/>
                <w:b w:val="false"/>
                <w:bCs w:val="false"/>
                <w:lang w:val="en-GB"/>
              </w:rPr>
              <w:t>, where partnerships with industry will be seeked for, to support research and development in Space and Earth Observation industry and technology</w:t>
            </w:r>
          </w:p>
          <w:p>
            <w:pPr>
              <w:pStyle w:val="Normal"/>
              <w:widowControl w:val="false"/>
              <w:spacing w:before="60" w:after="60"/>
              <w:jc w:val="both"/>
              <w:rPr/>
            </w:pPr>
            <w:r>
              <w:rPr>
                <w:lang w:val="en-GB"/>
              </w:rPr>
              <w:t>in an effort to significantly enhance future NTUA’s  successful proposal submission rate, secure financial aid for the host’s research activities in the long-run and boost long-term synergy between the consortium partners.</w:t>
            </w:r>
          </w:p>
          <w:p>
            <w:pPr>
              <w:pStyle w:val="Normal"/>
              <w:widowControl w:val="false"/>
              <w:spacing w:before="60" w:after="60"/>
              <w:jc w:val="both"/>
              <w:rPr/>
            </w:pPr>
            <w:r>
              <w:rPr>
                <w:lang w:val="en-GB"/>
              </w:rPr>
              <w:t>The task force along with the partners will decide on a strategic plan for two further research proposals to be submitted within the duration of ACRONYM.</w:t>
            </w:r>
          </w:p>
          <w:p>
            <w:pPr>
              <w:pStyle w:val="Normal"/>
              <w:widowControl w:val="false"/>
              <w:spacing w:before="60" w:after="60"/>
              <w:jc w:val="both"/>
              <w:rPr/>
            </w:pPr>
            <w:r>
              <w:rPr/>
            </w:r>
          </w:p>
          <w:p>
            <w:pPr>
              <w:pStyle w:val="Normal"/>
              <w:widowControl w:val="false"/>
              <w:spacing w:before="60" w:after="60"/>
              <w:jc w:val="both"/>
              <w:rPr>
                <w:b/>
                <w:b/>
                <w:bCs/>
              </w:rPr>
            </w:pPr>
            <w:r>
              <w:rPr>
                <w:b/>
                <w:bCs/>
              </w:rPr>
              <w:t>Task 2.5 Establishing a Greek Ecosystem of Partners in Space-based Geosciences (M6-1</w:t>
            </w:r>
            <w:r>
              <w:rPr>
                <w:b/>
                <w:bCs/>
              </w:rPr>
              <w:t>8</w:t>
            </w:r>
            <w:r>
              <w:rPr>
                <w:b/>
                <w:bCs/>
              </w:rPr>
              <w:t>); Lead NTUA</w:t>
            </w:r>
          </w:p>
          <w:p>
            <w:pPr>
              <w:pStyle w:val="Normal"/>
              <w:widowControl w:val="false"/>
              <w:spacing w:before="60" w:after="60"/>
              <w:jc w:val="both"/>
              <w:rPr/>
            </w:pPr>
            <w:r>
              <w:rPr>
                <w:lang w:val="en-GB"/>
              </w:rPr>
              <w:t>NTUA will take the initiative of bringing together all parties in Greece involved in Space-based geosciences and related applications. This will include  possible industry partners (e.g. Libre Space Foundation (</w:t>
            </w:r>
            <w:hyperlink r:id="rId18">
              <w:r>
                <w:rPr>
                  <w:rStyle w:val="InternetLink"/>
                  <w:lang w:val="en-GB"/>
                </w:rPr>
                <w:t>https://libre.space/</w:t>
              </w:r>
            </w:hyperlink>
            <w:r>
              <w:rPr>
                <w:lang w:val="en-GB"/>
              </w:rPr>
              <w:t>), Geosystems Hellas (</w:t>
            </w:r>
            <w:hyperlink r:id="rId19">
              <w:r>
                <w:rPr>
                  <w:rStyle w:val="InternetLink"/>
                  <w:lang w:val="en-GB"/>
                </w:rPr>
                <w:t>https://www.geosystems-hellas.gr/</w:t>
              </w:r>
            </w:hyperlink>
            <w:r>
              <w:rPr>
                <w:lang w:val="en-GB"/>
              </w:rPr>
              <w:t>), Planetek Hellas (</w:t>
            </w:r>
            <w:hyperlink r:id="rId20">
              <w:r>
                <w:rPr>
                  <w:rStyle w:val="InternetLink"/>
                  <w:lang w:val="en-GB"/>
                </w:rPr>
                <w:t>https://www.planetek.gr/</w:t>
              </w:r>
            </w:hyperlink>
            <w:r>
              <w:rPr>
                <w:lang w:val="en-GB"/>
              </w:rPr>
              <w:t>)), governmental agencies and institutions (e.g. National Observatory of Athens, Beyond Centre (</w:t>
            </w:r>
            <w:hyperlink r:id="rId21">
              <w:r>
                <w:rPr>
                  <w:rStyle w:val="InternetLink"/>
                  <w:lang w:val="en-GB"/>
                </w:rPr>
                <w:t>http://beyond-eocenter.eu/</w:t>
              </w:r>
            </w:hyperlink>
            <w:r>
              <w:rPr>
                <w:lang w:val="en-GB"/>
              </w:rPr>
              <w:t>), Hellenic Group on Earth Observations (</w:t>
            </w:r>
            <w:hyperlink r:id="rId22">
              <w:r>
                <w:rPr>
                  <w:rStyle w:val="InternetLink"/>
                  <w:lang w:val="en-GB"/>
                </w:rPr>
                <w:t>https://www.greekgeo.noa.gr/</w:t>
              </w:r>
            </w:hyperlink>
            <w:r>
              <w:rPr>
                <w:lang w:val="en-GB"/>
              </w:rPr>
              <w:t>)) as well as universities (e.g. Aristotle University of Thessaloniki, National and Kapodistrian University of Athens and the University of West Attica).</w:t>
            </w:r>
          </w:p>
          <w:p>
            <w:pPr>
              <w:pStyle w:val="Normal"/>
              <w:widowControl w:val="false"/>
              <w:spacing w:before="60" w:after="60"/>
              <w:jc w:val="both"/>
              <w:rPr/>
            </w:pPr>
            <w:r>
              <w:rPr/>
              <w:t xml:space="preserve">Two dedicated conferences will be organized by NTUA to take place in Greece, aiming at networking activities and potential collaborations between involved parties. </w:t>
            </w:r>
            <w:r>
              <w:rPr/>
              <w:t>A minimum attendance of 15 individual agencies is expected.</w:t>
            </w:r>
          </w:p>
          <w:p>
            <w:pPr>
              <w:pStyle w:val="Normal"/>
              <w:widowControl w:val="false"/>
              <w:spacing w:before="60" w:after="60"/>
              <w:jc w:val="both"/>
              <w:rPr/>
            </w:pPr>
            <w:r>
              <w:rPr/>
              <w:t>The first conference will focus on presenting ACRONYM’s aims, objectives and anticipated impact, as well as Space-based earth observation research activities currently active at NTUA performed in various laboratories (e.g. remote sensing, positioning and navigation, atmospheric studies, etc).</w:t>
            </w:r>
          </w:p>
          <w:p>
            <w:pPr>
              <w:pStyle w:val="Normal"/>
              <w:widowControl w:val="false"/>
              <w:spacing w:before="60" w:after="60"/>
              <w:jc w:val="both"/>
              <w:rPr/>
            </w:pPr>
            <w:r>
              <w:rPr>
                <w:lang w:val="en-GB"/>
              </w:rPr>
              <w:t>A second, two-day conference will focus on the introduction of the different ecosystem parties, presenting  their fields of expertise, research and industry portfolios, aspirations and future work.</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transfer of knowledge and best practices (per technique) using a “hands-on” approach</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the package will be able to efficiently incorporate recent advances and high-quality products from VLBI analysis.</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enhance NTUA research profile via adherence to a  free and open-source policy (software)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create highly skilled personnel at the host institute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a long term plan for enhancing the host institute’s research capacity and international standing</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networking capacity already established in Task 2.1. Additionally, NTUA’s staff will visit CLS and both CLS and IPGP personnel will make one short visit to NTUA’s facilities, in an effort to further consolidate efficient flow of expertise. The short term visits will have a duration of one to two weeks.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Expert nodes will also introduce aspects of currently active intense research within the DORIS technique as well as IDS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networking capacity already established in Task 2.2. Additionally, NTUA’s staff will visit GFZ and GFZ personnel will make a short visit to NTUA’s facilities, in an effort to further consolidate an efficient flow of expertise. The short term visits will have a duration of one to two weeks.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GFZ will also introduce aspects of currently active intense research within the SLR technique as well as ILRS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networking capacity already established in Task 2.3.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lang w:val="en-GB"/>
              </w:rPr>
              <w:t>Additionally, NTUA’s staff will visit OSO and OSO personnel will make a short visit to NTUA’s facilities, in an effort to further consolidate networking and efficient expertise transfer. The short term visits will have a duration of one to two weeks.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w:t>
            </w:r>
            <w:r>
              <w:rPr>
                <w:b/>
                <w:bCs/>
                <w:shd w:fill="auto" w:val="clear"/>
                <w:lang w:val="en-GB"/>
              </w:rPr>
              <w:t>ask 3.4 Long term plan for centre of excellence (M30-36); Lead NTUA</w:t>
            </w:r>
          </w:p>
          <w:p>
            <w:pPr>
              <w:pStyle w:val="Normal"/>
              <w:widowControl w:val="false"/>
              <w:spacing w:before="60" w:after="60"/>
              <w:jc w:val="both"/>
              <w:rPr/>
            </w:pPr>
            <w:r>
              <w:rPr>
                <w:lang w:val="en-GB"/>
              </w:rPr>
              <w:t xml:space="preserve">The consortium will </w:t>
            </w:r>
            <w:r>
              <w:rPr>
                <w:lang w:val="en-GB"/>
              </w:rPr>
              <w:t xml:space="preserve">thoroughly evaluate the progress performed within the framework of ACRONYM in terms of research capacity; it will then accordingly </w:t>
            </w:r>
            <w:r>
              <w:rPr>
                <w:lang w:val="en-GB"/>
              </w:rPr>
              <w:t>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 xml:space="preserve">Additionally, the consortium will identify weak points in the research capacity built and propose means to mitigate them. </w:t>
            </w:r>
            <w:r>
              <w:rPr>
                <w:lang w:val="en-GB"/>
              </w:rPr>
              <w:t>Finally, it will identify and propose a number of study areas that currently lay in research frontiers and attract international research interest. These focus areas will act as pathways for future evolution and growth of the Centre of Excellence.</w:t>
            </w:r>
          </w:p>
          <w:p>
            <w:pPr>
              <w:pStyle w:val="Normal"/>
              <w:widowControl w:val="false"/>
              <w:spacing w:before="60" w:after="60"/>
              <w:rPr>
                <w:rFonts w:ascii="Times New Roman" w:hAnsi="Times New Roman"/>
                <w:lang w:val="en-GB"/>
              </w:rPr>
            </w:pPr>
            <w:r>
              <w:rPr>
                <w:rFonts w:ascii="Times New Roman" w:hAnsi="Times New Roman"/>
                <w:lang w:val="en-GB"/>
              </w:rPr>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4.5 Dissemination Activities and Support for the Greek Ecosystem (M6-M36); Lead CLS</w:t>
            </w:r>
          </w:p>
          <w:p>
            <w:pPr>
              <w:pStyle w:val="Normal"/>
              <w:widowControl w:val="false"/>
              <w:spacing w:before="60" w:after="60"/>
              <w:jc w:val="both"/>
              <w:rPr>
                <w:b w:val="false"/>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7"/>
        <w:gridCol w:w="2077"/>
        <w:gridCol w:w="1293"/>
        <w:gridCol w:w="1385"/>
        <w:gridCol w:w="1388"/>
        <w:gridCol w:w="1757"/>
        <w:gridCol w:w="1125"/>
      </w:tblGrid>
      <w:tr>
        <w:trPr/>
        <w:tc>
          <w:tcPr>
            <w:tcW w:w="13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Submission of two research proposals for funding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pPr>
            <w:r>
              <w:rPr/>
              <w:t xml:space="preserve">Long term plan for </w:t>
            </w:r>
            <w:r>
              <w:rPr/>
              <w:t>C</w:t>
            </w:r>
            <w:r>
              <w:rPr/>
              <w:t xml:space="preserve">enter of </w:t>
            </w:r>
            <w:r>
              <w:rPr/>
              <w:t>E</w:t>
            </w:r>
            <w:r>
              <w:rPr/>
              <w:t>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D4.4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46"/>
        <w:gridCol w:w="2264"/>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6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4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4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4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4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4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6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4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4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4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4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4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6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12"/>
        <w:gridCol w:w="2425"/>
        <w:gridCol w:w="3828"/>
      </w:tblGrid>
      <w:tr>
        <w:trPr/>
        <w:tc>
          <w:tcPr>
            <w:tcW w:w="381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8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8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81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81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5"/>
        <w:gridCol w:w="1482"/>
        <w:gridCol w:w="1467"/>
        <w:gridCol w:w="1453"/>
        <w:gridCol w:w="3127"/>
      </w:tblGrid>
      <w:tr>
        <w:trPr/>
        <w:tc>
          <w:tcPr>
            <w:tcW w:w="2395"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8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5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2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9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8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9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8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9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8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9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8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5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2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3"/>
      <w:footerReference w:type="default" r:id="rId24"/>
      <w:type w:val="nextPage"/>
      <w:pgSz w:w="11906" w:h="16838"/>
      <w:pgMar w:left="851" w:right="851" w:gutter="0" w:header="720" w:top="851" w:footer="720"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16"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8</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8</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36"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68"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30</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30</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yperlink" Target="https://www.earthobservations.org/index.php" TargetMode="External"/><Relationship Id="rId10" Type="http://schemas.openxmlformats.org/officeDocument/2006/relationships/hyperlink" Target="https://www.earthobservations.org/geoss.php" TargetMode="External"/><Relationship Id="rId11" Type="http://schemas.openxmlformats.org/officeDocument/2006/relationships/hyperlink" Target="https://ggos.org/" TargetMode="Externa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3.xml"/><Relationship Id="rId16" Type="http://schemas.openxmlformats.org/officeDocument/2006/relationships/header" Target="header8.xml"/><Relationship Id="rId17" Type="http://schemas.openxmlformats.org/officeDocument/2006/relationships/footer" Target="footer4.xml"/><Relationship Id="rId18" Type="http://schemas.openxmlformats.org/officeDocument/2006/relationships/hyperlink" Target="https://libre.space/" TargetMode="External"/><Relationship Id="rId19" Type="http://schemas.openxmlformats.org/officeDocument/2006/relationships/hyperlink" Target="https://www.geosystems-hellas.gr/" TargetMode="External"/><Relationship Id="rId20" Type="http://schemas.openxmlformats.org/officeDocument/2006/relationships/hyperlink" Target="https://www.planetek.gr/" TargetMode="External"/><Relationship Id="rId21" Type="http://schemas.openxmlformats.org/officeDocument/2006/relationships/hyperlink" Target="http://beyond-eocenter.eu/" TargetMode="External"/><Relationship Id="rId22" Type="http://schemas.openxmlformats.org/officeDocument/2006/relationships/hyperlink" Target="https://www.greekgeo.noa.gr/" TargetMode="External"/><Relationship Id="rId23" Type="http://schemas.openxmlformats.org/officeDocument/2006/relationships/header" Target="header9.xml"/><Relationship Id="rId24" Type="http://schemas.openxmlformats.org/officeDocument/2006/relationships/footer" Target="footer5.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5388</TotalTime>
  <Application>LibreOffice/7.4.7.2$Linux_X86_64 LibreOffice_project/40$Build-2</Application>
  <AppVersion>15.0000</AppVersion>
  <Pages>32</Pages>
  <Words>10887</Words>
  <Characters>63701</Characters>
  <CharactersWithSpaces>73987</CharactersWithSpaces>
  <Paragraphs>646</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2023-08-09T15:12:10Z</dcterms:modified>
  <cp:revision>296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