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ind w:left="0" w:right="0" w:hanging="0"/>
        <w:rPr>
          <w:lang w:val="en-GB"/>
        </w:rPr>
      </w:pPr>
      <w:r>
        <w:rPr>
          <w:lang w:val="en-GB"/>
        </w:rPr>
      </w:r>
    </w:p>
    <w:p>
      <w:pPr>
        <w:pStyle w:val="Normal"/>
        <w:bidi w:val="0"/>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bidi w:val="0"/>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bidi w:val="0"/>
        <w:spacing w:before="11" w:after="0"/>
        <w:ind w:left="0" w:right="0" w:hanging="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bidi w:val="0"/>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bidi w:val="0"/>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bidi w:val="0"/>
        <w:ind w:left="0" w:right="0" w:hanging="0"/>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bidi w:val="0"/>
        <w:ind w:left="0" w:right="0" w:hanging="0"/>
        <w:jc w:val="center"/>
        <w:rPr>
          <w:lang w:val="en-GB"/>
        </w:rPr>
      </w:pPr>
      <w:r>
        <w:rPr>
          <w:rFonts w:ascii="EC Square Sans Pro Medium" w:hAnsi="EC Square Sans Pro Medium"/>
          <w:b/>
          <w:bCs/>
          <w:sz w:val="48"/>
          <w:szCs w:val="48"/>
          <w:lang w:val="en-GB"/>
        </w:rPr>
        <w:t>Horizon Europe Programme</w:t>
      </w:r>
    </w:p>
    <w:p>
      <w:pPr>
        <w:pStyle w:val="Normal"/>
        <w:bidi w:val="0"/>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bidi w:val="0"/>
        <w:ind w:left="0" w:right="0" w:hanging="0"/>
        <w:jc w:val="center"/>
        <w:rPr>
          <w:lang w:val="en-GB"/>
        </w:rPr>
      </w:pPr>
      <w:r>
        <w:rPr>
          <w:rFonts w:ascii="EC Square Sans Pro Light" w:hAnsi="EC Square Sans Pro Light"/>
          <w:b/>
          <w:bCs/>
          <w:sz w:val="48"/>
          <w:szCs w:val="48"/>
          <w:lang w:val="en-GB"/>
        </w:rPr>
        <w:t>Specific Application Form (HE CSA)</w:t>
      </w:r>
    </w:p>
    <w:p>
      <w:pPr>
        <w:pStyle w:val="Normal"/>
        <w:bidi w:val="0"/>
        <w:ind w:left="0" w:right="0" w:hanging="0"/>
        <w:jc w:val="center"/>
        <w:rPr>
          <w:lang w:val="en-GB"/>
        </w:rPr>
      </w:pPr>
      <w:r>
        <w:rPr>
          <w:rFonts w:ascii="EC Square Sans Pro Light" w:hAnsi="EC Square Sans Pro Light"/>
          <w:b/>
          <w:bCs/>
          <w:sz w:val="48"/>
          <w:szCs w:val="48"/>
          <w:lang w:val="en-GB"/>
        </w:rPr>
        <w:t>HORIZON-WIDERA-2023-ACCESS-02</w:t>
        <w:br/>
      </w:r>
    </w:p>
    <w:p>
      <w:pPr>
        <w:pStyle w:val="Normal"/>
        <w:bidi w:val="0"/>
        <w:ind w:left="0" w:right="0" w:hanging="0"/>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bidi w:val="0"/>
        <w:ind w:left="0" w:right="0" w:hanging="0"/>
        <w:jc w:val="center"/>
        <w:rPr>
          <w:lang w:val="en-GB"/>
        </w:rPr>
      </w:pPr>
      <w:r>
        <w:rPr>
          <w:rFonts w:ascii="EC Square Sans Pro Light" w:hAnsi="EC Square Sans Pro Light"/>
          <w:b/>
          <w:bCs/>
          <w:sz w:val="32"/>
          <w:szCs w:val="32"/>
          <w:lang w:val="en-GB"/>
        </w:rPr>
        <w:t xml:space="preserve">Project proposal – Technical description (Part B) </w:t>
      </w:r>
    </w:p>
    <w:p>
      <w:pPr>
        <w:pStyle w:val="Normal"/>
        <w:bidi w:val="0"/>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74">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bidi w:val="0"/>
                              <w:spacing w:before="0" w:after="0"/>
                              <w:ind w:left="0" w:right="0" w:hanging="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v:fill o:detectmouseclick="t" on="false"/>
                <v:stroke color="#3465a4" joinstyle="round" endcap="flat"/>
                <v:textbox>
                  <w:txbxContent>
                    <w:p>
                      <w:pPr>
                        <w:pStyle w:val="NormalWeb"/>
                        <w:bidi w:val="0"/>
                        <w:spacing w:before="0" w:after="0"/>
                        <w:ind w:left="0" w:right="0" w:hanging="0"/>
                        <w:jc w:val="center"/>
                        <w:rPr/>
                      </w:pPr>
                      <w:r>
                        <w:rPr>
                          <w:rFonts w:cs="Calibri"/>
                          <w:color w:val="A6A6A6"/>
                          <w:sz w:val="72"/>
                          <w:szCs w:val="72"/>
                        </w:rPr>
                        <w:t>Instructions, please remove</w:t>
                      </w:r>
                    </w:p>
                  </w:txbxContent>
                </v:textbox>
                <w10:wrap type="none"/>
              </v:rect>
            </w:pict>
          </mc:Fallback>
        </mc:AlternateContent>
      </w:r>
    </w:p>
    <w:p>
      <w:pPr>
        <w:pStyle w:val="Normal"/>
        <w:bidi w:val="0"/>
        <w:ind w:left="0" w:right="0" w:hanging="0"/>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0"/>
        </w:sectPr>
        <w:pStyle w:val="Normal"/>
        <w:bidi w:val="0"/>
        <w:spacing w:before="11" w:after="0"/>
        <w:ind w:left="0" w:right="0" w:hanging="0"/>
        <w:jc w:val="center"/>
        <w:rPr>
          <w:lang w:val="en-GB"/>
        </w:rPr>
      </w:pPr>
      <w:r>
        <w:rPr>
          <w:rFonts w:ascii="EC Square Sans Pro Light" w:hAnsi="EC Square Sans Pro Light"/>
          <w:b/>
          <w:bCs/>
          <w:sz w:val="28"/>
          <w:szCs w:val="28"/>
          <w:lang w:val="en-GB"/>
        </w:rPr>
        <w:t>14 February 2023</w:t>
      </w:r>
    </w:p>
    <w:p>
      <w:pPr>
        <w:pStyle w:val="Normal"/>
        <w:bidi w:val="0"/>
        <w:ind w:left="0" w:right="0" w:hanging="0"/>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bidi w:val="0"/>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bidi w:val="0"/>
        <w:ind w:left="284" w:right="0"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bidi w:val="0"/>
        <w:ind w:left="284" w:right="0"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bidi w:val="0"/>
        <w:ind w:left="284" w:right="0"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bidi w:val="0"/>
        <w:ind w:left="0" w:right="0" w:hanging="0"/>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rFonts w:ascii="Arial" w:hAnsi="Arial" w:cs="Arial"/>
          <w:sz w:val="18"/>
          <w:szCs w:val="18"/>
          <w:lang w:val="en-GB"/>
        </w:rPr>
      </w:pPr>
      <w:r>
        <w:rPr>
          <w:rFonts w:cs="Arial" w:ascii="Arial" w:hAnsi="Arial"/>
          <w:sz w:val="18"/>
          <w:szCs w:val="18"/>
          <w:lang w:val="en-GB"/>
        </w:rPr>
      </w:r>
    </w:p>
    <w:p>
      <w:pPr>
        <w:pStyle w:val="Normal"/>
        <w:bidi w:val="0"/>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bidi w:val="0"/>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bidi w:val="0"/>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bidi w:val="0"/>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bidi w:val="0"/>
        <w:ind w:left="0" w:right="0" w:hanging="0"/>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bidi w:val="0"/>
        <w:ind w:left="0" w:right="0" w:hanging="0"/>
        <w:jc w:val="both"/>
        <w:rPr>
          <w:rFonts w:ascii="Arial" w:hAnsi="Arial" w:cs="Arial"/>
          <w:color w:val="4AA55B"/>
          <w:sz w:val="18"/>
          <w:szCs w:val="18"/>
          <w:lang w:val="en-GB"/>
        </w:rPr>
      </w:pPr>
      <w:r>
        <w:rPr>
          <w:rFonts w:cs="Arial" w:ascii="Arial" w:hAnsi="Arial"/>
          <w:color w:val="4AA55B"/>
          <w:sz w:val="18"/>
          <w:szCs w:val="18"/>
          <w:lang w:val="en-GB"/>
        </w:rPr>
      </w:r>
    </w:p>
    <w:p>
      <w:pPr>
        <w:pStyle w:val="Normal"/>
        <w:bidi w:val="0"/>
        <w:spacing w:before="11" w:after="0"/>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tabs>
                <w:tab w:val="clear" w:pos="720"/>
              </w:tabs>
              <w:bidi w:val="0"/>
              <w:spacing w:before="120" w:after="60"/>
              <w:ind w:left="0" w:right="0" w:hanging="0"/>
              <w:jc w:val="center"/>
              <w:outlineLvl w:val="1"/>
              <w:rPr>
                <w:lang w:val="en-GB"/>
              </w:rPr>
            </w:pPr>
            <w:bookmarkStart w:id="0" w:name="_Toc445930535"/>
            <w:bookmarkStart w:id="1" w:name="_Toc448828577"/>
            <w:bookmarkStart w:id="2" w:name="_Toc448828797"/>
            <w:bookmarkStart w:id="3" w:name="_Toc448834151"/>
            <w:bookmarkStart w:id="4" w:name="_Toc443645004"/>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tabs>
                <w:tab w:val="clear" w:pos="720"/>
              </w:tabs>
              <w:bidi w:val="0"/>
              <w:spacing w:lineRule="auto" w:line="276" w:before="60" w:after="60"/>
              <w:ind w:left="0" w:right="0" w:hanging="0"/>
              <w:jc w:val="center"/>
              <w:outlineLvl w:val="1"/>
              <w:rPr>
                <w:lang w:val="en-GB"/>
              </w:rPr>
            </w:pPr>
            <w:bookmarkStart w:id="5" w:name="_Toc445930536"/>
            <w:bookmarkStart w:id="6" w:name="_Toc448828578"/>
            <w:bookmarkStart w:id="7" w:name="_Toc448828798"/>
            <w:bookmarkStart w:id="8" w:name="_Toc448834152"/>
            <w:bookmarkStart w:id="9" w:name="_Toc443645005"/>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tabs>
                <w:tab w:val="clear" w:pos="720"/>
              </w:tabs>
              <w:bidi w:val="0"/>
              <w:spacing w:lineRule="auto" w:line="276" w:before="60" w:after="60"/>
              <w:ind w:left="0" w:right="0" w:hanging="0"/>
              <w:jc w:val="center"/>
              <w:outlineLvl w:val="1"/>
              <w:rPr>
                <w:lang w:val="en-GB"/>
              </w:rPr>
            </w:pPr>
            <w:bookmarkStart w:id="10" w:name="_Toc445930537"/>
            <w:bookmarkStart w:id="11" w:name="_Toc448828579"/>
            <w:bookmarkStart w:id="12" w:name="_Toc448828799"/>
            <w:bookmarkStart w:id="13" w:name="_Toc448834153"/>
            <w:bookmarkStart w:id="14" w:name="_Toc443645006"/>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tabs>
                <w:tab w:val="clear" w:pos="720"/>
              </w:tabs>
              <w:bidi w:val="0"/>
              <w:spacing w:lineRule="auto" w:line="276" w:before="60" w:after="60"/>
              <w:ind w:left="0" w:right="0" w:hanging="0"/>
              <w:jc w:val="center"/>
              <w:outlineLvl w:val="1"/>
              <w:rPr>
                <w:lang w:val="en-GB"/>
              </w:rPr>
            </w:pPr>
            <w:bookmarkStart w:id="15" w:name="_Toc445930538"/>
            <w:bookmarkStart w:id="16" w:name="_Toc448828580"/>
            <w:bookmarkStart w:id="17" w:name="_Toc448828800"/>
            <w:bookmarkStart w:id="18" w:name="_Toc448834154"/>
            <w:bookmarkStart w:id="19" w:name="_Toc443645007"/>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tabs>
                <w:tab w:val="clear" w:pos="720"/>
              </w:tabs>
              <w:bidi w:val="0"/>
              <w:spacing w:before="60" w:after="60"/>
              <w:ind w:left="0" w:right="0" w:hanging="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tabs>
                <w:tab w:val="clear" w:pos="720"/>
              </w:tabs>
              <w:bidi w:val="0"/>
              <w:spacing w:before="60" w:after="60"/>
              <w:ind w:left="0" w:righ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tabs>
                <w:tab w:val="clear" w:pos="720"/>
              </w:tabs>
              <w:bidi w:val="0"/>
              <w:spacing w:before="60" w:after="60"/>
              <w:ind w:left="318" w:right="0" w:hanging="284"/>
              <w:jc w:val="both"/>
              <w:outlineLvl w:val="1"/>
              <w:rPr>
                <w:lang w:val="en-GB"/>
              </w:rPr>
            </w:pPr>
            <w:r>
              <w:rPr>
                <w:sz w:val="18"/>
                <w:szCs w:val="18"/>
                <w:lang w:val="en-GB"/>
              </w:rPr>
              <w:t>Initial version</w:t>
            </w:r>
          </w:p>
        </w:tc>
      </w:tr>
    </w:tbl>
    <w:p>
      <w:pPr>
        <w:pStyle w:val="Normal"/>
        <w:widowControl w:val="false"/>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0"/>
        </w:sect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bidi w:val="0"/>
        <w:ind w:left="0" w:right="0" w:hanging="0"/>
        <w:jc w:val="center"/>
        <w:rPr>
          <w:rFonts w:ascii="Arial" w:hAnsi="Arial" w:cs="Arial"/>
          <w:b/>
          <w:b/>
          <w:sz w:val="20"/>
          <w:szCs w:val="20"/>
          <w:u w:val="single"/>
        </w:rPr>
      </w:pPr>
      <w:r>
        <w:rPr>
          <w:rFonts w:cs="Arial" w:ascii="Arial" w:hAnsi="Arial"/>
          <w:b/>
          <w:sz w:val="20"/>
          <w:szCs w:val="20"/>
          <w:u w:val="single"/>
        </w:rPr>
      </w:r>
    </w:p>
    <w:p>
      <w:pPr>
        <w:pStyle w:val="Normal"/>
        <w:bidi w:val="0"/>
        <w:ind w:left="0" w:right="0" w:hanging="0"/>
        <w:jc w:val="center"/>
        <w:rPr>
          <w:lang w:val="en-GB"/>
        </w:rPr>
      </w:pPr>
      <w:r>
        <w:rPr>
          <w:rFonts w:ascii="Times New Roman" w:hAnsi="Times New Roman"/>
          <w:b/>
          <w:sz w:val="40"/>
          <w:szCs w:val="40"/>
          <w:lang w:val="en-GB"/>
        </w:rPr>
        <w:t>Proposal template Part B: technical description</w:t>
      </w:r>
    </w:p>
    <w:p>
      <w:pPr>
        <w:pStyle w:val="Normal"/>
        <w:bidi w:val="0"/>
        <w:spacing w:before="0" w:after="120"/>
        <w:ind w:left="0" w:right="0" w:hanging="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bidi w:val="0"/>
        <w:spacing w:before="0" w:after="200"/>
        <w:ind w:left="0" w:right="0" w:hanging="0"/>
        <w:jc w:val="center"/>
        <w:rPr>
          <w:lang w:val="en-GB"/>
        </w:rPr>
      </w:pPr>
      <w:r>
        <w:rPr>
          <w:rFonts w:ascii="Times New Roman" w:hAnsi="Times New Roman"/>
          <w:b/>
          <w:smallCaps/>
          <w:sz w:val="28"/>
          <w:szCs w:val="28"/>
          <w:lang w:val="en-GB"/>
        </w:rPr>
        <w:t>Title of the Proposal</w:t>
      </w:r>
    </w:p>
    <w:p>
      <w:pPr>
        <w:pStyle w:val="Tags"/>
        <w:bidi w:val="0"/>
        <w:spacing w:before="0" w:after="0"/>
        <w:ind w:left="0" w:right="0" w:hanging="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bidi w:val="0"/>
        <w:spacing w:before="0" w:after="200"/>
        <w:ind w:left="0" w:right="0" w:hanging="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clear" w:pos="720"/>
              </w:tabs>
              <w:bidi w:val="0"/>
              <w:spacing w:lineRule="atLeast" w:line="360" w:before="0" w:after="120"/>
              <w:ind w:left="0" w:righ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clear" w:pos="720"/>
              </w:tabs>
              <w:bidi w:val="0"/>
              <w:spacing w:lineRule="atLeast" w:line="360" w:before="0" w:after="120"/>
              <w:ind w:left="0" w:righ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clear" w:pos="720"/>
              </w:tabs>
              <w:bidi w:val="0"/>
              <w:spacing w:lineRule="atLeast" w:line="360" w:before="0" w:after="120"/>
              <w:ind w:left="0" w:righ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clear" w:pos="720"/>
              </w:tabs>
              <w:bidi w:val="0"/>
              <w:spacing w:lineRule="atLeast" w:line="360" w:before="0" w:after="120"/>
              <w:ind w:left="0" w:right="0" w:hanging="0"/>
              <w:jc w:val="both"/>
              <w:outlineLvl w:val="4"/>
              <w:rPr>
                <w:lang w:val="en-GB"/>
              </w:rPr>
            </w:pPr>
            <w:r>
              <w:rPr>
                <w:rFonts w:ascii="Times New Roman" w:hAnsi="Times New Roman"/>
                <w:lang w:val="en-GB"/>
              </w:rPr>
              <w:t>1 NTUA</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360" w:before="0" w:after="120"/>
              <w:ind w:left="0" w:right="0" w:hanging="0"/>
              <w:rPr>
                <w:rFonts w:ascii="Times New Roman" w:hAnsi="Times New Roman"/>
                <w:lang w:val="en-GB"/>
              </w:rPr>
            </w:pPr>
            <w:r>
              <w:rPr>
                <w:rFonts w:ascii="Times New Roman" w:hAnsi="Times New Roman"/>
                <w:lang w:val="en-GB"/>
              </w:rPr>
              <w:t>National Technical University of Athens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360" w:before="0" w:after="120"/>
              <w:ind w:left="0" w:right="0" w:hanging="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clear" w:pos="720"/>
              </w:tabs>
              <w:bidi w:val="0"/>
              <w:spacing w:lineRule="atLeast" w:line="360" w:before="0" w:after="120"/>
              <w:ind w:left="1191" w:right="0" w:hanging="1191"/>
              <w:jc w:val="both"/>
              <w:outlineLvl w:val="4"/>
              <w:rPr>
                <w:lang w:val="en-GB"/>
              </w:rPr>
            </w:pPr>
            <w:r>
              <w:rPr>
                <w:rFonts w:ascii="Times New Roman" w:hAnsi="Times New Roman"/>
                <w:lang w:val="en-GB"/>
              </w:rPr>
              <w:t>2 CLS</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360" w:before="0" w:after="120"/>
              <w:ind w:left="0" w:right="0" w:hanging="0"/>
              <w:rPr>
                <w:rFonts w:ascii="Times New Roman" w:hAnsi="Times New Roman"/>
                <w:lang w:val="en-GB"/>
              </w:rPr>
            </w:pPr>
            <w:r>
              <w:rPr>
                <w:rFonts w:ascii="Times New Roman" w:hAnsi="Times New Roman"/>
                <w:lang w:val="en-GB"/>
              </w:rPr>
              <w:t>Collecte Localisation Satellites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360" w:before="0" w:after="120"/>
              <w:ind w:left="0" w:right="0" w:hanging="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clear" w:pos="720"/>
              </w:tabs>
              <w:bidi w:val="0"/>
              <w:spacing w:lineRule="atLeast" w:line="360" w:before="0" w:after="120"/>
              <w:ind w:left="1191" w:right="0" w:hanging="1191"/>
              <w:jc w:val="both"/>
              <w:outlineLvl w:val="4"/>
              <w:rPr>
                <w:lang w:val="en-GB"/>
              </w:rPr>
            </w:pPr>
            <w:r>
              <w:rPr>
                <w:rFonts w:ascii="Times New Roman" w:hAnsi="Times New Roman"/>
                <w:lang w:val="en-GB"/>
              </w:rPr>
              <w:t>3 IPGP/</w:t>
            </w:r>
            <w:r>
              <w:rPr>
                <w:rFonts w:ascii="Times New Roman" w:hAnsi="Times New Roman"/>
                <w:lang w:val="en-GB"/>
              </w:rPr>
              <w:t>IGN</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360" w:before="0" w:after="120"/>
              <w:ind w:left="0" w:right="0" w:hanging="0"/>
              <w:rPr>
                <w:rFonts w:ascii="Times New Roman" w:hAnsi="Times New Roman"/>
                <w:lang w:val="en-GB"/>
              </w:rPr>
            </w:pPr>
            <w:r>
              <w:rPr>
                <w:rFonts w:ascii="Times New Roman" w:hAnsi="Times New Roman"/>
                <w:lang w:val="en-GB"/>
              </w:rPr>
              <w:t>Institut de physique du globe de Paris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360" w:before="0" w:after="120"/>
              <w:ind w:left="0" w:right="0" w:hanging="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bidi w:val="0"/>
              <w:spacing w:lineRule="atLeast" w:line="360" w:before="0" w:after="120"/>
              <w:ind w:left="0" w:right="0" w:hanging="0"/>
              <w:jc w:val="both"/>
              <w:outlineLvl w:val="4"/>
              <w:rPr/>
            </w:pPr>
            <w:r>
              <w:rPr/>
              <w:t>4 GFZ</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360" w:before="0" w:after="120"/>
              <w:ind w:left="0" w:right="0" w:hanging="0"/>
              <w:rPr>
                <w:rFonts w:ascii="Times New Roman" w:hAnsi="Times New Roman"/>
                <w:lang w:val="en-GB"/>
              </w:rPr>
            </w:pPr>
            <w:r>
              <w:rPr>
                <w:rFonts w:ascii="Times New Roman" w:hAnsi="Times New Roman"/>
                <w:lang w:val="en-GB"/>
              </w:rPr>
              <w:t>GeoForschungs Zentrum</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360" w:before="0" w:after="120"/>
              <w:ind w:left="0" w:right="0" w:hanging="0"/>
              <w:rPr>
                <w:rFonts w:ascii="Times New Roman" w:hAnsi="Times New Roman"/>
                <w:lang w:val="en-GB"/>
              </w:rPr>
            </w:pPr>
            <w:r>
              <w:rPr>
                <w:rFonts w:ascii="Times New Roman" w:hAnsi="Times New Roman"/>
                <w:lang w:val="en-GB"/>
              </w:rPr>
              <w:t>Gremany</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bidi w:val="0"/>
              <w:spacing w:lineRule="atLeast" w:line="360" w:before="0" w:after="120"/>
              <w:ind w:left="0" w:right="0" w:hanging="0"/>
              <w:jc w:val="both"/>
              <w:outlineLvl w:val="4"/>
              <w:rPr/>
            </w:pPr>
            <w:r>
              <w:rPr/>
              <w:t>5 OSO</w:t>
            </w:r>
          </w:p>
        </w:tc>
        <w:tc>
          <w:tcPr>
            <w:tcW w:w="5807" w:type="dxa"/>
            <w:tcBorders>
              <w:left w:val="single" w:sz="4" w:space="0" w:color="000000"/>
              <w:bottom w:val="single" w:sz="4" w:space="0" w:color="000000"/>
              <w:right w:val="single" w:sz="4" w:space="0" w:color="000000"/>
            </w:tcBorders>
          </w:tcPr>
          <w:p>
            <w:pPr>
              <w:pStyle w:val="Normal"/>
              <w:widowControl w:val="false"/>
              <w:bidi w:val="0"/>
              <w:spacing w:lineRule="atLeast" w:line="360" w:before="0" w:after="120"/>
              <w:ind w:left="0" w:right="0" w:hanging="0"/>
              <w:rPr>
                <w:rFonts w:ascii="Times New Roman" w:hAnsi="Times New Roman"/>
                <w:lang w:val="en-GB"/>
              </w:rPr>
            </w:pPr>
            <w:r>
              <w:rPr>
                <w:rFonts w:ascii="Times New Roman" w:hAnsi="Times New Roman"/>
                <w:lang w:val="en-GB"/>
              </w:rPr>
              <w:t>Onsala Space Observatory</w:t>
            </w:r>
          </w:p>
        </w:tc>
        <w:tc>
          <w:tcPr>
            <w:tcW w:w="1292" w:type="dxa"/>
            <w:tcBorders>
              <w:left w:val="single" w:sz="4" w:space="0" w:color="000000"/>
              <w:bottom w:val="single" w:sz="4" w:space="0" w:color="000000"/>
              <w:right w:val="single" w:sz="4" w:space="0" w:color="000000"/>
            </w:tcBorders>
          </w:tcPr>
          <w:p>
            <w:pPr>
              <w:pStyle w:val="Normal"/>
              <w:widowControl w:val="false"/>
              <w:bidi w:val="0"/>
              <w:spacing w:lineRule="atLeast" w:line="360" w:before="0" w:after="120"/>
              <w:ind w:left="0" w:right="0" w:hanging="0"/>
              <w:rPr>
                <w:rFonts w:ascii="Times New Roman" w:hAnsi="Times New Roman"/>
                <w:lang w:val="en-GB"/>
              </w:rPr>
            </w:pPr>
            <w:r>
              <w:rPr>
                <w:rFonts w:ascii="Times New Roman" w:hAnsi="Times New Roman"/>
                <w:lang w:val="en-GB"/>
              </w:rPr>
              <w:t>Sweeden</w:t>
            </w:r>
          </w:p>
        </w:tc>
      </w:tr>
    </w:tbl>
    <w:p>
      <w:pPr>
        <w:pStyle w:val="Normal"/>
        <w:widowControl w:val="false"/>
        <w:bidi w:val="0"/>
        <w:spacing w:before="76" w:after="0"/>
        <w:ind w:left="916" w:right="0" w:hanging="0"/>
        <w:rPr>
          <w:rFonts w:ascii="Times New Roman" w:hAnsi="Times New Roman"/>
          <w:b/>
          <w:b/>
          <w:lang w:val="en-GB"/>
        </w:rPr>
      </w:pPr>
      <w:r>
        <w:rPr>
          <w:rFonts w:ascii="Times New Roman" w:hAnsi="Times New Roman"/>
          <w:b/>
          <w:lang w:val="en-GB"/>
        </w:rPr>
      </w:r>
    </w:p>
    <w:p>
      <w:pPr>
        <w:pStyle w:val="Normal"/>
        <w:bidi w:val="0"/>
        <w:spacing w:before="0" w:after="200"/>
        <w:ind w:left="0" w:right="0" w:hanging="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bidi w:val="0"/>
        <w:spacing w:before="0" w:after="200"/>
        <w:ind w:left="0" w:right="0" w:hanging="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ind w:right="0" w:hanging="0"/>
        <w:jc w:val="both"/>
        <w:rPr/>
      </w:pPr>
      <w:r>
        <w:rPr/>
        <w:t>Since the introduction of Earth orbiting satellites, Space Geodesy has played a crucial role in our understanding of the complex Earth system. An ever increasing number of space-based applications, including but not limited to climate change, positioning, space exploration, security and awareness, Earth kinematics and reference frames maintenance, geodynamics, etc,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ind w:right="0" w:hanging="0"/>
        <w:jc w:val="both"/>
        <w:rPr/>
      </w:pPr>
      <w:r>
        <w:rPr/>
        <w:t xml:space="preserve">Space Geodesy is an ever evolving multidisciplinary scientific field, playing a significant role in a series of space-based and earth-oriented applications. It lays the fundamental groundwork for the exploitation of data collected from Earth orbiting satellites via its unique ability to provide precise modeling of satellite trajectories (i.e. </w:t>
      </w:r>
      <w:r>
        <w:rPr/>
        <w:t>P</w:t>
      </w:r>
      <w:r>
        <w:rPr/>
        <w:t xml:space="preserve">recise </w:t>
      </w:r>
      <w:r>
        <w:rPr/>
        <w:t>O</w:t>
      </w:r>
      <w:r>
        <w:rPr/>
        <w:t xml:space="preserve">rbit </w:t>
      </w:r>
      <w:r>
        <w:rPr/>
        <w:t>D</w:t>
      </w:r>
      <w:r>
        <w:rPr/>
        <w:t xml:space="preserve">etermination </w:t>
      </w:r>
      <w:r>
        <w:rPr/>
        <w:t>(POD)</w:t>
      </w:r>
      <w:r>
        <w:rPr/>
        <w:t>), accurate observations and models for the Earth’s rotation and orientation as well as spatial reference frames of the utmost quality.</w:t>
      </w:r>
    </w:p>
    <w:p>
      <w:pPr>
        <w:pStyle w:val="Normal"/>
        <w:widowControl/>
        <w:spacing w:before="0" w:after="200"/>
        <w:ind w:right="0" w:hanging="0"/>
        <w:jc w:val="both"/>
        <w:rPr/>
      </w:pPr>
      <w:r>
        <w:rPr/>
        <w:t xml:space="preserve">The ever-increasing number of earth orbiting satellite missions accompanied with an ever increasing need for improved accuracy, demanded by a series of applications (e.g. climate change studies), have </w:t>
      </w:r>
      <w:r>
        <w:rPr/>
        <w:t xml:space="preserve">in recent years </w:t>
      </w:r>
      <w:r>
        <w:rPr/>
        <w:t>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are eviden</w:t>
      </w:r>
      <w:r>
        <w:rPr/>
        <w:t>ce</w:t>
      </w:r>
      <w:r>
        <w:rPr/>
        <w:t xml:space="preserve"> of the exciting future and renovated importance and expectations of the field.</w:t>
      </w:r>
    </w:p>
    <w:p>
      <w:pPr>
        <w:pStyle w:val="Normal"/>
        <w:widowControl/>
        <w:spacing w:before="0" w:after="200"/>
        <w:ind w:right="0" w:hanging="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ind w:right="0" w:hanging="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academic and research capacity to fall behind currently leading institutes in the field. In turn, this capacity gap between NTUA and prestigious European institutes in the field, severely undermines its ability to successfully apply for research proposals and secure funding for its research activities.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ind w:right="0" w:hanging="0"/>
        <w:jc w:val="both"/>
        <w:rPr/>
      </w:pPr>
      <w:r>
        <w:rPr/>
        <w:t xml:space="preserve">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an </w:t>
      </w:r>
    </w:p>
    <w:p>
      <w:pPr>
        <w:pStyle w:val="Normal"/>
        <w:widowControl/>
        <w:spacing w:before="0" w:after="200"/>
        <w:ind w:right="0" w:hanging="0"/>
        <w:jc w:val="both"/>
        <w:rPr/>
      </w:pPr>
      <w:r>
        <w:rPr/>
        <w:t xml:space="preserve">The lack of a dedicated excellence center in the field of Space Geodesy, is also reflected in the limited involvement of Greece in one of the currently fastest blooming markets internationally, that of Space. Lack of expertise and a modern knowledge hub in the field are definitely factors that should be swiftly addressed to reverse the current situation. </w:t>
      </w:r>
    </w:p>
    <w:p>
      <w:pPr>
        <w:pStyle w:val="Normal"/>
        <w:widowControl/>
        <w:spacing w:before="0" w:after="200"/>
        <w:ind w:right="0" w:hanging="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of the public and private sector) in Space.</w:t>
      </w:r>
    </w:p>
    <w:p>
      <w:pPr>
        <w:pStyle w:val="Normal"/>
        <w:widowControl/>
        <w:spacing w:before="0" w:after="200"/>
        <w:ind w:right="0" w:hanging="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w:t>
      </w:r>
    </w:p>
    <w:p>
      <w:pPr>
        <w:pStyle w:val="Normal"/>
        <w:widowControl/>
        <w:numPr>
          <w:ilvl w:val="0"/>
          <w:numId w:val="7"/>
        </w:numPr>
        <w:spacing w:before="0" w:after="200"/>
        <w:jc w:val="both"/>
        <w:rPr/>
      </w:pPr>
      <w:r>
        <w:rPr/>
        <w:t>Create a dedicated task force trained in research project claiming, submission and management and boost its success rate in research funding bids.</w:t>
      </w:r>
    </w:p>
    <w:p>
      <w:pPr>
        <w:pStyle w:val="Normal"/>
        <w:widowControl/>
        <w:numPr>
          <w:ilvl w:val="0"/>
          <w:numId w:val="7"/>
        </w:numPr>
        <w:spacing w:before="0" w:after="200"/>
        <w:jc w:val="both"/>
        <w:rPr/>
      </w:pPr>
      <w:r>
        <w:rPr/>
        <w:t>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Modernize and enhance its academic curriculum, especially targeting graduate   level studies, via the knowledge and expertise gained by leading experts and further educate its research and teaching personnel in recent advancements, methods and techniques, as well as modern instrumentation.</w:t>
      </w:r>
    </w:p>
    <w:p>
      <w:pPr>
        <w:pStyle w:val="Normal"/>
        <w:widowControl/>
        <w:numPr>
          <w:ilvl w:val="0"/>
          <w:numId w:val="7"/>
        </w:numPr>
        <w:spacing w:before="0" w:after="200"/>
        <w:jc w:val="both"/>
        <w:rPr/>
      </w:pPr>
      <w:r>
        <w:rPr/>
        <w:t xml:space="preserve">Increase financial support for its research activities (both in the long-run and for the duration of ACRONYM) and its ability and capacity to attract talented young scientists. </w:t>
      </w:r>
    </w:p>
    <w:p>
      <w:pPr>
        <w:pStyle w:val="Normal"/>
        <w:widowControl/>
        <w:numPr>
          <w:ilvl w:val="0"/>
          <w:numId w:val="7"/>
        </w:numPr>
        <w:spacing w:before="0" w:after="200"/>
        <w:jc w:val="both"/>
        <w:rPr/>
      </w:pPr>
      <w:r>
        <w:rPr>
          <w:rFonts w:ascii="Times New Roman" w:hAnsi="Times New Roman"/>
          <w:lang w:val="en-GB"/>
        </w:rPr>
        <w:t>Enhance the host's capacity in partnership-building, preparation and carrying out of research proposals funded by national authorities, the European Commission (EC) and the European Space Agency (ESA)</w:t>
      </w:r>
    </w:p>
    <w:p>
      <w:pPr>
        <w:pStyle w:val="Normal"/>
        <w:bidi w:val="0"/>
        <w:spacing w:before="0" w:after="200"/>
        <w:ind w:left="0" w:right="0" w:hanging="0"/>
        <w:jc w:val="both"/>
        <w:rPr>
          <w:rFonts w:ascii="Times New Roman" w:hAnsi="Times New Roman"/>
          <w:b/>
          <w:b/>
          <w:lang w:val="en-GB"/>
        </w:rPr>
      </w:pPr>
      <w:r>
        <w:rPr>
          <w:rFonts w:ascii="Times New Roman" w:hAnsi="Times New Roman"/>
          <w:b/>
          <w:lang w:val="en-GB"/>
        </w:rPr>
      </w:r>
    </w:p>
    <w:p>
      <w:pPr>
        <w:pStyle w:val="Normal"/>
        <w:bidi w:val="0"/>
        <w:spacing w:before="0" w:after="200"/>
        <w:ind w:left="0" w:right="0" w:hanging="0"/>
        <w:jc w:val="both"/>
        <w:rPr>
          <w:rFonts w:ascii="Times New Roman" w:hAnsi="Times New Roman"/>
          <w:b/>
          <w:b/>
          <w:lang w:val="en-GB"/>
        </w:rPr>
      </w:pPr>
      <w:r>
        <w:rPr>
          <w:rFonts w:ascii="Times New Roman" w:hAnsi="Times New Roman"/>
          <w:b/>
          <w:lang w:val="en-GB"/>
        </w:rPr>
      </w:r>
    </w:p>
    <w:p>
      <w:pPr>
        <w:pStyle w:val="Normal"/>
        <w:bidi w:val="0"/>
        <w:spacing w:before="0" w:after="200"/>
        <w:ind w:left="0" w:right="0" w:hanging="0"/>
        <w:jc w:val="both"/>
        <w:rPr/>
      </w:pPr>
      <w:r>
        <w:rPr>
          <w:rFonts w:cs="Calibri"/>
          <w:color w:val="B5B5B5"/>
          <w:sz w:val="18"/>
          <w:szCs w:val="16"/>
        </w:rPr>
        <w:t>#§PRJ-OBJ-PO§#</w:t>
      </w:r>
    </w:p>
    <w:p>
      <w:pPr>
        <w:pStyle w:val="Normal"/>
        <w:bidi w:val="0"/>
        <w:spacing w:before="0" w:after="200"/>
        <w:ind w:left="0" w:right="0" w:hanging="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ind w:right="0" w:hanging="0"/>
        <w:jc w:val="both"/>
        <w:rPr/>
      </w:pPr>
      <w:r>
        <w:rPr/>
        <w:t xml:space="preserve">Modern Space Geodesy input is based on four fundamental observational pillars, namely Global Navigation Satellite Systems (GNSS), Doppler Orbitography and Radiopositioning Integrated by Satellite (DORIS), Satellite Laser Ranging (SLR) and Very Long Baseline Interferometry (VLBI). These four techniques provide the crucial dataset to study the Earth system and in turn provide the prerequisite products for a wide range of space-based applications and study fields. </w:t>
      </w:r>
    </w:p>
    <w:p>
      <w:pPr>
        <w:pStyle w:val="Normal"/>
        <w:spacing w:before="0" w:after="200"/>
        <w:ind w:right="0" w:hanging="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studies.</w:t>
      </w:r>
    </w:p>
    <w:p>
      <w:pPr>
        <w:pStyle w:val="Normal"/>
        <w:spacing w:before="0" w:after="200"/>
        <w:ind w:right="0" w:hanging="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ind w:right="0" w:hanging="0"/>
        <w:jc w:val="both"/>
        <w:rPr/>
      </w:pPr>
      <w:r>
        <w:rPr/>
        <w:t>Within the framework of ACRONYM, synergies are proposed with leading experts in the techniques of DORIS, SLR and VLBI with the aim of closing the knowledge and technological gap and thus significantly strengthening NTUA's academic and research capacity and potential. Each member of the consortium will act as a knowledge transfer node for one of the techniques involved.</w:t>
      </w:r>
    </w:p>
    <w:p>
      <w:pPr>
        <w:pStyle w:val="Normal"/>
        <w:spacing w:before="0" w:after="200"/>
        <w:ind w:right="0" w:hanging="0"/>
        <w:jc w:val="both"/>
        <w:rPr/>
      </w:pPr>
      <w:r>
        <w:rPr/>
        <w:t>IGN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w:t>
      </w:r>
    </w:p>
    <w:p>
      <w:pPr>
        <w:pStyle w:val="Normal"/>
        <w:spacing w:before="0" w:after="200"/>
        <w:ind w:right="0" w:hanging="0"/>
        <w:jc w:val="both"/>
        <w:rPr/>
      </w:pPr>
      <w:r>
        <w:rPr/>
        <w:t>NTUA has, in recent years, started an effort to take up the technique and build a software package to process DORIS data. The assistance of IGN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ind w:right="0" w:hanging="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ind w:right="0" w:hanging="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ind w:right="0" w:hanging="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ind w:right="0" w:hanging="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ind w:right="0" w:hanging="0"/>
        <w:jc w:val="both"/>
        <w:rPr/>
      </w:pPr>
      <w:r>
        <w:rPr>
          <w:rFonts w:ascii="Times New Roman" w:hAnsi="Times New Roman"/>
          <w:lang w:val="en-GB"/>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ind w:right="0" w:hanging="0"/>
        <w:jc w:val="both"/>
        <w:rPr/>
      </w:pPr>
      <w:r>
        <w:rPr/>
        <w:t>To further allow for potent capacity building, the twining partners will decide on and draw up a work plan for the second phase of capacity building, to be implemented in WP3. The target here will be the severe strengthening of NTUA’s research capacity via the designing and building of a space geodetic software tools-box,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thus adopting a “hands-on” approach.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ind w:right="0" w:hanging="0"/>
        <w:jc w:val="both"/>
        <w:rPr/>
      </w:pPr>
      <w:r>
        <w:rPr/>
        <w:t>This second phase of capacity building, will also include dedicated webinars and venture labs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ind w:right="0" w:hanging="0"/>
        <w:jc w:val="both"/>
        <w:rPr/>
      </w:pPr>
      <w:r>
        <w:rPr>
          <w:shd w:fill="auto" w:val="clear"/>
        </w:rPr>
        <w:t>In order to further enhance NTUA’</w:t>
      </w:r>
      <w:r>
        <w:rPr/>
        <w:t>s research capacity and funding capabilities and resources, knowledge and expertise transfer will expand beyond technical matters, to include coaching on research proposal preparation/writing, submission and management (WP2). A dedicated task force will be established at NTUA, that will be targeting funding bids on a national and European level, with the aim of enhancing its ability to claim funding bids.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ind w:right="0" w:hanging="0"/>
        <w:jc w:val="both"/>
        <w:rPr/>
      </w:pPr>
      <w:r>
        <w:rPr/>
        <w:t>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Further strengthening of the host’s networking activities and prominence will be seeked through the consortium’s presence in at least three international conferences, where outcomes of ACRONYM will be presented. If possible, the host will 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ind w:left="0" w:right="0" w:hanging="0"/>
        <w:jc w:val="both"/>
        <w:rPr>
          <w:lang w:val="en-GB"/>
        </w:rPr>
      </w:pPr>
      <w:r>
        <w:rPr>
          <w:b/>
          <w:lang w:val="en-GB"/>
        </w:rPr>
        <w:t>1.2.1</w:t>
        <w:tab/>
        <w:t>Open Science</w:t>
      </w:r>
    </w:p>
    <w:p>
      <w:pPr>
        <w:pStyle w:val="Normal"/>
        <w:spacing w:before="0" w:after="200"/>
        <w:ind w:left="0" w:right="0" w:hanging="0"/>
        <w:jc w:val="both"/>
        <w:rPr/>
      </w:pPr>
      <w:r>
        <w:rPr>
          <w:b w:val="false"/>
          <w:bCs w:val="false"/>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ind w:left="0" w:right="0" w:hanging="0"/>
        <w:jc w:val="both"/>
        <w:rPr/>
      </w:pPr>
      <w:r>
        <w:rPr>
          <w:b w:val="false"/>
          <w:bCs w:val="false"/>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bidi w:val="0"/>
        <w:spacing w:before="0" w:after="200"/>
        <w:ind w:left="0" w:right="0" w:hanging="0"/>
        <w:jc w:val="both"/>
        <w:rPr>
          <w:rFonts w:ascii="Times New Roman" w:hAnsi="Times New Roman"/>
          <w:lang w:val="en-GB"/>
        </w:rPr>
      </w:pPr>
      <w:r>
        <w:rPr>
          <w:rFonts w:ascii="Times New Roman" w:hAnsi="Times New Roman"/>
          <w:lang w:val="en-GB"/>
        </w:rPr>
      </w:r>
    </w:p>
    <w:p>
      <w:pPr>
        <w:pStyle w:val="Normal"/>
        <w:bidi w:val="0"/>
        <w:spacing w:before="0" w:after="200"/>
        <w:ind w:left="0" w:right="0" w:hanging="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bidi w:val="0"/>
        <w:spacing w:before="0" w:after="200"/>
        <w:ind w:left="0" w:right="0" w:hanging="0"/>
        <w:jc w:val="both"/>
        <w:rPr>
          <w:lang w:val="en-GB"/>
        </w:rPr>
      </w:pPr>
      <w:r>
        <w:rPr>
          <w:rFonts w:ascii="Times New Roman" w:hAnsi="Times New Roman"/>
          <w:b/>
          <w:bCs/>
          <w:lang w:val="en-GB"/>
        </w:rPr>
        <w:t>2.</w:t>
        <w:tab/>
        <w:t>Impact</w:t>
      </w:r>
    </w:p>
    <w:p>
      <w:pPr>
        <w:pStyle w:val="Normal"/>
        <w:bidi w:val="0"/>
        <w:spacing w:before="0" w:after="200"/>
        <w:ind w:left="0" w:right="0" w:hanging="0"/>
        <w:jc w:val="both"/>
        <w:rPr>
          <w:lang w:val="en-GB"/>
        </w:rPr>
      </w:pPr>
      <w:r>
        <w:rPr>
          <w:rFonts w:ascii="Times New Roman" w:hAnsi="Times New Roman"/>
          <w:b/>
          <w:lang w:val="en-GB"/>
        </w:rPr>
        <w:t>2.1</w:t>
        <w:tab/>
        <w:t>Project’s pathways towards impact</w:t>
      </w:r>
    </w:p>
    <w:p>
      <w:pPr>
        <w:pStyle w:val="Normal"/>
        <w:bidi w:val="0"/>
        <w:spacing w:before="0" w:after="200"/>
        <w:ind w:left="0" w:right="0" w:hanging="0"/>
        <w:jc w:val="both"/>
        <w:rPr>
          <w:lang w:val="en-GB"/>
        </w:rPr>
      </w:pPr>
      <w:r>
        <w:rPr>
          <w:rFonts w:ascii="Times New Roman" w:hAnsi="Times New Roman"/>
          <w:lang w:val="en-GB"/>
        </w:rPr>
        <w:t>Insert here text for your proposal</w:t>
      </w:r>
    </w:p>
    <w:p>
      <w:pPr>
        <w:pStyle w:val="Normal"/>
        <w:bidi w:val="0"/>
        <w:spacing w:before="0" w:after="200"/>
        <w:ind w:left="0" w:right="0" w:hanging="0"/>
        <w:jc w:val="both"/>
        <w:rPr>
          <w:rFonts w:ascii="Times New Roman" w:hAnsi="Times New Roman"/>
          <w:b/>
          <w:b/>
          <w:lang w:val="en-GB"/>
        </w:rPr>
      </w:pPr>
      <w:r>
        <w:rPr>
          <w:rFonts w:ascii="Times New Roman" w:hAnsi="Times New Roman"/>
          <w:b/>
          <w:lang w:val="en-GB"/>
        </w:rPr>
      </w:r>
    </w:p>
    <w:p>
      <w:pPr>
        <w:pStyle w:val="Normal"/>
        <w:bidi w:val="0"/>
        <w:spacing w:before="0" w:after="200"/>
        <w:ind w:left="0" w:right="0" w:hanging="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bidi w:val="0"/>
        <w:spacing w:before="0" w:after="200"/>
        <w:ind w:left="0" w:right="0" w:hanging="0"/>
        <w:jc w:val="both"/>
        <w:rPr>
          <w:lang w:val="en-GB"/>
        </w:rPr>
      </w:pPr>
      <w:r>
        <w:rPr>
          <w:rFonts w:ascii="Times New Roman" w:hAnsi="Times New Roman"/>
          <w:lang w:val="en-GB"/>
        </w:rPr>
        <w:t>Insert here text for your proposal</w:t>
      </w:r>
    </w:p>
    <w:p>
      <w:pPr>
        <w:sectPr>
          <w:headerReference w:type="even" r:id="rId9"/>
          <w:headerReference w:type="default" r:id="rId10"/>
          <w:headerReference w:type="first" r:id="rId11"/>
          <w:footerReference w:type="default" r:id="rId12"/>
          <w:type w:val="nextPage"/>
          <w:pgSz w:w="11906" w:h="16838"/>
          <w:pgMar w:left="1134" w:right="1134" w:gutter="0" w:header="720" w:top="1134" w:footer="720" w:bottom="1134"/>
          <w:pgNumType w:fmt="decimal"/>
          <w:formProt w:val="false"/>
          <w:textDirection w:val="lrTb"/>
          <w:docGrid w:type="default" w:linePitch="100" w:charSpace="0"/>
        </w:sectPr>
        <w:pStyle w:val="Normal"/>
        <w:bidi w:val="0"/>
        <w:spacing w:before="0" w:after="200"/>
        <w:ind w:left="0" w:right="0" w:hanging="0"/>
        <w:jc w:val="both"/>
        <w:rPr/>
      </w:pPr>
      <w:r>
        <w:rPr>
          <w:rFonts w:cs="Arial"/>
          <w:color w:val="B5B5B5"/>
          <w:sz w:val="18"/>
          <w:szCs w:val="16"/>
        </w:rPr>
        <w:t>#§COM-DIS-VIS-CDV§#</w:t>
      </w:r>
    </w:p>
    <w:p>
      <w:pPr>
        <w:pStyle w:val="ListParagraph"/>
        <w:bidi w:val="0"/>
        <w:spacing w:lineRule="auto" w:line="480" w:before="0" w:after="200"/>
        <w:ind w:left="0" w:right="0" w:hanging="0"/>
        <w:contextualSpacing/>
        <w:jc w:val="both"/>
        <w:rPr>
          <w:lang w:val="en-GB"/>
        </w:rPr>
      </w:pPr>
      <w:r>
        <w:rPr>
          <w:rFonts w:ascii="Times New Roman" w:hAnsi="Times New Roman"/>
          <w:b/>
          <w:lang w:val="en-GB"/>
        </w:rPr>
        <w:t xml:space="preserve">2.3 Summary </w:t>
      </w:r>
    </w:p>
    <w:p>
      <w:pPr>
        <w:pStyle w:val="Normal"/>
        <w:bidi w:val="0"/>
        <w:ind w:left="0" w:right="0" w:hanging="0"/>
        <w:rPr/>
      </w:pPr>
      <w:r>
        <w:rPr>
          <w:rFonts w:ascii="Times New Roman" w:hAnsi="Times New Roman"/>
          <w:b/>
          <w:color w:val="00B0F0"/>
        </w:rPr>
        <w:t>KEY ELEMENT OF THE IMPACT SECTION</w:t>
      </w:r>
    </w:p>
    <w:tbl>
      <w:tblPr>
        <w:tblW w:w="3878" w:type="dxa"/>
        <w:jc w:val="left"/>
        <w:tblInd w:w="-109"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bidi w:val="0"/>
              <w:ind w:left="0" w:right="0" w:hanging="0"/>
              <w:jc w:val="center"/>
              <w:rPr/>
            </w:pPr>
            <w:r>
              <w:rPr>
                <w:rFonts w:ascii="Times New Roman" w:hAnsi="Times New Roman"/>
                <w:b/>
                <w:color w:val="FFFFFF"/>
              </w:rPr>
              <w:t>SPECIFIC NEEDS</w:t>
            </w:r>
          </w:p>
        </w:tc>
      </w:tr>
      <w:tr>
        <w:trPr>
          <w:trHeight w:val="7040"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bidi w:val="0"/>
              <w:ind w:left="0" w:right="0" w:hanging="0"/>
              <w:rPr>
                <w:lang w:val="en-GB"/>
              </w:rPr>
            </w:pPr>
            <w:r>
              <w:rPr>
                <w:rFonts w:ascii="Times New Roman" w:hAnsi="Times New Roman"/>
                <w:i/>
                <w:color w:val="00B0F0"/>
                <w:lang w:val="en-GB"/>
              </w:rPr>
              <w:t>What are the specific needs that triggered this project?</w:t>
            </w:r>
          </w:p>
          <w:p>
            <w:pPr>
              <w:pStyle w:val="Normal"/>
              <w:widowControl w:val="false"/>
              <w:tabs>
                <w:tab w:val="clear" w:pos="720"/>
              </w:tabs>
              <w:bidi w:val="0"/>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i w:val="false"/>
                <w:i w:val="false"/>
                <w:iCs w:val="false"/>
              </w:rPr>
            </w:pPr>
            <w:r>
              <w:rPr>
                <w:i w:val="false"/>
                <w:iCs w:val="false"/>
                <w:color w:val="000000"/>
                <w:lang w:val="en-GB"/>
              </w:rPr>
              <w:t>Closing of the scientific gap between top class European institutes and Greece in the field of Space Geodesy.</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Enhancement of research capacity of NTUA (on a technical level).</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Improve prestige and international standing of the host institute.</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Establish a network of top-class collaborators and boost involvement in high-esteem consortia.</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Boost Greece’s involvement and innovation in the wider field of Space studies and Geosciences.</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rFonts w:ascii="Times New Roman" w:hAnsi="Times New Roman"/>
                <w:i w:val="false"/>
                <w:iCs w:val="false"/>
                <w:color w:val="000000"/>
                <w:lang w:val="en-GB"/>
              </w:rPr>
              <w:t>Increase funding capabilities and resources for research (project claiming).</w:t>
            </w:r>
          </w:p>
          <w:p>
            <w:pPr>
              <w:pStyle w:val="Normal"/>
              <w:widowControl w:val="false"/>
              <w:tabs>
                <w:tab w:val="clear" w:pos="720"/>
              </w:tabs>
              <w:bidi w:val="0"/>
              <w:ind w:left="0" w:right="0" w:hanging="0"/>
              <w:rPr>
                <w:rFonts w:ascii="Times New Roman" w:hAnsi="Times New Roman"/>
                <w:i/>
                <w:i/>
                <w:color w:val="00B0F0"/>
              </w:rPr>
            </w:pPr>
            <w:r>
              <w:rPr>
                <w:rFonts w:ascii="Times New Roman" w:hAnsi="Times New Roman"/>
                <w:i/>
                <w:color w:val="00B0F0"/>
              </w:rPr>
            </w:r>
          </w:p>
        </w:tc>
      </w:tr>
    </w:tbl>
    <w:p>
      <w:pPr>
        <w:pStyle w:val="Normal"/>
        <w:widowControl w:val="false"/>
        <w:bidi w:val="0"/>
        <w:ind w:left="0" w:right="0" w:hanging="0"/>
        <w:rPr>
          <w:rFonts w:ascii="Times New Roman" w:hAnsi="Times New Roman"/>
          <w:vanish/>
        </w:rPr>
      </w:pPr>
      <w:r>
        <w:rPr>
          <w:rFonts w:ascii="Times New Roman" w:hAnsi="Times New Roman"/>
          <w:vanish/>
        </w:rPr>
      </w:r>
    </w:p>
    <w:tbl>
      <w:tblPr>
        <w:tblW w:w="7015" w:type="dxa"/>
        <w:jc w:val="left"/>
        <w:tblInd w:w="-109"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bidi w:val="0"/>
              <w:ind w:left="0" w:right="0" w:hanging="0"/>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bidi w:val="0"/>
              <w:ind w:left="0" w:right="0" w:hanging="0"/>
              <w:rPr/>
            </w:pPr>
            <w:r>
              <w:rPr>
                <w:rFonts w:ascii="Times New Roman" w:hAnsi="Times New Roman"/>
                <w:color w:val="00B0F0"/>
              </w:rPr>
              <w:t>What dissemination, exploitation and communication measures will you apply to the results?</w:t>
            </w:r>
          </w:p>
          <w:p>
            <w:pPr>
              <w:pStyle w:val="Normal"/>
              <w:widowControl w:val="false"/>
              <w:tabs>
                <w:tab w:val="clear" w:pos="720"/>
              </w:tabs>
              <w:bidi w:val="0"/>
              <w:ind w:left="0" w:right="0" w:hanging="0"/>
              <w:rPr>
                <w:rFonts w:ascii="Times New Roman" w:hAnsi="Times New Roman"/>
                <w:color w:val="00B0F0"/>
              </w:rPr>
            </w:pPr>
            <w:r>
              <w:rPr>
                <w:rFonts w:ascii="Times New Roman" w:hAnsi="Times New Roman"/>
                <w:color w:val="00B0F0"/>
              </w:rPr>
            </w:r>
          </w:p>
          <w:p>
            <w:pPr>
              <w:pStyle w:val="Normal"/>
              <w:widowControl w:val="false"/>
              <w:tabs>
                <w:tab w:val="clear" w:pos="720"/>
              </w:tabs>
              <w:ind w:left="0" w:right="0" w:hanging="0"/>
              <w:rPr>
                <w:color w:val="000000"/>
              </w:rPr>
            </w:pPr>
            <w:r>
              <w:rPr>
                <w:rFonts w:ascii="Times New Roman" w:hAnsi="Times New Roman"/>
                <w:b/>
                <w:bCs/>
                <w:color w:val="000000"/>
                <w:lang w:val="en-GB"/>
              </w:rPr>
              <w:t>Exploitation:</w:t>
            </w:r>
            <w:r>
              <w:rPr>
                <w:rFonts w:ascii="Times New Roman" w:hAnsi="Times New Roman"/>
                <w:color w:val="000000"/>
                <w:lang w:val="en-GB"/>
              </w:rPr>
              <w:t xml:space="preserve"> Release of DORIS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lang w:val="en-GB"/>
              </w:rPr>
            </w:pPr>
            <w:r>
              <w:rPr>
                <w:rFonts w:ascii="Times New Roman" w:hAnsi="Times New Roman"/>
                <w:b/>
                <w:color w:val="000000"/>
                <w:lang w:val="en-GB"/>
              </w:rPr>
              <w:t xml:space="preserve">Communication towards </w:t>
            </w:r>
            <w:r>
              <w:rPr>
                <w:rFonts w:ascii="Times New Roman" w:hAnsi="Times New Roman"/>
                <w:b/>
                <w:bCs/>
                <w:color w:val="000000"/>
                <w:lang w:val="en-GB"/>
              </w:rPr>
              <w:t>the scientific community and Space Industry</w:t>
            </w:r>
            <w:r>
              <w:rPr>
                <w:rFonts w:ascii="Times New Roman" w:hAnsi="Times New Roman"/>
                <w:b/>
                <w:color w:val="000000"/>
                <w:lang w:val="en-GB"/>
              </w:rPr>
              <w:t xml:space="preserve">: </w:t>
            </w:r>
            <w:r>
              <w:rPr>
                <w:rFonts w:ascii="Times New Roman" w:hAnsi="Times New Roman"/>
                <w:b w:val="false"/>
                <w:bCs w:val="false"/>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tabs>
                <w:tab w:val="clear" w:pos="720"/>
              </w:tabs>
              <w:bidi w:val="0"/>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bidi w:val="0"/>
        <w:ind w:left="0" w:right="0" w:hanging="0"/>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bidi w:val="0"/>
              <w:ind w:left="0" w:right="0" w:hanging="0"/>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bidi w:val="0"/>
              <w:ind w:left="0" w:right="0" w:hanging="0"/>
              <w:rPr/>
            </w:pPr>
            <w:r>
              <w:rPr>
                <w:rFonts w:ascii="Times New Roman" w:hAnsi="Times New Roman"/>
                <w:color w:val="00B0F0"/>
              </w:rPr>
              <w:t>What do you expect to generate by the end of the project?</w:t>
            </w:r>
          </w:p>
          <w:p>
            <w:pPr>
              <w:pStyle w:val="Normal"/>
              <w:widowControl w:val="false"/>
              <w:tabs>
                <w:tab w:val="clear" w:pos="720"/>
              </w:tabs>
              <w:bidi w:val="0"/>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ind w:left="0" w:right="0" w:hanging="0"/>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tabs>
                <w:tab w:val="clear" w:pos="720"/>
              </w:tabs>
              <w:ind w:left="0" w:right="0" w:hanging="0"/>
              <w:rPr/>
            </w:pPr>
            <w:r>
              <w:rPr/>
            </w:r>
          </w:p>
          <w:p>
            <w:pPr>
              <w:pStyle w:val="Normal"/>
              <w:widowControl w:val="false"/>
              <w:tabs>
                <w:tab w:val="clear" w:pos="720"/>
              </w:tabs>
              <w:ind w:left="0" w:right="0" w:hanging="0"/>
              <w:rPr>
                <w:color w:val="000000"/>
              </w:rPr>
            </w:pPr>
            <w:r>
              <w:rPr>
                <w:b/>
                <w:color w:val="000000"/>
                <w:lang w:val="en-GB"/>
              </w:rPr>
              <w:t xml:space="preserve">Successful large-scale demonstrator: </w:t>
            </w:r>
            <w:r>
              <w:rPr>
                <w:b w:val="false"/>
                <w:bCs w:val="false"/>
                <w:color w:val="000000"/>
                <w:lang w:val="en-GB"/>
              </w:rPr>
              <w:t>Trial with 3 satellite missions of POD and precise  positioning using DORIS data.</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val="false"/>
                <w:color w:val="000000"/>
                <w:lang w:val="en-GB"/>
              </w:rPr>
              <w:t xml:space="preserve">Successful large-scale demonstrator: </w:t>
            </w:r>
            <w:r>
              <w:rPr>
                <w:b w:val="false"/>
                <w:bCs w:val="false"/>
                <w:color w:val="000000"/>
                <w:lang w:val="en-GB"/>
              </w:rPr>
              <w:t>Trial with 3 satellite missions of POD and precise  positioning using SLR data.</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Publications:</w:t>
            </w:r>
            <w:r>
              <w:rPr>
                <w:b w:val="false"/>
                <w:bCs w:val="false"/>
                <w:color w:val="000000"/>
                <w:lang w:val="en-GB"/>
              </w:rPr>
              <w:t xml:space="preserve"> Three scientific papers in peer-reviewed journals and three publication in international conferences.</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Expertise:</w:t>
            </w:r>
            <w:r>
              <w:rPr>
                <w:b w:val="false"/>
                <w:bCs w:val="false"/>
                <w:color w:val="000000"/>
                <w:lang w:val="en-GB"/>
              </w:rPr>
              <w:t xml:space="preserve"> Three PhD students trained and one Post-Doc trained. NTUA personnel will have gained extended expertise.</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Further Grants and Long Term Plan:</w:t>
            </w:r>
            <w:r>
              <w:rPr>
                <w:b w:val="false"/>
                <w:bCs w:val="false"/>
                <w:color w:val="000000"/>
                <w:lang w:val="en-GB"/>
              </w:rPr>
              <w:t xml:space="preserve"> At least two grant proposals submitted to secure further, long term involvement in state-of-the-art Space Geodesy.</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rFonts w:ascii="Times New Roman" w:hAnsi="Times New Roman"/>
                <w:b/>
                <w:bCs/>
                <w:color w:val="000000"/>
                <w:lang w:val="en-GB"/>
              </w:rPr>
              <w:t>Involvement: I</w:t>
            </w:r>
            <w:r>
              <w:rPr>
                <w:rFonts w:ascii="Times New Roman" w:hAnsi="Times New Roman"/>
                <w:b w:val="false"/>
                <w:bCs w:val="false"/>
                <w:color w:val="000000"/>
                <w:lang w:val="en-GB"/>
              </w:rPr>
              <w:t>nvolvement in international, high-prestige consortia such as IDS and IRLS, which shape the future of Space Geodesy.</w:t>
            </w:r>
          </w:p>
          <w:p>
            <w:pPr>
              <w:pStyle w:val="Normal"/>
              <w:widowControl w:val="false"/>
              <w:tabs>
                <w:tab w:val="clear" w:pos="720"/>
              </w:tabs>
              <w:bidi w:val="0"/>
              <w:ind w:left="0" w:right="0" w:hanging="0"/>
              <w:rPr>
                <w:rFonts w:ascii="Times New Roman" w:hAnsi="Times New Roman"/>
                <w:lang w:val="en-GB"/>
              </w:rPr>
            </w:pPr>
            <w:r>
              <w:rPr>
                <w:rFonts w:ascii="Times New Roman" w:hAnsi="Times New Roman"/>
                <w:lang w:val="en-GB"/>
              </w:rPr>
            </w:r>
          </w:p>
        </w:tc>
      </w:tr>
    </w:tbl>
    <w:p>
      <w:pPr>
        <w:pStyle w:val="Normal"/>
        <w:widowControl w:val="false"/>
        <w:bidi w:val="0"/>
        <w:ind w:left="1417" w:right="0" w:hanging="357"/>
        <w:rPr>
          <w:rFonts w:ascii="Times New Roman" w:hAnsi="Times New Roman"/>
          <w:lang w:val="en-GB"/>
        </w:rPr>
      </w:pPr>
      <w:r>
        <w:rPr>
          <w:rFonts w:ascii="Times New Roman" w:hAnsi="Times New Roman"/>
          <w:lang w:val="en-GB"/>
        </w:rPr>
      </w:r>
    </w:p>
    <w:p>
      <w:pPr>
        <w:pStyle w:val="Normal"/>
        <w:bidi w:val="0"/>
        <w:ind w:left="0" w:right="0" w:hanging="0"/>
        <w:rPr>
          <w:rFonts w:ascii="Times New Roman" w:hAnsi="Times New Roman"/>
          <w:vanish/>
        </w:rPr>
      </w:pPr>
      <w:r>
        <w:rPr>
          <w:rFonts w:ascii="Times New Roman" w:hAnsi="Times New Roman"/>
          <w:vanish/>
        </w:rPr>
      </w:r>
    </w:p>
    <w:p>
      <w:pPr>
        <w:pStyle w:val="Normal"/>
        <w:bidi w:val="0"/>
        <w:ind w:left="1417" w:right="0" w:hanging="357"/>
        <w:rPr>
          <w:rFonts w:ascii="Times New Roman" w:hAnsi="Times New Roman"/>
          <w:lang w:val="en-GB"/>
        </w:rPr>
      </w:pPr>
      <w:r>
        <w:rPr>
          <w:rFonts w:ascii="Times New Roman" w:hAnsi="Times New Roman"/>
          <w:lang w:val="en-GB"/>
        </w:rPr>
      </w:r>
    </w:p>
    <w:tbl>
      <w:tblPr>
        <w:tblW w:w="3991" w:type="dxa"/>
        <w:jc w:val="left"/>
        <w:tblInd w:w="-109"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bidi w:val="0"/>
              <w:ind w:left="0" w:right="0" w:hanging="0"/>
              <w:jc w:val="center"/>
              <w:rPr/>
            </w:pPr>
            <w:r>
              <w:rPr>
                <w:rFonts w:ascii="Times New Roman" w:hAnsi="Times New Roman"/>
                <w:b/>
                <w:color w:val="FFFFFF"/>
              </w:rPr>
              <w:t>TARGET GROUPS</w:t>
            </w:r>
          </w:p>
        </w:tc>
      </w:tr>
      <w:tr>
        <w:trPr>
          <w:trHeight w:val="6613"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bidi w:val="0"/>
              <w:ind w:left="0" w:right="0" w:hanging="0"/>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tabs>
                <w:tab w:val="clear" w:pos="720"/>
              </w:tabs>
              <w:bidi w:val="0"/>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Scientific community</w:t>
            </w:r>
            <w:r>
              <w:rPr>
                <w:i w:val="false"/>
                <w:iCs w:val="false"/>
                <w:color w:val="000000"/>
                <w:lang w:val="en-GB"/>
              </w:rPr>
              <w:t xml:space="preserve"> (Space Geodesy and Geosciences).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 xml:space="preserve">End users/industry </w:t>
            </w:r>
            <w:r>
              <w:rPr>
                <w:i w:val="false"/>
                <w:iCs w:val="false"/>
                <w:color w:val="000000"/>
                <w:lang w:val="en-GB"/>
              </w:rPr>
              <w:t>related to Space applications (e.g. Space Security and Awareness, observing the Earth system, etc).</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Graduate and PhD students</w:t>
            </w:r>
            <w:r>
              <w:rPr>
                <w:i w:val="false"/>
                <w:iCs w:val="false"/>
                <w:color w:val="000000"/>
                <w:lang w:val="en-GB"/>
              </w:rPr>
              <w:t>.</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val="false"/>
                <w:i w:val="false"/>
                <w:iCs w:val="false"/>
                <w:color w:val="000000"/>
              </w:rPr>
            </w:pPr>
            <w:r>
              <w:rPr>
                <w:rFonts w:ascii="Times New Roman" w:hAnsi="Times New Roman"/>
                <w:b/>
                <w:bCs/>
                <w:i w:val="false"/>
                <w:iCs w:val="false"/>
                <w:color w:val="000000"/>
                <w:lang w:val="en-GB"/>
              </w:rPr>
              <w:t>Young Scientists and Engineers</w:t>
            </w:r>
            <w:r>
              <w:rPr>
                <w:rFonts w:ascii="Times New Roman" w:hAnsi="Times New Roman"/>
                <w:i w:val="false"/>
                <w:iCs w:val="false"/>
                <w:color w:val="000000"/>
                <w:lang w:val="en-GB"/>
              </w:rPr>
              <w:t xml:space="preserve"> in the wider field of Geoscienses.</w:t>
            </w:r>
          </w:p>
          <w:p>
            <w:pPr>
              <w:pStyle w:val="Normal"/>
              <w:widowControl w:val="false"/>
              <w:tabs>
                <w:tab w:val="clear" w:pos="720"/>
              </w:tabs>
              <w:bidi w:val="0"/>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bidi w:val="0"/>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bidi w:val="0"/>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bidi w:val="0"/>
        <w:ind w:left="0" w:right="0" w:hanging="0"/>
        <w:rPr>
          <w:rFonts w:ascii="Times New Roman" w:hAnsi="Times New Roman"/>
          <w:vanish/>
        </w:rPr>
      </w:pPr>
      <w:r>
        <w:rPr>
          <w:rFonts w:ascii="Times New Roman" w:hAnsi="Times New Roman"/>
          <w:vanish/>
        </w:rPr>
      </w:r>
    </w:p>
    <w:tbl>
      <w:tblPr>
        <w:tblW w:w="5354" w:type="dxa"/>
        <w:jc w:val="left"/>
        <w:tblInd w:w="-109"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bidi w:val="0"/>
              <w:ind w:left="0" w:right="0" w:hanging="0"/>
              <w:jc w:val="center"/>
              <w:rPr/>
            </w:pPr>
            <w:r>
              <w:rPr>
                <w:rFonts w:ascii="Times New Roman" w:hAnsi="Times New Roman"/>
                <w:b/>
                <w:color w:val="FFFFFF"/>
              </w:rPr>
              <w:t>OUTCOMES</w:t>
            </w:r>
          </w:p>
        </w:tc>
      </w:tr>
      <w:tr>
        <w:trPr>
          <w:trHeight w:val="6613"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bidi w:val="0"/>
              <w:ind w:left="0" w:right="0" w:hanging="0"/>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tabs>
                <w:tab w:val="clear" w:pos="720"/>
              </w:tabs>
              <w:bidi w:val="0"/>
              <w:ind w:left="0" w:right="0" w:hanging="0"/>
              <w:rPr>
                <w:rFonts w:ascii="Times New Roman" w:hAnsi="Times New Roman"/>
                <w:b/>
                <w:b/>
              </w:rPr>
            </w:pPr>
            <w:r>
              <w:rPr>
                <w:rFonts w:ascii="Times New Roman" w:hAnsi="Times New Roman"/>
                <w:b/>
              </w:rPr>
            </w:r>
          </w:p>
          <w:p>
            <w:pPr>
              <w:pStyle w:val="Normal"/>
              <w:widowControl w:val="false"/>
              <w:tabs>
                <w:tab w:val="clear" w:pos="720"/>
              </w:tabs>
              <w:ind w:left="0" w:right="0" w:hanging="0"/>
              <w:rPr>
                <w:b w:val="false"/>
                <w:b w:val="false"/>
                <w:bCs w:val="false"/>
              </w:rPr>
            </w:pPr>
            <w:r>
              <w:rPr>
                <w:b w:val="false"/>
                <w:bCs w:val="false"/>
              </w:rPr>
              <w:t>Usage of software tools by the scientific community (measured by their attributed DOIs).</w:t>
            </w:r>
          </w:p>
          <w:p>
            <w:pPr>
              <w:pStyle w:val="Normal"/>
              <w:widowControl w:val="false"/>
              <w:tabs>
                <w:tab w:val="clear" w:pos="720"/>
              </w:tabs>
              <w:ind w:left="0" w:right="0" w:hanging="0"/>
              <w:rPr>
                <w:b w:val="false"/>
                <w:b w:val="false"/>
                <w:bCs w:val="false"/>
              </w:rPr>
            </w:pPr>
            <w:r>
              <w:rPr>
                <w:b w:val="false"/>
                <w:bCs w:val="false"/>
              </w:rPr>
            </w:r>
          </w:p>
          <w:p>
            <w:pPr>
              <w:pStyle w:val="Normal"/>
              <w:widowControl w:val="false"/>
              <w:tabs>
                <w:tab w:val="clear" w:pos="720"/>
              </w:tabs>
              <w:ind w:left="0" w:right="0" w:hanging="0"/>
              <w:rPr>
                <w:b w:val="false"/>
                <w:b w:val="false"/>
                <w:bCs w:val="false"/>
              </w:rPr>
            </w:pPr>
            <w:r>
              <w:rPr>
                <w:b w:val="false"/>
                <w:bCs w:val="false"/>
              </w:rPr>
              <w:t>Involvement in high prestige international consortia as Associate Analysis Center (for NTUA).</w:t>
            </w:r>
          </w:p>
          <w:p>
            <w:pPr>
              <w:pStyle w:val="Normal"/>
              <w:widowControl w:val="false"/>
              <w:tabs>
                <w:tab w:val="clear" w:pos="720"/>
              </w:tabs>
              <w:ind w:left="0" w:right="0" w:hanging="0"/>
              <w:rPr>
                <w:b w:val="false"/>
                <w:b w:val="false"/>
                <w:bCs w:val="false"/>
              </w:rPr>
            </w:pPr>
            <w:r>
              <w:rPr>
                <w:b w:val="false"/>
                <w:bCs w:val="false"/>
              </w:rPr>
            </w:r>
          </w:p>
          <w:p>
            <w:pPr>
              <w:pStyle w:val="Normal"/>
              <w:widowControl w:val="false"/>
              <w:tabs>
                <w:tab w:val="clear" w:pos="720"/>
              </w:tabs>
              <w:ind w:left="0" w:right="0" w:hanging="0"/>
              <w:rPr/>
            </w:pPr>
            <w:r>
              <w:rPr>
                <w:b w:val="false"/>
                <w:bCs w:val="false"/>
              </w:rPr>
              <w:t xml:space="preserve">High use of the scientific papers published </w:t>
            </w:r>
            <w:r>
              <w:rPr/>
              <w:t>(measured with the relative rate of citation index of publications).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Increased visibility and international standing of NTUA in the field of Space Geodesy and Geosciences.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Creation of a highly experienced and skilled task force in the host institute.</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rFonts w:ascii="Times New Roman" w:hAnsi="Times New Roman"/>
                <w:lang w:val="en-GB"/>
              </w:rPr>
              <w:t>Establishment of a task force in the host institute, with extended networking capabilities and international reach (in a European and international level).</w:t>
            </w:r>
          </w:p>
          <w:p>
            <w:pPr>
              <w:pStyle w:val="Normal"/>
              <w:widowControl w:val="false"/>
              <w:tabs>
                <w:tab w:val="clear" w:pos="720"/>
              </w:tabs>
              <w:bidi w:val="0"/>
              <w:ind w:left="0" w:right="0" w:hanging="0"/>
              <w:rPr>
                <w:rFonts w:ascii="Times New Roman" w:hAnsi="Times New Roman"/>
              </w:rPr>
            </w:pPr>
            <w:r>
              <w:rPr>
                <w:rFonts w:ascii="Times New Roman" w:hAnsi="Times New Roman"/>
              </w:rPr>
            </w:r>
          </w:p>
          <w:p>
            <w:pPr>
              <w:pStyle w:val="Normal"/>
              <w:widowControl w:val="false"/>
              <w:tabs>
                <w:tab w:val="clear" w:pos="720"/>
              </w:tabs>
              <w:bidi w:val="0"/>
              <w:ind w:left="0" w:right="0" w:hanging="0"/>
              <w:rPr>
                <w:rFonts w:ascii="Times New Roman" w:hAnsi="Times New Roman"/>
              </w:rPr>
            </w:pPr>
            <w:r>
              <w:rPr>
                <w:rFonts w:ascii="Times New Roman" w:hAnsi="Times New Roman"/>
              </w:rPr>
            </w:r>
          </w:p>
          <w:p>
            <w:pPr>
              <w:pStyle w:val="Normal"/>
              <w:widowControl w:val="false"/>
              <w:tabs>
                <w:tab w:val="clear" w:pos="720"/>
              </w:tabs>
              <w:bidi w:val="0"/>
              <w:ind w:left="0" w:right="0" w:hanging="0"/>
              <w:rPr>
                <w:rFonts w:ascii="Times New Roman" w:hAnsi="Times New Roman"/>
              </w:rPr>
            </w:pPr>
            <w:r>
              <w:rPr>
                <w:rFonts w:ascii="Times New Roman" w:hAnsi="Times New Roman"/>
              </w:rPr>
            </w:r>
          </w:p>
          <w:p>
            <w:pPr>
              <w:pStyle w:val="Normal"/>
              <w:widowControl w:val="false"/>
              <w:tabs>
                <w:tab w:val="clear" w:pos="720"/>
              </w:tabs>
              <w:bidi w:val="0"/>
              <w:ind w:left="0" w:right="0" w:hanging="0"/>
              <w:rPr>
                <w:rFonts w:ascii="Times New Roman" w:hAnsi="Times New Roman"/>
              </w:rPr>
            </w:pPr>
            <w:r>
              <w:rPr>
                <w:rFonts w:ascii="Times New Roman" w:hAnsi="Times New Roman"/>
              </w:rPr>
            </w:r>
          </w:p>
          <w:p>
            <w:pPr>
              <w:pStyle w:val="Normal"/>
              <w:widowControl w:val="false"/>
              <w:tabs>
                <w:tab w:val="clear" w:pos="720"/>
              </w:tabs>
              <w:bidi w:val="0"/>
              <w:ind w:left="0" w:right="0" w:hanging="0"/>
              <w:rPr>
                <w:rFonts w:ascii="Times New Roman" w:hAnsi="Times New Roman"/>
              </w:rPr>
            </w:pPr>
            <w:r>
              <w:rPr>
                <w:rFonts w:ascii="Times New Roman" w:hAnsi="Times New Roman"/>
              </w:rPr>
            </w:r>
          </w:p>
          <w:p>
            <w:pPr>
              <w:pStyle w:val="Normal"/>
              <w:widowControl w:val="false"/>
              <w:tabs>
                <w:tab w:val="clear" w:pos="720"/>
              </w:tabs>
              <w:bidi w:val="0"/>
              <w:ind w:left="0" w:right="0" w:hanging="0"/>
              <w:rPr>
                <w:rFonts w:ascii="Times New Roman" w:hAnsi="Times New Roman"/>
              </w:rPr>
            </w:pPr>
            <w:r>
              <w:rPr>
                <w:rFonts w:ascii="Times New Roman" w:hAnsi="Times New Roman"/>
              </w:rPr>
            </w:r>
          </w:p>
          <w:p>
            <w:pPr>
              <w:pStyle w:val="Normal"/>
              <w:widowControl w:val="false"/>
              <w:tabs>
                <w:tab w:val="clear" w:pos="720"/>
              </w:tabs>
              <w:bidi w:val="0"/>
              <w:ind w:left="0" w:right="0" w:hanging="0"/>
              <w:rPr>
                <w:rFonts w:ascii="Times New Roman" w:hAnsi="Times New Roman"/>
              </w:rPr>
            </w:pPr>
            <w:r>
              <w:rPr>
                <w:rFonts w:ascii="Times New Roman" w:hAnsi="Times New Roman"/>
              </w:rPr>
            </w:r>
          </w:p>
          <w:p>
            <w:pPr>
              <w:pStyle w:val="Normal"/>
              <w:widowControl w:val="false"/>
              <w:tabs>
                <w:tab w:val="clear" w:pos="720"/>
              </w:tabs>
              <w:bidi w:val="0"/>
              <w:ind w:left="0" w:right="0" w:hanging="0"/>
              <w:rPr>
                <w:rFonts w:ascii="Times New Roman" w:hAnsi="Times New Roman"/>
              </w:rPr>
            </w:pPr>
            <w:r>
              <w:rPr>
                <w:rFonts w:ascii="Times New Roman" w:hAnsi="Times New Roman"/>
              </w:rPr>
            </w:r>
          </w:p>
          <w:p>
            <w:pPr>
              <w:pStyle w:val="Normal"/>
              <w:widowControl w:val="false"/>
              <w:tabs>
                <w:tab w:val="clear" w:pos="720"/>
              </w:tabs>
              <w:bidi w:val="0"/>
              <w:ind w:left="0" w:right="0" w:hanging="0"/>
              <w:rPr>
                <w:rFonts w:ascii="Times New Roman" w:hAnsi="Times New Roman"/>
                <w:color w:val="00B0F0"/>
              </w:rPr>
            </w:pPr>
            <w:r>
              <w:rPr>
                <w:rFonts w:ascii="Times New Roman" w:hAnsi="Times New Roman"/>
                <w:color w:val="00B0F0"/>
              </w:rPr>
            </w:r>
          </w:p>
        </w:tc>
      </w:tr>
    </w:tbl>
    <w:p>
      <w:pPr>
        <w:pStyle w:val="Normal"/>
        <w:widowControl w:val="false"/>
        <w:bidi w:val="0"/>
        <w:ind w:left="0" w:right="0" w:hanging="0"/>
        <w:rPr>
          <w:rFonts w:ascii="Times New Roman" w:hAnsi="Times New Roman"/>
          <w:vanish/>
        </w:rPr>
      </w:pPr>
      <w:r>
        <w:rPr>
          <w:rFonts w:ascii="Times New Roman" w:hAnsi="Times New Roman"/>
          <w:vanish/>
        </w:rPr>
      </w:r>
    </w:p>
    <w:tbl>
      <w:tblPr>
        <w:tblW w:w="5388" w:type="dxa"/>
        <w:jc w:val="left"/>
        <w:tblInd w:w="-109"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bidi w:val="0"/>
              <w:ind w:left="0" w:right="0" w:hanging="0"/>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bidi w:val="0"/>
              <w:ind w:left="0" w:right="0" w:hanging="0"/>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tabs>
                <w:tab w:val="clear" w:pos="720"/>
              </w:tabs>
              <w:bidi w:val="0"/>
              <w:ind w:left="0" w:right="0" w:hanging="0"/>
              <w:rPr>
                <w:rFonts w:ascii="Times New Roman" w:hAnsi="Times New Roman"/>
                <w:i/>
                <w:i/>
                <w:color w:val="385623"/>
              </w:rPr>
            </w:pPr>
            <w:r>
              <w:rPr>
                <w:rFonts w:ascii="Times New Roman" w:hAnsi="Times New Roman"/>
                <w:i/>
                <w:color w:val="385623"/>
              </w:rPr>
            </w:r>
          </w:p>
          <w:p>
            <w:pPr>
              <w:pStyle w:val="Normal"/>
              <w:widowControl w:val="false"/>
              <w:tabs>
                <w:tab w:val="clear" w:pos="720"/>
              </w:tabs>
              <w:ind w:left="0" w:right="0" w:hanging="0"/>
              <w:rPr>
                <w:i/>
                <w:i/>
                <w:iCs/>
                <w:color w:val="000000"/>
              </w:rPr>
            </w:pPr>
            <w:r>
              <w:rPr>
                <w:b/>
                <w:bCs/>
                <w:i/>
                <w:iCs/>
                <w:color w:val="000000"/>
                <w:lang w:val="en-GB"/>
              </w:rPr>
              <w:t>S</w:t>
            </w:r>
            <w:r>
              <w:rPr>
                <w:b/>
                <w:bCs/>
                <w:i w:val="false"/>
                <w:iCs w:val="false"/>
                <w:color w:val="000000"/>
                <w:lang w:val="en-GB"/>
              </w:rPr>
              <w:t xml:space="preserve">ocietal: </w:t>
            </w:r>
            <w:r>
              <w:rPr>
                <w:i w:val="false"/>
                <w:iCs w:val="false"/>
                <w:color w:val="000000"/>
                <w:lang w:val="en-GB"/>
              </w:rPr>
              <w:t>Quenching of the crowding-out effect of young scientists experienced in Greece.</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Technological:</w:t>
            </w:r>
            <w:r>
              <w:rPr>
                <w:i w:val="false"/>
                <w:iCs w:val="false"/>
                <w:color w:val="000000"/>
                <w:lang w:val="en-GB"/>
              </w:rPr>
              <w:t xml:space="preserve"> Creation of a centre of excellence for Space Geodesy in Greece, with elevated international standing.</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Technological:</w:t>
            </w:r>
            <w:r>
              <w:rPr>
                <w:i w:val="false"/>
                <w:iCs w:val="false"/>
                <w:color w:val="000000"/>
                <w:lang w:val="en-GB"/>
              </w:rPr>
              <w:t xml:space="preserve"> Boost involvement, innovation and expertise for Space studies in Greece.</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Economic/Scientific:</w:t>
            </w:r>
            <w:r>
              <w:rPr>
                <w:i w:val="false"/>
                <w:iCs w:val="false"/>
                <w:color w:val="000000"/>
                <w:lang w:val="en-GB"/>
              </w:rPr>
              <w:t xml:space="preserve"> Boost host institute’s success rate in research funding bids.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rPr>
            </w:pPr>
            <w:r>
              <w:rPr>
                <w:rFonts w:ascii="Times New Roman" w:hAnsi="Times New Roman"/>
                <w:b/>
                <w:bCs/>
                <w:i w:val="false"/>
                <w:iCs w:val="false"/>
                <w:color w:val="000000"/>
                <w:lang w:val="en-GB"/>
              </w:rPr>
              <w:t>Scientific:</w:t>
            </w:r>
            <w:r>
              <w:rPr>
                <w:rFonts w:ascii="Times New Roman" w:hAnsi="Times New Roman"/>
                <w:i w:val="false"/>
                <w:iCs w:val="false"/>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tabs>
                <w:tab w:val="clear" w:pos="720"/>
              </w:tabs>
              <w:bidi w:val="0"/>
              <w:ind w:left="0" w:right="0" w:hanging="0"/>
              <w:rPr>
                <w:rFonts w:ascii="Times New Roman" w:hAnsi="Times New Roman"/>
                <w:color w:val="00B0F0"/>
                <w:lang w:val="en-GB"/>
              </w:rPr>
            </w:pPr>
            <w:r>
              <w:rPr>
                <w:rFonts w:ascii="Times New Roman" w:hAnsi="Times New Roman"/>
                <w:color w:val="00B0F0"/>
                <w:lang w:val="en-GB"/>
              </w:rPr>
            </w:r>
          </w:p>
        </w:tc>
      </w:tr>
    </w:tbl>
    <w:p>
      <w:pPr>
        <w:sectPr>
          <w:headerReference w:type="default" r:id="rId13"/>
          <w:footerReference w:type="default" r:id="rId14"/>
          <w:type w:val="nextPage"/>
          <w:pgSz w:orient="landscape" w:w="16838" w:h="11906"/>
          <w:pgMar w:left="851" w:right="851" w:gutter="0" w:header="720" w:top="851" w:footer="720" w:bottom="851"/>
          <w:pgNumType w:fmt="decimal"/>
          <w:formProt w:val="false"/>
          <w:textDirection w:val="lrTb"/>
          <w:docGrid w:type="default" w:linePitch="100" w:charSpace="0"/>
        </w:sectPr>
        <w:pStyle w:val="Normal"/>
        <w:widowControl w:val="false"/>
        <w:bidi w:val="0"/>
        <w:spacing w:before="0" w:after="200"/>
        <w:ind w:left="0" w:right="0" w:hanging="0"/>
        <w:jc w:val="both"/>
        <w:rPr/>
      </w:pPr>
      <w:r>
        <w:rPr>
          <w:rFonts w:cs="Arial"/>
          <w:color w:val="B5B5B5"/>
          <w:sz w:val="18"/>
          <w:szCs w:val="16"/>
        </w:rPr>
        <w:t>#§IMP-ACT-IA§#</w:t>
      </w:r>
    </w:p>
    <w:p>
      <w:pPr>
        <w:pStyle w:val="Normal"/>
        <w:bidi w:val="0"/>
        <w:spacing w:before="0" w:after="200"/>
        <w:ind w:left="0" w:right="0" w:hanging="0"/>
        <w:jc w:val="both"/>
        <w:rPr>
          <w:rFonts w:ascii="Times New Roman" w:hAnsi="Times New Roman"/>
          <w:b/>
          <w:b/>
          <w:bCs/>
          <w:lang w:val="en-GB"/>
        </w:rPr>
      </w:pPr>
      <w:r>
        <w:rPr>
          <w:rFonts w:ascii="Times New Roman" w:hAnsi="Times New Roman"/>
          <w:b/>
          <w:bCs/>
          <w:lang w:val="en-GB"/>
        </w:rPr>
      </w:r>
    </w:p>
    <w:p>
      <w:pPr>
        <w:pStyle w:val="Normal"/>
        <w:bidi w:val="0"/>
        <w:spacing w:before="0" w:after="200"/>
        <w:ind w:left="66" w:right="0"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bidi w:val="0"/>
        <w:spacing w:before="0" w:after="200"/>
        <w:ind w:left="720" w:right="0" w:hanging="720"/>
        <w:jc w:val="both"/>
        <w:rPr>
          <w:lang w:val="en-GB"/>
        </w:rPr>
      </w:pPr>
      <w:r>
        <w:rPr>
          <w:rFonts w:ascii="Times New Roman" w:hAnsi="Times New Roman"/>
          <w:b/>
          <w:lang w:val="en-GB"/>
        </w:rPr>
        <w:t>3.1</w:t>
        <w:tab/>
        <w:t xml:space="preserve">Work plan and resources </w:t>
      </w:r>
    </w:p>
    <w:p>
      <w:pPr>
        <w:pStyle w:val="Normal"/>
        <w:spacing w:before="0" w:after="120"/>
        <w:ind w:left="0" w:right="0" w:hanging="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is aimed at dissemination activities through e.g. the sharing of outcomes and results via open-access scientific publications and promoting innovation, especially in Greece. The work plan is described in detail in the following.</w:t>
      </w:r>
    </w:p>
    <w:p>
      <w:pPr>
        <w:pStyle w:val="Normal"/>
        <w:bidi w:val="0"/>
        <w:spacing w:before="0" w:after="200"/>
        <w:ind w:left="0" w:right="0" w:hanging="0"/>
        <w:jc w:val="both"/>
        <w:rPr>
          <w:rFonts w:ascii="Times New Roman" w:hAnsi="Times New Roman"/>
          <w:b/>
          <w:b/>
          <w:lang w:val="en-GB"/>
        </w:rPr>
      </w:pPr>
      <w:r>
        <w:rPr>
          <w:rFonts w:ascii="Times New Roman" w:hAnsi="Times New Roman"/>
          <w:b/>
          <w:lang w:val="en-GB"/>
        </w:rPr>
      </w:r>
    </w:p>
    <w:p>
      <w:pPr>
        <w:pStyle w:val="Normal"/>
        <w:bidi w:val="0"/>
        <w:spacing w:before="0" w:after="200"/>
        <w:ind w:left="0" w:right="0" w:hanging="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bidi w:val="0"/>
        <w:spacing w:before="0" w:after="200"/>
        <w:ind w:left="0" w:right="0" w:hanging="0"/>
        <w:jc w:val="both"/>
        <w:rPr>
          <w:lang w:val="en-GB"/>
        </w:rPr>
      </w:pPr>
      <w:r>
        <w:rPr>
          <w:rFonts w:ascii="Times New Roman" w:hAnsi="Times New Roman"/>
          <w:lang w:val="en-GB"/>
        </w:rPr>
        <w:t>Insert here text for your proposal</w:t>
      </w:r>
    </w:p>
    <w:p>
      <w:pPr>
        <w:pStyle w:val="Normal"/>
        <w:bidi w:val="0"/>
        <w:spacing w:lineRule="auto" w:line="276" w:before="0" w:after="240"/>
        <w:ind w:left="0" w:right="0" w:hanging="0"/>
        <w:jc w:val="both"/>
        <w:rPr>
          <w:rFonts w:ascii="Times New Roman" w:hAnsi="Times New Roman"/>
          <w:b/>
          <w:b/>
          <w:bCs/>
          <w:lang w:val="en-GB"/>
        </w:rPr>
      </w:pPr>
      <w:r>
        <w:rPr>
          <w:rFonts w:ascii="Times New Roman" w:hAnsi="Times New Roman"/>
          <w:b/>
          <w:bCs/>
          <w:lang w:val="en-GB"/>
        </w:rPr>
      </w:r>
    </w:p>
    <w:p>
      <w:pPr>
        <w:pStyle w:val="Normal"/>
        <w:bidi w:val="0"/>
        <w:spacing w:before="0" w:after="200"/>
        <w:ind w:left="0" w:right="0" w:hanging="0"/>
        <w:rPr/>
      </w:pPr>
      <w:bookmarkStart w:id="25" w:name="_Hlk106802840"/>
      <w:r>
        <w:rPr>
          <w:rFonts w:cs="Arial"/>
          <w:color w:val="B5B5B5"/>
          <w:sz w:val="18"/>
          <w:szCs w:val="16"/>
        </w:rPr>
        <w:t>#§CON-SOR-CS§# #§PRJ-MGT-PM§#</w:t>
      </w:r>
      <w:bookmarkEnd w:id="25"/>
    </w:p>
    <w:p>
      <w:pPr>
        <w:pStyle w:val="Normal"/>
        <w:bidi w:val="0"/>
        <w:ind w:left="0" w:right="0" w:hanging="0"/>
        <w:rPr/>
      </w:pPr>
      <w:r>
        <w:rPr/>
      </w:r>
      <w:r>
        <w:br w:type="page"/>
      </w:r>
    </w:p>
    <w:p>
      <w:pPr>
        <w:pStyle w:val="Normal"/>
        <w:bidi w:val="0"/>
        <w:spacing w:lineRule="auto" w:line="276" w:before="0" w:after="240"/>
        <w:ind w:left="0" w:right="0" w:hanging="0"/>
        <w:jc w:val="both"/>
        <w:rPr>
          <w:lang w:val="en-GB"/>
        </w:rPr>
      </w:pPr>
      <w:r>
        <w:rPr>
          <w:rFonts w:ascii="Times New Roman" w:hAnsi="Times New Roman"/>
          <w:b/>
          <w:bCs/>
          <w:lang w:val="en-GB"/>
        </w:rPr>
        <w:t>Tables for section 3.1</w:t>
      </w:r>
    </w:p>
    <w:p>
      <w:pPr>
        <w:pStyle w:val="Normal"/>
        <w:bidi w:val="0"/>
        <w:spacing w:before="0" w:after="240"/>
        <w:ind w:left="0" w:right="0" w:hanging="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Pr>
      <w:tblGrid>
        <w:gridCol w:w="1101"/>
        <w:gridCol w:w="1416"/>
        <w:gridCol w:w="1417"/>
        <w:gridCol w:w="1418"/>
        <w:gridCol w:w="1276"/>
        <w:gridCol w:w="1133"/>
        <w:gridCol w:w="1134"/>
      </w:tblGrid>
      <w:tr>
        <w:trPr>
          <w:cantSplit w:val="true"/>
        </w:trPr>
        <w:tc>
          <w:tcPr>
            <w:tcW w:w="1101"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bidi w:val="0"/>
              <w:spacing w:before="120" w:after="120"/>
              <w:ind w:left="34" w:right="0" w:hanging="0"/>
              <w:jc w:val="center"/>
              <w:rPr>
                <w:lang w:val="en-GB"/>
              </w:rPr>
            </w:pPr>
            <w:r>
              <w:rPr>
                <w:rFonts w:ascii="Times New Roman" w:hAnsi="Times New Roman"/>
                <w:b/>
                <w:lang w:val="en-GB"/>
              </w:rPr>
              <w:t>Work package No</w:t>
            </w:r>
          </w:p>
        </w:tc>
        <w:tc>
          <w:tcPr>
            <w:tcW w:w="1416"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bidi w:val="0"/>
              <w:spacing w:before="120" w:after="120"/>
              <w:ind w:left="34" w:right="0"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bidi w:val="0"/>
              <w:spacing w:before="120" w:after="120"/>
              <w:ind w:left="34" w:right="0"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bidi w:val="0"/>
              <w:spacing w:before="120" w:after="120"/>
              <w:ind w:left="34" w:right="0" w:hanging="0"/>
              <w:jc w:val="center"/>
              <w:rPr>
                <w:lang w:val="en-GB"/>
              </w:rPr>
            </w:pPr>
            <w:r>
              <w:rPr>
                <w:rFonts w:ascii="Times New Roman" w:hAnsi="Times New Roman"/>
                <w:b/>
                <w:lang w:val="en-GB"/>
              </w:rPr>
              <w:t>Lead Participant Short Name</w:t>
            </w:r>
          </w:p>
        </w:tc>
        <w:tc>
          <w:tcPr>
            <w:tcW w:w="1276"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bidi w:val="0"/>
              <w:spacing w:before="120" w:after="120"/>
              <w:ind w:left="34" w:right="0" w:hanging="0"/>
              <w:jc w:val="center"/>
              <w:rPr>
                <w:lang w:val="en-GB"/>
              </w:rPr>
            </w:pPr>
            <w:r>
              <w:rPr>
                <w:rFonts w:ascii="Times New Roman" w:hAnsi="Times New Roman"/>
                <w:b/>
                <w:lang w:val="en-GB"/>
              </w:rPr>
              <w:t>Person-Months</w:t>
            </w:r>
          </w:p>
        </w:tc>
        <w:tc>
          <w:tcPr>
            <w:tcW w:w="1133"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bidi w:val="0"/>
              <w:spacing w:before="120" w:after="120"/>
              <w:ind w:left="34" w:right="0"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bidi w:val="0"/>
              <w:spacing w:before="120" w:after="120"/>
              <w:ind w:left="34" w:right="0" w:hanging="0"/>
              <w:jc w:val="center"/>
              <w:rPr>
                <w:lang w:val="en-GB"/>
              </w:rPr>
            </w:pPr>
            <w:r>
              <w:rPr>
                <w:rFonts w:ascii="Times New Roman" w:hAnsi="Times New Roman"/>
                <w:b/>
                <w:lang w:val="en-GB"/>
              </w:rPr>
              <w:t>End month</w:t>
            </w:r>
          </w:p>
        </w:tc>
      </w:tr>
      <w:tr>
        <w:trPr>
          <w:cantSplit w:val="true"/>
        </w:trPr>
        <w:tc>
          <w:tcPr>
            <w:tcW w:w="110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WP1</w:t>
            </w:r>
          </w:p>
        </w:tc>
        <w:tc>
          <w:tcPr>
            <w:tcW w:w="141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1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WP2</w:t>
            </w:r>
          </w:p>
        </w:tc>
        <w:tc>
          <w:tcPr>
            <w:tcW w:w="141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ind w:left="0" w:right="0" w:hanging="0"/>
              <w:rPr>
                <w:lang w:val="en-GB"/>
              </w:rPr>
            </w:pPr>
            <w:r>
              <w:rPr>
                <w:lang w:val="en-GB"/>
              </w:rPr>
              <w:t>Networking and Preparing Capacity Building</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1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24</w:t>
            </w:r>
          </w:p>
        </w:tc>
      </w:tr>
      <w:tr>
        <w:trPr>
          <w:cantSplit w:val="true"/>
        </w:trPr>
        <w:tc>
          <w:tcPr>
            <w:tcW w:w="110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WP3</w:t>
            </w:r>
          </w:p>
        </w:tc>
        <w:tc>
          <w:tcPr>
            <w:tcW w:w="141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1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WP4</w:t>
            </w:r>
          </w:p>
        </w:tc>
        <w:tc>
          <w:tcPr>
            <w:tcW w:w="141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1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6</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bl>
    <w:p>
      <w:pPr>
        <w:pStyle w:val="Normal"/>
        <w:widowControl w:val="false"/>
        <w:bidi w:val="0"/>
        <w:spacing w:before="0" w:after="240"/>
        <w:ind w:left="0" w:right="0" w:hanging="0"/>
        <w:rPr>
          <w:rFonts w:ascii="Times New Roman" w:hAnsi="Times New Roman"/>
          <w:b/>
          <w:b/>
          <w:bCs/>
        </w:rPr>
      </w:pPr>
      <w:r>
        <w:rPr>
          <w:rFonts w:ascii="Times New Roman" w:hAnsi="Times New Roman"/>
          <w:b/>
          <w:bCs/>
        </w:rPr>
      </w:r>
      <w:r>
        <w:br w:type="page"/>
      </w:r>
    </w:p>
    <w:p>
      <w:pPr>
        <w:pStyle w:val="Normal"/>
        <w:bidi w:val="0"/>
        <w:spacing w:before="0" w:after="200"/>
        <w:ind w:left="0" w:right="0" w:hanging="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bidi w:val="0"/>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t>Project Management &amp; Coordination</w:t>
            </w:r>
          </w:p>
        </w:tc>
      </w:tr>
    </w:tbl>
    <w:p>
      <w:pPr>
        <w:pStyle w:val="Normal"/>
        <w:widowControl w:val="false"/>
        <w:bidi w:val="0"/>
        <w:spacing w:before="60" w:after="60"/>
        <w:ind w:left="0" w:right="0" w:hanging="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rPr>
                <w:lang w:val="en-GB"/>
              </w:rPr>
            </w:pPr>
            <w:r>
              <w:rPr/>
              <w:t>The objectives of this WP are to: (1) Establish a strong project management scheme; (2) Establish the appropriate communication and reporting channels to the European Commission; (3) Ensure successful achievement of the project objectives on time and within budget; (4) Establish an efficient electronic service for communications, and document exchanging; (5) Realize synergies among the project members and effective exploitation of the project’s’ results; (6) Conduct continuous quality assurance activities for the operation of the project and the production of its scientific and technical results within its lifespan; (7) Ensure continuous monitoring of the project’s progress and timely initiation of corrective actions (if needed); (8) Coordinate the organization and execution of the various project meetings, and/or participation of the project in various external or self-organized events; (9) Perform risk analysis and ethical and legal framework analysis to ensure successful and continuous compliance with ethical and legal standards concerning the project objectives.</w:t>
            </w:r>
          </w:p>
        </w:tc>
      </w:tr>
    </w:tbl>
    <w:p>
      <w:pPr>
        <w:pStyle w:val="Normal"/>
        <w:widowControl w:val="false"/>
        <w:bidi w:val="0"/>
        <w:spacing w:before="60" w:after="60"/>
        <w:ind w:left="0" w:right="0" w:hanging="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bidi w:val="0"/>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rPr/>
            </w:pPr>
            <w:r>
              <w:rPr>
                <w:b/>
                <w:bCs/>
              </w:rPr>
              <w:t>Task 1.1: Quality assurance, risk management and technical monitoring (M1 – M36); Lead: NTUA</w:t>
            </w:r>
            <w:r>
              <w:rPr/>
              <w:t>.</w:t>
            </w:r>
          </w:p>
          <w:p>
            <w:pPr>
              <w:pStyle w:val="Normal"/>
              <w:widowControl w:val="false"/>
              <w:tabs>
                <w:tab w:val="clear" w:pos="720"/>
              </w:tabs>
              <w:spacing w:before="60" w:after="60"/>
              <w:ind w:left="0" w:right="0" w:hanging="0"/>
              <w:rPr/>
            </w:pPr>
            <w:r>
              <w:rPr/>
              <w:t>Quality procedures include: control actions planned; time schedules; scientific and technical requirement specifications and quality objectives; agreed definitions of procedures for acceptance and quality control; appropriate tools for planning, monitoring and progress reporting; identify risk items and minimise these ;legal and ethical aspects within the project.</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1.2: Day-to-Day management of the project, financial control and resource monitoring (M1 – M36);</w:t>
            </w:r>
          </w:p>
          <w:p>
            <w:pPr>
              <w:pStyle w:val="Normal"/>
              <w:widowControl w:val="false"/>
              <w:tabs>
                <w:tab w:val="clear" w:pos="720"/>
              </w:tabs>
              <w:spacing w:before="60" w:after="60"/>
              <w:ind w:left="0" w:right="0" w:hanging="0"/>
              <w:rPr/>
            </w:pPr>
            <w:r>
              <w:rPr>
                <w:b/>
                <w:bCs/>
              </w:rPr>
              <w:t>Lead: NTUA</w:t>
            </w:r>
            <w:r>
              <w:rPr/>
              <w:t>.</w:t>
            </w:r>
          </w:p>
          <w:p>
            <w:pPr>
              <w:pStyle w:val="Normal"/>
              <w:widowControl w:val="false"/>
              <w:tabs>
                <w:tab w:val="clear" w:pos="720"/>
              </w:tabs>
              <w:spacing w:before="60" w:after="60"/>
              <w:ind w:left="0" w:right="0" w:hanging="0"/>
              <w:rPr/>
            </w:pPr>
            <w:r>
              <w:rPr/>
              <w:t>Project management plan for the administration, financial control and resource monitoring, communication with the EU and the consortium, preparation of all project management documentation, including the required financial reports, consortium internal communication strategy.</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1.3: Project Reporting to EU (M1 – M36); Lead: NTUA</w:t>
            </w:r>
          </w:p>
          <w:p>
            <w:pPr>
              <w:pStyle w:val="Normal"/>
              <w:widowControl w:val="false"/>
              <w:tabs>
                <w:tab w:val="clear" w:pos="720"/>
              </w:tabs>
              <w:spacing w:before="60" w:after="60"/>
              <w:ind w:left="0" w:right="0" w:hanging="0"/>
              <w:rPr/>
            </w:pPr>
            <w:r>
              <w:rPr/>
              <w:t>Semi-annual reporting of achievements and status for each phase. The project reports are used to report the progress of work carried out from the beginning of the project or the previous project report, while making deviations and major risks and counter measures explicit.</w:t>
            </w:r>
          </w:p>
        </w:tc>
      </w:tr>
    </w:tbl>
    <w:p>
      <w:pPr>
        <w:pStyle w:val="Normal"/>
        <w:widowControl w:val="false"/>
        <w:bidi w:val="0"/>
        <w:ind w:left="0" w:right="0" w:hanging="0"/>
        <w:rPr>
          <w:rFonts w:ascii="Times New Roman" w:hAnsi="Times New Roman"/>
          <w:lang w:val="en-GB"/>
        </w:rPr>
      </w:pPr>
      <w:r>
        <w:rPr>
          <w:rFonts w:ascii="Times New Roman" w:hAnsi="Times New Roman"/>
          <w:lang w:val="en-GB"/>
        </w:rPr>
      </w:r>
    </w:p>
    <w:p>
      <w:pPr>
        <w:pStyle w:val="Normal"/>
        <w:widowControl w:val="false"/>
        <w:bidi w:val="0"/>
        <w:ind w:left="0" w:right="0" w:hanging="0"/>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bidi w:val="0"/>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Networking and Preparing Capacity Building</w:t>
            </w:r>
          </w:p>
        </w:tc>
      </w:tr>
    </w:tbl>
    <w:p>
      <w:pPr>
        <w:pStyle w:val="Normal"/>
        <w:bidi w:val="0"/>
        <w:ind w:left="0" w:right="0" w:hanging="0"/>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tabs>
                <w:tab w:val="clear" w:pos="720"/>
              </w:tabs>
              <w:bidi w:val="0"/>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jc w:val="both"/>
              <w:rPr/>
            </w:pPr>
            <w:r>
              <w:rPr/>
              <w:t>The objective of this WP is to establish efficient, solid, seamless communication and networking channels between the host and the twining partners. Through these channels, the expert nodes will introduce the host institute to their respective fields of expertise, and lay the groundwork and work-schedule for research capacity building.</w:t>
            </w:r>
          </w:p>
          <w:p>
            <w:pPr>
              <w:pStyle w:val="Normal"/>
              <w:widowControl w:val="false"/>
              <w:tabs>
                <w:tab w:val="clear" w:pos="720"/>
              </w:tabs>
              <w:spacing w:before="60" w:after="60"/>
              <w:ind w:left="0" w:right="0" w:hanging="0"/>
              <w:jc w:val="both"/>
              <w:rPr/>
            </w:pPr>
            <w:r>
              <w:rPr/>
              <w:t>Additionally, a task force will be established in the host institute and trained by the expert partners with the aim of boosting its success rate in research funding bids.</w:t>
            </w:r>
          </w:p>
        </w:tc>
      </w:tr>
    </w:tbl>
    <w:p>
      <w:pPr>
        <w:pStyle w:val="Normal"/>
        <w:bidi w:val="0"/>
        <w:ind w:left="0" w:right="0" w:hanging="0"/>
        <w:rPr>
          <w:lang w:val="en-GB"/>
        </w:rPr>
      </w:pPr>
      <w:r>
        <w:rPr>
          <w:lang w:val="en-GB"/>
        </w:rPr>
      </w:r>
    </w:p>
    <w:tbl>
      <w:tblPr>
        <w:tblW w:w="9855" w:type="dxa"/>
        <w:jc w:val="left"/>
        <w:tblInd w:w="-109"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bidi w:val="0"/>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2.1 Networking and preparing research capacity for DORIS (M1-M12); Lead IPGP</w:t>
            </w:r>
          </w:p>
          <w:p>
            <w:pPr>
              <w:pStyle w:val="Normal"/>
              <w:widowControl w:val="false"/>
              <w:tabs>
                <w:tab w:val="clear" w:pos="720"/>
              </w:tabs>
              <w:spacing w:before="60" w:after="60"/>
              <w:ind w:left="0" w:right="0" w:hanging="0"/>
              <w:jc w:val="both"/>
              <w:rPr/>
            </w:pPr>
            <w:r>
              <w:rPr>
                <w:lang w:val="en-GB"/>
              </w:rPr>
              <w:t>The host institute along with IPGP and CLS will establish a task force (with members of all three involved institutes) and the means through which this force will maintain a long-term sound communication and collaboration. The expert partners will introduce the DORIS technique to their peers in the host institute via online webinars, venture labs and one short term encounter of all three involved partners. This encounter will be hosted by IPGP and will include the schooling of the host’s personnel and its training on software tools used by the expert nodes in their respective institutes.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and one Post-Doc Thesis, which they will co-supervise, thus strengthening ties and synergies. Both thesis will be carried out in NTUA, in close cooperation with the expert nodes, and written/defended in English.</w:t>
            </w:r>
          </w:p>
          <w:p>
            <w:pPr>
              <w:pStyle w:val="Normal"/>
              <w:widowControl w:val="false"/>
              <w:tabs>
                <w:tab w:val="clear" w:pos="720"/>
              </w:tabs>
              <w:spacing w:before="60" w:after="60"/>
              <w:ind w:left="0" w:right="0" w:hanging="0"/>
              <w:jc w:val="both"/>
              <w:rPr/>
            </w:pPr>
            <w:r>
              <w:rPr/>
              <w:t>Additionally, e</w:t>
            </w:r>
            <w:r>
              <w:rPr/>
              <w:t xml:space="preserve">xploiting the expertise of the top-class institutes (IPGP and CLS), the partners will </w:t>
            </w:r>
            <w:r>
              <w:rPr/>
              <w:t>draw</w:t>
            </w:r>
            <w:r>
              <w:rPr/>
              <w:t xml:space="preserve"> out a detailed plan on significantly enhancing the host’s research capacity, through designing and implementing a DORIS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this three-part consortium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t>Expert nodes will introduce the host to the IDS consortium</w:t>
            </w:r>
            <w:r>
              <w:rPr>
                <w:lang w:val="en-GB"/>
              </w:rPr>
              <w:t>,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2.2 Networking and preparing research capacity for SLR (M1-M12); Lead GFZ</w:t>
            </w:r>
          </w:p>
          <w:p>
            <w:pPr>
              <w:pStyle w:val="Normal"/>
              <w:widowControl w:val="false"/>
              <w:tabs>
                <w:tab w:val="clear" w:pos="720"/>
              </w:tabs>
              <w:spacing w:before="60" w:after="60"/>
              <w:ind w:left="0" w:right="0" w:hanging="0"/>
              <w:jc w:val="both"/>
              <w:rPr/>
            </w:pPr>
            <w:r>
              <w:rPr>
                <w:lang w:val="en-GB"/>
              </w:rPr>
              <w:t>GFZ and NTUA will establish a task force (with members of both involved institutes) and the means through which this force will maintain a long-term, solid communication channel. The expert partner will introduce the SLR technique to its peers in the host institute via online webinars, venture labs and one short term encounter, hosted by GFZ. During this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GFZ, the partners will lay out a detailed plan on significantly enhancing the host’s research capacity, through designing and implementing an SLR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GFZ will introduce the host to the ILRS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2.3 Networking and preparing research capacity for VLBI (M1-M12); Lead OSO</w:t>
            </w:r>
          </w:p>
          <w:p>
            <w:pPr>
              <w:pStyle w:val="Normal"/>
              <w:widowControl w:val="false"/>
              <w:tabs>
                <w:tab w:val="clear" w:pos="720"/>
              </w:tabs>
              <w:spacing w:before="60" w:after="60"/>
              <w:ind w:left="0" w:right="0" w:hanging="0"/>
              <w:jc w:val="both"/>
              <w:rPr/>
            </w:pPr>
            <w:r>
              <w:rPr>
                <w:lang w:val="en-GB"/>
              </w:rPr>
              <w:t>OSO and NTUA will establish a task force (with members of both involved institutes) and the (online) means through which this force will maintain a long-term, sound communication channel, at least for the duration of ACRONYM. The expert partner will introduce the VLBI technique to its peers in the host institute via online webinars, venture labs and one short term encounter, hosted by OSO. During this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OSO, the partners will lay out a detailed plan on significantly enhancing the host’s research capacity, through designing and implementing a geodetic toolbox, specifically aiming an efficient and accurate handling of Earth orientation parameters, celestial and terrestrial reference frame transformations and tidal phenomena. This plan will include state-of-the-art standards and models to be used, as well as testing and validation cases. Tasks will be hierarchically ordered in a precision ordered fashion, eventually leading to achieving utmost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OSO will introduce the host to the IVS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2.4 Enhancing Research Funding Capacity (M1-M24); Lead CLS</w:t>
            </w:r>
          </w:p>
          <w:p>
            <w:pPr>
              <w:pStyle w:val="Normal"/>
              <w:widowControl w:val="false"/>
              <w:tabs>
                <w:tab w:val="clear" w:pos="720"/>
              </w:tabs>
              <w:spacing w:before="60" w:after="60"/>
              <w:ind w:left="0" w:right="0" w:hanging="0"/>
              <w:jc w:val="both"/>
              <w:rPr/>
            </w:pPr>
            <w:r>
              <w:rPr>
                <w:b w:val="false"/>
                <w:bCs w:val="false"/>
                <w:lang w:val="en-GB"/>
              </w:rPr>
              <w:t>The host institute will establish a task force, made up of NTUA employees, which will be trained in project funding seeking, proposal submission and research project management. The consortium partners (CLS, IPGP, GFZ and OSO) will transfer technical knowledge, know-how and expertise to NTUA, concerning the writing and submitting of research proposals, as well as the efficient administration of research intensive scientific projects. The expert nodes will introduce the host task force to European research funding pools (e.g. EU, ESA, etc) and the means to significantly enhance its successful proposal submission rate. The task force along with the partners will decide on a strategic plan for two further research proposals to be submitted within the duration of ACRONYM.</w:t>
            </w:r>
          </w:p>
        </w:tc>
      </w:tr>
    </w:tbl>
    <w:p>
      <w:pPr>
        <w:pStyle w:val="Normal"/>
        <w:bidi w:val="0"/>
        <w:ind w:left="0" w:right="0" w:hanging="0"/>
        <w:rPr>
          <w:lang w:val="en-GB"/>
        </w:rPr>
      </w:pPr>
      <w:r>
        <w:rPr>
          <w:lang w:val="en-GB"/>
        </w:rPr>
      </w:r>
    </w:p>
    <w:p>
      <w:pPr>
        <w:pStyle w:val="Normal"/>
        <w:bidi w:val="0"/>
        <w:ind w:left="0" w:right="0" w:hanging="0"/>
        <w:rPr>
          <w:lang w:val="en-GB"/>
        </w:rPr>
      </w:pPr>
      <w:r>
        <w:rPr>
          <w:lang w:val="en-GB"/>
        </w:rPr>
      </w:r>
    </w:p>
    <w:p>
      <w:pPr>
        <w:pStyle w:val="Normal"/>
        <w:bidi w:val="0"/>
        <w:ind w:left="0" w:right="0" w:hanging="0"/>
        <w:rPr>
          <w:lang w:val="en-GB"/>
        </w:rPr>
      </w:pPr>
      <w:r>
        <w:rPr>
          <w:lang w:val="en-GB"/>
        </w:rPr>
      </w:r>
    </w:p>
    <w:tbl>
      <w:tblPr>
        <w:tblW w:w="9854" w:type="dxa"/>
        <w:jc w:val="left"/>
        <w:tblInd w:w="-109" w:type="dxa"/>
        <w:tblLayout w:type="fixed"/>
        <w:tblCellMar>
          <w:top w:w="0" w:type="dxa"/>
          <w:left w:w="108" w:type="dxa"/>
          <w:bottom w:w="0" w:type="dxa"/>
          <w:right w:w="108" w:type="dxa"/>
        </w:tblCellMar>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bidi w:val="0"/>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Building Excellence Capacity</w:t>
            </w:r>
          </w:p>
        </w:tc>
      </w:tr>
    </w:tbl>
    <w:p>
      <w:pPr>
        <w:pStyle w:val="Normal"/>
        <w:bidi w:val="0"/>
        <w:ind w:left="0" w:right="0" w:hanging="0"/>
        <w:rPr>
          <w:lang w:val="en-GB"/>
        </w:rPr>
      </w:pPr>
      <w:r>
        <w:rPr>
          <w:lang w:val="en-GB"/>
        </w:rPr>
      </w:r>
    </w:p>
    <w:tbl>
      <w:tblPr>
        <w:tblW w:w="9855" w:type="dxa"/>
        <w:jc w:val="left"/>
        <w:tblInd w:w="-109"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jc w:val="both"/>
              <w:rPr/>
            </w:pPr>
            <w:r>
              <w:rPr/>
              <w:t>The objective of this WP is for the host institute to build its own scientific software toolset, to perform state-of-the-art data analysis for observations collected by both DORIS and SLR techniques. Additionally, the package will be able to efficiently incorporate recent advances and high-quality products from VLBI analysis. Such a toolbox will is expected to significantly enhance the host's capacity to perform state-of-the-art research on a wide range of geoscience-related topics. Furthermore, it will enable NTUA's involvement in  international, high-prestige consortia (such as the IDS and ILRS) significantly enhancing its international status and networking capabilities.</w:t>
            </w:r>
          </w:p>
          <w:p>
            <w:pPr>
              <w:pStyle w:val="Normal"/>
              <w:widowControl w:val="false"/>
              <w:tabs>
                <w:tab w:val="clear" w:pos="720"/>
              </w:tabs>
              <w:spacing w:before="60" w:after="60"/>
              <w:ind w:left="0" w:right="0" w:hanging="0"/>
              <w:jc w:val="both"/>
              <w:rPr>
                <w:highlight w:val="none"/>
                <w:shd w:fill="auto" w:val="clear"/>
              </w:rPr>
            </w:pPr>
            <w:r>
              <w:rPr>
                <w:shd w:fill="auto" w:val="clear"/>
                <w:lang w:val="en-GB"/>
              </w:rPr>
              <w:t>The consortium will adhere to a free and open-source policy for all software tools to be built within the framework of this WP. Software implementation will be carried out on the public domain via dedicated repositories (hosted e.g. on gitlab) so as to enable a rigorous development platform for the consortium partners, easy and efficient progress monitoring (including the Commission) and instantaneous sharing with the scientific community.</w:t>
            </w:r>
          </w:p>
        </w:tc>
      </w:tr>
    </w:tbl>
    <w:p>
      <w:pPr>
        <w:pStyle w:val="Normal"/>
        <w:bidi w:val="0"/>
        <w:ind w:left="0" w:right="0" w:hanging="0"/>
        <w:rPr>
          <w:lang w:val="en-GB"/>
        </w:rPr>
      </w:pPr>
      <w:r>
        <w:rPr>
          <w:lang w:val="en-GB"/>
        </w:rPr>
      </w:r>
    </w:p>
    <w:p>
      <w:pPr>
        <w:pStyle w:val="Normal"/>
        <w:bidi w:val="0"/>
        <w:ind w:left="0" w:right="0" w:hanging="0"/>
        <w:rPr>
          <w:lang w:val="en-GB"/>
        </w:rPr>
      </w:pPr>
      <w:r>
        <w:rPr>
          <w:lang w:val="en-GB"/>
        </w:rPr>
      </w:r>
    </w:p>
    <w:tbl>
      <w:tblPr>
        <w:tblW w:w="9855" w:type="dxa"/>
        <w:jc w:val="left"/>
        <w:tblInd w:w="-109"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bidi w:val="0"/>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3.1 Building research capacity via DORIS (M12-M36); Lead CLS</w:t>
            </w:r>
          </w:p>
          <w:p>
            <w:pPr>
              <w:pStyle w:val="Normal"/>
              <w:widowControl w:val="false"/>
              <w:tabs>
                <w:tab w:val="clear" w:pos="720"/>
              </w:tabs>
              <w:spacing w:before="60" w:after="60"/>
              <w:ind w:left="0" w:right="0" w:hanging="0"/>
              <w:jc w:val="both"/>
              <w:rPr/>
            </w:pPr>
            <w:r>
              <w:rPr>
                <w:lang w:val="en-GB"/>
              </w:rPr>
              <w:t>CLS and IPGP will provide assistance to NTUA aiming at the upgrade and refinement of its own DORIS analysis software, to perform precise orbit determination and estimation of geodetic parameters. Both expert nodes will assist NTUA’s personnel via online webinars, one-on-one and one-to-many training, exploiting the networking capacity already established in Task 2.1. Additionally, NTUA’s staff will visit CLS and both CLS and IPGP personnel will make short visits to NTUA’s facilities, in an effort to further consolidate networking and expertise transfer.</w:t>
            </w:r>
          </w:p>
          <w:p>
            <w:pPr>
              <w:pStyle w:val="Normal"/>
              <w:widowControl w:val="false"/>
              <w:tabs>
                <w:tab w:val="clear" w:pos="720"/>
              </w:tabs>
              <w:spacing w:before="60" w:after="60"/>
              <w:ind w:left="0" w:right="0" w:hanging="0"/>
              <w:jc w:val="both"/>
              <w:rPr/>
            </w:pPr>
            <w:r>
              <w:rPr/>
              <w:t>Software development will adopt the work plan established in Task 2.1, enabling step-by-step validation. Focus will be placed in exchange of best practices, state-of-the-art analysis and modeling, recent trends in the field and the application of efficient and and robust design principles. Expert nodes will also introduce aspects of currently active intense research as well as IDS specific needs and ongoing and/or future plans, through which the host institute can play a significant role in the field in the long term.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3.2 Building research capacity via SLR (M12-M36); Lead GFZ</w:t>
            </w:r>
          </w:p>
          <w:p>
            <w:pPr>
              <w:pStyle w:val="Normal"/>
              <w:widowControl w:val="false"/>
              <w:tabs>
                <w:tab w:val="clear" w:pos="720"/>
              </w:tabs>
              <w:spacing w:before="60" w:after="60"/>
              <w:ind w:left="0" w:right="0" w:hanging="0"/>
              <w:jc w:val="both"/>
              <w:rPr/>
            </w:pPr>
            <w:r>
              <w:rPr>
                <w:lang w:val="en-GB"/>
              </w:rPr>
              <w:t>GFZ will provide assistance to NTUA aiming at the development of its own SLR analysis software, to perform precise orbit determination and estimation of geodetic parameters. The expert node will assist NTUA’s personnel via online webinars, one-on-one and one-to-many schooling, exploiting the networking capacity already established in Task 2.2. Additionally, NTUA’s staff will visit GFZ and GFZ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t>Software development will adopt the work plan established in Task 2.2, enabling step-by-step validation. Focus will be placed in exchange of best practices, state-of-the-art analysis and modeling, recent trends in the field and the application of efficient and and robust design principles. Expert nodes will also introduce aspects of currently active intense research as well as ILRS specific needs and ongoing and/or future plans, through which the host institute can play a significant role in the field in the long term.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3.3 Building research capacity via VLBI (M12-M36); Lead OSO</w:t>
            </w:r>
          </w:p>
          <w:p>
            <w:pPr>
              <w:pStyle w:val="Normal"/>
              <w:widowControl w:val="false"/>
              <w:tabs>
                <w:tab w:val="clear" w:pos="720"/>
              </w:tabs>
              <w:spacing w:before="60" w:after="60"/>
              <w:ind w:left="0" w:right="0" w:hanging="0"/>
              <w:jc w:val="both"/>
              <w:rPr/>
            </w:pPr>
            <w:r>
              <w:rPr>
                <w:lang w:val="en-GB"/>
              </w:rPr>
              <w:t>VLBI is known for its importance in the observation of the Earth's orientation parameters and fluctuations in the length of day. Such observations are of significance importance in Space Geodesy, since they enable e.g. the permanent tie between Celestial and Terrestrial Reference Frames. OSO will assist NTUA in incorporating a state-of-the-art handling of Earth Orientation Parameters and consequently reference frame transformation schema in its own software toolset. The expert node will assist NTUA’s personnel via online webinars, one-on-one and one-to-many schooling, exploiting the networking capacity already established in Task 2.3. Additionally, NTUA’s staff will visit OSO and OSO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r>
          </w:p>
          <w:p>
            <w:pPr>
              <w:pStyle w:val="Normal"/>
              <w:widowControl w:val="false"/>
              <w:tabs>
                <w:tab w:val="clear" w:pos="720"/>
              </w:tabs>
              <w:spacing w:before="60" w:after="60"/>
              <w:ind w:left="0" w:right="0" w:hanging="0"/>
              <w:jc w:val="both"/>
              <w:rPr>
                <w:b/>
                <w:b/>
                <w:bCs/>
              </w:rPr>
            </w:pPr>
            <w:r>
              <w:rPr>
                <w:b/>
                <w:bCs/>
                <w:lang w:val="en-GB"/>
              </w:rPr>
              <w:t>Task 3.4 Long term plan for centre of excellence (M30-36); Lead NTUA</w:t>
            </w:r>
          </w:p>
          <w:p>
            <w:pPr>
              <w:pStyle w:val="Normal"/>
              <w:widowControl w:val="false"/>
              <w:tabs>
                <w:tab w:val="clear" w:pos="720"/>
              </w:tabs>
              <w:spacing w:before="60" w:after="60"/>
              <w:ind w:left="0" w:right="0" w:hanging="0"/>
              <w:jc w:val="both"/>
              <w:rPr>
                <w:b w:val="false"/>
                <w:b w:val="false"/>
                <w:bCs w:val="false"/>
              </w:rPr>
            </w:pPr>
            <w:r>
              <w:rPr>
                <w:lang w:val="en-GB"/>
              </w:rPr>
              <w:t>The consortium will establish a work plan for all remaining steps required for NTUA to reach either an Analysis Center status or an Associate Analysis Center status, for the DORIS and SLR techniques, depending on each international service’s needs (i.e. IDS and ILRS) and prerequisites. Additionally, the consortium will identify weak points in the research capacity built and propose means to mitigate them.</w:t>
            </w:r>
          </w:p>
          <w:p>
            <w:pPr>
              <w:pStyle w:val="Normal"/>
              <w:widowControl w:val="false"/>
              <w:tabs>
                <w:tab w:val="clear" w:pos="720"/>
              </w:tabs>
              <w:bidi w:val="0"/>
              <w:spacing w:before="60" w:after="60"/>
              <w:ind w:left="0" w:right="0" w:hanging="0"/>
              <w:rPr>
                <w:rFonts w:ascii="Times New Roman" w:hAnsi="Times New Roman"/>
                <w:lang w:val="en-GB"/>
              </w:rPr>
            </w:pPr>
            <w:r>
              <w:rPr>
                <w:rFonts w:ascii="Times New Roman" w:hAnsi="Times New Roman"/>
                <w:lang w:val="en-GB"/>
              </w:rPr>
            </w:r>
          </w:p>
        </w:tc>
      </w:tr>
    </w:tbl>
    <w:p>
      <w:pPr>
        <w:pStyle w:val="Normal"/>
        <w:bidi w:val="0"/>
        <w:ind w:left="0" w:right="0" w:hanging="0"/>
        <w:rPr>
          <w:lang w:val="en-GB"/>
        </w:rPr>
      </w:pPr>
      <w:r>
        <w:rPr>
          <w:lang w:val="en-GB"/>
        </w:rPr>
      </w:r>
    </w:p>
    <w:tbl>
      <w:tblPr>
        <w:tblW w:w="9854" w:type="dxa"/>
        <w:jc w:val="left"/>
        <w:tblInd w:w="-109" w:type="dxa"/>
        <w:tblLayout w:type="fixed"/>
        <w:tblCellMar>
          <w:top w:w="0" w:type="dxa"/>
          <w:left w:w="108" w:type="dxa"/>
          <w:bottom w:w="0" w:type="dxa"/>
          <w:right w:w="108" w:type="dxa"/>
        </w:tblCellMar>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bidi w:val="0"/>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Dissemination, Exploitation and Communication Activities</w:t>
            </w:r>
          </w:p>
        </w:tc>
      </w:tr>
    </w:tbl>
    <w:p>
      <w:pPr>
        <w:pStyle w:val="Normal"/>
        <w:bidi w:val="0"/>
        <w:ind w:left="0" w:right="0" w:hanging="0"/>
        <w:rPr>
          <w:lang w:val="en-GB"/>
        </w:rPr>
      </w:pPr>
      <w:r>
        <w:rPr>
          <w:lang w:val="en-GB"/>
        </w:rPr>
      </w:r>
    </w:p>
    <w:tbl>
      <w:tblPr>
        <w:tblW w:w="9855" w:type="dxa"/>
        <w:jc w:val="left"/>
        <w:tblInd w:w="-109"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jc w:val="both"/>
              <w:rPr/>
            </w:pPr>
            <w:r>
              <w:rPr/>
              <w:t>The objective of this WP is the significant enhancement of the host institute’s international standing and prestige via dissemination and communication activities. Publications in top-tier scientific journals and conferences will further increase NTUA’s visibility and prominence in the scientific community and strengthen the potential for future collaborations nationally and beyond borders. Communication and exploitation activities will help in boosting innovation in the Space and Geosciences fields in Greece, and appeal to young scientists. Focus will be placed in endorsing and promoting the achievements of ACRONYM and the newly established center of excellence.</w:t>
            </w:r>
          </w:p>
        </w:tc>
      </w:tr>
    </w:tbl>
    <w:p>
      <w:pPr>
        <w:pStyle w:val="Normal"/>
        <w:bidi w:val="0"/>
        <w:ind w:left="0" w:right="0" w:hanging="0"/>
        <w:rPr>
          <w:lang w:val="en-GB"/>
        </w:rPr>
      </w:pPr>
      <w:r>
        <w:rPr>
          <w:lang w:val="en-GB"/>
        </w:rPr>
      </w:r>
    </w:p>
    <w:p>
      <w:pPr>
        <w:pStyle w:val="Normal"/>
        <w:bidi w:val="0"/>
        <w:ind w:left="0" w:right="0" w:hanging="0"/>
        <w:rPr>
          <w:lang w:val="en-GB"/>
        </w:rPr>
      </w:pPr>
      <w:r>
        <w:rPr>
          <w:lang w:val="en-GB"/>
        </w:rPr>
      </w:r>
    </w:p>
    <w:tbl>
      <w:tblPr>
        <w:tblW w:w="9855" w:type="dxa"/>
        <w:jc w:val="left"/>
        <w:tblInd w:w="-109"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bidi w:val="0"/>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4.1 Project Website and Social Media Engagement (M1-M36); Lead NTUA</w:t>
            </w:r>
          </w:p>
          <w:p>
            <w:pPr>
              <w:pStyle w:val="Normal"/>
              <w:widowControl w:val="false"/>
              <w:tabs>
                <w:tab w:val="clear" w:pos="720"/>
              </w:tabs>
              <w:spacing w:before="60" w:after="60"/>
              <w:ind w:left="0" w:right="0" w:hanging="0"/>
              <w:jc w:val="both"/>
              <w:rPr/>
            </w:pPr>
            <w:r>
              <w:rPr>
                <w:lang w:val="en-GB"/>
              </w:rPr>
              <w:t xml:space="preserve">Th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 </w:t>
            </w:r>
            <w:r>
              <w:rPr/>
              <w:t>Promotion, communication and endorsement activities will also be performed via social media (e.g. LinkedIn) on a timely manner, throughout the duration of ACRONYM.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4.2 Sharing of technical knowledge and know-how (M1-M36); Lead NTUA</w:t>
            </w:r>
          </w:p>
          <w:p>
            <w:pPr>
              <w:pStyle w:val="Normal"/>
              <w:widowControl w:val="false"/>
              <w:tabs>
                <w:tab w:val="clear" w:pos="720"/>
              </w:tabs>
              <w:spacing w:before="60" w:after="60"/>
              <w:ind w:left="0" w:right="0" w:hanging="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4.3 Promoting Innovation (M1-M36); Lead NTUA</w:t>
            </w:r>
          </w:p>
          <w:p>
            <w:pPr>
              <w:pStyle w:val="Normal"/>
              <w:widowControl w:val="false"/>
              <w:tabs>
                <w:tab w:val="clear" w:pos="720"/>
              </w:tabs>
              <w:spacing w:before="60" w:after="60"/>
              <w:ind w:left="0" w:right="0" w:hanging="0"/>
              <w:jc w:val="both"/>
              <w:rPr/>
            </w:pPr>
            <w:r>
              <w:rPr>
                <w:lang w:val="en-GB"/>
              </w:rPr>
              <w:t>The host institute will organize one on-line webinar and one seminar/workshop in NTUA’s facilities, for the endorsement of ACRONYM, dissemination of its scientific output and results and promotion of innovation in the field of Space Geodesy, Orbit Determination, Space Studies and Geosciences in general. The expert partners will introduce and present novelties and current and future trends and applications that can have an effect in the related market. Both seminars will be open to any interested parties and especially targeted towards Greece's public research organizations as well as the private sector.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4.4 Open-Access Publications (M12-M36); Lead NTUA</w:t>
            </w:r>
          </w:p>
          <w:p>
            <w:pPr>
              <w:pStyle w:val="Normal"/>
              <w:widowControl w:val="false"/>
              <w:tabs>
                <w:tab w:val="clear" w:pos="720"/>
              </w:tabs>
              <w:spacing w:before="60" w:after="60"/>
              <w:ind w:left="0" w:right="0" w:hanging="0"/>
              <w:jc w:val="both"/>
              <w:rPr/>
            </w:pPr>
            <w:r>
              <w:rPr>
                <w:lang w:val="en-GB"/>
              </w:rPr>
              <w:t>Each of the expert partners will collaborate with the host institution in the co-authorship of one scientific paper (in their respective fields of expertise), to be published in peer-reviewed journal. Hence, by the end of ACRONYM, three high impact factor publications will have been produced, adhering to an open-access policy.</w:t>
            </w:r>
          </w:p>
          <w:p>
            <w:pPr>
              <w:pStyle w:val="Normal"/>
              <w:widowControl w:val="false"/>
              <w:tabs>
                <w:tab w:val="clear" w:pos="720"/>
              </w:tabs>
              <w:spacing w:before="60" w:after="60"/>
              <w:ind w:left="0" w:right="0" w:hanging="0"/>
              <w:jc w:val="both"/>
              <w:rPr>
                <w:b w:val="false"/>
                <w:b w:val="false"/>
                <w:bCs w:val="false"/>
              </w:rPr>
            </w:pPr>
            <w:r>
              <w:rPr>
                <w:b w:val="false"/>
                <w:bCs w:val="false"/>
                <w:lang w:val="en-GB"/>
              </w:rPr>
              <w:t>Additionally, members of the consortium will present relevant publications in at least three international conferences, targeting when possible technique-related workshops (e.g. Analysis Centre Workshops organized by IDS and/or ILRS).</w:t>
            </w:r>
          </w:p>
        </w:tc>
      </w:tr>
    </w:tbl>
    <w:p>
      <w:pPr>
        <w:pStyle w:val="Normal"/>
        <w:bidi w:val="0"/>
        <w:ind w:left="0" w:right="0" w:hanging="0"/>
        <w:rPr>
          <w:lang w:val="en-GB"/>
        </w:rPr>
      </w:pPr>
      <w:r>
        <w:rPr>
          <w:lang w:val="en-GB"/>
        </w:rPr>
      </w:r>
    </w:p>
    <w:p>
      <w:pPr>
        <w:pStyle w:val="Normal"/>
        <w:bidi w:val="0"/>
        <w:ind w:left="0" w:right="0" w:hanging="0"/>
        <w:rPr>
          <w:lang w:val="en-GB"/>
        </w:rPr>
      </w:pPr>
      <w:r>
        <w:rPr>
          <w:lang w:val="en-GB"/>
        </w:rPr>
      </w:r>
    </w:p>
    <w:p>
      <w:pPr>
        <w:pStyle w:val="Normal"/>
        <w:bidi w:val="0"/>
        <w:ind w:left="0" w:right="0" w:hanging="0"/>
        <w:rPr>
          <w:lang w:val="en-GB"/>
        </w:rPr>
      </w:pPr>
      <w:r>
        <w:rPr>
          <w:lang w:val="en-GB"/>
        </w:rPr>
      </w:r>
    </w:p>
    <w:p>
      <w:pPr>
        <w:pStyle w:val="Normal"/>
        <w:bidi w:val="0"/>
        <w:ind w:left="0" w:right="0" w:hanging="0"/>
        <w:rPr>
          <w:lang w:val="en-GB"/>
        </w:rPr>
      </w:pPr>
      <w:r>
        <w:rPr>
          <w:rFonts w:ascii="Times New Roman" w:hAnsi="Times New Roman"/>
          <w:b/>
          <w:lang w:val="en-GB"/>
        </w:rPr>
        <w:t>Table 3.1c:</w:t>
        <w:tab/>
        <w:t xml:space="preserve">List of Deliverables  </w:t>
      </w:r>
    </w:p>
    <w:p>
      <w:pPr>
        <w:pStyle w:val="Normal"/>
        <w:bidi w:val="0"/>
        <w:ind w:left="0" w:right="0" w:hanging="0"/>
        <w:rPr>
          <w:rFonts w:ascii="Times New Roman" w:hAnsi="Times New Roman"/>
          <w:b/>
          <w:b/>
          <w:lang w:val="en-GB"/>
        </w:rPr>
      </w:pPr>
      <w:r>
        <w:rPr>
          <w:rFonts w:ascii="Times New Roman" w:hAnsi="Times New Roman"/>
          <w:b/>
          <w:lang w:val="en-GB"/>
        </w:rPr>
      </w:r>
    </w:p>
    <w:tbl>
      <w:tblPr>
        <w:tblW w:w="10403" w:type="dxa"/>
        <w:jc w:val="center"/>
        <w:tblInd w:w="0" w:type="dxa"/>
        <w:tblLayout w:type="fixed"/>
        <w:tblCellMar>
          <w:top w:w="0" w:type="dxa"/>
          <w:left w:w="108" w:type="dxa"/>
          <w:bottom w:w="0" w:type="dxa"/>
          <w:right w:w="108" w:type="dxa"/>
        </w:tblCellMar>
      </w:tblPr>
      <w:tblGrid>
        <w:gridCol w:w="1376"/>
        <w:gridCol w:w="2078"/>
        <w:gridCol w:w="1293"/>
        <w:gridCol w:w="1385"/>
        <w:gridCol w:w="1387"/>
        <w:gridCol w:w="1753"/>
        <w:gridCol w:w="1130"/>
      </w:tblGrid>
      <w:tr>
        <w:trPr/>
        <w:tc>
          <w:tcPr>
            <w:tcW w:w="137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bidi w:val="0"/>
              <w:spacing w:before="120" w:after="0"/>
              <w:ind w:left="0" w:right="0" w:hanging="0"/>
              <w:jc w:val="center"/>
              <w:rPr>
                <w:lang w:val="en-GB"/>
              </w:rPr>
            </w:pPr>
            <w:r>
              <w:rPr>
                <w:rFonts w:ascii="Times New Roman" w:hAnsi="Times New Roman"/>
                <w:b/>
                <w:lang w:val="en-GB"/>
              </w:rPr>
              <w:t>Deliverable (number)</w:t>
            </w:r>
          </w:p>
        </w:tc>
        <w:tc>
          <w:tcPr>
            <w:tcW w:w="2078"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bidi w:val="0"/>
              <w:spacing w:before="120" w:after="0"/>
              <w:ind w:left="0" w:right="0" w:hanging="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bidi w:val="0"/>
              <w:spacing w:before="120" w:after="0"/>
              <w:ind w:left="0" w:right="0" w:hanging="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bidi w:val="0"/>
              <w:ind w:left="0" w:right="0" w:hanging="0"/>
              <w:jc w:val="center"/>
              <w:rPr>
                <w:lang w:val="en-GB"/>
              </w:rPr>
            </w:pPr>
            <w:r>
              <w:rPr>
                <w:rFonts w:ascii="Times New Roman" w:hAnsi="Times New Roman"/>
                <w:b/>
                <w:lang w:val="en-GB"/>
              </w:rPr>
              <w:t>Short name of lead participant</w:t>
            </w:r>
          </w:p>
        </w:tc>
        <w:tc>
          <w:tcPr>
            <w:tcW w:w="1387"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bidi w:val="0"/>
              <w:ind w:left="0" w:right="0" w:hanging="0"/>
              <w:jc w:val="center"/>
              <w:rPr>
                <w:lang w:val="en-GB"/>
              </w:rPr>
            </w:pPr>
            <w:r>
              <w:rPr>
                <w:rFonts w:ascii="Times New Roman" w:hAnsi="Times New Roman"/>
                <w:b/>
                <w:lang w:val="en-GB"/>
              </w:rPr>
              <w:t>Type</w:t>
            </w:r>
          </w:p>
        </w:tc>
        <w:tc>
          <w:tcPr>
            <w:tcW w:w="1753"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bidi w:val="0"/>
              <w:spacing w:before="120" w:after="0"/>
              <w:ind w:left="0" w:right="0" w:hanging="0"/>
              <w:jc w:val="center"/>
              <w:rPr>
                <w:lang w:val="en-GB"/>
              </w:rPr>
            </w:pPr>
            <w:r>
              <w:rPr>
                <w:rFonts w:ascii="Times New Roman" w:hAnsi="Times New Roman"/>
                <w:b/>
                <w:lang w:val="en-GB"/>
              </w:rPr>
              <w:t>Dissemination level</w:t>
            </w:r>
          </w:p>
        </w:tc>
        <w:tc>
          <w:tcPr>
            <w:tcW w:w="1130"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bidi w:val="0"/>
              <w:spacing w:before="120" w:after="0"/>
              <w:ind w:left="0" w:right="0" w:hanging="0"/>
              <w:jc w:val="center"/>
              <w:rPr>
                <w:lang w:val="en-GB"/>
              </w:rPr>
            </w:pPr>
            <w:r>
              <w:rPr>
                <w:rFonts w:ascii="Times New Roman" w:hAnsi="Times New Roman"/>
                <w:b/>
                <w:lang w:val="en-GB"/>
              </w:rPr>
              <w:t>Delivery date</w:t>
            </w:r>
          </w:p>
          <w:p>
            <w:pPr>
              <w:pStyle w:val="Normal"/>
              <w:widowControl w:val="false"/>
              <w:tabs>
                <w:tab w:val="clear" w:pos="720"/>
              </w:tabs>
              <w:bidi w:val="0"/>
              <w:spacing w:before="120" w:after="0"/>
              <w:ind w:left="0" w:right="0" w:hanging="0"/>
              <w:jc w:val="center"/>
              <w:rPr>
                <w:lang w:val="en-GB"/>
              </w:rPr>
            </w:pPr>
            <w:r>
              <w:rPr>
                <w:rFonts w:ascii="Times New Roman" w:hAnsi="Times New Roman"/>
                <w:b/>
                <w:lang w:val="en-GB"/>
              </w:rPr>
              <w:t>(in months)</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D1.1</w:t>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Technical Quality Assurance Plan</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7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D1.2</w:t>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Coordination &amp; Project Management Report</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7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6,24,36</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D1.3</w:t>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Interim &amp; Final Report</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7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22,36</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D2.1</w:t>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13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7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D2.2</w:t>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GFZ</w:t>
            </w:r>
          </w:p>
        </w:tc>
        <w:tc>
          <w:tcPr>
            <w:tcW w:w="13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7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D2.3</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75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3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D3.1</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75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3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D3.2</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SLR</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75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3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D3.3</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auto" w:val="clear"/>
              </w:rPr>
            </w:pPr>
            <w:r>
              <w:rPr>
                <w:shd w:fill="auto"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75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3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 3.4</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60" w:after="60"/>
              <w:ind w:left="0" w:right="0" w:hanging="0"/>
              <w:jc w:val="both"/>
              <w:rPr>
                <w:b w:val="false"/>
                <w:b w:val="false"/>
                <w:bCs w:val="false"/>
              </w:rPr>
            </w:pPr>
            <w:r>
              <w:rPr>
                <w:b w:val="false"/>
                <w:bCs w:val="false"/>
              </w:rPr>
              <w:t>Long term plan for center of excellence</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75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3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D4.1</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Project Website and Social Media Engagement</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75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3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D4.2</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Sharing of technical knowledge and know-how</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75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3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30</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D4.3</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Promoting Innovation</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75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3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D4.4</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75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3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D4.5</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Summer School I and Summer School II</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75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30"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24,36</w:t>
            </w:r>
          </w:p>
        </w:tc>
      </w:tr>
    </w:tbl>
    <w:p>
      <w:pPr>
        <w:pStyle w:val="Normal"/>
        <w:widowControl w:val="false"/>
        <w:bidi w:val="0"/>
        <w:ind w:left="0" w:right="0" w:hanging="0"/>
        <w:rPr>
          <w:rFonts w:ascii="Times New Roman" w:hAnsi="Times New Roman"/>
          <w:b/>
          <w:b/>
          <w:lang w:val="en-GB"/>
        </w:rPr>
      </w:pPr>
      <w:r>
        <w:rPr>
          <w:rFonts w:ascii="Times New Roman" w:hAnsi="Times New Roman"/>
          <w:b/>
          <w:lang w:val="en-GB"/>
        </w:rPr>
      </w:r>
    </w:p>
    <w:p>
      <w:pPr>
        <w:pStyle w:val="Normal"/>
        <w:bidi w:val="0"/>
        <w:ind w:left="0" w:right="0" w:hanging="0"/>
        <w:rPr>
          <w:lang w:val="en-GB"/>
        </w:rPr>
      </w:pPr>
      <w:r>
        <w:rPr>
          <w:rFonts w:ascii="Times New Roman" w:hAnsi="Times New Roman"/>
          <w:b/>
          <w:lang w:val="en-GB"/>
        </w:rPr>
        <w:t>Table 3.1d:</w:t>
        <w:tab/>
        <w:t xml:space="preserve">List of milestones </w:t>
      </w:r>
    </w:p>
    <w:p>
      <w:pPr>
        <w:pStyle w:val="Normal"/>
        <w:bidi w:val="0"/>
        <w:ind w:left="0" w:right="0" w:hanging="0"/>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Pr>
      <w:tblGrid>
        <w:gridCol w:w="1319"/>
        <w:gridCol w:w="1642"/>
        <w:gridCol w:w="2258"/>
        <w:gridCol w:w="2252"/>
        <w:gridCol w:w="2594"/>
      </w:tblGrid>
      <w:tr>
        <w:trPr/>
        <w:tc>
          <w:tcPr>
            <w:tcW w:w="131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Milestone number</w:t>
            </w:r>
          </w:p>
        </w:tc>
        <w:tc>
          <w:tcPr>
            <w:tcW w:w="164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Milestone name</w:t>
            </w:r>
          </w:p>
        </w:tc>
        <w:tc>
          <w:tcPr>
            <w:tcW w:w="225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Related work package(s)</w:t>
            </w:r>
          </w:p>
        </w:tc>
        <w:tc>
          <w:tcPr>
            <w:tcW w:w="225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Means of verification</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MS1</w:t>
            </w:r>
          </w:p>
        </w:tc>
        <w:tc>
          <w:tcPr>
            <w:tcW w:w="16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Agreement on PhD/Post-Doc co-supervision</w:t>
            </w:r>
          </w:p>
        </w:tc>
        <w:tc>
          <w:tcPr>
            <w:tcW w:w="22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Official certification by NTUA and the respective partner involved</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MS2</w:t>
            </w:r>
          </w:p>
        </w:tc>
        <w:tc>
          <w:tcPr>
            <w:tcW w:w="16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w:t>
            </w:r>
          </w:p>
        </w:tc>
        <w:tc>
          <w:tcPr>
            <w:tcW w:w="22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WP4</w:t>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 publicly accessible</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Standards and specifications for software development</w:t>
            </w:r>
          </w:p>
        </w:tc>
        <w:tc>
          <w:tcPr>
            <w:tcW w:w="22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Document reports</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Orbit determination via SLR and DORIS</w:t>
            </w:r>
          </w:p>
        </w:tc>
        <w:tc>
          <w:tcPr>
            <w:tcW w:w="22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1.0)</w:t>
            </w:r>
          </w:p>
        </w:tc>
      </w:tr>
      <w:tr>
        <w:trPr/>
        <w:tc>
          <w:tcPr>
            <w:tcW w:w="1319"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4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Precise orbit determination via SLR and DORIS for one satellite</w:t>
            </w:r>
          </w:p>
        </w:tc>
        <w:tc>
          <w:tcPr>
            <w:tcW w:w="225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5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2.0)</w:t>
            </w:r>
          </w:p>
        </w:tc>
      </w:tr>
      <w:tr>
        <w:trPr/>
        <w:tc>
          <w:tcPr>
            <w:tcW w:w="1319"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4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Estimation of parameters of geodetic interest</w:t>
            </w:r>
          </w:p>
        </w:tc>
        <w:tc>
          <w:tcPr>
            <w:tcW w:w="225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5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3.0)</w:t>
            </w:r>
          </w:p>
        </w:tc>
      </w:tr>
    </w:tbl>
    <w:p>
      <w:pPr>
        <w:pStyle w:val="Normal"/>
        <w:widowControl w:val="false"/>
        <w:bidi w:val="0"/>
        <w:ind w:left="0" w:right="0" w:hanging="0"/>
        <w:rPr>
          <w:rFonts w:ascii="Times New Roman" w:hAnsi="Times New Roman"/>
          <w:b/>
          <w:b/>
          <w:lang w:val="en-GB"/>
        </w:rPr>
      </w:pPr>
      <w:r>
        <w:rPr>
          <w:rFonts w:ascii="Times New Roman" w:hAnsi="Times New Roman"/>
          <w:b/>
          <w:lang w:val="en-GB"/>
        </w:rPr>
      </w:r>
    </w:p>
    <w:p>
      <w:pPr>
        <w:pStyle w:val="Normal"/>
        <w:bidi w:val="0"/>
        <w:ind w:left="0" w:right="0" w:hanging="0"/>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bidi w:val="0"/>
        <w:ind w:left="0" w:right="0" w:hanging="0"/>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Pr>
      <w:tblGrid>
        <w:gridCol w:w="3824"/>
        <w:gridCol w:w="2413"/>
        <w:gridCol w:w="3828"/>
      </w:tblGrid>
      <w:tr>
        <w:trPr/>
        <w:tc>
          <w:tcPr>
            <w:tcW w:w="382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Description of risk (indicate level of (i) likelihood, and (ii) severity: Low/Medium/High)</w:t>
            </w:r>
          </w:p>
        </w:tc>
        <w:tc>
          <w:tcPr>
            <w:tcW w:w="241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Proposed risk-mitigation measures</w:t>
            </w:r>
          </w:p>
        </w:tc>
      </w:tr>
      <w:tr>
        <w:trPr/>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Inability to travel e.g. due to pandemic security measures (l:medium,s:low)</w:t>
            </w:r>
          </w:p>
        </w:tc>
        <w:tc>
          <w:tcPr>
            <w:tcW w:w="24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Failure to fully implement the Space Geodesy software  (l:low,s:high)</w:t>
            </w:r>
          </w:p>
        </w:tc>
        <w:tc>
          <w:tcPr>
            <w:tcW w:w="24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tabs>
                <w:tab w:val="clear" w:pos="720"/>
              </w:tabs>
              <w:spacing w:lineRule="auto" w:line="276"/>
              <w:ind w:left="0" w:right="0" w:hanging="0"/>
              <w:jc w:val="both"/>
              <w:rPr>
                <w:lang w:val="en-GB"/>
              </w:rPr>
            </w:pPr>
            <w:r>
              <w:rPr>
                <w:lang w:val="en-GB"/>
              </w:rPr>
            </w:r>
          </w:p>
          <w:p>
            <w:pPr>
              <w:pStyle w:val="Normal"/>
              <w:widowControl w:val="false"/>
              <w:tabs>
                <w:tab w:val="clear" w:pos="720"/>
              </w:tabs>
              <w:spacing w:lineRule="auto" w:line="276"/>
              <w:ind w:left="0" w:right="0" w:hanging="0"/>
              <w:jc w:val="both"/>
              <w:rPr/>
            </w:pPr>
            <w:r>
              <w:rPr>
                <w:lang w:val="en-GB"/>
              </w:rPr>
              <w:t xml:space="preserve">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w:t>
            </w:r>
            <w:r>
              <w:rPr>
                <w:b w:val="false"/>
                <w:bCs w:val="false"/>
                <w:lang w:val="en-GB"/>
              </w:rPr>
              <w:t>Long term plan for centre of excellence (established in Task 3.4) will act as a roadmap for eventually reaching state-of-the-art quality.</w:t>
            </w:r>
          </w:p>
        </w:tc>
      </w:tr>
      <w:tr>
        <w:trPr/>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b/>
                <w:lang w:val="en-GB"/>
              </w:rPr>
            </w:pPr>
            <w:r>
              <w:rPr>
                <w:rFonts w:ascii="Times New Roman" w:hAnsi="Times New Roman"/>
                <w:b/>
                <w:lang w:val="en-GB"/>
              </w:rPr>
            </w:r>
          </w:p>
        </w:tc>
        <w:tc>
          <w:tcPr>
            <w:tcW w:w="2413"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b/>
                <w:lang w:val="en-GB"/>
              </w:rPr>
            </w:pPr>
            <w:r>
              <w:rPr>
                <w:rFonts w:ascii="Times New Roman" w:hAnsi="Times New Roman"/>
                <w:b/>
                <w:lang w:val="en-GB"/>
              </w:rPr>
            </w:r>
          </w:p>
        </w:tc>
      </w:tr>
      <w:tr>
        <w:trPr/>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b/>
                <w:lang w:val="en-GB"/>
              </w:rPr>
            </w:pPr>
            <w:r>
              <w:rPr>
                <w:rFonts w:ascii="Times New Roman" w:hAnsi="Times New Roman"/>
                <w:b/>
                <w:lang w:val="en-GB"/>
              </w:rPr>
            </w:r>
          </w:p>
        </w:tc>
        <w:tc>
          <w:tcPr>
            <w:tcW w:w="2413"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b/>
                <w:lang w:val="en-GB"/>
              </w:rPr>
            </w:pPr>
            <w:r>
              <w:rPr>
                <w:rFonts w:ascii="Times New Roman" w:hAnsi="Times New Roman"/>
                <w:b/>
                <w:lang w:val="en-GB"/>
              </w:rPr>
            </w:r>
          </w:p>
        </w:tc>
      </w:tr>
    </w:tbl>
    <w:p>
      <w:pPr>
        <w:pStyle w:val="Normal"/>
        <w:widowControl w:val="false"/>
        <w:bidi w:val="0"/>
        <w:spacing w:before="0" w:after="240"/>
        <w:ind w:left="0" w:right="0" w:hanging="0"/>
        <w:rPr/>
      </w:pPr>
      <w:bookmarkStart w:id="27" w:name="_Hlk106802885"/>
      <w:r>
        <w:rPr>
          <w:rFonts w:cs="Arial"/>
          <w:color w:val="B5B5B5"/>
          <w:sz w:val="18"/>
          <w:szCs w:val="16"/>
        </w:rPr>
        <w:t>#§RSK-MGT-RM§#</w:t>
      </w:r>
      <w:bookmarkEnd w:id="27"/>
    </w:p>
    <w:p>
      <w:pPr>
        <w:pStyle w:val="Normal"/>
        <w:bidi w:val="0"/>
        <w:ind w:left="0" w:right="0" w:hanging="0"/>
        <w:rPr>
          <w:lang w:val="en-GB"/>
        </w:rPr>
      </w:pPr>
      <w:r>
        <w:rPr>
          <w:rFonts w:ascii="Times New Roman" w:hAnsi="Times New Roman"/>
          <w:b/>
          <w:lang w:val="en-GB"/>
        </w:rPr>
        <w:t xml:space="preserve">Table 3.1f: </w:t>
        <w:tab/>
        <w:t>Summary of staff effort</w:t>
      </w:r>
    </w:p>
    <w:p>
      <w:pPr>
        <w:pStyle w:val="Normal"/>
        <w:bidi w:val="0"/>
        <w:ind w:left="0" w:right="0" w:hanging="0"/>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Pr>
      <w:tblGrid>
        <w:gridCol w:w="2407"/>
        <w:gridCol w:w="1470"/>
        <w:gridCol w:w="1467"/>
        <w:gridCol w:w="1465"/>
        <w:gridCol w:w="3115"/>
      </w:tblGrid>
      <w:tr>
        <w:trPr/>
        <w:tc>
          <w:tcPr>
            <w:tcW w:w="2407" w:type="dxa"/>
            <w:tcBorders>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147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WPn+1</w:t>
            </w:r>
          </w:p>
        </w:tc>
        <w:tc>
          <w:tcPr>
            <w:tcW w:w="146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WPn+2</w:t>
            </w:r>
          </w:p>
        </w:tc>
        <w:tc>
          <w:tcPr>
            <w:tcW w:w="311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Total Person-</w:t>
            </w:r>
          </w:p>
          <w:p>
            <w:pPr>
              <w:pStyle w:val="Normal"/>
              <w:widowControl w:val="false"/>
              <w:tabs>
                <w:tab w:val="clear" w:pos="720"/>
              </w:tabs>
              <w:bidi w:val="0"/>
              <w:ind w:left="0" w:right="0" w:hanging="0"/>
              <w:rPr>
                <w:lang w:val="en-GB"/>
              </w:rPr>
            </w:pPr>
            <w:r>
              <w:rPr>
                <w:rFonts w:ascii="Times New Roman" w:hAnsi="Times New Roman"/>
                <w:b/>
                <w:lang w:val="en-GB"/>
              </w:rPr>
              <w:t>Months per Participant</w:t>
            </w:r>
          </w:p>
        </w:tc>
      </w:tr>
      <w:tr>
        <w:trPr/>
        <w:tc>
          <w:tcPr>
            <w:tcW w:w="240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Participant Number/Short Name</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311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r>
      <w:tr>
        <w:trPr>
          <w:trHeight w:val="506" w:hRule="atLeast"/>
        </w:trPr>
        <w:tc>
          <w:tcPr>
            <w:tcW w:w="240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Participant Number/</w:t>
            </w:r>
          </w:p>
          <w:p>
            <w:pPr>
              <w:pStyle w:val="Normal"/>
              <w:widowControl w:val="false"/>
              <w:tabs>
                <w:tab w:val="clear" w:pos="720"/>
              </w:tabs>
              <w:bidi w:val="0"/>
              <w:ind w:left="0" w:right="0" w:hanging="0"/>
              <w:rPr>
                <w:lang w:val="en-GB"/>
              </w:rPr>
            </w:pPr>
            <w:r>
              <w:rPr>
                <w:rFonts w:ascii="Times New Roman" w:hAnsi="Times New Roman"/>
                <w:b/>
                <w:lang w:val="en-GB"/>
              </w:rPr>
              <w:t>Short Name</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311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r>
      <w:tr>
        <w:trPr/>
        <w:tc>
          <w:tcPr>
            <w:tcW w:w="240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Participant Number/</w:t>
            </w:r>
          </w:p>
          <w:p>
            <w:pPr>
              <w:pStyle w:val="Normal"/>
              <w:widowControl w:val="false"/>
              <w:tabs>
                <w:tab w:val="clear" w:pos="720"/>
              </w:tabs>
              <w:bidi w:val="0"/>
              <w:ind w:left="0" w:right="0" w:hanging="0"/>
              <w:rPr>
                <w:lang w:val="en-GB"/>
              </w:rPr>
            </w:pPr>
            <w:r>
              <w:rPr>
                <w:rFonts w:ascii="Times New Roman" w:hAnsi="Times New Roman"/>
                <w:b/>
                <w:lang w:val="en-GB"/>
              </w:rPr>
              <w:t>Short Name</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311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r>
      <w:tr>
        <w:trPr/>
        <w:tc>
          <w:tcPr>
            <w:tcW w:w="240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Total Person Months</w:t>
            </w:r>
          </w:p>
        </w:tc>
        <w:tc>
          <w:tcPr>
            <w:tcW w:w="147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146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311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r>
    </w:tbl>
    <w:p>
      <w:pPr>
        <w:pStyle w:val="Normal"/>
        <w:widowControl w:val="false"/>
        <w:bidi w:val="0"/>
        <w:ind w:left="0" w:right="0" w:hanging="0"/>
        <w:rPr>
          <w:rFonts w:ascii="Times New Roman" w:hAnsi="Times New Roman"/>
          <w:b/>
          <w:b/>
          <w:lang w:val="en-GB"/>
        </w:rPr>
      </w:pPr>
      <w:r>
        <w:rPr>
          <w:rFonts w:ascii="Times New Roman" w:hAnsi="Times New Roman"/>
          <w:b/>
          <w:lang w:val="en-GB"/>
        </w:rPr>
      </w:r>
    </w:p>
    <w:p>
      <w:pPr>
        <w:pStyle w:val="Normal"/>
        <w:bidi w:val="0"/>
        <w:ind w:left="0" w:right="0" w:hanging="0"/>
        <w:rPr>
          <w:lang w:val="en-GB"/>
        </w:rPr>
      </w:pPr>
      <w:r>
        <w:rPr>
          <w:rFonts w:ascii="Times New Roman" w:hAnsi="Times New Roman"/>
          <w:b/>
          <w:lang w:val="en-GB"/>
        </w:rPr>
        <w:t>Table 3.1g:</w:t>
        <w:tab/>
        <w:t xml:space="preserve">‘Subcontracting costs’ items </w:t>
      </w:r>
    </w:p>
    <w:p>
      <w:pPr>
        <w:pStyle w:val="Normal"/>
        <w:bidi w:val="0"/>
        <w:ind w:left="0" w:right="0" w:hanging="0"/>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r>
    </w:tbl>
    <w:p>
      <w:pPr>
        <w:pStyle w:val="Normal"/>
        <w:widowControl w:val="false"/>
        <w:bidi w:val="0"/>
        <w:ind w:left="0" w:right="0" w:hanging="0"/>
        <w:rPr>
          <w:rFonts w:ascii="Times New Roman" w:hAnsi="Times New Roman"/>
          <w:b/>
          <w:b/>
          <w:lang w:val="en-GB"/>
        </w:rPr>
      </w:pPr>
      <w:r>
        <w:rPr>
          <w:rFonts w:ascii="Times New Roman" w:hAnsi="Times New Roman"/>
          <w:b/>
          <w:lang w:val="en-GB"/>
        </w:rPr>
      </w:r>
    </w:p>
    <w:p>
      <w:pPr>
        <w:pStyle w:val="Normal"/>
        <w:bidi w:val="0"/>
        <w:ind w:left="0" w:right="0" w:hanging="0"/>
        <w:rPr>
          <w:rFonts w:ascii="Times New Roman" w:hAnsi="Times New Roman"/>
          <w:b/>
          <w:b/>
          <w:lang w:val="en-GB"/>
        </w:rPr>
      </w:pPr>
      <w:r>
        <w:rPr>
          <w:rFonts w:ascii="Times New Roman" w:hAnsi="Times New Roman"/>
          <w:b/>
          <w:lang w:val="en-GB"/>
        </w:rPr>
      </w:r>
    </w:p>
    <w:p>
      <w:pPr>
        <w:pStyle w:val="Normal"/>
        <w:bidi w:val="0"/>
        <w:ind w:left="0" w:right="0" w:hanging="0"/>
        <w:rPr>
          <w:rFonts w:ascii="Times New Roman" w:hAnsi="Times New Roman"/>
          <w:b/>
          <w:b/>
          <w:lang w:val="en-GB"/>
        </w:rPr>
      </w:pPr>
      <w:r>
        <w:rPr>
          <w:rFonts w:ascii="Times New Roman" w:hAnsi="Times New Roman"/>
          <w:b/>
          <w:lang w:val="en-GB"/>
        </w:rPr>
      </w:r>
    </w:p>
    <w:p>
      <w:pPr>
        <w:pStyle w:val="Normal"/>
        <w:bidi w:val="0"/>
        <w:ind w:left="0" w:right="0" w:hanging="0"/>
        <w:rPr>
          <w:lang w:val="en-GB"/>
        </w:rPr>
      </w:pPr>
      <w:r>
        <w:rPr>
          <w:rFonts w:ascii="Times New Roman" w:hAnsi="Times New Roman"/>
          <w:b/>
          <w:lang w:val="en-GB"/>
        </w:rPr>
        <w:t>Table 3.1h:</w:t>
        <w:tab/>
        <w:t xml:space="preserve">‘Purchase costs’ items (travel and subsistence, equipment and other goods, works and services) </w:t>
      </w:r>
    </w:p>
    <w:p>
      <w:pPr>
        <w:pStyle w:val="Normal"/>
        <w:bidi w:val="0"/>
        <w:ind w:left="0" w:right="0" w:hanging="0"/>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bidi w:val="0"/>
              <w:ind w:left="0" w:right="0" w:hanging="0"/>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bidi w:val="0"/>
              <w:ind w:left="0" w:right="0" w:hanging="0"/>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r>
    </w:tbl>
    <w:p>
      <w:pPr>
        <w:pStyle w:val="Normal"/>
        <w:widowControl w:val="false"/>
        <w:bidi w:val="0"/>
        <w:ind w:left="0" w:right="0" w:hanging="0"/>
        <w:rPr>
          <w:rFonts w:ascii="Times New Roman" w:hAnsi="Times New Roman"/>
          <w:b/>
          <w:b/>
          <w:lang w:val="en-GB"/>
        </w:rPr>
      </w:pPr>
      <w:r>
        <w:rPr>
          <w:rFonts w:ascii="Times New Roman" w:hAnsi="Times New Roman"/>
          <w:b/>
          <w:lang w:val="en-GB"/>
        </w:rPr>
      </w:r>
    </w:p>
    <w:p>
      <w:pPr>
        <w:pStyle w:val="Normal"/>
        <w:bidi w:val="0"/>
        <w:ind w:left="0" w:right="0" w:hanging="0"/>
        <w:rPr>
          <w:lang w:val="en-GB"/>
        </w:rPr>
      </w:pPr>
      <w:r>
        <w:rPr>
          <w:rFonts w:ascii="Times New Roman" w:hAnsi="Times New Roman"/>
          <w:b/>
          <w:lang w:val="en-GB"/>
        </w:rPr>
        <w:t>Table 3.1i:</w:t>
        <w:tab/>
        <w:t>‘Other costs categories’ items (e.g. internally invoiced goods and services)</w:t>
      </w:r>
    </w:p>
    <w:p>
      <w:pPr>
        <w:pStyle w:val="Normal"/>
        <w:bidi w:val="0"/>
        <w:ind w:left="0" w:right="0" w:hanging="0"/>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bidi w:val="0"/>
              <w:ind w:left="0" w:right="0" w:hanging="0"/>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b/>
                <w:lang w:val="en-GB"/>
              </w:rPr>
            </w:pPr>
            <w:r>
              <w:rPr>
                <w:rFonts w:ascii="Times New Roman" w:hAnsi="Times New Roman"/>
                <w:b/>
                <w:lang w:val="en-GB"/>
              </w:rPr>
            </w:r>
          </w:p>
        </w:tc>
      </w:tr>
    </w:tbl>
    <w:p>
      <w:pPr>
        <w:pStyle w:val="Normal"/>
        <w:widowControl w:val="false"/>
        <w:bidi w:val="0"/>
        <w:ind w:left="0" w:right="0" w:hanging="0"/>
        <w:rPr>
          <w:rFonts w:ascii="Times New Roman" w:hAnsi="Times New Roman"/>
          <w:b/>
          <w:b/>
          <w:lang w:val="en-GB"/>
        </w:rPr>
      </w:pPr>
      <w:r>
        <w:rPr>
          <w:rFonts w:ascii="Times New Roman" w:hAnsi="Times New Roman"/>
          <w:b/>
          <w:lang w:val="en-GB"/>
        </w:rPr>
      </w:r>
    </w:p>
    <w:p>
      <w:pPr>
        <w:pStyle w:val="Normal"/>
        <w:bidi w:val="0"/>
        <w:ind w:left="0" w:right="0" w:hanging="0"/>
        <w:rPr>
          <w:lang w:val="en-GB"/>
        </w:rPr>
      </w:pPr>
      <w:r>
        <w:rPr>
          <w:rFonts w:ascii="Times New Roman" w:hAnsi="Times New Roman"/>
          <w:b/>
          <w:lang w:val="en-GB"/>
        </w:rPr>
        <w:t>Table 3.1j:</w:t>
        <w:tab/>
        <w:t>‘In-kind contributions’ provided by third parties</w:t>
      </w:r>
    </w:p>
    <w:p>
      <w:pPr>
        <w:pStyle w:val="Normal"/>
        <w:bidi w:val="0"/>
        <w:ind w:left="0" w:right="0" w:hanging="0"/>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Pr>
      <w:tblGrid>
        <w:gridCol w:w="2267"/>
        <w:gridCol w:w="1986"/>
        <w:gridCol w:w="992"/>
        <w:gridCol w:w="4991"/>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right"/>
              <w:rPr>
                <w:rFonts w:ascii="Times New Roman" w:hAnsi="Times New Roman"/>
                <w:b/>
                <w:b/>
                <w:bCs/>
                <w:lang w:val="en-GB"/>
              </w:rPr>
            </w:pPr>
            <w:r>
              <w:rPr>
                <w:rFonts w:ascii="Times New Roman" w:hAnsi="Times New Roman"/>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before="120" w:after="120"/>
              <w:ind w:left="0" w:right="0" w:hanging="0"/>
              <w:rPr>
                <w:lang w:val="en-GB"/>
              </w:rPr>
            </w:pPr>
            <w:r>
              <w:rPr>
                <w:rFonts w:ascii="Times New Roman" w:hAnsi="Times New Roman"/>
                <w:b/>
                <w:bCs/>
                <w:lang w:val="en-GB"/>
              </w:rPr>
              <w:t>Select between</w:t>
            </w:r>
          </w:p>
          <w:p>
            <w:pPr>
              <w:pStyle w:val="Normal"/>
              <w:widowControl w:val="false"/>
              <w:tabs>
                <w:tab w:val="clear" w:pos="720"/>
              </w:tabs>
              <w:bidi w:val="0"/>
              <w:spacing w:before="120" w:after="120"/>
              <w:ind w:left="0" w:right="0" w:hanging="0"/>
              <w:rPr/>
            </w:pPr>
            <w:r>
              <w:rPr>
                <w:rFonts w:ascii="Times New Roman" w:hAnsi="Times New Roman"/>
                <w:bCs/>
                <w:color w:val="595959"/>
                <w:sz w:val="18"/>
                <w:szCs w:val="18"/>
              </w:rPr>
              <w:t>Seconded personnel</w:t>
            </w:r>
          </w:p>
          <w:p>
            <w:pPr>
              <w:pStyle w:val="Normal"/>
              <w:widowControl w:val="false"/>
              <w:tabs>
                <w:tab w:val="clear" w:pos="720"/>
              </w:tabs>
              <w:bidi w:val="0"/>
              <w:spacing w:before="120" w:after="120"/>
              <w:ind w:left="0" w:right="0" w:hanging="0"/>
              <w:rPr/>
            </w:pPr>
            <w:r>
              <w:rPr>
                <w:rFonts w:ascii="Times New Roman" w:hAnsi="Times New Roman"/>
                <w:bCs/>
                <w:color w:val="595959"/>
                <w:sz w:val="18"/>
                <w:szCs w:val="18"/>
              </w:rPr>
              <w:t>Travel and subsistence</w:t>
            </w:r>
          </w:p>
          <w:p>
            <w:pPr>
              <w:pStyle w:val="Normal"/>
              <w:widowControl w:val="false"/>
              <w:tabs>
                <w:tab w:val="clear" w:pos="720"/>
              </w:tabs>
              <w:bidi w:val="0"/>
              <w:spacing w:before="120" w:after="120"/>
              <w:ind w:left="0" w:right="0" w:hanging="0"/>
              <w:rPr/>
            </w:pPr>
            <w:r>
              <w:rPr>
                <w:rFonts w:ascii="Times New Roman" w:hAnsi="Times New Roman"/>
                <w:bCs/>
                <w:color w:val="595959"/>
                <w:sz w:val="18"/>
                <w:szCs w:val="18"/>
              </w:rPr>
              <w:t>Equipment</w:t>
            </w:r>
          </w:p>
          <w:p>
            <w:pPr>
              <w:pStyle w:val="Normal"/>
              <w:widowControl w:val="false"/>
              <w:tabs>
                <w:tab w:val="clear" w:pos="720"/>
              </w:tabs>
              <w:bidi w:val="0"/>
              <w:spacing w:before="120" w:after="120"/>
              <w:ind w:left="0" w:right="0" w:hanging="0"/>
              <w:rPr/>
            </w:pPr>
            <w:r>
              <w:rPr>
                <w:rFonts w:ascii="Times New Roman" w:hAnsi="Times New Roman"/>
                <w:bCs/>
                <w:color w:val="595959"/>
                <w:sz w:val="18"/>
                <w:szCs w:val="18"/>
              </w:rPr>
              <w:t>Other goods, works and services</w:t>
            </w:r>
          </w:p>
          <w:p>
            <w:pPr>
              <w:pStyle w:val="Normal"/>
              <w:widowControl w:val="false"/>
              <w:tabs>
                <w:tab w:val="clear" w:pos="720"/>
              </w:tabs>
              <w:bidi w:val="0"/>
              <w:spacing w:before="120" w:after="120"/>
              <w:ind w:left="0" w:right="0" w:hanging="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bCs/>
                <w:lang w:val="en-GB"/>
              </w:rPr>
            </w:pPr>
            <w:r>
              <w:rPr>
                <w:bCs/>
                <w:lang w:val="en-GB"/>
              </w:rPr>
            </w:r>
          </w:p>
        </w:tc>
      </w:tr>
    </w:tbl>
    <w:p>
      <w:pPr>
        <w:pStyle w:val="Normal"/>
        <w:widowControl w:val="false"/>
        <w:bidi w:val="0"/>
        <w:ind w:left="0" w:right="0" w:hanging="0"/>
        <w:rPr>
          <w:rFonts w:ascii="Times New Roman" w:hAnsi="Times New Roman"/>
          <w:b/>
          <w:b/>
          <w:lang w:val="en-GB"/>
        </w:rPr>
      </w:pPr>
      <w:r>
        <w:rPr>
          <w:rFonts w:ascii="Times New Roman" w:hAnsi="Times New Roman"/>
          <w:b/>
          <w:lang w:val="en-GB"/>
        </w:rPr>
      </w:r>
    </w:p>
    <w:p>
      <w:pPr>
        <w:pStyle w:val="Normal"/>
        <w:bidi w:val="0"/>
        <w:ind w:left="0" w:right="0" w:hanging="0"/>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lang w:val="en-GB"/>
        </w:rPr>
      </w:pPr>
      <w:r>
        <w:rPr>
          <w:rFonts w:ascii="Times New Roman" w:hAnsi="Times New Roman"/>
          <w:b/>
          <w:lang w:val="en-GB"/>
        </w:rPr>
        <w:t>Table 3.1k:</w:t>
        <w:tab/>
        <w:t>Research Component</w:t>
      </w:r>
    </w:p>
    <w:p>
      <w:pPr>
        <w:pStyle w:val="Normal"/>
        <w:bidi w:val="0"/>
        <w:ind w:left="0" w:right="0" w:hanging="0"/>
        <w:rPr>
          <w:b/>
          <w:b/>
          <w:lang w:val="en-GB"/>
        </w:rPr>
      </w:pPr>
      <w:r>
        <w:rPr>
          <w:b/>
          <w:lang w:val="en-GB"/>
        </w:rPr>
      </w:r>
    </w:p>
    <w:tbl>
      <w:tblPr>
        <w:tblW w:w="7800" w:type="dxa"/>
        <w:jc w:val="left"/>
        <w:tblInd w:w="0" w:type="dxa"/>
        <w:tblLayout w:type="fixed"/>
        <w:tblCellMar>
          <w:top w:w="0" w:type="dxa"/>
          <w:left w:w="108" w:type="dxa"/>
          <w:bottom w:w="0" w:type="dxa"/>
          <w:right w:w="108" w:type="dxa"/>
        </w:tblCellMar>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bidi w:val="0"/>
              <w:ind w:left="0" w:right="0" w:hanging="0"/>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bidi w:val="0"/>
              <w:ind w:left="0" w:right="0" w:hanging="0"/>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tabs>
                <w:tab w:val="clear" w:pos="720"/>
              </w:tabs>
              <w:bidi w:val="0"/>
              <w:ind w:left="0" w:right="0" w:hanging="0"/>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bidi w:val="0"/>
              <w:ind w:left="0" w:right="0" w:hanging="0"/>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bidi w:val="0"/>
              <w:ind w:left="0" w:right="0" w:hanging="0"/>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bidi w:val="0"/>
              <w:ind w:left="0" w:right="0" w:hanging="0"/>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tabs>
                <w:tab w:val="clear" w:pos="720"/>
              </w:tabs>
              <w:bidi w:val="0"/>
              <w:ind w:left="0" w:right="0" w:hanging="0"/>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bidi w:val="0"/>
              <w:ind w:left="0" w:right="0" w:hanging="0"/>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tabs>
                <w:tab w:val="clear" w:pos="720"/>
              </w:tabs>
              <w:bidi w:val="0"/>
              <w:ind w:left="0" w:right="0" w:hanging="0"/>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bidi w:val="0"/>
              <w:ind w:left="0" w:right="0" w:hanging="0"/>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tabs>
                <w:tab w:val="clear" w:pos="720"/>
              </w:tabs>
              <w:bidi w:val="0"/>
              <w:ind w:left="0" w:right="0" w:hanging="0"/>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bidi w:val="0"/>
              <w:ind w:left="0" w:right="0" w:hanging="0"/>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bidi w:val="0"/>
              <w:ind w:left="0" w:right="0" w:hanging="0"/>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bidi w:val="0"/>
              <w:ind w:left="0" w:right="0" w:hanging="0"/>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bidi w:val="0"/>
              <w:ind w:left="0" w:right="0" w:hanging="0"/>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tabs>
                <w:tab w:val="clear" w:pos="720"/>
              </w:tabs>
              <w:bidi w:val="0"/>
              <w:ind w:left="0" w:right="0" w:hanging="0"/>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bidi w:val="0"/>
              <w:ind w:left="0" w:right="0" w:hanging="0"/>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tabs>
                <w:tab w:val="clear" w:pos="720"/>
              </w:tabs>
              <w:bidi w:val="0"/>
              <w:ind w:left="0" w:right="0" w:hanging="0"/>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bidi w:val="0"/>
              <w:ind w:left="0" w:right="0" w:hanging="0"/>
              <w:jc w:val="right"/>
              <w:rPr>
                <w:lang w:val="en-GB"/>
              </w:rPr>
            </w:pPr>
            <w:r>
              <w:rPr>
                <w:rFonts w:ascii="Times New Roman" w:hAnsi="Times New Roman"/>
                <w:color w:val="000000"/>
                <w:lang w:val="en-GB" w:eastAsia="en-GB"/>
              </w:rPr>
              <w:t>EUR</w:t>
            </w:r>
          </w:p>
        </w:tc>
      </w:tr>
    </w:tbl>
    <w:p>
      <w:pPr>
        <w:pStyle w:val="Normal"/>
        <w:widowControl w:val="false"/>
        <w:bidi w:val="0"/>
        <w:ind w:left="0" w:right="0" w:hanging="0"/>
        <w:rPr/>
      </w:pPr>
      <w:r>
        <w:rPr/>
      </w:r>
    </w:p>
    <w:sectPr>
      <w:headerReference w:type="default" r:id="rId15"/>
      <w:footerReference w:type="default" r:id="rId16"/>
      <w:type w:val="nextPage"/>
      <w:pgSz w:w="11906" w:h="16838"/>
      <w:pgMar w:left="851" w:right="851" w:gutter="0" w:header="720" w:top="851" w:footer="720"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0" distB="0" distL="0" distR="0" simplePos="0" locked="0" layoutInCell="0" allowOverlap="1" relativeHeight="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bidi w:val="0"/>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bidi w:val="0"/>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12">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Normal"/>
                            <w:bidi w:val="0"/>
                            <w:ind w:left="0" w:right="0" w:hanging="0"/>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6</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v:fill o:detectmouseclick="t" type="solid" color2="#272727"/>
              <v:stroke color="black" weight="9360" joinstyle="round" endcap="flat"/>
              <v:textbox>
                <w:txbxContent>
                  <w:p>
                    <w:pPr>
                      <w:pStyle w:val="Normal"/>
                      <w:bidi w:val="0"/>
                      <w:ind w:left="0" w:right="0" w:hanging="0"/>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6</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bidi w:val="0"/>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30">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Normal"/>
                            <w:bidi w:val="0"/>
                            <w:ind w:left="0" w:right="0" w:hanging="0"/>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12</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v:fill o:detectmouseclick="t" type="solid" color2="#272727"/>
              <v:stroke color="black" weight="9360" joinstyle="round" endcap="flat"/>
              <v:textbox>
                <w:txbxContent>
                  <w:p>
                    <w:pPr>
                      <w:pStyle w:val="Normal"/>
                      <w:bidi w:val="0"/>
                      <w:ind w:left="0" w:right="0" w:hanging="0"/>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12</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bidi w:val="0"/>
      <w:spacing w:before="120" w:after="0"/>
      <w:ind w:left="23" w:right="130" w:hanging="0"/>
      <w:rPr>
        <w:rFonts w:ascii="Arial" w:hAnsi="Arial"/>
        <w:color w:val="231F20"/>
        <w:sz w:val="17"/>
        <w:lang w:val="en-GB"/>
      </w:rPr>
    </w:pPr>
    <w:r>
      <w:rPr/>
      <w:drawing>
        <wp:inline distT="0" distB="0" distL="0" distR="0">
          <wp:extent cx="6616700" cy="267335"/>
          <wp:effectExtent l="0" t="0" r="0" b="0"/>
          <wp:docPr id="12"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60">
              <wp:simplePos x="0" y="0"/>
              <wp:positionH relativeFrom="column">
                <wp:posOffset>0</wp:posOffset>
              </wp:positionH>
              <wp:positionV relativeFrom="paragraph">
                <wp:posOffset>635</wp:posOffset>
              </wp:positionV>
              <wp:extent cx="6616700" cy="267335"/>
              <wp:effectExtent l="5080" t="5715" r="5080" b="4445"/>
              <wp:wrapNone/>
              <wp:docPr id="13"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Normal"/>
                            <w:bidi w:val="0"/>
                            <w:ind w:left="0" w:right="0" w:hanging="0"/>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v:fill o:detectmouseclick="t" type="solid" color2="#272727"/>
              <v:stroke color="black" weight="9360" joinstyle="round" endcap="flat"/>
              <v:textbox>
                <w:txbxContent>
                  <w:p>
                    <w:pPr>
                      <w:pStyle w:val="Normal"/>
                      <w:bidi w:val="0"/>
                      <w:ind w:left="0" w:right="0" w:hanging="0"/>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bidi w:val="0"/>
      <w:ind w:left="0"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bidi w:val="0"/>
      <w:ind w:left="0" w:right="0" w:hanging="0"/>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bidi w:val="0"/>
      <w:ind w:left="0"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bidi w:val="0"/>
      <w:ind w:left="0" w:right="0" w:hanging="0"/>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bidi w:val="0"/>
      <w:ind w:left="0"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bidi w:val="0"/>
      <w:ind w:left="0" w:right="0" w:hanging="0"/>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bidi w:val="0"/>
      <w:ind w:left="0"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bidi w:val="0"/>
      <w:ind w:left="0" w:right="0" w:hanging="0"/>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bidi w:val="0"/>
      <w:ind w:left="0"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bidi w:val="0"/>
      <w:ind w:left="0" w:right="0" w:hanging="0"/>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bidi w:val="0"/>
      <w:ind w:left="0"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bidi w:val="0"/>
      <w:ind w:left="0" w:right="0" w:hanging="0"/>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textAlignment w:val="auto"/>
    </w:pPr>
    <w:rPr>
      <w:rFonts w:ascii="Calibri" w:hAnsi="Calibri" w:eastAsia="Courier New" w:cs="Times New Roman"/>
      <w:color w:val="auto"/>
      <w:kern w:val="2"/>
      <w:sz w:val="22"/>
      <w:szCs w:val="22"/>
      <w:lang w:val="en-US" w:eastAsia="en-US" w:bidi="ar-SA"/>
    </w:rPr>
  </w:style>
  <w:style w:type="paragraph" w:styleId="Heading1">
    <w:name w:val="Heading 1"/>
    <w:basedOn w:val="Heading"/>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qFormat/>
    <w:pPr>
      <w:ind w:left="3442" w:hanging="0"/>
      <w:outlineLvl w:val="1"/>
    </w:pPr>
    <w:rPr>
      <w:rFonts w:ascii="Verdana" w:hAnsi="Verdana"/>
      <w:sz w:val="40"/>
      <w:szCs w:val="40"/>
    </w:rPr>
  </w:style>
  <w:style w:type="paragraph" w:styleId="Heading3">
    <w:name w:val="Heading 3"/>
    <w:basedOn w:val="Normal"/>
    <w:qFormat/>
    <w:pPr>
      <w:spacing w:before="2" w:after="0"/>
      <w:ind w:left="429" w:hanging="283"/>
      <w:outlineLvl w:val="2"/>
    </w:pPr>
    <w:rPr>
      <w:rFonts w:ascii="Arial" w:hAnsi="Arial"/>
      <w:sz w:val="34"/>
      <w:szCs w:val="34"/>
    </w:rPr>
  </w:style>
  <w:style w:type="paragraph" w:styleId="Heading4">
    <w:name w:val="Heading 4"/>
    <w:basedOn w:val="Normal"/>
    <w:qFormat/>
    <w:pPr>
      <w:ind w:left="146" w:hanging="0"/>
      <w:outlineLvl w:val="3"/>
    </w:pPr>
    <w:rPr>
      <w:rFonts w:ascii="EC Square Sans Pro Light" w:hAnsi="EC Square Sans Pro Light"/>
      <w:sz w:val="30"/>
      <w:szCs w:val="30"/>
    </w:rPr>
  </w:style>
  <w:style w:type="paragraph" w:styleId="Heading5">
    <w:name w:val="Heading 5"/>
    <w:basedOn w:val="Normal"/>
    <w:qFormat/>
    <w:pPr>
      <w:ind w:left="833" w:hanging="0"/>
      <w:outlineLvl w:val="4"/>
    </w:pPr>
    <w:rPr>
      <w:b/>
      <w:bCs/>
      <w:sz w:val="24"/>
      <w:szCs w:val="24"/>
    </w:rPr>
  </w:style>
  <w:style w:type="paragraph" w:styleId="Heading6">
    <w:name w:val="Heading 6"/>
    <w:basedOn w:val="Normal"/>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name w:val="Default Paragraph Font"/>
    <w:qFormat/>
    <w:rPr/>
  </w:style>
  <w:style w:type="character" w:styleId="Heading1Char">
    <w:name w:val="Heading 1 Char"/>
    <w:basedOn w:val="DefaultParagraphFont"/>
    <w:qFormat/>
    <w:rPr>
      <w:rFonts w:ascii="EC Square Sans Pro Light" w:hAnsi="EC Square Sans Pro Light" w:eastAsia="Times New Roman"/>
      <w:color w:val="458DCB"/>
      <w:sz w:val="30"/>
      <w:szCs w:val="24"/>
    </w:rPr>
  </w:style>
  <w:style w:type="character" w:styleId="Heading2Char">
    <w:name w:val="Heading 2 Char"/>
    <w:basedOn w:val="DefaultParagraphFont"/>
    <w:qFormat/>
    <w:rPr>
      <w:rFonts w:ascii="Verdana" w:hAnsi="Verdana"/>
      <w:sz w:val="40"/>
      <w:szCs w:val="24"/>
    </w:rPr>
  </w:style>
  <w:style w:type="character" w:styleId="Heading3Char">
    <w:name w:val="Heading 3 Char"/>
    <w:basedOn w:val="DefaultParagraphFont"/>
    <w:qFormat/>
    <w:rPr>
      <w:rFonts w:ascii="Arial" w:hAnsi="Arial"/>
      <w:sz w:val="34"/>
      <w:szCs w:val="24"/>
    </w:rPr>
  </w:style>
  <w:style w:type="character" w:styleId="Heading4Char">
    <w:name w:val="Heading 4 Char"/>
    <w:basedOn w:val="DefaultParagraphFont"/>
    <w:qFormat/>
    <w:rPr>
      <w:rFonts w:ascii="EC Square Sans Pro Light" w:hAnsi="EC Square Sans Pro Light"/>
      <w:sz w:val="30"/>
      <w:szCs w:val="24"/>
    </w:rPr>
  </w:style>
  <w:style w:type="character" w:styleId="Heading5Char">
    <w:name w:val="Heading 5 Char"/>
    <w:basedOn w:val="DefaultParagraphFont"/>
    <w:qFormat/>
    <w:rPr>
      <w:rFonts w:ascii="Times New Roman" w:hAnsi="Times New Roman"/>
      <w:b/>
      <w:sz w:val="24"/>
      <w:szCs w:val="24"/>
    </w:rPr>
  </w:style>
  <w:style w:type="character" w:styleId="Heading6Char">
    <w:name w:val="Heading 6 Char"/>
    <w:basedOn w:val="DefaultParagraphFont"/>
    <w:qFormat/>
    <w:rPr>
      <w:rFonts w:ascii="Times New Roman" w:hAnsi="Times New Roman"/>
      <w:b/>
      <w:i/>
      <w:sz w:val="24"/>
      <w:szCs w:val="24"/>
    </w:rPr>
  </w:style>
  <w:style w:type="character" w:styleId="Heading7Char">
    <w:name w:val="Heading 7 Char"/>
    <w:basedOn w:val="DefaultParagraphFont"/>
    <w:qFormat/>
    <w:rPr>
      <w:rFonts w:ascii="Arial" w:hAnsi="Arial"/>
      <w:sz w:val="24"/>
      <w:szCs w:val="24"/>
    </w:rPr>
  </w:style>
  <w:style w:type="character" w:styleId="Heading8Char">
    <w:name w:val="Heading 8 Char"/>
    <w:basedOn w:val="DefaultParagraphFont"/>
    <w:qFormat/>
    <w:rPr>
      <w:rFonts w:ascii="Arial" w:hAnsi="Arial"/>
      <w:i/>
      <w:sz w:val="24"/>
      <w:szCs w:val="24"/>
    </w:rPr>
  </w:style>
  <w:style w:type="character" w:styleId="Heading9Char">
    <w:name w:val="Heading 9 Char"/>
    <w:basedOn w:val="DefaultParagraphFont"/>
    <w:qFormat/>
    <w:rPr>
      <w:rFonts w:ascii="Arial" w:hAnsi="Arial"/>
      <w:i/>
      <w:sz w:val="18"/>
      <w:szCs w:val="24"/>
    </w:rPr>
  </w:style>
  <w:style w:type="character" w:styleId="BodyTextChar">
    <w:name w:val="Body Text Char"/>
    <w:basedOn w:val="DefaultParagraphFont"/>
    <w:qFormat/>
    <w:rPr>
      <w:rFonts w:ascii="Times New Roman" w:hAnsi="Times New Roman"/>
      <w:sz w:val="24"/>
      <w:szCs w:val="24"/>
    </w:rPr>
  </w:style>
  <w:style w:type="character" w:styleId="HeaderChar">
    <w:name w:val="Header Char"/>
    <w:basedOn w:val="DefaultParagraphFont"/>
    <w:qFormat/>
    <w:rPr>
      <w:rFonts w:ascii="Times New Roman" w:hAnsi="Times New Roman"/>
      <w:sz w:val="24"/>
      <w:szCs w:val="24"/>
    </w:rPr>
  </w:style>
  <w:style w:type="character" w:styleId="FooterChar">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name w:val="Balloon Text Char"/>
    <w:basedOn w:val="DefaultParagraphFont"/>
    <w:qFormat/>
    <w:rPr>
      <w:rFonts w:ascii="Tahoma" w:hAnsi="Tahoma"/>
      <w:sz w:val="16"/>
      <w:szCs w:val="24"/>
    </w:rPr>
  </w:style>
  <w:style w:type="character" w:styleId="FootnotereferenceFootnotesymbolTimes10PointExposant3Point">
    <w:name w:val="footnote reference,Footnote symbol,Times 10 Point,Exposant 3 Point"/>
    <w:basedOn w:val="DefaultParagraphFont"/>
    <w:qFormat/>
    <w:rPr>
      <w:rFonts w:ascii="Times New Roman" w:hAnsi="Times New Roman"/>
      <w:sz w:val="24"/>
      <w:szCs w:val="24"/>
      <w:vertAlign w:val="superscript"/>
    </w:rPr>
  </w:style>
  <w:style w:type="character" w:styleId="FootnoteTextCharSchriftart9ptChar1Schriftart10ptChar1Schriftart8ptChar1WBFunotentextChar1fnChar1FootnotesChar1FootnoteakChar1FoodNoteChar1ftChar1FootnoteChar1FootnoteTextChar1Char1FootnoteTextCharCharChar">
    <w:name w:val="Footnote Text Char,Schriftart: 9 pt Char1,Schriftart: 10 pt Char1,Schriftart: 8 pt Char1,WB-Fußnotentext Char1,fn Char1,Footnotes Char1,Footnote ak Char1,FoodNote Char1,ft Char1,Footnote Char1,Footnote Text Char1 Char1,Footnote Text Char Char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name w:val="Comment Text Char"/>
    <w:basedOn w:val="DefaultParagraphFont"/>
    <w:qFormat/>
    <w:rPr>
      <w:rFonts w:ascii="Times New Roman" w:hAnsi="Times New Roman"/>
      <w:sz w:val="24"/>
      <w:szCs w:val="24"/>
    </w:rPr>
  </w:style>
  <w:style w:type="character" w:styleId="CommentSubjectChar">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name w:val="ui-dialog-title"/>
    <w:qFormat/>
    <w:rPr/>
  </w:style>
  <w:style w:type="character" w:styleId="Uiicon">
    <w:name w:val="ui-icon"/>
    <w:qFormat/>
    <w:rPr/>
  </w:style>
  <w:style w:type="character" w:styleId="FootnoteTextChar2Schriftart9ptCharSchriftart10ptCharSchriftart8ptCharWBFunotentextCharfnCharFootnotesCharFootnoteakCharFootnoteTextCharChar1FoodNoteCharftCharFootnoteCharFootnoteTextChar1Char">
    <w:name w:val="Footnote Text Char2,Schriftart: 9 pt Char,Schriftart: 10 pt Char,Schriftart: 8 pt Char,WB-Fußnotentext Char,fn Char,Footnotes Char,Footnote ak Char,Footnote Text Char Char1,FoodNote Char,ft Char,Footnote Char,Footnote Text Char1 Char"/>
    <w:qFormat/>
    <w:rPr>
      <w:lang w:val="en-GB" w:eastAsia="en-GB"/>
    </w:rPr>
  </w:style>
  <w:style w:type="character" w:styleId="Text1CharChar">
    <w:name w:val="Text 1 Char Char"/>
    <w:qFormat/>
    <w:rPr>
      <w:rFonts w:ascii="Times New Roman" w:hAnsi="Times New Roman"/>
      <w:sz w:val="22"/>
      <w:lang w:val="en-GB" w:eastAsia="en-GB"/>
    </w:rPr>
  </w:style>
  <w:style w:type="character" w:styleId="PlainTextChar">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name w:val="Title Char"/>
    <w:basedOn w:val="DefaultParagraphFont"/>
    <w:qFormat/>
    <w:rPr>
      <w:rFonts w:ascii="Arial" w:hAnsi="Arial"/>
      <w:b/>
      <w:sz w:val="48"/>
      <w:szCs w:val="24"/>
      <w:lang w:val="en-GB" w:eastAsia="en-GB"/>
    </w:rPr>
  </w:style>
  <w:style w:type="character" w:styleId="EndnoteTextChar">
    <w:name w:val="Endnote Text Char"/>
    <w:basedOn w:val="DefaultParagraphFont"/>
    <w:qFormat/>
    <w:rPr>
      <w:rFonts w:ascii="Times New Roman" w:hAnsi="Times New Roman"/>
      <w:sz w:val="24"/>
      <w:szCs w:val="24"/>
      <w:lang w:val="en-GB" w:eastAsia="en-GB"/>
    </w:rPr>
  </w:style>
  <w:style w:type="character" w:styleId="DocumentMapChar">
    <w:name w:val="Document Map Char"/>
    <w:basedOn w:val="DefaultParagraphFont"/>
    <w:qFormat/>
    <w:rPr>
      <w:rFonts w:ascii="Tahoma" w:hAnsi="Tahoma"/>
      <w:szCs w:val="24"/>
      <w:shd w:fill="000080" w:val="clear"/>
      <w:lang w:val="en-GB" w:eastAsia="en-GB"/>
    </w:rPr>
  </w:style>
  <w:style w:type="character" w:styleId="SignatureChar">
    <w:name w:val="Signature Char"/>
    <w:basedOn w:val="DefaultParagraphFont"/>
    <w:qFormat/>
    <w:rPr>
      <w:rFonts w:ascii="Times New Roman" w:hAnsi="Times New Roman"/>
      <w:sz w:val="24"/>
      <w:szCs w:val="24"/>
      <w:lang w:val="en-GB" w:eastAsia="en-GB"/>
    </w:rPr>
  </w:style>
  <w:style w:type="character" w:styleId="Added">
    <w:name w:val="Added"/>
    <w:qFormat/>
    <w:rPr>
      <w:b/>
      <w:u w:val="single"/>
    </w:rPr>
  </w:style>
  <w:style w:type="character" w:styleId="Point0Char">
    <w:name w:val="Point 0 Char"/>
    <w:qFormat/>
    <w:rPr>
      <w:rFonts w:ascii="Times New Roman" w:hAnsi="Times New Roman"/>
      <w:sz w:val="24"/>
      <w:lang w:val="en-GB" w:eastAsia="zh-CN"/>
    </w:rPr>
  </w:style>
  <w:style w:type="character" w:styleId="Point1Char">
    <w:name w:val="Point 1 Char"/>
    <w:qFormat/>
    <w:rPr>
      <w:rFonts w:ascii="Times New Roman" w:hAnsi="Times New Roman"/>
      <w:sz w:val="24"/>
      <w:lang w:val="en-GB" w:eastAsia="en-US"/>
    </w:rPr>
  </w:style>
  <w:style w:type="character" w:styleId="ManualNumPar1Char">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name w:val="List Number (Level 2) Char"/>
    <w:qFormat/>
    <w:rPr>
      <w:rFonts w:ascii="Times New Roman" w:hAnsi="Times New Roman"/>
      <w:sz w:val="24"/>
      <w:lang w:val="en-US" w:eastAsia="en-US"/>
    </w:rPr>
  </w:style>
  <w:style w:type="character" w:styleId="Strong">
    <w:name w:val="Strong"/>
    <w:basedOn w:val="DefaultParagraphFont"/>
    <w:qFormat/>
    <w:rPr>
      <w:rFonts w:ascii="Times New Roman" w:hAnsi="Times New Roman"/>
      <w:b/>
      <w:sz w:val="24"/>
      <w:szCs w:val="24"/>
    </w:rPr>
  </w:style>
  <w:style w:type="character" w:styleId="EndnoteCharacters">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name w:val="Subarticle Char"/>
    <w:qFormat/>
    <w:rPr>
      <w:b/>
      <w:lang w:val="en-US" w:eastAsia="en-US"/>
    </w:rPr>
  </w:style>
  <w:style w:type="character" w:styleId="Entte2">
    <w:name w:val="En-tête #2_"/>
    <w:qFormat/>
    <w:rPr>
      <w:b/>
      <w:sz w:val="22"/>
      <w:shd w:fill="FFFFFF" w:val="clear"/>
    </w:rPr>
  </w:style>
  <w:style w:type="character" w:styleId="Corpsdutexte">
    <w:name w:val="Corps du texte_"/>
    <w:qFormat/>
    <w:rPr>
      <w:sz w:val="23"/>
      <w:shd w:fill="FFFFFF" w:val="clear"/>
    </w:rPr>
  </w:style>
  <w:style w:type="character" w:styleId="SubtitleChar">
    <w:name w:val="Subtitle Char"/>
    <w:basedOn w:val="DefaultParagraphFont"/>
    <w:qFormat/>
    <w:rPr>
      <w:rFonts w:eastAsia="Times New Roman"/>
      <w:color w:val="5A5A5A"/>
      <w:spacing w:val="15"/>
    </w:rPr>
  </w:style>
  <w:style w:type="character" w:styleId="Normaltextrun">
    <w:name w:val="normaltextrun"/>
    <w:basedOn w:val="DefaultParagraphFont"/>
    <w:qFormat/>
    <w:rPr>
      <w:rFonts w:ascii="Times New Roman" w:hAnsi="Times New Roman"/>
      <w:sz w:val="24"/>
      <w:szCs w:val="24"/>
    </w:rPr>
  </w:style>
  <w:style w:type="character" w:styleId="Eop">
    <w:name w:val="eop"/>
    <w:basedOn w:val="DefaultParagraphFont"/>
    <w:qFormat/>
    <w:rPr>
      <w:rFonts w:ascii="Times New Roman" w:hAnsi="Times New Roman"/>
      <w:sz w:val="24"/>
      <w:szCs w:val="24"/>
    </w:rPr>
  </w:style>
  <w:style w:type="character" w:styleId="TagsChar">
    <w:name w:val="Tags Char"/>
    <w:basedOn w:val="DefaultParagraphFont"/>
    <w:qFormat/>
    <w:rPr>
      <w:rFonts w:ascii="Arial" w:hAnsi="Arial" w:cs="Arial"/>
      <w:color w:val="B5B5B5"/>
      <w:sz w:val="16"/>
      <w:szCs w:val="16"/>
    </w:rPr>
  </w:style>
  <w:style w:type="character" w:styleId="FootnoteCharacters">
    <w:name w:val="Footnote Characters"/>
    <w:qFormat/>
    <w:rPr>
      <w:vertAlign w:val="superscript"/>
    </w:rPr>
  </w:style>
  <w:style w:type="character" w:styleId="FootnoteAnchor">
    <w:name w:val="Foot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Table">
    <w:name w:val="Normal Table"/>
    <w:qFormat/>
    <w:pPr>
      <w:widowControl/>
      <w:suppressAutoHyphens w:val="true"/>
      <w:bidi w:val="0"/>
      <w:spacing w:before="0" w:after="0"/>
      <w:jc w:val="left"/>
      <w:textAlignment w:val="auto"/>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name w:val="Table Paragraph"/>
    <w:basedOn w:val="Normal"/>
    <w:qFormat/>
    <w:pPr/>
    <w:rPr/>
  </w:style>
  <w:style w:type="paragraph" w:styleId="HeaderandFooter">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
    <w:name w:val="Table Grid"/>
    <w:basedOn w:val="NormalTable"/>
    <w:qFormat/>
    <w:pPr>
      <w:widowControl/>
    </w:pPr>
    <w:rPr>
      <w:sz w:val="20"/>
      <w:szCs w:val="20"/>
      <w:lang w:val="en-GB" w:eastAsia="en-GB"/>
    </w:rPr>
  </w:style>
  <w:style w:type="paragraph" w:styleId="BalloonText">
    <w:name w:val="Balloon Text"/>
    <w:basedOn w:val="Normal"/>
    <w:qFormat/>
    <w:pPr/>
    <w:rPr>
      <w:rFonts w:ascii="Tahoma" w:hAnsi="Tahoma" w:cs="Tahoma"/>
      <w:sz w:val="16"/>
      <w:szCs w:val="16"/>
    </w:rPr>
  </w:style>
  <w:style w:type="paragraph" w:styleId="FootnotetextSchriftart9ptSchriftart10ptSchriftart8ptWBFunotentextfnFootnotesFootnoteakFoodNoteftFootnoteFootnoteTextChar1FootnoteTextCharCharFootnoteTextChar1CharChar">
    <w:name w:val="footnote text,Schriftart: 9 pt,Schriftart: 10 pt,Schriftart: 8 pt,WB-Fußnotentext,fn,Footnotes,Footnote ak,FoodNote,ft,Footnote,Footnote Text Char1,Footnote Text Char Char,Footnote Text Char1 Char Char"/>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sz w:val="20"/>
      <w:szCs w:val="20"/>
    </w:rPr>
  </w:style>
  <w:style w:type="paragraph" w:styleId="Revision">
    <w:name w:val="Revision"/>
    <w:qFormat/>
    <w:pPr>
      <w:widowControl/>
      <w:suppressAutoHyphens w:val="true"/>
      <w:bidi w:val="0"/>
      <w:spacing w:before="0" w:after="0"/>
      <w:jc w:val="left"/>
      <w:textAlignment w:val="auto"/>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name w:val="Body Text1"/>
    <w:basedOn w:val="Normal"/>
    <w:qFormat/>
    <w:pPr>
      <w:widowControl/>
      <w:ind w:left="2880" w:hanging="0"/>
      <w:jc w:val="both"/>
    </w:pPr>
    <w:rPr>
      <w:szCs w:val="20"/>
      <w:lang w:val="en-GB" w:eastAsia="en-GB"/>
    </w:rPr>
  </w:style>
  <w:style w:type="paragraph" w:styleId="Formquest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name w:val="Z_Com"/>
    <w:basedOn w:val="Normal"/>
    <w:qFormat/>
    <w:pPr>
      <w:ind w:right="85" w:hanging="0"/>
      <w:jc w:val="both"/>
    </w:pPr>
    <w:rPr>
      <w:rFonts w:ascii="Arial" w:hAnsi="Arial"/>
      <w:szCs w:val="20"/>
      <w:lang w:val="en-GB" w:eastAsia="en-GB"/>
    </w:rPr>
  </w:style>
  <w:style w:type="paragraph" w:styleId="ZDGName">
    <w:name w:val="Z_DGName"/>
    <w:basedOn w:val="Normal"/>
    <w:qFormat/>
    <w:pPr>
      <w:ind w:right="85" w:hanging="0"/>
      <w:jc w:val="both"/>
    </w:pPr>
    <w:rPr>
      <w:rFonts w:ascii="Arial" w:hAnsi="Arial"/>
      <w:sz w:val="16"/>
      <w:szCs w:val="20"/>
      <w:lang w:val="en-GB" w:eastAsia="en-GB"/>
    </w:rPr>
  </w:style>
  <w:style w:type="paragraph" w:styleId="Text4">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textAlignment w:val="auto"/>
    </w:pPr>
    <w:rPr>
      <w:rFonts w:ascii="Swiss" w:hAnsi="Swiss" w:eastAsia="Courier New" w:cs="Times New Roman"/>
      <w:b/>
      <w:color w:val="auto"/>
      <w:kern w:val="2"/>
      <w:sz w:val="22"/>
      <w:szCs w:val="20"/>
      <w:lang w:val="en-US" w:eastAsia="en-GB" w:bidi="ar-SA"/>
    </w:rPr>
  </w:style>
  <w:style w:type="paragraph" w:styleId="T2an">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textAlignment w:val="auto"/>
    </w:pPr>
    <w:rPr>
      <w:rFonts w:ascii="Swiss" w:hAnsi="Swiss" w:eastAsia="Courier New" w:cs="Times New Roman"/>
      <w:color w:val="auto"/>
      <w:kern w:val="2"/>
      <w:sz w:val="40"/>
      <w:szCs w:val="20"/>
      <w:lang w:val="en-US" w:eastAsia="en-GB" w:bidi="ar-SA"/>
    </w:rPr>
  </w:style>
  <w:style w:type="paragraph" w:styleId="5Bcell">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textAlignment w:val="auto"/>
    </w:pPr>
    <w:rPr>
      <w:rFonts w:ascii="Swiss" w:hAnsi="Swiss" w:eastAsia="Courier New" w:cs="Times New Roman"/>
      <w:color w:val="auto"/>
      <w:kern w:val="2"/>
      <w:sz w:val="16"/>
      <w:szCs w:val="20"/>
      <w:lang w:val="en-US" w:eastAsia="en-GB" w:bidi="ar-SA"/>
    </w:rPr>
  </w:style>
  <w:style w:type="paragraph" w:styleId="Cell">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textAlignment w:val="auto"/>
    </w:pPr>
    <w:rPr>
      <w:rFonts w:ascii="Swiss" w:hAnsi="Swiss" w:eastAsia="Courier New" w:cs="Times New Roman"/>
      <w:color w:val="auto"/>
      <w:kern w:val="2"/>
      <w:sz w:val="16"/>
      <w:szCs w:val="20"/>
      <w:lang w:val="en-US" w:eastAsia="en-GB" w:bidi="ar-SA"/>
    </w:rPr>
  </w:style>
  <w:style w:type="paragraph" w:styleId="Parapag">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textAlignment w:val="auto"/>
    </w:pPr>
    <w:rPr>
      <w:rFonts w:ascii="Swiss" w:hAnsi="Swiss" w:eastAsia="Courier New" w:cs="Times New Roman"/>
      <w:color w:val="auto"/>
      <w:kern w:val="2"/>
      <w:sz w:val="20"/>
      <w:szCs w:val="20"/>
      <w:lang w:val="en-US" w:eastAsia="en-GB" w:bidi="ar-SA"/>
    </w:rPr>
  </w:style>
  <w:style w:type="paragraph" w:styleId="SubTit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name w:val="Nace Inclusions id 2"/>
    <w:basedOn w:val="Normal"/>
    <w:qFormat/>
    <w:pPr>
      <w:keepNext w:val="true"/>
      <w:keepLines/>
      <w:widowControl/>
      <w:ind w:left="1191" w:hanging="170"/>
      <w:jc w:val="both"/>
    </w:pPr>
    <w:rPr>
      <w:rFonts w:ascii="Times" w:hAnsi="Times"/>
      <w:sz w:val="18"/>
      <w:szCs w:val="20"/>
    </w:rPr>
  </w:style>
  <w:style w:type="paragraph" w:styleId="NaceInclusionsId11">
    <w:name w:val="Nace Inclusions Id 11"/>
    <w:basedOn w:val="Normal"/>
    <w:qFormat/>
    <w:pPr>
      <w:keepNext w:val="true"/>
      <w:keepLines/>
      <w:widowControl/>
      <w:ind w:left="1021" w:hanging="170"/>
      <w:jc w:val="both"/>
    </w:pPr>
    <w:rPr>
      <w:rFonts w:ascii="Times" w:hAnsi="Times"/>
      <w:sz w:val="18"/>
      <w:szCs w:val="20"/>
    </w:rPr>
  </w:style>
  <w:style w:type="paragraph" w:styleId="NaceExclusionsid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name w:val="NumPar 1"/>
    <w:basedOn w:val="Heading1"/>
    <w:next w:val="Text1Char"/>
    <w:qFormat/>
    <w:pPr>
      <w:widowControl/>
      <w:spacing w:before="9" w:after="240"/>
      <w:ind w:left="483" w:hanging="483"/>
      <w:jc w:val="both"/>
    </w:pPr>
    <w:rPr>
      <w:color w:val="458DCB"/>
      <w:sz w:val="24"/>
      <w:szCs w:val="20"/>
      <w:lang w:val="en-GB" w:eastAsia="en-GB"/>
    </w:rPr>
  </w:style>
  <w:style w:type="paragraph" w:styleId="NumPar2">
    <w:name w:val="NumPar 2"/>
    <w:basedOn w:val="Heading2"/>
    <w:qFormat/>
    <w:pPr>
      <w:widowControl/>
      <w:spacing w:before="0" w:after="240"/>
      <w:jc w:val="both"/>
    </w:pPr>
    <w:rPr>
      <w:sz w:val="24"/>
      <w:szCs w:val="20"/>
      <w:lang w:val="en-GB" w:eastAsia="en-GB"/>
    </w:rPr>
  </w:style>
  <w:style w:type="paragraph" w:styleId="Text2">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fill="000080"/>
      <w:jc w:val="both"/>
    </w:pPr>
    <w:rPr>
      <w:rFonts w:ascii="Tahoma" w:hAnsi="Tahoma"/>
      <w:szCs w:val="20"/>
      <w:lang w:val="en-GB" w:eastAsia="en-GB"/>
    </w:rPr>
  </w:style>
  <w:style w:type="paragraph" w:styleId="NoteHead">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name w:val="Tiret 0"/>
    <w:basedOn w:val="Normal"/>
    <w:qFormat/>
    <w:pPr>
      <w:widowControl/>
      <w:spacing w:before="120" w:after="120"/>
      <w:ind w:left="851" w:hanging="851"/>
      <w:jc w:val="both"/>
    </w:pPr>
    <w:rPr>
      <w:sz w:val="24"/>
      <w:szCs w:val="20"/>
      <w:lang w:val="en-GB" w:eastAsia="en-GB"/>
    </w:rPr>
  </w:style>
  <w:style w:type="paragraph" w:styleId="Numparg">
    <w:name w:val="numparg"/>
    <w:basedOn w:val="Heading1"/>
    <w:qFormat/>
    <w:pPr>
      <w:keepNext w:val="true"/>
      <w:widowControl/>
      <w:numPr>
        <w:ilvl w:val="0"/>
        <w:numId w:val="3"/>
      </w:numPr>
      <w:tabs>
        <w:tab w:val="clear" w:pos="720"/>
        <w:tab w:val="left" w:pos="360" w:leader="none"/>
      </w:tabs>
      <w:spacing w:before="240" w:after="120"/>
      <w:ind w:left="360" w:hanging="360"/>
      <w:jc w:val="both"/>
    </w:pPr>
    <w:rPr>
      <w:b/>
      <w:color w:val="458DCB"/>
      <w:kern w:val="2"/>
      <w:sz w:val="24"/>
      <w:szCs w:val="20"/>
      <w:lang w:val="en-GB"/>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name w:val="Point 0"/>
    <w:basedOn w:val="Normal"/>
    <w:qFormat/>
    <w:pPr>
      <w:widowControl/>
      <w:spacing w:before="120" w:after="120"/>
      <w:ind w:left="850" w:hanging="850"/>
      <w:jc w:val="both"/>
    </w:pPr>
    <w:rPr>
      <w:sz w:val="24"/>
      <w:szCs w:val="20"/>
      <w:lang w:val="en-GB" w:eastAsia="zh-CN"/>
    </w:rPr>
  </w:style>
  <w:style w:type="paragraph" w:styleId="CharCharChar1CharCharCharCharCharChar1Char">
    <w:name w:val="Char Char Char1 Char Char Char,Char Char Char1 Char"/>
    <w:basedOn w:val="Normal"/>
    <w:qFormat/>
    <w:pPr>
      <w:widowControl/>
    </w:pPr>
    <w:rPr>
      <w:sz w:val="24"/>
      <w:szCs w:val="24"/>
      <w:lang w:val="pl-PL" w:eastAsia="pl-PL"/>
    </w:rPr>
  </w:style>
  <w:style w:type="paragraph" w:styleId="CharCharChar">
    <w:name w:val="Char Char Char"/>
    <w:basedOn w:val="Normal"/>
    <w:qFormat/>
    <w:pPr>
      <w:widowControl/>
    </w:pPr>
    <w:rPr>
      <w:sz w:val="24"/>
      <w:szCs w:val="24"/>
      <w:lang w:val="pl-PL" w:eastAsia="pl-PL"/>
    </w:rPr>
  </w:style>
  <w:style w:type="paragraph" w:styleId="Point1">
    <w:name w:val="Point 1"/>
    <w:basedOn w:val="Normal"/>
    <w:qFormat/>
    <w:pPr>
      <w:widowControl/>
      <w:spacing w:before="120" w:after="120"/>
      <w:ind w:left="1418" w:hanging="567"/>
      <w:jc w:val="both"/>
    </w:pPr>
    <w:rPr>
      <w:sz w:val="24"/>
      <w:szCs w:val="24"/>
      <w:lang w:val="en-GB" w:eastAsia="fr-BE"/>
    </w:rPr>
  </w:style>
  <w:style w:type="paragraph" w:styleId="Normal12a12b">
    <w:name w:val="Normal12a12b"/>
    <w:basedOn w:val="Normal"/>
    <w:qFormat/>
    <w:pPr>
      <w:spacing w:before="240" w:after="240"/>
    </w:pPr>
    <w:rPr>
      <w:sz w:val="24"/>
      <w:szCs w:val="20"/>
    </w:rPr>
  </w:style>
  <w:style w:type="paragraph" w:styleId="Numberedparagraph">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name w:val="Char"/>
    <w:basedOn w:val="Normal"/>
    <w:qFormat/>
    <w:pPr>
      <w:widowControl/>
    </w:pPr>
    <w:rPr>
      <w:sz w:val="24"/>
      <w:szCs w:val="24"/>
      <w:lang w:val="pl-PL" w:eastAsia="pl-PL"/>
    </w:rPr>
  </w:style>
  <w:style w:type="paragraph" w:styleId="QuotedText">
    <w:name w:val="Quoted Text"/>
    <w:basedOn w:val="Normal"/>
    <w:qFormat/>
    <w:pPr>
      <w:widowControl/>
      <w:spacing w:lineRule="auto" w:line="360" w:before="120" w:after="120"/>
      <w:ind w:left="1417" w:hanging="0"/>
    </w:pPr>
    <w:rPr>
      <w:sz w:val="24"/>
      <w:szCs w:val="20"/>
      <w:lang w:val="en-GB"/>
    </w:rPr>
  </w:style>
  <w:style w:type="paragraph" w:styleId="ManualNumPar1">
    <w:name w:val="Manual NumPar 1"/>
    <w:basedOn w:val="Normal"/>
    <w:next w:val="Text1Char"/>
    <w:qFormat/>
    <w:pPr>
      <w:widowControl/>
      <w:spacing w:before="120" w:after="120"/>
      <w:ind w:left="850" w:hanging="850"/>
      <w:jc w:val="both"/>
    </w:pPr>
    <w:rPr>
      <w:sz w:val="24"/>
      <w:szCs w:val="24"/>
      <w:lang w:val="en-GB" w:eastAsia="zh-CN"/>
    </w:rPr>
  </w:style>
  <w:style w:type="paragraph" w:styleId="Text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ind w:left="709" w:hanging="709"/>
    </w:pPr>
    <w:rPr>
      <w:sz w:val="24"/>
      <w:szCs w:val="20"/>
      <w:lang w:val="en-GB"/>
    </w:rPr>
  </w:style>
  <w:style w:type="paragraph" w:styleId="ListNumberLevel2">
    <w:name w:val="List Number (Level 2)"/>
    <w:basedOn w:val="Normal"/>
    <w:qFormat/>
    <w:pPr>
      <w:widowControl/>
      <w:numPr>
        <w:ilvl w:val="1"/>
        <w:numId w:val="5"/>
      </w:numPr>
      <w:tabs>
        <w:tab w:val="clear" w:pos="720"/>
        <w:tab w:val="left" w:pos="1417" w:leader="none"/>
      </w:tabs>
      <w:spacing w:lineRule="auto" w:line="360" w:before="120" w:after="120"/>
      <w:ind w:left="1417" w:hanging="708"/>
    </w:pPr>
    <w:rPr>
      <w:sz w:val="24"/>
      <w:szCs w:val="20"/>
      <w:lang w:val="en-GB"/>
    </w:rPr>
  </w:style>
  <w:style w:type="paragraph" w:styleId="ListNumberLevel3">
    <w:name w:val="List Number (Level 3)"/>
    <w:basedOn w:val="Normal"/>
    <w:qFormat/>
    <w:pPr>
      <w:widowControl/>
      <w:numPr>
        <w:ilvl w:val="2"/>
        <w:numId w:val="5"/>
      </w:numPr>
      <w:tabs>
        <w:tab w:val="clear" w:pos="720"/>
        <w:tab w:val="left" w:pos="2126" w:leader="none"/>
      </w:tabs>
      <w:spacing w:lineRule="auto" w:line="360" w:before="120" w:after="120"/>
      <w:ind w:left="2126" w:hanging="709"/>
    </w:pPr>
    <w:rPr>
      <w:sz w:val="24"/>
      <w:szCs w:val="20"/>
      <w:lang w:val="en-GB"/>
    </w:rPr>
  </w:style>
  <w:style w:type="paragraph" w:styleId="ListNumberLevel4">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name w:val="Normal1"/>
    <w:basedOn w:val="Normal"/>
    <w:qFormat/>
    <w:pPr>
      <w:widowControl/>
      <w:spacing w:lineRule="atLeast" w:line="360" w:before="0" w:after="120"/>
    </w:pPr>
    <w:rPr>
      <w:sz w:val="26"/>
      <w:szCs w:val="26"/>
      <w:lang w:val="en-GB" w:eastAsia="en-GB"/>
    </w:rPr>
  </w:style>
  <w:style w:type="paragraph" w:styleId="CharCharChar1Char1CharCharChar1CharCharChar1">
    <w:name w:val="Char Char Char1 Char1,Char Char Char1 Char Char Char1"/>
    <w:basedOn w:val="Normal"/>
    <w:qFormat/>
    <w:pPr>
      <w:widowControl/>
    </w:pPr>
    <w:rPr>
      <w:sz w:val="24"/>
      <w:szCs w:val="24"/>
      <w:lang w:val="pl-PL" w:eastAsia="pl-PL"/>
    </w:rPr>
  </w:style>
  <w:style w:type="paragraph" w:styleId="ZchnZchn">
    <w:name w:val="Zchn Zchn"/>
    <w:basedOn w:val="Normal"/>
    <w:qFormat/>
    <w:pPr>
      <w:widowControl/>
      <w:numPr>
        <w:ilvl w:val="0"/>
        <w:numId w:val="6"/>
      </w:numPr>
      <w:tabs>
        <w:tab w:val="clear" w:pos="720"/>
        <w:tab w:val="left" w:pos="360" w:leader="none"/>
      </w:tabs>
      <w:spacing w:lineRule="exact" w:line="240" w:before="0" w:after="160"/>
      <w:ind w:left="360" w:hanging="360"/>
    </w:pPr>
    <w:rPr>
      <w:i/>
      <w:sz w:val="24"/>
      <w:szCs w:val="24"/>
    </w:rPr>
  </w:style>
  <w:style w:type="paragraph" w:styleId="Default">
    <w:name w:val="Default"/>
    <w:qFormat/>
    <w:pPr>
      <w:widowControl/>
      <w:suppressAutoHyphens w:val="true"/>
      <w:bidi w:val="0"/>
      <w:spacing w:before="0" w:after="0"/>
      <w:jc w:val="left"/>
      <w:textAlignment w:val="auto"/>
    </w:pPr>
    <w:rPr>
      <w:rFonts w:ascii="EUAlbertina" w:hAnsi="EUAlbertina" w:eastAsia="Courier New" w:cs="EUAlbertina"/>
      <w:color w:val="000000"/>
      <w:kern w:val="2"/>
      <w:sz w:val="24"/>
      <w:szCs w:val="24"/>
      <w:lang w:val="en-GB" w:eastAsia="en-GB" w:bidi="ar-SA"/>
    </w:rPr>
  </w:style>
  <w:style w:type="paragraph" w:styleId="CM1">
    <w:name w:val="CM1"/>
    <w:basedOn w:val="Default"/>
    <w:next w:val="Default"/>
    <w:qFormat/>
    <w:pPr>
      <w:widowControl/>
    </w:pPr>
    <w:rPr>
      <w:rFonts w:ascii="EUAlbertina" w:hAnsi="EUAlbertina"/>
      <w:sz w:val="24"/>
      <w:szCs w:val="24"/>
      <w:lang w:val="en-GB" w:eastAsia="en-GB"/>
    </w:rPr>
  </w:style>
  <w:style w:type="paragraph" w:styleId="CM3">
    <w:name w:val="CM3"/>
    <w:basedOn w:val="Default"/>
    <w:next w:val="Default"/>
    <w:qFormat/>
    <w:pPr>
      <w:widowControl/>
    </w:pPr>
    <w:rPr>
      <w:rFonts w:ascii="EUAlbertina" w:hAnsi="EUAlbertina"/>
      <w:sz w:val="24"/>
      <w:szCs w:val="24"/>
      <w:lang w:val="en-GB" w:eastAsia="en-GB"/>
    </w:rPr>
  </w:style>
  <w:style w:type="paragraph" w:styleId="CM4">
    <w:name w:val="CM4"/>
    <w:basedOn w:val="Default"/>
    <w:next w:val="Default"/>
    <w:qFormat/>
    <w:pPr>
      <w:widowControl/>
    </w:pPr>
    <w:rPr>
      <w:rFonts w:ascii="EUAlbertina" w:hAnsi="EUAlbertina"/>
      <w:sz w:val="24"/>
      <w:szCs w:val="24"/>
      <w:lang w:val="en-GB" w:eastAsia="en-GB"/>
    </w:rPr>
  </w:style>
  <w:style w:type="paragraph" w:styleId="LightGridAccent31">
    <w:name w:val="Light Grid - Accent 31"/>
    <w:basedOn w:val="Normal"/>
    <w:qFormat/>
    <w:pPr>
      <w:widowControl/>
      <w:ind w:left="720" w:hanging="0"/>
    </w:pPr>
    <w:rPr>
      <w:sz w:val="24"/>
      <w:szCs w:val="24"/>
      <w:lang w:val="en-GB" w:eastAsia="en-GB"/>
    </w:rPr>
  </w:style>
  <w:style w:type="paragraph" w:styleId="TableGrid1">
    <w:name w:val="Table Grid1"/>
    <w:basedOn w:val="NormalTable"/>
    <w:next w:val="TableGrid"/>
    <w:qFormat/>
    <w:pPr>
      <w:widowControl/>
      <w:spacing w:before="0" w:afterAutospacing="1"/>
    </w:pPr>
    <w:rPr>
      <w:lang w:val="en-GB" w:eastAsia="en-GB"/>
    </w:rPr>
  </w:style>
  <w:style w:type="paragraph" w:styleId="MediumList2Accent21">
    <w:name w:val="Medium List 2 - Accent 21"/>
    <w:qFormat/>
    <w:pPr>
      <w:widowControl/>
      <w:suppressAutoHyphens w:val="true"/>
      <w:bidi w:val="0"/>
      <w:spacing w:before="0" w:after="0"/>
      <w:jc w:val="left"/>
      <w:textAlignment w:val="auto"/>
    </w:pPr>
    <w:rPr>
      <w:rFonts w:ascii="Times New Roman" w:hAnsi="Times New Roman" w:eastAsia="Courier New" w:cs="Times New Roman"/>
      <w:color w:val="auto"/>
      <w:kern w:val="2"/>
      <w:sz w:val="24"/>
      <w:szCs w:val="24"/>
      <w:lang w:val="en-GB" w:eastAsia="en-GB" w:bidi="ar-SA"/>
    </w:rPr>
  </w:style>
  <w:style w:type="paragraph" w:styleId="Subarticle">
    <w:name w:val="Subarticle"/>
    <w:basedOn w:val="Normal"/>
    <w:qFormat/>
    <w:pPr>
      <w:widowControl/>
      <w:ind w:left="720" w:hanging="720"/>
      <w:jc w:val="both"/>
    </w:pPr>
    <w:rPr>
      <w:b/>
      <w:sz w:val="20"/>
      <w:szCs w:val="20"/>
      <w:lang w:val="en-IE"/>
    </w:rPr>
  </w:style>
  <w:style w:type="paragraph" w:styleId="Entte21">
    <w:name w:val="En-tête #2"/>
    <w:basedOn w:val="Normal"/>
    <w:qFormat/>
    <w:pPr>
      <w:shd w:fill="FFFFFF"/>
      <w:spacing w:lineRule="atLeast" w:line="240" w:before="0" w:after="180"/>
      <w:jc w:val="both"/>
      <w:outlineLvl w:val="1"/>
    </w:pPr>
    <w:rPr>
      <w:b/>
      <w:bCs/>
      <w:lang w:val="fr-BE" w:eastAsia="fr-BE"/>
    </w:rPr>
  </w:style>
  <w:style w:type="paragraph" w:styleId="Corpsdutexte1">
    <w:name w:val="Corps du texte1"/>
    <w:basedOn w:val="Normal"/>
    <w:qFormat/>
    <w:pPr>
      <w:shd w:fill="FFFFFF"/>
      <w:spacing w:lineRule="exact" w:line="322" w:before="420" w:after="0"/>
      <w:ind w:hanging="420"/>
      <w:jc w:val="both"/>
    </w:pPr>
    <w:rPr>
      <w:sz w:val="23"/>
      <w:szCs w:val="23"/>
      <w:lang w:val="fr-BE" w:eastAsia="fr-BE"/>
    </w:rPr>
  </w:style>
  <w:style w:type="paragraph" w:styleId="Subtitle">
    <w:name w:val="Subtitle"/>
    <w:basedOn w:val="Normal"/>
    <w:next w:val="Normal"/>
    <w:qFormat/>
    <w:pPr>
      <w:spacing w:before="0" w:after="160"/>
    </w:pPr>
    <w:rPr>
      <w:rFonts w:eastAsia="Times New Roman"/>
      <w:color w:val="5A5A5A"/>
      <w:spacing w:val="15"/>
    </w:rPr>
  </w:style>
  <w:style w:type="paragraph" w:styleId="Paragraph">
    <w:name w:val="paragraph"/>
    <w:basedOn w:val="Normal"/>
    <w:qFormat/>
    <w:pPr>
      <w:widowControl/>
      <w:spacing w:beforeAutospacing="1" w:afterAutospacing="1"/>
    </w:pPr>
    <w:rPr>
      <w:sz w:val="24"/>
      <w:szCs w:val="24"/>
      <w:lang w:val="fr-BE" w:eastAsia="fr-BE"/>
    </w:rPr>
  </w:style>
  <w:style w:type="paragraph" w:styleId="Tags">
    <w:name w:val="Tags"/>
    <w:basedOn w:val="Normal"/>
    <w:qFormat/>
    <w:pPr>
      <w:widowControl/>
      <w:spacing w:before="0" w:after="200"/>
    </w:pPr>
    <w:rPr>
      <w:rFonts w:ascii="Arial" w:hAnsi="Arial" w:cs="Arial"/>
      <w:color w:val="B5B5B5"/>
      <w:sz w:val="16"/>
      <w:szCs w:val="16"/>
      <w:lang w:val="en-GB"/>
    </w:rPr>
  </w:style>
  <w:style w:type="paragraph" w:styleId="FrameContents">
    <w:name w:val="Frame Contents"/>
    <w:basedOn w:val="Normal"/>
    <w:qFormat/>
    <w:pPr/>
    <w:rPr/>
  </w:style>
  <w:style w:type="paragraph" w:styleId="Footnote">
    <w:name w:val="Footnote Text"/>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footer" Target="footer3.xml"/><Relationship Id="rId13" Type="http://schemas.openxmlformats.org/officeDocument/2006/relationships/header" Target="header8.xml"/><Relationship Id="rId14" Type="http://schemas.openxmlformats.org/officeDocument/2006/relationships/footer" Target="footer4.xml"/><Relationship Id="rId15" Type="http://schemas.openxmlformats.org/officeDocument/2006/relationships/header" Target="header9.xml"/><Relationship Id="rId16" Type="http://schemas.openxmlformats.org/officeDocument/2006/relationships/footer" Target="footer5.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
  <TotalTime>140</TotalTime>
  <Application>LibreOffice/7.4.7.2$Linux_X86_64 LibreOffice_project/40$Build-2</Application>
  <AppVersion>15.0000</AppVersion>
  <Pages>26</Pages>
  <Words>7431</Words>
  <Characters>43298</Characters>
  <CharactersWithSpaces>50273</CharactersWithSpaces>
  <Paragraphs>514</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2023-07-20T14:10:00Z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Created">
    <vt:filetime>12-00-00T00:00:00Z</vt:filetime>
  </property>
  <property fmtid="{D5CDD505-2E9C-101B-9397-08002B2CF9AE}" pid="7" name="EC_Collab_DocumentLanguage">
    <vt:lpwstr>EN</vt:lpwstr>
  </property>
  <property fmtid="{D5CDD505-2E9C-101B-9397-08002B2CF9AE}" pid="8" name="EC_Collab_Reference">
    <vt:lpwstr/>
  </property>
  <property fmtid="{D5CDD505-2E9C-101B-9397-08002B2CF9AE}" pid="9" name="EC_Collab_Status">
    <vt:lpwstr>Wait</vt:lpwstr>
  </property>
  <property fmtid="{D5CDD505-2E9C-101B-9397-08002B2CF9AE}" pid="10" name="LastSaved">
    <vt:filetime>17-00-00T00:00:00Z</vt:filetime>
  </property>
  <property fmtid="{D5CDD505-2E9C-101B-9397-08002B2CF9AE}" pid="11" name="MSIP_Label_6bd9ddd1-4d20-43f6-abfa-fc3c07406f94_ActionId">
    <vt:lpwstr>6c04b893-9ad6-4b2e-9e34-6f1ff91186a9</vt:lpwstr>
  </property>
  <property fmtid="{D5CDD505-2E9C-101B-9397-08002B2CF9AE}" pid="12" name="MSIP_Label_6bd9ddd1-4d20-43f6-abfa-fc3c07406f94_ContentBits">
    <vt:lpwstr>0</vt:lpwstr>
  </property>
  <property fmtid="{D5CDD505-2E9C-101B-9397-08002B2CF9AE}" pid="13" name="MSIP_Label_6bd9ddd1-4d20-43f6-abfa-fc3c07406f94_Enabled">
    <vt:lpwstr>true</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etDate">
    <vt:lpwstr>2022-01-21T09:25:40Z</vt:lpwstr>
  </property>
  <property fmtid="{D5CDD505-2E9C-101B-9397-08002B2CF9AE}" pid="17" name="MSIP_Label_6bd9ddd1-4d20-43f6-abfa-fc3c07406f94_SiteId">
    <vt:lpwstr>b24c8b06-522c-46fe-9080-70926f8dddb1</vt:lpwstr>
  </property>
  <property fmtid="{D5CDD505-2E9C-101B-9397-08002B2CF9AE}" pid="18" name="Operator">
    <vt:lpwstr>Benedicte</vt:lpwstr>
  </property>
  <property fmtid="{D5CDD505-2E9C-101B-9397-08002B2CF9AE}" pid="19" name="Order0">
    <vt:lpwstr>6</vt:lpwstr>
  </property>
  <property fmtid="{D5CDD505-2E9C-101B-9397-08002B2CF9AE}" pid="20" name="Status">
    <vt:lpwstr>4 Grant proposals (Submission &amp; Evaluation)</vt:lpwstr>
  </property>
  <property fmtid="{D5CDD505-2E9C-101B-9397-08002B2CF9AE}" pid="21" name="Status0">
    <vt:lpwstr>Draft</vt:lpwstr>
  </property>
  <property fmtid="{D5CDD505-2E9C-101B-9397-08002B2CF9AE}" pid="22" name="_Status">
    <vt:lpwstr>Not Started</vt:lpwstr>
  </property>
  <property fmtid="{D5CDD505-2E9C-101B-9397-08002B2CF9AE}" pid="23" name="_dlc_DocId">
    <vt:lpwstr>ECCSC-137315752-8697</vt:lpwstr>
  </property>
  <property fmtid="{D5CDD505-2E9C-101B-9397-08002B2CF9AE}" pid="24" name="_dlc_DocIdItemGuid">
    <vt:lpwstr>61355e8d-af12-44ff-b0e6-bf6188e2c561</vt:lpwstr>
  </property>
  <property fmtid="{D5CDD505-2E9C-101B-9397-08002B2CF9AE}" pid="25" name="_dlc_DocIdUrl">
    <vt:lpwstr>https://myintracomm-collab.ec.europa.eu/networks/H2020CSC/CIC_B3/_layouts/15/DocIdRedir.aspx?ID=ECCSC-137315752-8697, ECCSC-137315752-8697</vt:lpwstr>
  </property>
</Properties>
</file>