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7.xml" ContentType="application/vnd.openxmlformats-officedocument.wordprocessingml.header+xml"/>
  <Override PartName="/word/header10.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header4.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footer7.xml" ContentType="application/vnd.openxmlformats-officedocument.wordprocessingml.footer+xml"/>
  <Override PartName="/word/_rels/footer6.xml.rels" ContentType="application/vnd.openxmlformats-package.relationships+xml"/>
  <Override PartName="/word/_rels/footer4.xml.rels" ContentType="application/vnd.openxmlformats-package.relationships+xml"/>
  <Override PartName="/word/_rels/footer8.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6.xml" ContentType="application/vnd.openxmlformats-officedocument.wordprocessingml.footer+xml"/>
  <Override PartName="/word/styles.xml" ContentType="application/vnd.openxmlformats-officedocument.wordprocessingml.styles+xml"/>
  <Override PartName="/word/header9.xml" ContentType="application/vnd.openxmlformats-officedocument.wordprocessingml.header+xml"/>
  <Override PartName="/word/header11.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footer5.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media/image1.jpeg" ContentType="image/jpeg"/>
  <Override PartName="/word/media/image2.jpeg" ContentType="image/jpeg"/>
  <Override PartName="/word/media/image3.wmf" ContentType="image/x-wmf"/>
  <Override PartName="/word/media/image4.wmf" ContentType="image/x-wmf"/>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1" allowOverlap="1" relativeHeight="95"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8396"/>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hanging="284" w:left="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hanging="284" w:left="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hanging="284" w:left="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hanging="284" w:left="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hanging="0" w:left="0"/>
              <w:jc w:val="center"/>
              <w:outlineLvl w:val="1"/>
              <w:rPr>
                <w:lang w:val="en-GB"/>
              </w:rPr>
            </w:pPr>
            <w:bookmarkStart w:id="0" w:name="_Toc445930535"/>
            <w:bookmarkStart w:id="1" w:name="_Toc443645004"/>
            <w:bookmarkStart w:id="2" w:name="_Toc448834151"/>
            <w:bookmarkStart w:id="3" w:name="_Toc448828797"/>
            <w:bookmarkStart w:id="4" w:name="_Toc448828577"/>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5" w:name="_Toc443645005"/>
            <w:bookmarkStart w:id="6" w:name="_Toc448834152"/>
            <w:bookmarkStart w:id="7" w:name="_Toc448828798"/>
            <w:bookmarkStart w:id="8" w:name="_Toc448828578"/>
            <w:bookmarkStart w:id="9" w:name="_Toc445930536"/>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10" w:name="_Toc448828799"/>
            <w:bookmarkStart w:id="11" w:name="_Toc445930537"/>
            <w:bookmarkStart w:id="12" w:name="_Toc448828579"/>
            <w:bookmarkStart w:id="13" w:name="_Toc448834153"/>
            <w:bookmarkStart w:id="14" w:name="_Toc443645006"/>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15" w:name="_Toc443645007"/>
            <w:bookmarkStart w:id="16" w:name="_Toc448834154"/>
            <w:bookmarkStart w:id="17" w:name="_Toc448828800"/>
            <w:bookmarkStart w:id="18" w:name="_Toc448828580"/>
            <w:bookmarkStart w:id="19" w:name="_Toc445930538"/>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hanging="0" w:left="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hanging="284" w:left="318"/>
              <w:jc w:val="both"/>
              <w:outlineLvl w:val="1"/>
              <w:rPr>
                <w:lang w:val="en-GB"/>
              </w:rPr>
            </w:pPr>
            <w:r>
              <w:rPr>
                <w:sz w:val="18"/>
                <w:szCs w:val="18"/>
                <w:lang w:val="en-GB"/>
              </w:rPr>
              <w:t>Initial version</w:t>
            </w:r>
          </w:p>
        </w:tc>
      </w:tr>
    </w:tbl>
    <w:p>
      <w:pPr>
        <w:sectPr>
          <w:headerReference w:type="even" r:id="rId5"/>
          <w:headerReference w:type="default" r:id="rId6"/>
          <w:headerReference w:type="first" r:id="rId7"/>
          <w:footerReference w:type="default" r:id="rId8"/>
          <w:footerReference w:type="first" r:id="rId9"/>
          <w:type w:val="nextPage"/>
          <w:pgSz w:w="11906" w:h="16838"/>
          <w:pgMar w:left="851" w:right="851" w:gutter="0" w:header="720" w:top="851" w:footer="1009" w:bottom="1066"/>
          <w:pgNumType w:start="1" w:fmt="decimal"/>
          <w:formProt w:val="false"/>
          <w:textDirection w:val="lrTb"/>
          <w:docGrid w:type="default" w:linePitch="100" w:charSpace="8396"/>
        </w:sectPr>
      </w:pP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1191" w:left="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1191" w:left="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hanging="0" w:left="916"/>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Cs/>
        </w:rPr>
      </w:pPr>
      <w:r>
        <w:rPr>
          <w:b/>
          <w:bCs/>
        </w:rPr>
        <w:t>1.1 Space Geodesy and Earth Observation</w:t>
      </w:r>
    </w:p>
    <w:p>
      <w:pPr>
        <w:pStyle w:val="Normal"/>
        <w:widowControl/>
        <w:spacing w:before="0" w:after="200"/>
        <w:jc w:val="both"/>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jc w:val="both"/>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Normal"/>
        <w:widowControl/>
        <w:spacing w:before="0" w:after="200"/>
        <w:jc w:val="both"/>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Normal"/>
        <w:widowControl/>
        <w:spacing w:before="0" w:after="200"/>
        <w:jc w:val="both"/>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10">
        <w:r>
          <w:rPr>
            <w:rStyle w:val="Hyperlink"/>
          </w:rPr>
          <w:t>https://www.earthobservations.org/index.php</w:t>
        </w:r>
      </w:hyperlink>
      <w:r>
        <w:rPr/>
        <w:t>) and its Global Earth Observation System of Systems (GEOSS) initiative (</w:t>
      </w:r>
      <w:hyperlink r:id="rId11">
        <w:r>
          <w:rPr>
            <w:rStyle w:val="Hyperlink"/>
          </w:rPr>
          <w:t>https://www.earthobservations.org/geoss.php</w:t>
        </w:r>
      </w:hyperlink>
      <w:r>
        <w:rPr/>
        <w:t>) as well as the Global Geodetic Observing System (GGOS) (</w:t>
      </w:r>
      <w:hyperlink r:id="rId12">
        <w:r>
          <w:rPr>
            <w:rStyle w:val="Hyper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Normal"/>
        <w:widowControl/>
        <w:spacing w:before="0" w:after="200"/>
        <w:jc w:val="both"/>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Normal"/>
        <w:widowControl/>
        <w:spacing w:before="0" w:after="200"/>
        <w:jc w:val="both"/>
        <w:rPr>
          <w:b/>
          <w:bCs/>
        </w:rPr>
      </w:pPr>
      <w:r>
        <w:rPr>
          <w:b/>
          <w:bCs/>
        </w:rPr>
        <w:t>1.2 NTUA and Space Geodesy in Greece</w:t>
      </w:r>
    </w:p>
    <w:p>
      <w:pPr>
        <w:pStyle w:val="Normal"/>
        <w:widowControl/>
        <w:spacing w:before="0" w:after="200"/>
        <w:jc w:val="both"/>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Normal"/>
        <w:widowControl/>
        <w:spacing w:before="0" w:after="20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jc w:val="both"/>
        <w:rPr/>
      </w:pPr>
      <w:r>
        <w:rPr/>
        <w:t>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limited and severely constrained by lack of expertise, well trained and skilled workforce to state-of-the-art methodologies and a low international standing (e.g. involvement in international and European consortia and services).</w:t>
      </w:r>
    </w:p>
    <w:p>
      <w:pPr>
        <w:pStyle w:val="Normal"/>
        <w:widowControl/>
        <w:spacing w:before="0" w:after="200"/>
        <w:jc w:val="both"/>
        <w:rPr/>
      </w:pPr>
      <w:r>
        <w:rPr/>
        <w:t>The lack of a dedicated excellence center in the field of Space Geodesy, is also reflected in the limited involvement of Greece in one of the currently fastest blooming technology markets internationally, that of Space sciences. Lack of expertise and a modern knowledge hub in the field are definitely factors that should be swiftly addressed to reverse the current situation.</w:t>
      </w:r>
    </w:p>
    <w:p>
      <w:pPr>
        <w:pStyle w:val="Normal"/>
        <w:widowControl/>
        <w:spacing w:before="0" w:after="200"/>
        <w:jc w:val="both"/>
        <w:rPr>
          <w:b/>
          <w:bCs/>
        </w:rPr>
      </w:pPr>
      <w:r>
        <w:rPr>
          <w:b/>
          <w:bCs/>
        </w:rPr>
        <w:t xml:space="preserve">1.3 Center of Excellence for Space Geodesy in Greece </w:t>
      </w:r>
    </w:p>
    <w:p>
      <w:pPr>
        <w:pStyle w:val="Normal"/>
        <w:widowControl/>
        <w:spacing w:before="0" w:after="200"/>
        <w:jc w:val="both"/>
        <w:rPr/>
      </w:pPr>
      <w:r>
        <w:rPr/>
        <w:t>ACRONYM aims at creating a Center of Excellence for Space Geodesy in Greece, hosted by the Project Coordinator (NTUA), with the crucial contribution of leading experts in the field. Within this framework, NTUA will enhance its research and scientific footprint, increase its technology and research capacity and promote innovation and the involvement of Greece (both of the public and private sector) in Space.</w:t>
      </w:r>
    </w:p>
    <w:p>
      <w:pPr>
        <w:pStyle w:val="Normal"/>
        <w:widowControl/>
        <w:spacing w:before="0" w:after="20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7"/>
        </w:numPr>
        <w:spacing w:before="0" w:after="200"/>
        <w:jc w:val="both"/>
        <w:rPr/>
      </w:pPr>
      <w:r>
        <w:rPr/>
        <w:t>Significantly increase its international standing and visibility in the research community. 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7"/>
        </w:numPr>
        <w:spacing w:before="0" w:after="200"/>
        <w:jc w:val="both"/>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and efficiency in partnership-building, preparation and carrying out of research proposals funded by a series of alternate grant pools. </w:t>
      </w:r>
      <w:r>
        <w:rPr/>
        <w:t>Increase financial support capabilities for its research activities and its ability and capacity to attract and recruit talented young scientists.</w:t>
      </w:r>
    </w:p>
    <w:p>
      <w:pPr>
        <w:pStyle w:val="Normal"/>
        <w:widowControl/>
        <w:numPr>
          <w:ilvl w:val="0"/>
          <w:numId w:val="7"/>
        </w:numPr>
        <w:spacing w:before="0" w:after="200"/>
        <w:jc w:val="both"/>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fields.</w:t>
      </w:r>
    </w:p>
    <w:tbl>
      <w:tblPr>
        <w:tblW w:w="9675" w:type="dxa"/>
        <w:jc w:val="left"/>
        <w:tblInd w:w="55" w:type="dxa"/>
        <w:tblLayout w:type="fixed"/>
        <w:tblCellMar>
          <w:top w:w="55" w:type="dxa"/>
          <w:left w:w="55" w:type="dxa"/>
          <w:bottom w:w="55" w:type="dxa"/>
          <w:right w:w="55" w:type="dxa"/>
        </w:tblCellMar>
      </w:tblPr>
      <w:tblGrid>
        <w:gridCol w:w="2470"/>
        <w:gridCol w:w="1717"/>
        <w:gridCol w:w="2162"/>
        <w:gridCol w:w="3325"/>
      </w:tblGrid>
      <w:tr>
        <w:trPr/>
        <w:tc>
          <w:tcPr>
            <w:tcW w:w="2470"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Objective</w:t>
            </w:r>
          </w:p>
        </w:tc>
        <w:tc>
          <w:tcPr>
            <w:tcW w:w="1717"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Involved WP</w:t>
            </w:r>
          </w:p>
        </w:tc>
        <w:tc>
          <w:tcPr>
            <w:tcW w:w="2162"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Target Group</w:t>
            </w:r>
          </w:p>
        </w:tc>
        <w:tc>
          <w:tcPr>
            <w:tcW w:w="3325"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Key Performance Indicator</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Creation of highly skilled workforce</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and WP3</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numPr>
                <w:ilvl w:val="0"/>
                <w:numId w:val="20"/>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host institute staff trained</w:t>
            </w:r>
          </w:p>
          <w:p>
            <w:pPr>
              <w:pStyle w:val="Normal"/>
              <w:numPr>
                <w:ilvl w:val="0"/>
                <w:numId w:val="20"/>
              </w:numPr>
              <w:rPr/>
            </w:pPr>
            <w:r>
              <w:rPr/>
              <w:t>Number of training events attended (not organized by ACRONYM)</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Recruit and train new scientists</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and WP3</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PhD and PostDoc students trained</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Research capacity enhancement via in-house software</w:t>
            </w:r>
          </w:p>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Reaching scientific excellence</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WP3</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In-house software to accommodate:</w:t>
            </w:r>
          </w:p>
          <w:p>
            <w:pPr>
              <w:pStyle w:val="Normal"/>
              <w:numPr>
                <w:ilvl w:val="0"/>
                <w:numId w:val="12"/>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DORIS observations</w:t>
            </w:r>
          </w:p>
          <w:p>
            <w:pPr>
              <w:pStyle w:val="Normal"/>
              <w:numPr>
                <w:ilvl w:val="0"/>
                <w:numId w:val="12"/>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SLR observations</w:t>
            </w:r>
          </w:p>
          <w:p>
            <w:pPr>
              <w:pStyle w:val="Normal"/>
              <w:numPr>
                <w:ilvl w:val="0"/>
                <w:numId w:val="12"/>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state-of-the-art handling of EOPs</w:t>
            </w:r>
          </w:p>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Software validation by expert partners and released online (free and open-source).</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Involvement of NTUA in  the future of Space Geodesy on an international level</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WP3 and WP4</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high-caliber geodetic services and consortia in which NTUA will get involved (in various roles). Such are IDS, ILRS, IVS, IAG and GGOS.</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Mitigation of  technological/scientific gap between the host institute and top-tier institutes</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WP2,WP3 and WP4</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Attractive center of excellence for new scientists</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WP4</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numPr>
                <w:ilvl w:val="0"/>
                <w:numId w:val="15"/>
              </w:numPr>
              <w:rPr/>
            </w:pPr>
            <w:r>
              <w:rPr/>
              <w:t>Number of applicants for PhD, PostDoc and (possible) tenure open positions. Expected to take place gradually after the start of ACRONYM.</w:t>
            </w:r>
          </w:p>
          <w:p>
            <w:pPr>
              <w:pStyle w:val="Normal"/>
              <w:numPr>
                <w:ilvl w:val="0"/>
                <w:numId w:val="15"/>
              </w:numPr>
              <w:rPr/>
            </w:pPr>
            <w:r>
              <w:rPr/>
              <w:t>Number of young scientists (from partners) traveling to NTUA</w:t>
            </w:r>
          </w:p>
          <w:p>
            <w:pPr>
              <w:pStyle w:val="Normal"/>
              <w:numPr>
                <w:ilvl w:val="0"/>
                <w:numId w:val="15"/>
              </w:numPr>
              <w:rPr/>
            </w:pPr>
            <w:r>
              <w:rPr/>
              <w:t>Number of funding bids submitted for PhD and PostDoc studies (carried out in host institute)</w:t>
            </w:r>
          </w:p>
          <w:p>
            <w:pPr>
              <w:pStyle w:val="Normal"/>
              <w:numPr>
                <w:ilvl w:val="0"/>
                <w:numId w:val="15"/>
              </w:numPr>
              <w:rPr/>
            </w:pPr>
            <w:r>
              <w:rPr/>
              <w:t>Number of PhD and PostDoc scholarships successfully applied for (from national and/or European funding pools)</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Establish a national (Greek) ecosystem of space related stakeholders</w:t>
            </w:r>
          </w:p>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Center of innovation for Greece in the field of space-based geosciences</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and WP4</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numPr>
                <w:ilvl w:val="0"/>
                <w:numId w:val="13"/>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stakeholders present in info-days and seminars.</w:t>
            </w:r>
          </w:p>
          <w:p>
            <w:pPr>
              <w:pStyle w:val="Normal"/>
              <w:numPr>
                <w:ilvl w:val="0"/>
                <w:numId w:val="13"/>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stakeholders included in research proposals submitted</w:t>
            </w:r>
          </w:p>
          <w:p>
            <w:pPr>
              <w:pStyle w:val="Normal"/>
              <w:numPr>
                <w:ilvl w:val="0"/>
                <w:numId w:val="13"/>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stakeholders interested in and/or subscribed to the ACRONYM newsletter</w:t>
            </w:r>
          </w:p>
          <w:p>
            <w:pPr>
              <w:pStyle w:val="Normal"/>
              <w:numPr>
                <w:ilvl w:val="0"/>
                <w:numId w:val="13"/>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stakeholders requesting/accessing online lectures and training videos (via ACRONYM’s website)</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Increase host’s international standing and visibility</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WP4</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conferences/workshops attended</w:t>
            </w:r>
          </w:p>
          <w:p>
            <w:pPr>
              <w:pStyle w:val="Normal"/>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scientific publications in high-impact journals</w:t>
            </w:r>
          </w:p>
          <w:p>
            <w:pPr>
              <w:pStyle w:val="Normal"/>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Impact factor of scientific journals publishing results of ACRONYM</w:t>
            </w:r>
          </w:p>
          <w:p>
            <w:pPr>
              <w:pStyle w:val="Normal"/>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Involvement in International Association of Geodesy (IAG) and GGOS</w:t>
            </w:r>
          </w:p>
          <w:p>
            <w:pPr>
              <w:pStyle w:val="Normal"/>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Release free and open software tools, available on-line</w:t>
            </w:r>
          </w:p>
          <w:p>
            <w:pPr>
              <w:pStyle w:val="Normal"/>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users of software released (measurable via online means, acknowledgments and DOI references)</w:t>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Create a network of international collaborators, get involved in high-calibre international consortia</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162"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0"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Enhance the host's capacity and efficiency in partnership-building, preparation and carrying out of research proposals funded by a series of alternate grant pools.</w:t>
            </w:r>
          </w:p>
        </w:tc>
        <w:tc>
          <w:tcPr>
            <w:tcW w:w="1717"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w:t>
            </w:r>
          </w:p>
        </w:tc>
        <w:tc>
          <w:tcPr>
            <w:tcW w:w="2162" w:type="dxa"/>
            <w:tcBorders>
              <w:left w:val="single" w:sz="4" w:space="0" w:color="000000"/>
              <w:bottom w:val="single" w:sz="4" w:space="0" w:color="000000"/>
            </w:tcBorders>
            <w:vAlign w:val="center"/>
          </w:tcPr>
          <w:p>
            <w:pPr>
              <w:pStyle w:val="Normal"/>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numPr>
                <w:ilvl w:val="0"/>
                <w:numId w:val="16"/>
              </w:numPr>
              <w:rPr/>
            </w:pPr>
            <w:r>
              <w:rPr/>
              <w:t>Number of host institute staff trained</w:t>
            </w:r>
          </w:p>
          <w:p>
            <w:pPr>
              <w:pStyle w:val="Normal"/>
              <w:numPr>
                <w:ilvl w:val="0"/>
                <w:numId w:val="16"/>
              </w:numPr>
              <w:rPr/>
            </w:pPr>
            <w:r>
              <w:rPr/>
              <w:t>Number of research proposals submitted (within the time span of ACRONYM)</w:t>
            </w:r>
          </w:p>
          <w:p>
            <w:pPr>
              <w:pStyle w:val="Normal"/>
              <w:numPr>
                <w:ilvl w:val="0"/>
                <w:numId w:val="16"/>
              </w:numPr>
              <w:rPr/>
            </w:pPr>
            <w:r>
              <w:rPr/>
              <w:t>Diversity of funding pools targeted</w:t>
            </w:r>
          </w:p>
          <w:p>
            <w:pPr>
              <w:pStyle w:val="Normal"/>
              <w:numPr>
                <w:ilvl w:val="0"/>
                <w:numId w:val="16"/>
              </w:numPr>
              <w:rPr/>
            </w:pPr>
            <w:r>
              <w:rPr/>
              <w:t>Success rate of funding bids (research and scholarships)</w:t>
            </w:r>
          </w:p>
        </w:tc>
      </w:tr>
    </w:tbl>
    <w:p>
      <w:pPr>
        <w:pStyle w:val="Normal"/>
        <w:widowControl/>
        <w:spacing w:before="0" w:after="200"/>
        <w:jc w:val="both"/>
        <w:rPr/>
      </w:pPr>
      <w:r>
        <w:rPr/>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b/>
          <w:bCs/>
        </w:rPr>
      </w:pPr>
      <w:r>
        <w:rPr>
          <w:b/>
          <w:bCs/>
        </w:rPr>
        <w:t>1.2.1 General Concept and Overview</w:t>
      </w:r>
    </w:p>
    <w:p>
      <w:pPr>
        <w:pStyle w:val="Normal"/>
        <w:spacing w:before="0" w:after="200"/>
        <w:jc w:val="both"/>
        <w:rPr>
          <w:b w:val="false"/>
          <w:bCs w:val="false"/>
        </w:rPr>
      </w:pPr>
      <w:r>
        <w:rPr>
          <w:b w:val="false"/>
          <w:bCs w:val="false"/>
        </w:rPr>
        <w:t>Building a Center of Excellence for Space Geodesy in Greece is based on three fundamental pillars, which  determine the methodology to be followed to achieve the proposal’s objectives. The first pillar is  the significant enhancement of the Coordinator’s research capacity via staff training to create a highly skilled work force and in parallel build and/or refine a state-of-the-art software toolset. The latter, accompanied with skilled personnel, constitutes an invaluable asset towards achieving scientific excellence.</w:t>
      </w:r>
    </w:p>
    <w:p>
      <w:pPr>
        <w:pStyle w:val="Normal"/>
        <w:spacing w:before="0" w:after="200"/>
        <w:jc w:val="both"/>
        <w:rPr/>
      </w:pPr>
      <w:r>
        <w:rPr>
          <w:b w:val="false"/>
          <w:bCs w:val="false"/>
        </w:rPr>
        <w:t>A second pillar is the s</w:t>
      </w:r>
      <w:r>
        <w:rPr/>
        <w:t>trengthening of research management capacity and administrative skills of the staff working in the host institute. Furthermore, this task aims at significantly broadening possible funding pools (available or targeted by the host institute) and capabilities and increase mobility (inwards and outwards) of qualified scientists.</w:t>
      </w:r>
    </w:p>
    <w:p>
      <w:pPr>
        <w:pStyle w:val="Normal"/>
        <w:spacing w:before="0" w:after="200"/>
        <w:jc w:val="both"/>
        <w:rPr/>
      </w:pPr>
      <w:r>
        <w:rPr/>
        <w:t>Finally, a third pillar focuses on networking activities and involvement of the Coordinator in international, high prestige consortia, raising NTUA’s reputation and visibility. Additionally, a Greek Space and Earth Observation ecosystem will be established aiming at promoting relevant technology, innovation and collaboration on a national level.</w:t>
      </w:r>
    </w:p>
    <w:p>
      <w:pPr>
        <w:pStyle w:val="Normal"/>
        <w:spacing w:before="0" w:after="200"/>
        <w:jc w:val="both"/>
        <w:rPr/>
      </w:pPr>
      <w:r>
        <w:rPr>
          <w:b w:val="false"/>
          <w:bCs w:val="false"/>
        </w:rPr>
        <w:t xml:space="preserve">Dedicated dissemination and communication activities are included aiming at boosting the impact of ACRONYM and the </w:t>
      </w:r>
      <w:r>
        <w:rPr/>
        <w:t>attractiveness of the coordinating institution.</w:t>
      </w:r>
    </w:p>
    <w:p>
      <w:pPr>
        <w:pStyle w:val="Normal"/>
        <w:spacing w:before="0" w:after="200"/>
        <w:jc w:val="both"/>
        <w:rPr>
          <w:b/>
          <w:bCs/>
        </w:rPr>
      </w:pPr>
      <w:r>
        <w:rPr>
          <w:b/>
          <w:bCs/>
        </w:rPr>
        <w:t>1.2.2 Enhancing Research Capacity and Achieving Scientific Excellence</w:t>
      </w:r>
    </w:p>
    <w:p>
      <w:pPr>
        <w:pStyle w:val="Normal"/>
        <w:spacing w:before="0" w:after="200"/>
        <w:jc w:val="both"/>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Normal"/>
        <w:spacing w:before="0" w:after="200"/>
        <w:jc w:val="both"/>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 and highly skilled workforce. An example of such institutions are the internationally-leading partners involved in ACRONYM.</w:t>
      </w:r>
    </w:p>
    <w:p>
      <w:pPr>
        <w:pStyle w:val="Normal"/>
        <w:spacing w:before="0" w:after="20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Normal"/>
        <w:spacing w:before="0" w:after="20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jc w:val="both"/>
        <w:rPr/>
      </w:pPr>
      <w:r>
        <w:rPr/>
        <w:t>Within the framework of ACRONYM, synergies are proposed with leading experts in the techniques of DORIS, SLR and VLBI with the aim of closing the knowledge and technological gap and thus significantly strengthening NTUA's research capacity and potential. A strategic aim of ACRONYM is that by the end of the project’s lifespan, the host institute will have an in-house collection of software tools and a highly-skilled workforce to support high-end research in the field of Space Geodesy and Earth observation.</w:t>
      </w:r>
    </w:p>
    <w:p>
      <w:pPr>
        <w:pStyle w:val="Normal"/>
        <w:spacing w:before="0" w:after="200"/>
        <w:jc w:val="both"/>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one Post-Doc student  per technique. This allocation is expected to significantly enhance knowledge assimilation, create highly skilled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 In summary, it is expected that at least six new young scientists will be recruited by NTUA (three PhD students and three PostDoc students) to be involved in the project’s activities.</w:t>
      </w:r>
    </w:p>
    <w:p>
      <w:pPr>
        <w:pStyle w:val="Normal"/>
        <w:spacing w:before="0" w:after="200"/>
        <w:jc w:val="both"/>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Normal"/>
        <w:spacing w:before="0" w:after="200"/>
        <w:jc w:val="both"/>
        <w:rPr>
          <w:highlight w:val="none"/>
          <w:shd w:fill="FFFF00" w:val="clear"/>
        </w:rPr>
      </w:pPr>
      <w:r>
        <w:rPr>
          <w:shd w:fill="FFFF00" w:val="clea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jc w:val="both"/>
        <w:rPr/>
      </w:pPr>
      <w:r>
        <w:rPr/>
        <w:t>By means of a specialized, technique-based contribution of each member of the consortium to the host (NTUA), knowledge transfer can be better achieved, managed, digested and verified. The host institution will be the sole recipient of this flow of expertise, attributing dedicated personnel to each of the techniques described, thus creating a pool of experts.</w:t>
      </w:r>
    </w:p>
    <w:p>
      <w:pPr>
        <w:pStyle w:val="Normal"/>
        <w:spacing w:before="0" w:after="200"/>
        <w:jc w:val="both"/>
        <w:rPr/>
      </w:pPr>
      <w:r>
        <w:rPr>
          <w:rFonts w:ascii="Times New Roman" w:hAnsi="Times New Roman"/>
          <w:lang w:val="en-GB"/>
        </w:rPr>
        <w:t>Achieving scientific excellence within ACRONYM is split into two distinct phases, to allow for a more efficient and robust scheme. During the first phase (WP2), highly skilled scientists from the expert nodes will transfer knowledge and expertise to a dedicated (per technique) task force made up by personnel and young scientists in the Widening institute. The roadmap of the procedure and the scientific syllabus and curriculum will be determined by respective the expert nodes. Focus here will be placed on (a) the internals and details of the techniques themselves, (b) data curation, (c) technique specific error-budget, its treatment and mitigation, (d) application range, instrumentation and technique specific results, and (e) recent trends and research frontiers. Expert nodes will also present their own, home-grown data analysis pipelines to NTUA, identifying best practices, strengths, weaknesses and limitations.</w:t>
      </w:r>
    </w:p>
    <w:p>
      <w:pPr>
        <w:pStyle w:val="Normal"/>
        <w:spacing w:before="0" w:after="200"/>
        <w:jc w:val="both"/>
        <w:rPr/>
      </w:pPr>
      <w:r>
        <w:rPr>
          <w:rFonts w:ascii="Times New Roman" w:hAnsi="Times New Roman"/>
          <w:lang w:val="en-GB"/>
        </w:rPr>
        <w:t>Knowledge transfer will be performed by means of:</w:t>
      </w:r>
    </w:p>
    <w:p>
      <w:pPr>
        <w:pStyle w:val="Normal"/>
        <w:numPr>
          <w:ilvl w:val="0"/>
          <w:numId w:val="17"/>
        </w:numPr>
        <w:spacing w:before="0" w:after="200"/>
        <w:jc w:val="both"/>
        <w:rPr/>
      </w:pPr>
      <w:r>
        <w:rPr>
          <w:rFonts w:ascii="Times New Roman" w:hAnsi="Times New Roman"/>
          <w:lang w:val="en-GB"/>
        </w:rPr>
        <w:t>remote (on-line) webinars, virtual trainings and video conferences hosted by the expert nodes and attended by the dedicated task force set-up at the Coordinator institution. Both training/lectures and Q&amp;A sessions will take place during these meets, which will be held approximately twice per month, with a duration of two to four hours.</w:t>
      </w:r>
    </w:p>
    <w:p>
      <w:pPr>
        <w:pStyle w:val="Normal"/>
        <w:numPr>
          <w:ilvl w:val="0"/>
          <w:numId w:val="17"/>
        </w:numPr>
        <w:spacing w:before="0" w:after="200"/>
        <w:jc w:val="both"/>
        <w:rPr/>
      </w:pPr>
      <w:r>
        <w:rPr>
          <w:rFonts w:ascii="Times New Roman" w:hAnsi="Times New Roman"/>
          <w:lang w:val="en-GB"/>
        </w:rPr>
        <w:t>remote (on-line) venture labs, where the expert nodes will present and introduce their own analysis pipelines and in-house, state-of-the-art software tools to the dedicated task force set-up at the Coordinator institution. Approximately a series of four venture lab meets will be held (per technique).</w:t>
      </w:r>
    </w:p>
    <w:p>
      <w:pPr>
        <w:pStyle w:val="Normal"/>
        <w:numPr>
          <w:ilvl w:val="0"/>
          <w:numId w:val="17"/>
        </w:numPr>
        <w:spacing w:before="0" w:after="200"/>
        <w:jc w:val="both"/>
        <w:rPr/>
      </w:pPr>
      <w:r>
        <w:rPr>
          <w:rFonts w:ascii="Times New Roman" w:hAnsi="Times New Roman"/>
          <w:lang w:val="en-GB"/>
        </w:rPr>
        <w:t>one short-term visit of the dedicated Coordinator task force at the premises of the respective expert node (i.e. visits at IPGP, GFZ and OSO). The visit will have a duration of one to two weeks, and will focus on an integrated presentation and schooling at data collection/acquisition and instrumentation, data curation and analysis procedures followed by the expert nodes. A guided tour at instrumentation sites will also be performed at GFZ and OSO, since these institutes host instrumentation not available in Greece (only few such sites are installed worldwide). These visits will also place focus on solidifing networking activities and allow for further one-on-one communication and intercourse.</w:t>
      </w:r>
    </w:p>
    <w:p>
      <w:pPr>
        <w:pStyle w:val="Normal"/>
        <w:spacing w:before="0" w:after="200"/>
        <w:jc w:val="both"/>
        <w:rPr/>
      </w:pPr>
      <w:r>
        <w:rPr>
          <w:rFonts w:ascii="Times New Roman" w:hAnsi="Times New Roman"/>
          <w:lang w:val="en-GB"/>
        </w:rPr>
        <w:t>At the end of this phase, the dedicated task forces (setup at the Coordinator institute) will have gained a deep understanding of the methodologies involved within each of the Space Geodetic techniques.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accompanied with respective validation procedures. These documents will act as roadmap for the next step of research capacity building and achieving scientific excellence.</w:t>
      </w:r>
    </w:p>
    <w:p>
      <w:pPr>
        <w:pStyle w:val="Normal"/>
        <w:spacing w:before="0" w:after="200"/>
        <w:jc w:val="both"/>
        <w:rPr>
          <w:highlight w:val="none"/>
          <w:shd w:fill="FFFF00" w:val="clear"/>
          <w:lang w:val="en-GB"/>
        </w:rPr>
      </w:pPr>
      <w:r>
        <w:rPr/>
        <w:t>The next, second phase (WP3) will build on the knowledge gained from the previous phase and will adhere to a more “hands on”, technical approach.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Note that during the last couple of years, NTUA has already ignited an effort to develop such software tools, a fact that is expected to significantly assist the effort and outcome of ACRONYM.</w:t>
      </w:r>
    </w:p>
    <w:p>
      <w:pPr>
        <w:pStyle w:val="Normal"/>
        <w:widowControl w:val="false"/>
        <w:spacing w:before="60" w:after="60"/>
        <w:jc w:val="both"/>
        <w:rPr>
          <w:highlight w:val="none"/>
          <w:shd w:fill="FFFF00" w:val="clear"/>
        </w:rPr>
      </w:pPr>
      <w:r>
        <w:rPr>
          <w:shd w:fill="FFFF00" w:val="clear"/>
        </w:rPr>
        <w:t>Software development will adopt the work plan established in Task 2.1, enabling step-by-step validation. Such a process will enable the efficient administration of the capacity building process,  monitoring progress through well established, timely milestones, goals and validation tests.</w:t>
      </w:r>
    </w:p>
    <w:p>
      <w:pPr>
        <w:pStyle w:val="Normal"/>
        <w:spacing w:before="0" w:after="200"/>
        <w:jc w:val="both"/>
        <w:rPr/>
      </w:pPr>
      <w:r>
        <w:rPr/>
        <w:t xml:space="preserve">Focus will be placed on (a) problem solving skills, (b) robust algorithmic approaches and best practices, (c) numerical methodologies, (d) program design and implementation strategies and (e) adoption of state-of-the-art models. </w:t>
      </w:r>
      <w:r>
        <w:rPr>
          <w:rFonts w:ascii="Times New Roman" w:hAnsi="Times New Roman"/>
          <w:lang w:val="en-GB"/>
        </w:rPr>
        <w:t>Knowledge transfer will be performed by means of:</w:t>
      </w:r>
    </w:p>
    <w:p>
      <w:pPr>
        <w:pStyle w:val="Normal"/>
        <w:numPr>
          <w:ilvl w:val="0"/>
          <w:numId w:val="17"/>
        </w:numPr>
        <w:spacing w:before="0" w:after="200"/>
        <w:jc w:val="both"/>
        <w:rPr/>
      </w:pPr>
      <w:r>
        <w:rPr>
          <w:rFonts w:ascii="Times New Roman" w:hAnsi="Times New Roman"/>
          <w:lang w:val="en-GB"/>
        </w:rPr>
        <w:t>remote (on-line) webinars hosted by the expert nodes and attended by the dedicated task force set-up at the Coordinator institution, focusing on implementation and validation of specific specific technical issues, i.e. modeling approaches  (according to the roadmap laied out in the technical dpocuments of the previous step). These meets will be performed once every two months.</w:t>
      </w:r>
    </w:p>
    <w:p>
      <w:pPr>
        <w:pStyle w:val="Normal"/>
        <w:numPr>
          <w:ilvl w:val="0"/>
          <w:numId w:val="17"/>
        </w:numPr>
        <w:spacing w:before="0" w:after="200"/>
        <w:jc w:val="both"/>
        <w:rPr/>
      </w:pPr>
      <w:r>
        <w:rPr>
          <w:rFonts w:ascii="Times New Roman" w:hAnsi="Times New Roman"/>
          <w:lang w:val="en-GB"/>
        </w:rPr>
        <w:t>remote (on-line) one-to-one and one-to-many video conferences hosted by the expert nodes and attended by the dedicated task force set-up at the Coordinator institution. The conferences will be focused on Q&amp;A sessions, problem solving and advisory meetings, targeting specific needs and problems that (may) come up during the implementation phase; they will be requested “on demand” by the task force.</w:t>
      </w:r>
    </w:p>
    <w:p>
      <w:pPr>
        <w:pStyle w:val="Normal"/>
        <w:numPr>
          <w:ilvl w:val="0"/>
          <w:numId w:val="17"/>
        </w:numPr>
        <w:spacing w:before="0" w:after="200"/>
        <w:jc w:val="both"/>
        <w:rPr/>
      </w:pPr>
      <w:r>
        <w:rPr>
          <w:rFonts w:ascii="Times New Roman" w:hAnsi="Times New Roman"/>
          <w:lang w:val="en-GB"/>
        </w:rPr>
        <w:t>two short-term visits per technique; the dedicated Coordinator task force will visit the respective expert node (i.e. visits at CLS, GFZ and OSO) and staff of the expert nodes will also make a short term visit to the Coordinator.  The visits will have a duration of one to two weeks, and will focus on inspection, evaluation and validation of the software under construction and exchange of best practices. They are also expected to further strengthen twinning synergies and provide a framework for teamwork, enhancing collective problem solving.</w:t>
      </w:r>
    </w:p>
    <w:p>
      <w:pPr>
        <w:pStyle w:val="Normal"/>
        <w:spacing w:before="0" w:after="200"/>
        <w:jc w:val="both"/>
        <w:rPr/>
      </w:pPr>
      <w:r>
        <w:rPr/>
        <w:t>The expected impact of this phase is twofold; on the one hand, it will result in a state-of-the-art software toolbox, which will constitute an invaluable asset for NTUA’s research capacity, a fundamental building block for further scientific development and growth. As already noted, such software packages are only few worldwide, owned and developed by prominent research institutes. On the other hand, the process of designing and implementing such a package will result in a highly skilled scientific workforce, with a deep understanding of the most elaborate and complex concepts of Space Geodesy and the means to tackle even the most demanding research questions. Hence, this approach is expected to stimulate scientific excellence and innovation capacity.</w:t>
      </w:r>
    </w:p>
    <w:p>
      <w:pPr>
        <w:pStyle w:val="Normal"/>
        <w:spacing w:before="0" w:after="200"/>
        <w:jc w:val="both"/>
        <w:rPr>
          <w:b/>
        </w:rPr>
      </w:pPr>
      <w:r>
        <w:rPr>
          <w:b/>
          <w:bCs/>
        </w:rPr>
        <w:t xml:space="preserve">1.2.3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19"/>
        </w:rPr>
        <w:t>Strengthening research management capacity and administrative skills</w:t>
      </w:r>
    </w:p>
    <w:p>
      <w:pPr>
        <w:pStyle w:val="Normal"/>
        <w:spacing w:before="0" w:after="200"/>
        <w:jc w:val="both"/>
        <w:rPr/>
      </w:pPr>
      <w:r>
        <w:rPr/>
        <w:t xml:space="preserve">In order to further enhance NTUA’s research capacity and funding capabilities and resources, knowledge and expertise transfer will expand beyond technical matters, to include coaching on research proposal preparation/writing, submission, management and administration. A dedicated Work Package is included in the Proposal to accommodate for related tasks (WP4), which is expected to result in a highly skilled and effective research administration unit </w:t>
      </w:r>
      <w:r>
        <w:rPr>
          <w:shd w:fill="auto" w:val="clear"/>
        </w:rPr>
        <w:t xml:space="preserve">to </w:t>
      </w:r>
      <w:r>
        <w:rPr>
          <w:shd w:fill="auto" w:val="clear"/>
          <w:lang w:val="en-GB"/>
        </w:rPr>
        <w:t>significantly enhance future NTUA’s  successful proposal submission rate, secure financial aid for the host’s research activities in the long-run and boost long-term synergy between the consortium partners.</w:t>
      </w:r>
    </w:p>
    <w:p>
      <w:pPr>
        <w:pStyle w:val="Normal"/>
        <w:spacing w:before="0" w:after="200"/>
        <w:jc w:val="both"/>
        <w:rPr/>
      </w:pPr>
      <w:r>
        <w:rPr/>
        <w:t>The Coordinator will set up an agile research administration unit within its institution, made up of both scientific and administrative personnel. The sole purpose of this unit will be to seek, claim and manage research proposals. The unit will be trained by the internationally leading partners, utilising their experience and sharing best practices. A two phase approach will also be followed here. The first phase will place focus on the training of the unit from the twining partners. All partners will be involved in this task, sharing knowledge, experience and know-how. Training will involve the following:</w:t>
      </w:r>
    </w:p>
    <w:p>
      <w:pPr>
        <w:pStyle w:val="Normal"/>
        <w:numPr>
          <w:ilvl w:val="0"/>
          <w:numId w:val="18"/>
        </w:numPr>
        <w:spacing w:before="0" w:after="200"/>
        <w:jc w:val="both"/>
        <w:rPr/>
      </w:pPr>
      <w:r>
        <w:rPr>
          <w:u w:val="single"/>
        </w:rPr>
        <w:t>Introduction and familiarization with diverse funding pools and schema.</w:t>
      </w:r>
      <w:r>
        <w:rPr/>
        <w:t xml:space="preserve"> Training here will focus on the introduction of various funding pools and capabilities which the unit can utilize to support research either individually (i.e. NTUA being the sole recipient of funding) or through partnerships. Such pools can be European (e.g. EU, ESA, etc), </w:t>
      </w:r>
      <w:r>
        <w:rPr>
          <w:rStyle w:val="Strong"/>
          <w:b w:val="false"/>
          <w:bCs w:val="false"/>
          <w:shd w:fill="auto" w:val="clear"/>
        </w:rPr>
        <w:t>collaborative funding schema (contributions from various stakeholders, such as government agencies, private foundations and industry partners), funding via research consortia and networks (e.g. funding claiming via contribution in international services such as the IDS, ILRS and IVS), and public-private partnerships</w:t>
      </w:r>
      <w:r>
        <w:rPr>
          <w:rStyle w:val="Strong"/>
          <w:b w:val="false"/>
          <w:bCs w:val="false"/>
          <w:shd w:fill="auto" w:val="clear"/>
          <w:lang w:val="en-GB"/>
        </w:rPr>
        <w:t>, where partnerships with industry will be seeked for, to support research and development in Space and Earth Observation industry and technology. Special care will placed in funding pools and networking capabilities specifically targeting young scientists, e.g. MSCA Doctoral Networks and support for inwards/outwards mobility of skilled scientists.</w:t>
      </w:r>
    </w:p>
    <w:p>
      <w:pPr>
        <w:pStyle w:val="Normal"/>
        <w:numPr>
          <w:ilvl w:val="0"/>
          <w:numId w:val="18"/>
        </w:numPr>
        <w:spacing w:before="0" w:after="200"/>
        <w:jc w:val="both"/>
        <w:rPr/>
      </w:pPr>
      <w:r>
        <w:rPr>
          <w:rStyle w:val="Strong"/>
          <w:b w:val="false"/>
          <w:bCs w:val="false"/>
          <w:u w:val="single"/>
          <w:shd w:fill="auto" w:val="clear"/>
          <w:lang w:val="en-GB"/>
        </w:rPr>
        <w:t>Project preperation, proposal writing and oragnisational issues.</w:t>
      </w:r>
      <w:r>
        <w:rPr>
          <w:rStyle w:val="Strong"/>
          <w:b w:val="false"/>
          <w:bCs w:val="false"/>
          <w:shd w:fill="auto" w:val="clear"/>
          <w:lang w:val="en-GB"/>
        </w:rPr>
        <w:t xml:space="preserve"> The leading partners will share their experience and skills gained throughout the years in successefully preparing and organizing a research proposal submission. This will include project team composition, networking and partnership building, budget considerations and allocation, research focus preserntation, dissemination activities and organization, common pitfalls and best practices in proposal preperation (writing and/or submition), seeking greater impact and pathways to achieving it.</w:t>
      </w:r>
    </w:p>
    <w:p>
      <w:pPr>
        <w:pStyle w:val="Normal"/>
        <w:numPr>
          <w:ilvl w:val="0"/>
          <w:numId w:val="18"/>
        </w:numPr>
        <w:spacing w:before="0" w:after="200"/>
        <w:jc w:val="both"/>
        <w:rPr/>
      </w:pPr>
      <w:r>
        <w:rPr>
          <w:rStyle w:val="Strong"/>
          <w:b w:val="false"/>
          <w:bCs w:val="false"/>
          <w:u w:val="single"/>
          <w:shd w:fill="auto" w:val="clear"/>
          <w:lang w:val="en-GB"/>
        </w:rPr>
        <w:t>Project management and administration.</w:t>
      </w:r>
      <w:r>
        <w:rPr>
          <w:rStyle w:val="Strong"/>
          <w:b w:val="false"/>
          <w:bCs w:val="false"/>
          <w:shd w:fill="auto" w:val="clear"/>
          <w:lang w:val="en-GB"/>
        </w:rPr>
        <w:t xml:space="preserve"> Focus here will be placed in the successeful administration and management of research projects, involving effective monitoring activities both scientific-wise and financially, risk management, robust and agile financial administration and management activities and schemes correlated to budget scale.</w:t>
      </w:r>
    </w:p>
    <w:p>
      <w:pPr>
        <w:pStyle w:val="Normal"/>
        <w:spacing w:before="0" w:after="200"/>
        <w:jc w:val="both"/>
        <w:rPr/>
      </w:pPr>
      <w:r>
        <w:rPr>
          <w:rStyle w:val="Strong"/>
          <w:b w:val="false"/>
          <w:bCs w:val="false"/>
          <w:shd w:fill="auto" w:val="clear"/>
          <w:lang w:val="en-GB"/>
        </w:rPr>
        <w:t xml:space="preserve">Training will be performed via online webinars, hosted by the partners and attended by the research administration unit. Each of the partners will host a total of three webinars, split into three training units, as described above. </w:t>
      </w:r>
    </w:p>
    <w:p>
      <w:pPr>
        <w:pStyle w:val="Normal"/>
        <w:spacing w:before="0" w:after="200"/>
        <w:jc w:val="both"/>
        <w:rPr/>
      </w:pPr>
      <w:r>
        <w:rPr>
          <w:rStyle w:val="Strong"/>
          <w:b w:val="false"/>
          <w:bCs w:val="false"/>
          <w:shd w:fill="auto" w:val="clear"/>
          <w:lang w:val="en-GB"/>
        </w:rPr>
        <w:t>Once this training phase is over and throughout the rest of ACRONYM’s lifespan, the research administration unit with the help and guidance of the twinning partners, will prepare and submit at least four reseach funding proposals. These will build upon the research capacity build via ACRONYM, and will specifically target:</w:t>
      </w:r>
    </w:p>
    <w:p>
      <w:pPr>
        <w:pStyle w:val="Normal"/>
        <w:numPr>
          <w:ilvl w:val="0"/>
          <w:numId w:val="19"/>
        </w:numPr>
        <w:spacing w:before="0" w:after="200"/>
        <w:jc w:val="both"/>
        <w:rPr/>
      </w:pPr>
      <w:r>
        <w:rPr>
          <w:rStyle w:val="Strong"/>
          <w:b w:val="false"/>
          <w:bCs w:val="false"/>
          <w:shd w:fill="auto" w:val="clear"/>
          <w:lang w:val="en-GB"/>
        </w:rPr>
        <w:t>two EU large scale research and innovation calls (e.g. HORIZON), and</w:t>
      </w:r>
    </w:p>
    <w:p>
      <w:pPr>
        <w:pStyle w:val="Normal"/>
        <w:numPr>
          <w:ilvl w:val="0"/>
          <w:numId w:val="19"/>
        </w:numPr>
        <w:spacing w:before="0" w:after="200"/>
        <w:jc w:val="both"/>
        <w:rPr/>
      </w:pPr>
      <w:r>
        <w:rPr>
          <w:rStyle w:val="Strong"/>
          <w:b w:val="false"/>
          <w:bCs w:val="false"/>
          <w:shd w:fill="auto" w:val="clear"/>
          <w:lang w:val="en-GB"/>
        </w:rPr>
        <w:t>two reseach proposals targeting young scientits and mobility (e.g. EU MSCA calls)</w:t>
      </w:r>
    </w:p>
    <w:p>
      <w:pPr>
        <w:pStyle w:val="Normal"/>
        <w:spacing w:before="0" w:after="200"/>
        <w:jc w:val="both"/>
        <w:rPr/>
      </w:pPr>
      <w:r>
        <w:rPr>
          <w:rStyle w:val="Strong"/>
          <w:b w:val="false"/>
          <w:bCs w:val="false"/>
          <w:shd w:fill="auto" w:val="clear"/>
          <w:lang w:val="en-GB"/>
        </w:rPr>
        <w:t>Apart from NTUA, at least two of the ACRONYM partners will be involved in each of the proposals to be submitted, the aim being however for the consortium to be inculded as a whole.</w:t>
      </w:r>
    </w:p>
    <w:p>
      <w:pPr>
        <w:pStyle w:val="Normal"/>
        <w:spacing w:before="0" w:after="200"/>
        <w:jc w:val="both"/>
        <w:rPr>
          <w:highlight w:val="none"/>
          <w:shd w:fill="auto" w:val="clear"/>
        </w:rPr>
      </w:pPr>
      <w:r>
        <w:rPr>
          <w:b/>
          <w:bCs/>
          <w:shd w:fill="auto" w:val="clear"/>
        </w:rPr>
        <w:t xml:space="preserve">1.2.4 Raising Research profile, Dissemination Activities and </w:t>
      </w:r>
      <w:r>
        <w:rPr>
          <w:b/>
          <w:bCs/>
          <w:shd w:fill="auto" w:val="clear"/>
        </w:rPr>
        <w:t xml:space="preserve">Strategic </w:t>
      </w:r>
      <w:r>
        <w:rPr>
          <w:b/>
          <w:bCs/>
          <w:shd w:fill="auto" w:val="clear"/>
        </w:rPr>
        <w:t>Networking</w:t>
      </w:r>
    </w:p>
    <w:p>
      <w:pPr>
        <w:pStyle w:val="Normal"/>
        <w:spacing w:before="0" w:after="200"/>
        <w:jc w:val="both"/>
        <w:rPr/>
      </w:pPr>
      <w:r>
        <w:rPr/>
        <w:t xml:space="preserve">Through the consortium synergy and in the framework of ACRONYM, at least three papers will be published in high impact, peer-reviewed scientific journals (impact factor &gt; 2.4). These publications will target specific issues of the three respective Space Geodetic techniques tackled in ACRONYM. This goal is expected to strengthen the commitment and engagement of the twinning partners,  </w:t>
      </w:r>
      <w:r>
        <w:rPr/>
        <w:t>a</w:t>
      </w:r>
      <w:r>
        <w:rPr/>
        <w:t>dditionally rais</w:t>
      </w:r>
      <w:r>
        <w:rPr/>
        <w:t>ing</w:t>
      </w:r>
      <w:r>
        <w:rPr/>
        <w:t xml:space="preserve"> the host institute’s </w:t>
      </w:r>
      <w:r>
        <w:rPr/>
        <w:t xml:space="preserve">research profile and </w:t>
      </w:r>
      <w:r>
        <w:rPr/>
        <w:t xml:space="preserve">international prestige. </w:t>
      </w:r>
    </w:p>
    <w:p>
      <w:pPr>
        <w:pStyle w:val="Normal"/>
        <w:spacing w:before="0" w:after="200"/>
        <w:jc w:val="both"/>
        <w:rPr/>
      </w:pPr>
      <w:r>
        <w:rPr/>
        <w:t xml:space="preserve">To further enhance </w:t>
      </w:r>
      <w:r>
        <w:rPr/>
        <w:t xml:space="preserve">strategic </w:t>
      </w:r>
      <w:r>
        <w:rPr/>
        <w:t xml:space="preserve">networking, synergy and mobility of skilled scientists, the Coordinator and the twinning partners will decide on the co-supervision of three PhD and three PostDoc </w:t>
      </w:r>
      <w:r>
        <w:rPr/>
        <w:t xml:space="preserve">thesis. </w:t>
      </w:r>
      <w:r>
        <w:rPr/>
        <w:t xml:space="preserve">Given the regulations that </w:t>
      </w:r>
      <w:r>
        <w:rPr/>
        <w:t xml:space="preserve">currently </w:t>
      </w:r>
      <w:r>
        <w:rPr/>
        <w:t xml:space="preserve">stand in NTUA </w:t>
      </w:r>
      <w:r>
        <w:rPr/>
        <w:t>regarding postgraduate studies</w:t>
      </w:r>
      <w:r>
        <w:rPr/>
        <w:t xml:space="preserve">, CLS will be exempted from this task. One PhD and one PostDoc student will be allocated to each technique-specific task force (described in XXX) </w:t>
      </w:r>
      <w:r>
        <w:rPr/>
        <w:t>and the co-spervision will be performed by one representative of the respective expert node (i.e. GFZ, IPGP and OSO), acting as a member of the three-party advisory comitte</w:t>
      </w:r>
      <w:r>
        <w:rPr/>
        <w:t xml:space="preserve">. </w:t>
      </w:r>
      <w:r>
        <w:rPr/>
        <w:t>PhD and PostDoc students will be included in the short term visits to the partners, with the possibility to extend their stay if such a need arises. The research subject of the thesis will be relevant to the respective technique, submitted in NTUA and written in English.</w:t>
      </w:r>
    </w:p>
    <w:p>
      <w:pPr>
        <w:pStyle w:val="Normal"/>
        <w:spacing w:before="0" w:after="200"/>
        <w:jc w:val="both"/>
        <w:rPr>
          <w:highlight w:val="none"/>
          <w:shd w:fill="FF4000" w:val="clear"/>
        </w:rPr>
      </w:pPr>
      <w:r>
        <w:rPr>
          <w:shd w:fill="FF4000" w:val="clear"/>
        </w:rPr>
        <w:t>More specific next paragraph</w:t>
      </w:r>
    </w:p>
    <w:p>
      <w:pPr>
        <w:pStyle w:val="Normal"/>
        <w:spacing w:before="0" w:after="200"/>
        <w:jc w:val="both"/>
        <w:rPr/>
      </w:pPr>
      <w:r>
        <w:rPr/>
        <w:t xml:space="preserve">Further strengthening of networking activities and </w:t>
      </w:r>
      <w:r>
        <w:rPr/>
        <w:t xml:space="preserve">scientific </w:t>
      </w:r>
      <w:r>
        <w:rPr/>
        <w:t>prominence will be seeked through the consortium’s presence in at le</w:t>
      </w:r>
      <w:r>
        <w:rPr>
          <w:shd w:fill="auto" w:val="clear"/>
        </w:rPr>
        <w:t xml:space="preserve">ast </w:t>
      </w:r>
      <w:r>
        <w:rPr>
          <w:color w:val="000000"/>
          <w:shd w:fill="auto" w:val="clear"/>
        </w:rPr>
        <w:t>five</w:t>
      </w:r>
      <w:r>
        <w:rPr>
          <w:color w:val="000000"/>
          <w:shd w:fill="auto" w:val="clear"/>
        </w:rPr>
        <w:t xml:space="preserve"> i</w:t>
      </w:r>
      <w:r>
        <w:rPr>
          <w:shd w:fill="auto" w:val="clear"/>
        </w:rPr>
        <w:t xml:space="preserve">nternational conferences, where outcomes of ACRONYM will be presented. </w:t>
      </w:r>
      <w:r>
        <w:rPr>
          <w:shd w:fill="auto" w:val="clear"/>
        </w:rPr>
        <w:t>Presence in technique-specific workshops organized by the respective international services (i.e. IDS, ILRS and IVS) will be prioritized. The partners will also attend at least two IAG  related events, which are known to attract top class scientists in the field. Coordinator’s staff, and especially young scientists involved, will seek to attend any virtual and/or on-site training events organized by IGS, IDS, ILRS, IVS and IAG (e.g. DORIS-days organized by IDS).</w:t>
      </w:r>
    </w:p>
    <w:p>
      <w:pPr>
        <w:pStyle w:val="Normal"/>
        <w:jc w:val="both"/>
        <w:rPr/>
      </w:pPr>
      <w:r>
        <w:rPr>
          <w:lang w:val="en-GB"/>
        </w:rPr>
        <w:t>The coordinator</w:t>
      </w:r>
      <w:r>
        <w:rPr>
          <w:lang w:val="en-GB"/>
        </w:rPr>
        <w:t xml:space="preserve"> will take the initiative of bringing together all parties in Greece involved in </w:t>
      </w:r>
      <w:r>
        <w:rPr>
          <w:lang w:val="en-GB"/>
        </w:rPr>
        <w:t>s</w:t>
      </w:r>
      <w:r>
        <w:rPr>
          <w:lang w:val="en-GB"/>
        </w:rPr>
        <w:t xml:space="preserve">pace-based geosciences and related applications, </w:t>
      </w:r>
      <w:r>
        <w:rPr>
          <w:lang w:val="en-GB"/>
        </w:rPr>
        <w:t>thus establishing a Greek ecosystem of related partners, in an effort to disperse and disseminate the impact of ACRONYM on a national scale. Through this newly established ecosystem, it will seek futher strategic networking, both with research institutions and collaboration agreements with businesses active in the field.</w:t>
      </w:r>
    </w:p>
    <w:p>
      <w:pPr>
        <w:pStyle w:val="Normal"/>
        <w:jc w:val="both"/>
        <w:rPr>
          <w:lang w:val="en-GB"/>
        </w:rPr>
      </w:pPr>
      <w:r>
        <w:rPr/>
      </w:r>
    </w:p>
    <w:p>
      <w:pPr>
        <w:pStyle w:val="Normal"/>
        <w:jc w:val="both"/>
        <w:rPr/>
      </w:pPr>
      <w:r>
        <w:rPr>
          <w:lang w:val="en-GB"/>
        </w:rPr>
        <w:t>Th</w:t>
      </w:r>
      <w:r>
        <w:rPr>
          <w:lang w:val="en-GB"/>
        </w:rPr>
        <w:t>e ecosystem call is expected to attract more than ten participants,</w:t>
      </w:r>
      <w:r>
        <w:rPr>
          <w:lang w:val="en-GB"/>
        </w:rPr>
        <w:t xml:space="preserve"> includ</w:t>
      </w:r>
      <w:r>
        <w:rPr>
          <w:lang w:val="en-GB"/>
        </w:rPr>
        <w:t>ing</w:t>
      </w:r>
      <w:r>
        <w:rPr>
          <w:lang w:val="en-GB"/>
        </w:rPr>
        <w:t xml:space="preserve">  possible industry partners (e.g. Libre Space Foundation (</w:t>
      </w:r>
      <w:hyperlink r:id="rId13">
        <w:r>
          <w:rPr>
            <w:rStyle w:val="Hyperlink"/>
            <w:lang w:val="en-GB"/>
          </w:rPr>
          <w:t>https://libre.space/</w:t>
        </w:r>
      </w:hyperlink>
      <w:r>
        <w:rPr>
          <w:lang w:val="en-GB"/>
        </w:rPr>
        <w:t>), Geosystems Hellas (</w:t>
      </w:r>
      <w:hyperlink r:id="rId14">
        <w:r>
          <w:rPr>
            <w:rStyle w:val="Hyperlink"/>
            <w:lang w:val="en-GB"/>
          </w:rPr>
          <w:t>https://www.geosystems-hellas.gr/</w:t>
        </w:r>
      </w:hyperlink>
      <w:r>
        <w:rPr>
          <w:lang w:val="en-GB"/>
        </w:rPr>
        <w:t>), Planetek Hellas (</w:t>
      </w:r>
      <w:hyperlink r:id="rId15">
        <w:r>
          <w:rPr>
            <w:rStyle w:val="Hyperlink"/>
            <w:lang w:val="en-GB"/>
          </w:rPr>
          <w:t>https://www.planetek.gr/</w:t>
        </w:r>
      </w:hyperlink>
      <w:r>
        <w:rPr>
          <w:lang w:val="en-GB"/>
        </w:rPr>
        <w:t>)), governmental agencies and institutions (e.g. National Observatory of Athens, Beyond Centre (</w:t>
      </w:r>
      <w:hyperlink r:id="rId16">
        <w:r>
          <w:rPr>
            <w:rStyle w:val="Hyperlink"/>
            <w:lang w:val="en-GB"/>
          </w:rPr>
          <w:t>http://beyond-eocenter.eu/</w:t>
        </w:r>
      </w:hyperlink>
      <w:r>
        <w:rPr>
          <w:lang w:val="en-GB"/>
        </w:rPr>
        <w:t>), Hellenic Group on Earth Observations (</w:t>
      </w:r>
      <w:hyperlink r:id="rId17">
        <w:r>
          <w:rPr>
            <w:rStyle w:val="Hyperlink"/>
            <w:lang w:val="en-GB"/>
          </w:rPr>
          <w:t>https://www.greekgeo.noa.gr/</w:t>
        </w:r>
      </w:hyperlink>
      <w:r>
        <w:rPr>
          <w:lang w:val="en-GB"/>
        </w:rPr>
        <w:t>)) as well as universities (e.g. Aristotle University of Thessaloniki, National and Kapodistrian University of Athens and the University of West Attica).</w:t>
      </w:r>
    </w:p>
    <w:p>
      <w:pPr>
        <w:pStyle w:val="Normal"/>
        <w:jc w:val="both"/>
        <w:rPr>
          <w:lang w:val="en-GB"/>
        </w:rPr>
      </w:pPr>
      <w:r>
        <w:rPr/>
      </w:r>
    </w:p>
    <w:p>
      <w:pPr>
        <w:pStyle w:val="Normal"/>
        <w:jc w:val="both"/>
        <w:rPr>
          <w:highlight w:val="none"/>
          <w:shd w:fill="auto" w:val="clear"/>
        </w:rPr>
      </w:pPr>
      <w:r>
        <w:rPr>
          <w:shd w:fill="auto" w:val="clear"/>
        </w:rPr>
        <w:t xml:space="preserve">Two dedicated </w:t>
      </w:r>
      <w:r>
        <w:rPr>
          <w:shd w:fill="auto" w:val="clear"/>
        </w:rPr>
        <w:t>(on-site) meetings</w:t>
      </w:r>
      <w:r>
        <w:rPr>
          <w:shd w:fill="auto" w:val="clear"/>
        </w:rPr>
        <w:t xml:space="preserve"> will be organized by NTUA to take place in Greece, aiming at networking activities and potential collaborations between </w:t>
      </w:r>
      <w:r>
        <w:rPr>
          <w:shd w:fill="auto" w:val="clear"/>
        </w:rPr>
        <w:t>ecosystem</w:t>
      </w:r>
      <w:r>
        <w:rPr>
          <w:shd w:fill="auto" w:val="clear"/>
        </w:rPr>
        <w:t xml:space="preserve"> parties. The first conference </w:t>
      </w:r>
      <w:r>
        <w:rPr>
          <w:shd w:fill="auto" w:val="clear"/>
        </w:rPr>
        <w:t>will span a two-day interval and</w:t>
      </w:r>
      <w:r>
        <w:rPr>
          <w:shd w:fill="auto" w:val="clear"/>
        </w:rPr>
        <w:t xml:space="preserve"> will focus on presenting ACRONYM’s aims, objectives and anticipated impact, as well as Space-based earth observation research activities currently active at NTUA performed in various laboratories (e.g. remote sensing, positioning and navigation, atmospheric studies, etc). </w:t>
      </w:r>
      <w:r>
        <w:rPr>
          <w:shd w:fill="auto" w:val="clear"/>
        </w:rPr>
        <w:t>All ACRONYM partners will attend the meeting,  introducing space geodetic techniques (according to their expertise) as well as recent trends, applications and use cases.  Ecosystem parties will be asked to present their current activities, research and industry portfolios, aspirations, products and solutions, as well as specific needs and interest related to ACRONYM and Space Geodesy.</w:t>
      </w:r>
    </w:p>
    <w:p>
      <w:pPr>
        <w:pStyle w:val="Normal"/>
        <w:jc w:val="both"/>
        <w:rPr>
          <w:highlight w:val="none"/>
          <w:shd w:fill="auto" w:val="clear"/>
        </w:rPr>
      </w:pPr>
      <w:r>
        <w:rPr>
          <w:shd w:fill="auto" w:val="clear"/>
        </w:rPr>
      </w:r>
    </w:p>
    <w:p>
      <w:pPr>
        <w:pStyle w:val="Normal"/>
        <w:spacing w:before="0" w:after="200"/>
        <w:jc w:val="both"/>
        <w:rPr/>
      </w:pPr>
      <w:r>
        <w:rPr/>
        <w:t xml:space="preserve">The second meeting will have the format of an </w:t>
      </w:r>
      <w:r>
        <w:rPr/>
        <w:t xml:space="preserve">info-day, </w:t>
      </w:r>
      <w:r>
        <w:rPr/>
        <w:t>co-</w:t>
      </w:r>
      <w:r>
        <w:rPr/>
        <w:t xml:space="preserve">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with special focus on </w:t>
      </w:r>
      <w:r>
        <w:rPr/>
        <w:t>businesses</w:t>
      </w:r>
      <w:r>
        <w:rPr/>
        <w:t xml:space="preserve"> and stakeholders active in the field.</w:t>
      </w:r>
    </w:p>
    <w:p>
      <w:pPr>
        <w:pStyle w:val="Normal"/>
        <w:spacing w:before="0" w:after="200"/>
        <w:jc w:val="both"/>
        <w:rPr/>
      </w:pPr>
      <w:r>
        <w:rPr/>
        <w:t>In order to further raise interest in both ACRONYM itself, its impact and participation in the ecosystem, the partners will issue a Newsletter to be published every six months (throughout the lifetime of the project). All partners will take the effort to submit short articles related to ACRONYM activities and outcomes as well as Space Geodesy related research and products.</w:t>
      </w:r>
    </w:p>
    <w:p>
      <w:pPr>
        <w:pStyle w:val="Normal"/>
        <w:spacing w:before="0" w:after="200"/>
        <w:jc w:val="both"/>
        <w:rPr>
          <w:lang w:val="en-GB"/>
        </w:rPr>
      </w:pPr>
      <w:r>
        <w:rPr>
          <w:b/>
          <w:lang w:val="en-GB"/>
        </w:rPr>
        <w:t>1.2.1</w:t>
        <w:tab/>
        <w:t>Open Science</w:t>
      </w:r>
    </w:p>
    <w:p>
      <w:pPr>
        <w:pStyle w:val="Normal"/>
        <w:spacing w:before="0" w:after="200"/>
        <w:jc w:val="both"/>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w:t>
      </w:r>
      <w:r>
        <w:rPr>
          <w:u w:val="single"/>
        </w:rPr>
        <w:t>open-access</w:t>
      </w:r>
      <w:r>
        <w:rPr/>
        <w:t xml:space="preserve">. </w:t>
      </w:r>
    </w:p>
    <w:p>
      <w:pPr>
        <w:pStyle w:val="Normal"/>
        <w:spacing w:before="0" w:after="200"/>
        <w:jc w:val="both"/>
        <w:rPr/>
      </w:pPr>
      <w:r>
        <w:rPr/>
        <w:t xml:space="preserve">Additionally, the software to be designed and implemented (described above) will be developed using a </w:t>
      </w:r>
      <w:r>
        <w:rPr>
          <w:u w:val="single"/>
        </w:rPr>
        <w:t>free and open-source</w:t>
      </w:r>
      <w:r>
        <w:rPr/>
        <w:t xml:space="preserv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 </w:t>
      </w:r>
      <w:r>
        <w:rPr/>
        <w:t>Due to the public domain development scheme adopted, the software will be available to users throughout the development phase, and not only at discrete “release” phases.</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FFFF00" w:val="clear"/>
          <w:lang w:val="en-GB"/>
        </w:rPr>
        <w:t>Impact</w:t>
      </w:r>
    </w:p>
    <w:p>
      <w:pPr>
        <w:pStyle w:val="Normal"/>
        <w:spacing w:before="0" w:after="200"/>
        <w:jc w:val="both"/>
        <w:rPr>
          <w:lang w:val="en-GB"/>
        </w:rPr>
      </w:pPr>
      <w:r>
        <w:rPr>
          <w:rFonts w:ascii="Times New Roman" w:hAnsi="Times New Roman"/>
          <w:b/>
          <w:lang w:val="en-GB"/>
        </w:rPr>
        <w:t>2.1</w:t>
        <w:tab/>
      </w:r>
      <w:r>
        <w:rPr>
          <w:rFonts w:ascii="Times New Roman" w:hAnsi="Times New Roman"/>
          <w:b/>
          <w:shd w:fill="FFFF00" w:val="clear"/>
          <w:lang w:val="en-GB"/>
        </w:rPr>
        <w:t>Project’s pathways towards impact</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Normal"/>
        <w:jc w:val="both"/>
        <w:rPr>
          <w:shd w:fill="FFFF00" w:val="clear"/>
        </w:rPr>
      </w:pPr>
      <w:r>
        <w:rPr>
          <w:shd w:fill="FFFF00" w:val="clear"/>
        </w:rPr>
      </w:r>
    </w:p>
    <w:p>
      <w:pPr>
        <w:pStyle w:val="Normal"/>
        <w:jc w:val="both"/>
        <w:rPr/>
      </w:pPr>
      <w:r>
        <w:rPr>
          <w:rFonts w:ascii="Times New Roman" w:hAnsi="Times New Roman"/>
          <w:lang w:val="en-GB"/>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jc w:val="both"/>
        <w:rPr>
          <w:b/>
          <w:bCs/>
        </w:rPr>
      </w:pPr>
      <w:r>
        <w:rPr>
          <w:rFonts w:ascii="Times New Roman" w:hAnsi="Times New Roman"/>
          <w:b/>
          <w:bCs/>
          <w:shd w:fill="FFFF00" w:val="clear"/>
          <w:lang w:val="en-GB"/>
        </w:rPr>
        <w:t>todo</w:t>
      </w:r>
    </w:p>
    <w:p>
      <w:pPr>
        <w:sectPr>
          <w:headerReference w:type="even" r:id="rId18"/>
          <w:headerReference w:type="default" r:id="rId19"/>
          <w:headerReference w:type="first" r:id="rId20"/>
          <w:footerReference w:type="default" r:id="rId21"/>
          <w:footerReference w:type="first" r:id="rId22"/>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5"/>
      </w:tblGrid>
      <w:tr>
        <w:trPr>
          <w:trHeight w:val="124" w:hRule="atLeast"/>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rPr/>
            </w:pPr>
            <w:r>
              <w:rPr>
                <w:color w:val="000000"/>
                <w:lang w:val="en-GB"/>
              </w:rPr>
              <w:t>Closing of the scientific gap between top class European institutes and Greece in the field of Space Geodesy.</w:t>
            </w:r>
          </w:p>
          <w:p>
            <w:pPr>
              <w:pStyle w:val="Normal"/>
              <w:widowControl w:val="false"/>
              <w:rPr/>
            </w:pPr>
            <w:r>
              <w:rPr/>
            </w:r>
          </w:p>
          <w:p>
            <w:pPr>
              <w:pStyle w:val="Normal"/>
              <w:widowControl w:val="false"/>
              <w:rPr/>
            </w:pPr>
            <w:r>
              <w:rPr>
                <w:color w:val="000000"/>
                <w:lang w:val="en-GB"/>
              </w:rPr>
              <w:t>Enhancement of research capacity of NTUA in terms of technical assets, expertise and qualified staff.</w:t>
            </w:r>
          </w:p>
          <w:p>
            <w:pPr>
              <w:pStyle w:val="Normal"/>
              <w:widowControl w:val="false"/>
              <w:rPr/>
            </w:pPr>
            <w:r>
              <w:rPr/>
            </w:r>
          </w:p>
          <w:p>
            <w:pPr>
              <w:pStyle w:val="Normal"/>
              <w:widowControl w:val="false"/>
              <w:rPr/>
            </w:pPr>
            <w:r>
              <w:rPr>
                <w:color w:val="000000"/>
                <w:lang w:val="en-GB"/>
              </w:rPr>
              <w:t>Improve prestige and international standing of the host institute.</w:t>
            </w:r>
          </w:p>
          <w:p>
            <w:pPr>
              <w:pStyle w:val="Normal"/>
              <w:widowControl w:val="false"/>
              <w:rPr/>
            </w:pPr>
            <w:r>
              <w:rPr/>
            </w:r>
          </w:p>
          <w:p>
            <w:pPr>
              <w:pStyle w:val="Normal"/>
              <w:widowControl w:val="false"/>
              <w:rPr/>
            </w:pPr>
            <w:r>
              <w:rPr>
                <w:color w:val="000000"/>
                <w:lang w:val="en-GB"/>
              </w:rPr>
              <w:t>Establish a network of top-class collaborators and boost involvement in high-esteem consortia.</w:t>
            </w:r>
          </w:p>
          <w:p>
            <w:pPr>
              <w:pStyle w:val="Normal"/>
              <w:widowControl w:val="false"/>
              <w:rPr/>
            </w:pPr>
            <w:r>
              <w:rPr/>
            </w:r>
          </w:p>
          <w:p>
            <w:pPr>
              <w:pStyle w:val="Normal"/>
              <w:widowControl w:val="false"/>
              <w:rPr/>
            </w:pPr>
            <w:r>
              <w:rPr>
                <w:rFonts w:ascii="Times New Roman" w:hAnsi="Times New Roman"/>
                <w:color w:val="000000"/>
                <w:lang w:val="en-GB"/>
              </w:rPr>
              <w:t>Increase funding capabilities and resources for research (project claiming).</w:t>
            </w:r>
          </w:p>
          <w:p>
            <w:pPr>
              <w:pStyle w:val="Normal"/>
              <w:widowControl w:val="false"/>
              <w:rPr/>
            </w:pPr>
            <w:r>
              <w:rPr/>
            </w:r>
          </w:p>
          <w:p>
            <w:pPr>
              <w:pStyle w:val="Normal"/>
              <w:widowControl w:val="false"/>
              <w:rPr/>
            </w:pPr>
            <w:r>
              <w:rPr>
                <w:color w:val="000000"/>
                <w:lang w:val="en-GB"/>
              </w:rPr>
              <w:t>Boost Greece’s involvement and innovation in the wider field of Space studies and Geosciences and establish a national ecosystem in the field.</w:t>
            </w:r>
          </w:p>
          <w:p>
            <w:pPr>
              <w:pStyle w:val="Normal"/>
              <w:widowControl w:val="false"/>
              <w:rPr/>
            </w:pPr>
            <w:r>
              <w:rPr/>
            </w:r>
          </w:p>
          <w:p>
            <w:pPr>
              <w:pStyle w:val="Normal"/>
              <w:widowControl w:val="false"/>
              <w:rPr>
                <w:rFonts w:ascii="Times New Roman" w:hAnsi="Times New Roman"/>
                <w:i/>
                <w:i/>
                <w:color w:val="00B0F0"/>
              </w:rPr>
            </w:pPr>
            <w:r>
              <w:rPr>
                <w:rFonts w:ascii="Times New Roman" w:hAnsi="Times New Roman"/>
                <w:i/>
                <w:color w:val="00B0F0"/>
              </w:rPr>
            </w:r>
          </w:p>
        </w:tc>
      </w:tr>
      <w:tr>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rPr>
                <w:color w:val="000000"/>
              </w:rPr>
            </w:pPr>
            <w:r>
              <w:rPr>
                <w:rFonts w:ascii="Times New Roman" w:hAnsi="Times New Roman"/>
                <w:b/>
                <w:bCs/>
                <w:color w:val="000000"/>
                <w:lang w:val="en-GB"/>
              </w:rPr>
              <w:t>Exploitation:</w:t>
            </w:r>
            <w:r>
              <w:rPr>
                <w:rFonts w:ascii="Times New Roman" w:hAnsi="Times New Roman"/>
                <w:color w:val="000000"/>
                <w:lang w:val="en-GB"/>
              </w:rPr>
              <w:t xml:space="preserve"> Release of DORIS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Release of SLR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Use of capacity built in ACRONYM (software, expertise, network and management skills) to apply for further grants/projects in a national and/or European level.</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w:t>
            </w:r>
            <w:r>
              <w:rPr>
                <w:color w:val="000000"/>
              </w:rPr>
              <w:t>: Scientific publication (both in peer-reviewed journals and in international conference) with results obtained through software usage.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 and Space Industry</w:t>
            </w:r>
            <w:r>
              <w:rPr>
                <w:color w:val="000000"/>
              </w:rPr>
              <w:t>: Software release using a public domain software repository/development platform (e.g. gitlab) using MIT license.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academic community in Greece</w:t>
            </w:r>
            <w:r>
              <w:rPr>
                <w:color w:val="000000"/>
              </w:rPr>
              <w:t>: Include usage of parts of the software in the graduate-level academic curriculum of the School of Rural Surveying and Geoinformatics Engineering of NTUA (to perform data analysis).</w:t>
            </w:r>
          </w:p>
          <w:p>
            <w:pPr>
              <w:pStyle w:val="Normal"/>
              <w:widowControl w:val="false"/>
              <w:rPr>
                <w:color w:val="000000"/>
              </w:rPr>
            </w:pPr>
            <w:r>
              <w:rPr>
                <w:color w:val="000000"/>
              </w:rPr>
            </w:r>
          </w:p>
          <w:p>
            <w:pPr>
              <w:pStyle w:val="Normal"/>
              <w:widowControl w:val="false"/>
              <w:rPr>
                <w:lang w:val="en-GB"/>
              </w:rPr>
            </w:pPr>
            <w:r>
              <w:rPr>
                <w:rFonts w:ascii="Times New Roman" w:hAnsi="Times New Roman"/>
                <w:b/>
                <w:color w:val="000000"/>
                <w:lang w:val="en-GB"/>
              </w:rPr>
              <w:t xml:space="preserve">Communication towards </w:t>
            </w:r>
            <w:r>
              <w:rPr>
                <w:rFonts w:ascii="Times New Roman" w:hAnsi="Times New Roman"/>
                <w:b/>
                <w:bCs/>
                <w:color w:val="000000"/>
                <w:lang w:val="en-GB"/>
              </w:rPr>
              <w:t>the scientific community and Space Industry</w:t>
            </w:r>
            <w:r>
              <w:rPr>
                <w:rFonts w:ascii="Times New Roman" w:hAnsi="Times New Roman"/>
                <w:b/>
                <w:color w:val="000000"/>
                <w:lang w:val="en-GB"/>
              </w:rPr>
              <w:t xml:space="preserve">: </w:t>
            </w:r>
            <w:r>
              <w:rPr>
                <w:rFonts w:ascii="Times New Roman" w:hAnsi="Times New Roman"/>
                <w:color w:val="000000"/>
                <w:lang w:val="en-GB"/>
              </w:rPr>
              <w:t>Use of social media (e.g. LinkedIn) to promote and advertise the software tools built in ACRONYM. Usage and application range will also be presented in a conference/workshop organized by NTUA in Greece.</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pStyle w:val="Normal"/>
        <w:rPr>
          <w:rFonts w:ascii="Times New Roman" w:hAnsi="Times New Roman"/>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pPr>
            <w:r>
              <w:rPr>
                <w:b/>
                <w:bCs/>
                <w:color w:val="000000"/>
              </w:rPr>
              <w:t>Software Tools:</w:t>
            </w:r>
            <w:r>
              <w:rPr>
                <w:color w:val="000000"/>
              </w:rPr>
              <w:t xml:space="preserve"> Brand new software tools to perform analysis of Space Geodetic data, using state-of-the-art modeling.</w:t>
            </w:r>
          </w:p>
          <w:p>
            <w:pPr>
              <w:pStyle w:val="Normal"/>
              <w:widowControl w:val="false"/>
              <w:rPr/>
            </w:pPr>
            <w:r>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DORIS data.</w:t>
            </w:r>
          </w:p>
          <w:p>
            <w:pPr>
              <w:pStyle w:val="Normal"/>
              <w:widowControl w:val="false"/>
              <w:rPr>
                <w:lang w:val="en-GB"/>
              </w:rPr>
            </w:pPr>
            <w:r>
              <w:rPr>
                <w:lang w:val="en-GB"/>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SLR data.</w:t>
            </w:r>
          </w:p>
          <w:p>
            <w:pPr>
              <w:pStyle w:val="Normal"/>
              <w:widowControl w:val="false"/>
              <w:rPr>
                <w:lang w:val="en-GB"/>
              </w:rPr>
            </w:pPr>
            <w:r>
              <w:rPr>
                <w:lang w:val="en-GB"/>
              </w:rPr>
            </w:r>
          </w:p>
          <w:p>
            <w:pPr>
              <w:pStyle w:val="Normal"/>
              <w:widowControl w:val="false"/>
              <w:rPr>
                <w:color w:val="000000"/>
              </w:rPr>
            </w:pPr>
            <w:r>
              <w:rPr>
                <w:b/>
                <w:bCs/>
                <w:color w:val="000000"/>
                <w:lang w:val="en-GB"/>
              </w:rPr>
              <w:t>Publications:</w:t>
            </w:r>
            <w:r>
              <w:rPr>
                <w:color w:val="000000"/>
                <w:lang w:val="en-GB"/>
              </w:rPr>
              <w:t xml:space="preserve"> Three scientific papers in peer-reviewed journals a</w:t>
            </w:r>
            <w:r>
              <w:rPr>
                <w:color w:val="000000"/>
                <w:shd w:fill="auto" w:val="clear"/>
                <w:lang w:val="en-GB"/>
              </w:rPr>
              <w:t xml:space="preserve">nd five </w:t>
            </w:r>
            <w:r>
              <w:rPr>
                <w:color w:val="000000"/>
                <w:lang w:val="en-GB"/>
              </w:rPr>
              <w:t>publication in international conferences.</w:t>
            </w:r>
          </w:p>
          <w:p>
            <w:pPr>
              <w:pStyle w:val="Normal"/>
              <w:widowControl w:val="false"/>
              <w:rPr>
                <w:lang w:val="en-GB"/>
              </w:rPr>
            </w:pPr>
            <w:r>
              <w:rPr>
                <w:lang w:val="en-GB"/>
              </w:rPr>
            </w:r>
          </w:p>
          <w:p>
            <w:pPr>
              <w:pStyle w:val="Normal"/>
              <w:widowControl w:val="false"/>
              <w:rPr>
                <w:color w:val="000000"/>
              </w:rPr>
            </w:pPr>
            <w:r>
              <w:rPr>
                <w:b/>
                <w:bCs/>
                <w:color w:val="000000"/>
                <w:lang w:val="en-GB"/>
              </w:rPr>
              <w:t>Expertise:</w:t>
            </w:r>
            <w:r>
              <w:rPr>
                <w:color w:val="000000"/>
                <w:lang w:val="en-GB"/>
              </w:rPr>
              <w:t xml:space="preserve"> Three PhD students trained and one Post-Doc trained. NTUA personnel will have gained extended expertise and enhanced its research profile.</w:t>
            </w:r>
          </w:p>
          <w:p>
            <w:pPr>
              <w:pStyle w:val="Normal"/>
              <w:widowControl w:val="false"/>
              <w:rPr>
                <w:lang w:val="en-GB"/>
              </w:rPr>
            </w:pPr>
            <w:r>
              <w:rPr>
                <w:lang w:val="en-GB"/>
              </w:rPr>
            </w:r>
          </w:p>
          <w:p>
            <w:pPr>
              <w:pStyle w:val="Normal"/>
              <w:widowControl w:val="false"/>
              <w:rPr>
                <w:color w:val="000000"/>
              </w:rPr>
            </w:pPr>
            <w:r>
              <w:rPr>
                <w:b/>
                <w:bCs/>
                <w:color w:val="000000"/>
                <w:lang w:val="en-GB"/>
              </w:rPr>
              <w:t>Further Grants and Long Term Plan:</w:t>
            </w:r>
            <w:r>
              <w:rPr>
                <w:color w:val="000000"/>
                <w:lang w:val="en-GB"/>
              </w:rPr>
              <w:t xml:space="preserve"> At least two grant proposals submitted to secure further, long term involvement in state-of-the-art Space Geodesy.</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Involvement:</w:t>
            </w:r>
            <w:r>
              <w:rPr>
                <w:rFonts w:ascii="Times New Roman" w:hAnsi="Times New Roman"/>
                <w:color w:val="000000"/>
                <w:lang w:val="en-GB"/>
              </w:rPr>
              <w:t xml:space="preserve"> Involvement in international, high-prestige consortia such as IDS and IRLS, which shape the future of Space Geodesy.</w:t>
            </w:r>
          </w:p>
          <w:p>
            <w:pPr>
              <w:pStyle w:val="Normal"/>
              <w:widowControl w:val="false"/>
              <w:rPr>
                <w:rFonts w:ascii="Times New Roman" w:hAnsi="Times New Roman"/>
                <w:lang w:val="en-GB"/>
              </w:rPr>
            </w:pPr>
            <w:r>
              <w:rPr>
                <w:rFonts w:ascii="Times New Roman" w:hAnsi="Times New Roman"/>
                <w:lang w:val="en-GB"/>
              </w:rPr>
            </w:r>
          </w:p>
        </w:tc>
      </w:tr>
    </w:tbl>
    <w:p>
      <w:pPr>
        <w:pStyle w:val="Normal"/>
        <w:ind w:hanging="357" w:left="1417"/>
        <w:rPr>
          <w:rFonts w:ascii="Times New Roman" w:hAnsi="Times New Roman"/>
          <w:lang w:val="en-GB"/>
        </w:rPr>
      </w:pPr>
      <w:r>
        <w:rPr>
          <w:rFonts w:ascii="Times New Roman" w:hAnsi="Times New Roman"/>
          <w:lang w:val="en-GB"/>
        </w:rPr>
      </w:r>
    </w:p>
    <w:p>
      <w:pPr>
        <w:pStyle w:val="Normal"/>
        <w:ind w:hanging="357" w:left="141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Scientific community</w:t>
            </w:r>
            <w:r>
              <w:rPr>
                <w:color w:val="000000"/>
                <w:lang w:val="en-GB"/>
              </w:rPr>
              <w:t xml:space="preserve"> (Space Geodesy and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of institutions involved in monitoring the region’s unique crust  kinematics/behavior (due to tectonics, seismic events, etc).</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and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rPr>
                <w:rFonts w:ascii="Times New Roman" w:hAnsi="Times New Roman"/>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in high prestige international consortia as Associate Analysis Center (for NTUA).</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rPr>
                <w:i/>
                <w:i/>
                <w:iCs/>
                <w:color w:val="000000"/>
              </w:rPr>
            </w:pPr>
            <w:r>
              <w:rPr>
                <w:b/>
                <w:bCs/>
                <w:i/>
                <w:iCs/>
                <w:color w:val="000000"/>
                <w:lang w:val="en-GB"/>
              </w:rPr>
              <w:t>S</w:t>
            </w:r>
            <w:r>
              <w:rPr>
                <w:b/>
                <w:bCs/>
                <w:color w:val="000000"/>
                <w:lang w:val="en-GB"/>
              </w:rPr>
              <w:t xml:space="preserve">ocietal: </w:t>
            </w:r>
            <w:r>
              <w:rPr>
                <w:color w:val="000000"/>
                <w:lang w:val="en-GB"/>
              </w:rPr>
              <w:t>Quenching of the crowding-out effect of young scientists experienced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Creation of a centre of excellence for Space Geodesy in Greece, with elevated international standing.</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Boost involvement, innovation and expertise for Space studies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Economic/Scientific:</w:t>
            </w:r>
            <w:r>
              <w:rPr>
                <w:color w:val="000000"/>
                <w:lang w:val="en-GB"/>
              </w:rPr>
              <w:t xml:space="preserve"> Boost host institute’s success rate in research funding bids.</w:t>
            </w:r>
          </w:p>
          <w:p>
            <w:pPr>
              <w:pStyle w:val="Normal"/>
              <w:widowControl w:val="false"/>
              <w:rPr>
                <w:color w:val="000000"/>
              </w:rPr>
            </w:pPr>
            <w:r>
              <w:rPr>
                <w:color w:val="000000"/>
              </w:rPr>
            </w:r>
          </w:p>
          <w:p>
            <w:pPr>
              <w:pStyle w:val="Normal"/>
              <w:widowControl w:val="false"/>
              <w:rPr/>
            </w:pPr>
            <w:r>
              <w:rPr>
                <w:rFonts w:ascii="Times New Roman" w:hAnsi="Times New Roman"/>
                <w:b/>
                <w:bCs/>
                <w:color w:val="000000"/>
                <w:lang w:val="en-GB"/>
              </w:rPr>
              <w:t>Scientific:</w:t>
            </w:r>
            <w:r>
              <w:rPr>
                <w:rFonts w:ascii="Times New Roman" w:hAnsi="Times New Roman"/>
                <w:color w:val="000000"/>
                <w:lang w:val="en-GB"/>
              </w:rPr>
              <w:t xml:space="preserve"> Sustainable synergies with prestigious, top-level institutes and consortia. Establish and secure the host institute’s role as a key player in the field of Space Geodesy in the long run.</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sectPr>
          <w:headerReference w:type="default" r:id="rId23"/>
          <w:headerReference w:type="first" r:id="rId24"/>
          <w:footerReference w:type="default" r:id="rId25"/>
          <w:footerReference w:type="first" r:id="rId26"/>
          <w:type w:val="nextPage"/>
          <w:pgSz w:orient="landscape" w:w="16838" w:h="11906"/>
          <w:pgMar w:left="851" w:right="851" w:gutter="0" w:header="720" w:top="851" w:footer="720" w:bottom="851"/>
          <w:pgNumType w:fmt="decimal"/>
          <w:formProt w:val="false"/>
          <w:textDirection w:val="lrTb"/>
          <w:docGrid w:type="default" w:linePitch="100" w:charSpace="8396"/>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Cs/>
          <w:lang w:val="en-GB"/>
        </w:rPr>
      </w:pPr>
      <w:r>
        <w:rPr>
          <w:rFonts w:ascii="Times New Roman" w:hAnsi="Times New Roman"/>
          <w:b/>
          <w:bCs/>
          <w:lang w:val="en-GB"/>
        </w:rPr>
      </w:r>
    </w:p>
    <w:p>
      <w:pPr>
        <w:pStyle w:val="Normal"/>
        <w:spacing w:before="0" w:after="200"/>
        <w:ind w:hanging="0" w:left="66"/>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hanging="720" w:left="720"/>
        <w:jc w:val="both"/>
        <w:rPr>
          <w:lang w:val="en-GB"/>
        </w:rPr>
      </w:pPr>
      <w:r>
        <w:rPr>
          <w:rFonts w:ascii="Times New Roman" w:hAnsi="Times New Roman"/>
          <w:b/>
          <w:lang w:val="en-GB"/>
        </w:rPr>
        <w:t>3.1</w:t>
        <w:tab/>
        <w:t xml:space="preserve">Work plan and resources </w:t>
      </w:r>
    </w:p>
    <w:p>
      <w:pPr>
        <w:pStyle w:val="Normal"/>
        <w:spacing w:before="0" w:after="12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highlight w:val="none"/>
          <w:shd w:fill="FFFF00" w:val="clear"/>
        </w:rPr>
      </w:pPr>
      <w:r>
        <w:rPr>
          <w:rFonts w:ascii="Times New Roman" w:hAnsi="Times New Roman"/>
          <w:b/>
          <w:bCs/>
          <w:shd w:fill="FFFF00" w:val="clear"/>
          <w:lang w:val="en-GB"/>
        </w:rPr>
        <w:t>todo</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Networking and 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24</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Dissemination, Exploitation and Communication Activities</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bl>
    <w:p>
      <w:pPr>
        <w:pStyle w:val="Normal"/>
        <w:spacing w:before="0" w:after="240"/>
        <w:rPr>
          <w:rFonts w:ascii="Times New Roman" w:hAnsi="Times New Roman"/>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Normal"/>
              <w:widowControl w:val="false"/>
              <w:numPr>
                <w:ilvl w:val="0"/>
                <w:numId w:val="11"/>
              </w:numPr>
              <w:spacing w:before="60" w:after="60"/>
              <w:jc w:val="both"/>
              <w:rPr/>
            </w:pPr>
            <w:r>
              <w:rPr/>
              <w:t>Establish a strong project management scheme</w:t>
            </w:r>
          </w:p>
          <w:p>
            <w:pPr>
              <w:pStyle w:val="Normal"/>
              <w:widowControl w:val="false"/>
              <w:numPr>
                <w:ilvl w:val="0"/>
                <w:numId w:val="11"/>
              </w:numPr>
              <w:spacing w:before="60" w:after="60"/>
              <w:jc w:val="both"/>
              <w:rPr/>
            </w:pPr>
            <w:r>
              <w:rPr/>
              <w:t>Establish appropriate communication and reporting channels to the European Commission</w:t>
            </w:r>
          </w:p>
          <w:p>
            <w:pPr>
              <w:pStyle w:val="Normal"/>
              <w:widowControl w:val="false"/>
              <w:numPr>
                <w:ilvl w:val="0"/>
                <w:numId w:val="11"/>
              </w:numPr>
              <w:spacing w:before="60" w:after="60"/>
              <w:jc w:val="both"/>
              <w:rPr/>
            </w:pPr>
            <w:r>
              <w:rPr/>
              <w:t>Ensure successful achievement of the project objectives on time and within budget</w:t>
            </w:r>
          </w:p>
          <w:p>
            <w:pPr>
              <w:pStyle w:val="Normal"/>
              <w:widowControl w:val="false"/>
              <w:numPr>
                <w:ilvl w:val="0"/>
                <w:numId w:val="11"/>
              </w:numPr>
              <w:spacing w:before="60" w:after="60"/>
              <w:jc w:val="both"/>
              <w:rPr/>
            </w:pPr>
            <w:r>
              <w:rPr/>
              <w:t>Establish an efficient electronic service for communications, and document exchanging</w:t>
            </w:r>
          </w:p>
          <w:p>
            <w:pPr>
              <w:pStyle w:val="Normal"/>
              <w:widowControl w:val="false"/>
              <w:numPr>
                <w:ilvl w:val="0"/>
                <w:numId w:val="11"/>
              </w:numPr>
              <w:spacing w:before="60" w:after="60"/>
              <w:jc w:val="both"/>
              <w:rPr/>
            </w:pPr>
            <w:r>
              <w:rPr/>
              <w:t>Conduct continuous quality assurance activities for the operation of the project and the production of its results within its lifespan</w:t>
            </w:r>
          </w:p>
          <w:p>
            <w:pPr>
              <w:pStyle w:val="Normal"/>
              <w:widowControl w:val="false"/>
              <w:numPr>
                <w:ilvl w:val="0"/>
                <w:numId w:val="11"/>
              </w:numPr>
              <w:spacing w:before="60" w:after="60"/>
              <w:jc w:val="both"/>
              <w:rPr/>
            </w:pPr>
            <w:r>
              <w:rPr/>
              <w:t>Ensure continuous monitoring of the project’s progress and timely initiation of corrective actions (if needed)</w:t>
            </w:r>
          </w:p>
          <w:p>
            <w:pPr>
              <w:pStyle w:val="Normal"/>
              <w:widowControl w:val="false"/>
              <w:numPr>
                <w:ilvl w:val="0"/>
                <w:numId w:val="11"/>
              </w:numPr>
              <w:spacing w:before="60" w:after="60"/>
              <w:jc w:val="both"/>
              <w:rPr/>
            </w:pPr>
            <w:r>
              <w:rPr/>
              <w:t>Coordinate the organization and execution of the various project meetings, and/or participation of the project in various external or self-organized events</w:t>
            </w:r>
          </w:p>
          <w:p>
            <w:pPr>
              <w:pStyle w:val="Normal"/>
              <w:widowControl w:val="false"/>
              <w:numPr>
                <w:ilvl w:val="0"/>
                <w:numId w:val="11"/>
              </w:numPr>
              <w:spacing w:before="60" w:after="60"/>
              <w:jc w:val="both"/>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rPr/>
            </w:pPr>
            <w:r>
              <w:rPr/>
            </w:r>
          </w:p>
          <w:p>
            <w:pPr>
              <w:pStyle w:val="Normal"/>
              <w:widowControl w:val="false"/>
              <w:spacing w:before="60" w:after="60"/>
              <w:rPr>
                <w:b/>
                <w:bCs/>
              </w:rPr>
            </w:pPr>
            <w:r>
              <w:rPr>
                <w:b/>
                <w:bCs/>
              </w:rPr>
              <w:t>Task 1.1: Project Implementation Plan and Project Management Board (M1-M36): Lead NTUA</w:t>
            </w:r>
          </w:p>
          <w:p>
            <w:pPr>
              <w:pStyle w:val="Normal"/>
              <w:widowControl w:val="false"/>
              <w:spacing w:before="60" w:after="60"/>
              <w:jc w:val="both"/>
              <w:rPr/>
            </w:pPr>
            <w:r>
              <w:rPr/>
              <w:t xml:space="preserve">A </w:t>
            </w:r>
            <w:r>
              <w:rPr>
                <w:u w:val="single"/>
              </w:rPr>
              <w:t>Project Management Board</w:t>
            </w:r>
            <w:r>
              <w:rPr/>
              <w:t xml:space="preserve"> will be decided on and formed at the kick-off meeting (</w:t>
            </w:r>
            <w:r>
              <w:rPr>
                <w:shd w:fill="FFFF00" w:val="clear"/>
              </w:rPr>
              <w:t>Task 1.x</w:t>
            </w:r>
            <w:r>
              <w:rPr/>
              <w:t>).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(one representative per partner).</w:t>
            </w:r>
          </w:p>
          <w:p>
            <w:pPr>
              <w:pStyle w:val="Normal"/>
              <w:widowControl w:val="false"/>
              <w:spacing w:before="60" w:after="60"/>
              <w:jc w:val="both"/>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workplan of this Proposal. The task forces of all active work packages will periodically deliver in-house progress reports to the </w:t>
            </w:r>
            <w:r>
              <w:rPr>
                <w:u w:val="single"/>
              </w:rPr>
              <w:t>Project Management Board</w:t>
            </w:r>
            <w:r>
              <w:rPr/>
              <w:t>.</w:t>
            </w:r>
          </w:p>
          <w:p>
            <w:pPr>
              <w:pStyle w:val="Normal"/>
              <w:widowControl w:val="false"/>
              <w:spacing w:before="60" w:after="60"/>
              <w:jc w:val="both"/>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Normal"/>
              <w:widowControl w:val="false"/>
              <w:spacing w:before="60" w:after="60"/>
              <w:rPr/>
            </w:pPr>
            <w:r>
              <w:rPr/>
            </w:r>
          </w:p>
          <w:p>
            <w:pPr>
              <w:pStyle w:val="Normal"/>
              <w:widowControl w:val="false"/>
              <w:spacing w:before="60" w:after="60"/>
              <w:rPr>
                <w:b/>
                <w:bCs/>
              </w:rPr>
            </w:pPr>
            <w:r>
              <w:rPr>
                <w:b/>
                <w:bCs/>
              </w:rPr>
              <w:t>Task 1.2: Quality Management and Monitoring (M1-M36): Lead CLS</w:t>
            </w:r>
          </w:p>
          <w:p>
            <w:pPr>
              <w:pStyle w:val="Normal"/>
              <w:widowControl w:val="false"/>
              <w:spacing w:before="60" w:after="60"/>
              <w:jc w:val="both"/>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Normal"/>
              <w:widowControl w:val="false"/>
              <w:spacing w:before="60" w:after="60"/>
              <w:jc w:val="both"/>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Normal"/>
              <w:widowControl w:val="false"/>
              <w:spacing w:before="60" w:after="60"/>
              <w:rPr/>
            </w:pPr>
            <w:r>
              <w:rPr/>
            </w:r>
          </w:p>
          <w:p>
            <w:pPr>
              <w:pStyle w:val="Normal"/>
              <w:widowControl w:val="false"/>
              <w:spacing w:before="60" w:after="60"/>
              <w:rPr>
                <w:b/>
                <w:bCs/>
              </w:rPr>
            </w:pPr>
            <w:r>
              <w:rPr>
                <w:b/>
                <w:bCs/>
              </w:rPr>
              <w:t>Task 1.3: Risk Management (M1-M36): Lead GFZ</w:t>
            </w:r>
          </w:p>
          <w:p>
            <w:pPr>
              <w:pStyle w:val="Normal"/>
              <w:widowControl w:val="false"/>
              <w:spacing w:before="60" w:after="60"/>
              <w:jc w:val="both"/>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Normal"/>
              <w:widowControl w:val="false"/>
              <w:spacing w:before="60" w:after="60"/>
              <w:jc w:val="both"/>
              <w:rPr/>
            </w:pPr>
            <w:r>
              <w:rPr/>
            </w:r>
          </w:p>
          <w:p>
            <w:pPr>
              <w:pStyle w:val="Normal"/>
              <w:widowControl w:val="false"/>
              <w:spacing w:before="60" w:after="60"/>
              <w:jc w:val="both"/>
              <w:rPr>
                <w:b/>
                <w:bCs/>
              </w:rPr>
            </w:pPr>
            <w:r>
              <w:rPr>
                <w:b/>
                <w:bCs/>
              </w:rPr>
              <w:t>Task 1.4: Financial Management (M1-M36); Lead NTUA</w:t>
            </w:r>
          </w:p>
          <w:p>
            <w:pPr>
              <w:pStyle w:val="Normal"/>
              <w:widowControl w:val="false"/>
              <w:spacing w:before="60" w:after="60"/>
              <w:jc w:val="both"/>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Normal"/>
              <w:widowControl w:val="false"/>
              <w:spacing w:before="60" w:after="60"/>
              <w:jc w:val="both"/>
              <w:rPr/>
            </w:pPr>
            <w:r>
              <w:rPr/>
            </w:r>
          </w:p>
          <w:p>
            <w:pPr>
              <w:pStyle w:val="Normal"/>
              <w:widowControl w:val="false"/>
              <w:spacing w:before="60" w:after="60"/>
              <w:jc w:val="both"/>
              <w:rPr>
                <w:b/>
                <w:bCs/>
              </w:rPr>
            </w:pPr>
            <w:r>
              <w:rPr>
                <w:b/>
                <w:bCs/>
              </w:rPr>
              <w:t>Task 1.5: Coordination, Communication and Administration (M1-M36); Lead NTUA</w:t>
            </w:r>
          </w:p>
          <w:p>
            <w:pPr>
              <w:pStyle w:val="Normal"/>
              <w:widowControl w:val="false"/>
              <w:spacing w:before="60" w:after="60"/>
              <w:jc w:val="both"/>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Normal"/>
              <w:widowControl w:val="false"/>
              <w:spacing w:before="60" w:after="60"/>
              <w:rPr/>
            </w:pPr>
            <w:r>
              <w:rPr/>
            </w:r>
          </w:p>
          <w:p>
            <w:pPr>
              <w:pStyle w:val="Normal"/>
              <w:widowControl w:val="false"/>
              <w:spacing w:before="60" w:after="60"/>
              <w:rPr>
                <w:b/>
                <w:bCs/>
                <w:highlight w:val="none"/>
                <w:shd w:fill="FFFF00" w:val="clear"/>
              </w:rPr>
            </w:pPr>
            <w:r>
              <w:rPr>
                <w:b/>
                <w:bCs/>
                <w:shd w:fill="FFFF00" w:val="clear"/>
              </w:rPr>
              <w:t>Task 1.X Kick-Off Meeting (M1-3); Lead: OSO</w:t>
            </w:r>
          </w:p>
          <w:p>
            <w:pPr>
              <w:pStyle w:val="Normal"/>
              <w:widowControl w:val="false"/>
              <w:spacing w:before="60" w:after="60"/>
              <w:rPr>
                <w:b w:val="false"/>
                <w:bCs w:val="false"/>
                <w:highlight w:val="none"/>
                <w:shd w:fill="FFFF00" w:val="clear"/>
              </w:rPr>
            </w:pPr>
            <w:r>
              <w:rPr>
                <w:b w:val="false"/>
                <w:bCs w:val="false"/>
                <w:shd w:fill="FFFF00" w:val="clea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Normal"/>
              <w:widowControl w:val="false"/>
              <w:spacing w:before="60" w:after="60"/>
              <w:rPr>
                <w:b w:val="false"/>
                <w:bCs w:val="false"/>
                <w:highlight w:val="none"/>
                <w:shd w:fill="FFFF00" w:val="clear"/>
              </w:rPr>
            </w:pPr>
            <w:r>
              <w:rPr>
                <w:b w:val="false"/>
                <w:bCs w:val="false"/>
                <w:shd w:fill="FFFF00" w:val="clear"/>
              </w:rPr>
            </w:r>
          </w:p>
          <w:p>
            <w:pPr>
              <w:pStyle w:val="Normal"/>
              <w:widowControl w:val="false"/>
              <w:spacing w:before="60" w:after="60"/>
              <w:jc w:val="both"/>
              <w:rPr>
                <w:b/>
                <w:bCs/>
                <w:highlight w:val="none"/>
                <w:shd w:fill="FFFF00" w:val="clear"/>
              </w:rPr>
            </w:pPr>
            <w:r>
              <w:rPr>
                <w:b/>
                <w:bCs/>
                <w:shd w:fill="FFFF00" w:val="clear"/>
              </w:rPr>
              <w:t>Task 1.X Wrap-Up, Evaluation and Conclusions Meeting (M32-36); Lead IPGP</w:t>
            </w:r>
          </w:p>
          <w:p>
            <w:pPr>
              <w:pStyle w:val="Normal"/>
              <w:widowControl w:val="false"/>
              <w:spacing w:before="60" w:after="60"/>
              <w:jc w:val="both"/>
              <w:rPr>
                <w:b w:val="false"/>
                <w:bCs w:val="false"/>
                <w:highlight w:val="none"/>
                <w:shd w:fill="FFFF00" w:val="clear"/>
              </w:rPr>
            </w:pPr>
            <w:r>
              <w:rPr>
                <w:b w:val="false"/>
                <w:bCs w:val="false"/>
                <w:shd w:fill="FFFF00" w:val="clea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Normal"/>
              <w:widowControl w:val="false"/>
              <w:spacing w:before="60" w:after="60"/>
              <w:jc w:val="both"/>
              <w:rPr>
                <w:b w:val="false"/>
                <w:bCs w:val="false"/>
                <w:highlight w:val="none"/>
                <w:shd w:fill="FFFF00" w:val="clear"/>
              </w:rPr>
            </w:pPr>
            <w:r>
              <w:rPr>
                <w:b w:val="false"/>
                <w:bCs w:val="false"/>
                <w:shd w:fill="FFFF00" w:val="clea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0" w:after="60"/>
              <w:rPr>
                <w:lang w:val="en-GB"/>
              </w:rPr>
            </w:pPr>
            <w:r>
              <w:rPr>
                <w:rFonts w:ascii="Times New Roman" w:hAnsi="Times New Roman"/>
                <w:b/>
                <w:lang w:val="en-GB"/>
              </w:rPr>
              <w:t>Objectives</w:t>
            </w:r>
          </w:p>
          <w:p>
            <w:pPr>
              <w:pStyle w:val="Normal"/>
              <w:widowControl w:val="false"/>
              <w:spacing w:before="60" w:after="60"/>
              <w:rPr>
                <w:b w:val="false"/>
                <w:bCs w:val="false"/>
              </w:rPr>
            </w:pPr>
            <w:r>
              <w:rPr>
                <w:rFonts w:ascii="Times New Roman" w:hAnsi="Times New Roman"/>
                <w:b w:val="false"/>
                <w:bCs w:val="false"/>
                <w:lang w:val="en-GB"/>
              </w:rPr>
              <w:t>The objectives of this WP are to:</w:t>
            </w:r>
          </w:p>
          <w:p>
            <w:pPr>
              <w:pStyle w:val="Normal"/>
              <w:widowControl w:val="false"/>
              <w:numPr>
                <w:ilvl w:val="0"/>
                <w:numId w:val="8"/>
              </w:numPr>
              <w:spacing w:before="60" w:after="60"/>
              <w:rPr>
                <w:b w:val="false"/>
                <w:bCs w:val="false"/>
              </w:rPr>
            </w:pPr>
            <w:r>
              <w:rPr>
                <w:rFonts w:ascii="Times New Roman" w:hAnsi="Times New Roman"/>
                <w:b w:val="false"/>
                <w:bCs w:val="false"/>
                <w:lang w:val="en-GB"/>
              </w:rPr>
              <w:t xml:space="preserve">transfer knowledge from expert nodes to the </w:t>
            </w:r>
            <w:r>
              <w:rPr>
                <w:rFonts w:ascii="Times New Roman" w:hAnsi="Times New Roman"/>
                <w:b w:val="false"/>
                <w:bCs w:val="false"/>
                <w:lang w:val="en-GB"/>
              </w:rPr>
              <w:t>C</w:t>
            </w:r>
            <w:r>
              <w:rPr>
                <w:rFonts w:ascii="Times New Roman" w:hAnsi="Times New Roman"/>
                <w:b w:val="false"/>
                <w:bCs w:val="false"/>
                <w:lang w:val="en-GB"/>
              </w:rPr>
              <w:t xml:space="preserve">oordinator, </w:t>
            </w:r>
            <w:r>
              <w:rPr>
                <w:rFonts w:ascii="Times New Roman" w:hAnsi="Times New Roman"/>
                <w:b w:val="false"/>
                <w:bCs w:val="false"/>
                <w:lang w:val="en-GB"/>
              </w:rPr>
              <w:t>building fundations for scientific excelence</w:t>
            </w:r>
          </w:p>
          <w:p>
            <w:pPr>
              <w:pStyle w:val="Normal"/>
              <w:widowControl w:val="false"/>
              <w:numPr>
                <w:ilvl w:val="0"/>
                <w:numId w:val="8"/>
              </w:numPr>
              <w:spacing w:before="60" w:after="60"/>
              <w:rPr/>
            </w:pPr>
            <w:r>
              <w:rPr>
                <w:rFonts w:ascii="Times New Roman" w:hAnsi="Times New Roman"/>
                <w:b w:val="false"/>
                <w:bCs w:val="false"/>
                <w:lang w:val="en-GB"/>
              </w:rPr>
              <w:t xml:space="preserve">establish technical standards, requirements and specifications for </w:t>
            </w:r>
            <w:r>
              <w:rPr>
                <w:rFonts w:ascii="Times New Roman" w:hAnsi="Times New Roman"/>
                <w:b w:val="false"/>
                <w:bCs w:val="false"/>
                <w:lang w:val="en-GB"/>
              </w:rPr>
              <w:t>further research capacity (building software, WP3)</w:t>
            </w:r>
          </w:p>
          <w:p>
            <w:pPr>
              <w:pStyle w:val="Normal"/>
              <w:widowControl w:val="false"/>
              <w:numPr>
                <w:ilvl w:val="0"/>
                <w:numId w:val="8"/>
              </w:numPr>
              <w:spacing w:before="60" w:after="60"/>
              <w:rPr/>
            </w:pPr>
            <w:r>
              <w:rPr>
                <w:rFonts w:ascii="Times New Roman" w:hAnsi="Times New Roman"/>
                <w:b w:val="false"/>
                <w:bCs w:val="false"/>
                <w:lang w:val="en-GB"/>
              </w:rPr>
              <w:t>involve talented young scientists in training and increase inwards/outwards mobility (via co-supervision and visits)</w:t>
            </w:r>
          </w:p>
          <w:p>
            <w:pPr>
              <w:pStyle w:val="Normal"/>
              <w:widowControl w:val="false"/>
              <w:numPr>
                <w:ilvl w:val="0"/>
                <w:numId w:val="8"/>
              </w:numPr>
              <w:spacing w:before="60" w:after="60"/>
              <w:rPr/>
            </w:pPr>
            <w:r>
              <w:rPr>
                <w:rFonts w:ascii="Times New Roman" w:hAnsi="Times New Roman"/>
                <w:b w:val="false"/>
                <w:bCs w:val="false"/>
                <w:lang w:val="en-GB"/>
              </w:rPr>
              <w:t>s</w:t>
            </w:r>
            <w:r>
              <w:rPr>
                <w:rFonts w:ascii="Times New Roman" w:hAnsi="Times New Roman"/>
                <w:b w:val="false"/>
                <w:bCs w:val="false"/>
                <w:lang w:val="en-GB"/>
              </w:rPr>
              <w:t>eek and utilize training channels/options other than ACRONYM</w:t>
            </w:r>
          </w:p>
          <w:p>
            <w:pPr>
              <w:pStyle w:val="Normal"/>
              <w:widowControl w:val="false"/>
              <w:numPr>
                <w:ilvl w:val="0"/>
                <w:numId w:val="8"/>
              </w:numPr>
              <w:spacing w:before="60" w:after="60"/>
              <w:rPr/>
            </w:pPr>
            <w:r>
              <w:rPr>
                <w:rFonts w:ascii="Times New Roman" w:hAnsi="Times New Roman"/>
                <w:b w:val="false"/>
                <w:bCs w:val="false"/>
                <w:lang w:val="en-GB"/>
              </w:rPr>
              <w:t>establish solid, agile research task forces allocated per Space Geodetic technique, making skill building and knowledge dispersion more effective and efficient</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w:t>
            </w:r>
            <w:r>
              <w:rPr>
                <w:b/>
                <w:bCs/>
                <w:lang w:val="en-GB"/>
              </w:rPr>
              <w:t>1</w:t>
            </w:r>
            <w:r>
              <w:rPr>
                <w:b/>
                <w:bCs/>
                <w:lang w:val="en-GB"/>
              </w:rPr>
              <w:t xml:space="preserve"> </w:t>
            </w:r>
            <w:r>
              <w:rPr>
                <w:b/>
                <w:bCs/>
                <w:lang w:val="en-GB"/>
              </w:rPr>
              <w:t>T</w:t>
            </w:r>
            <w:r>
              <w:rPr>
                <w:b/>
                <w:bCs/>
                <w:lang w:val="en-GB"/>
              </w:rPr>
              <w:t>ransfer of knowledge for DORIS (M1-M12); Lead IPGP</w:t>
            </w:r>
          </w:p>
          <w:p>
            <w:pPr>
              <w:pStyle w:val="Normal"/>
              <w:widowControl w:val="false"/>
              <w:spacing w:before="60" w:after="60"/>
              <w:jc w:val="both"/>
              <w:rPr/>
            </w:pPr>
            <w:r>
              <w:rPr>
                <w:lang w:val="en-GB"/>
              </w:rPr>
              <w:t xml:space="preserve">The </w:t>
            </w:r>
            <w:r>
              <w:rPr>
                <w:lang w:val="en-GB"/>
              </w:rPr>
              <w:t>Coordinator</w:t>
            </w:r>
            <w:r>
              <w:rPr>
                <w:lang w:val="en-GB"/>
              </w:rPr>
              <w:t xml:space="preserve"> along with IPGP and CLS will establish a task force (with members of all three involved institutes) and the means through which this force will maintain a long-term, sound communication and collaboration.</w:t>
            </w:r>
          </w:p>
          <w:p>
            <w:pPr>
              <w:pStyle w:val="Normal"/>
              <w:widowControl w:val="false"/>
              <w:spacing w:before="60" w:after="60"/>
              <w:jc w:val="both"/>
              <w:rPr/>
            </w:pPr>
            <w:r>
              <w:rPr>
                <w:lang w:val="en-GB"/>
              </w:rPr>
              <w:t xml:space="preserve">The expert partners will introduce the DORIS technique to their peers via online webinars, virtual training, videos conferences, venture labs and one short term encounter (duration between one and two weeks) of all three involved partners. At this stage, virtual meetings will be held twice per month. </w:t>
            </w:r>
          </w:p>
          <w:p>
            <w:pPr>
              <w:pStyle w:val="Normal"/>
              <w:widowControl w:val="false"/>
              <w:spacing w:before="60" w:after="60"/>
              <w:jc w:val="both"/>
              <w:rPr/>
            </w:pPr>
            <w:r>
              <w:rPr/>
              <w:t>E</w:t>
            </w:r>
            <w:r>
              <w:rPr/>
              <w:t xml:space="preserve">xploiting the expertise of the top-class institutes (IPGP and CLS), the partners will </w:t>
            </w:r>
            <w:r>
              <w:rPr/>
              <w:t>document</w:t>
            </w:r>
            <w:r>
              <w:rPr/>
              <w:t xml:space="preserve"> specifications, standards and models as well as hierarchically ordered tasks, </w:t>
            </w:r>
            <w:r>
              <w:rPr/>
              <w:t xml:space="preserve">acting as a road-map for designing and implementing a DORIS analysis software, </w:t>
            </w:r>
            <w:r>
              <w:rPr/>
              <w:t xml:space="preserve">eventually leading </w:t>
            </w:r>
            <w:r>
              <w:rPr/>
              <w:t xml:space="preserve">to </w:t>
            </w:r>
            <w:r>
              <w:rPr/>
              <w:t xml:space="preserve">state-of-the-art </w:t>
            </w:r>
            <w:r>
              <w:rPr/>
              <w:t>quality</w:t>
            </w:r>
            <w:r>
              <w:rPr/>
              <w:t>.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w:t>
            </w:r>
            <w:r>
              <w:rPr>
                <w:b/>
                <w:bCs/>
                <w:lang w:val="en-GB"/>
              </w:rPr>
              <w:t>2</w:t>
            </w:r>
            <w:r>
              <w:rPr>
                <w:b/>
                <w:bCs/>
                <w:lang w:val="en-GB"/>
              </w:rPr>
              <w:t xml:space="preserve"> </w:t>
            </w:r>
            <w:r>
              <w:rPr>
                <w:b/>
                <w:bCs/>
                <w:lang w:val="en-GB"/>
              </w:rPr>
              <w:t>T</w:t>
            </w:r>
            <w:r>
              <w:rPr>
                <w:b/>
                <w:bCs/>
                <w:lang w:val="en-GB"/>
              </w:rPr>
              <w: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 xml:space="preserve">The expert partner will introduce the </w:t>
            </w:r>
            <w:r>
              <w:rPr>
                <w:lang w:val="en-GB"/>
              </w:rPr>
              <w:t>SLR</w:t>
            </w:r>
            <w:r>
              <w:rPr>
                <w:lang w:val="en-GB"/>
              </w:rPr>
              <w:t xml:space="preserve">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SLR station in Potsdam (operated by GFZ), where they will be introduced to the instrumentation and operational aspects of the site.</w:t>
            </w:r>
          </w:p>
          <w:p>
            <w:pPr>
              <w:pStyle w:val="Normal"/>
              <w:widowControl w:val="false"/>
              <w:spacing w:before="60" w:after="60"/>
              <w:jc w:val="both"/>
              <w:rPr/>
            </w:pPr>
            <w:r>
              <w:rPr>
                <w:lang w:val="en-GB"/>
              </w:rPr>
              <w:t>E</w:t>
            </w:r>
            <w:r>
              <w:rPr>
                <w:lang w:val="en-GB"/>
              </w:rPr>
              <w:t xml:space="preserve">xploiting the expertise of </w:t>
            </w:r>
            <w:r>
              <w:rPr>
                <w:lang w:val="en-GB"/>
              </w:rPr>
              <w:t>GFZ</w:t>
            </w:r>
            <w:r>
              <w:rPr>
                <w:lang w:val="en-GB"/>
              </w:rPr>
              <w:t xml:space="preserve">, the partners will </w:t>
            </w:r>
            <w:r>
              <w:rPr>
                <w:lang w:val="en-GB"/>
              </w:rPr>
              <w:t>document</w:t>
            </w:r>
            <w:r>
              <w:rPr>
                <w:lang w:val="en-GB"/>
              </w:rPr>
              <w:t xml:space="preserve"> specifications, standards and models as well as hierarchically ordered tasks, </w:t>
            </w:r>
            <w:r>
              <w:rPr>
                <w:lang w:val="en-GB"/>
              </w:rPr>
              <w:t xml:space="preserve">acting as a road-map for designing and implementing an SLR analysis software, </w:t>
            </w:r>
            <w:r>
              <w:rPr>
                <w:lang w:val="en-GB"/>
              </w:rPr>
              <w:t xml:space="preserve">eventually leading </w:t>
            </w:r>
            <w:r>
              <w:rPr>
                <w:lang w:val="en-GB"/>
              </w:rPr>
              <w:t xml:space="preserve">to </w:t>
            </w:r>
            <w:r>
              <w:rPr>
                <w:lang w:val="en-GB"/>
              </w:rPr>
              <w:t xml:space="preserve">state-of-the-art </w:t>
            </w:r>
            <w:r>
              <w:rPr>
                <w:lang w:val="en-GB"/>
              </w:rPr>
              <w:t>quality</w:t>
            </w:r>
            <w:r>
              <w:rPr>
                <w:lang w:val="en-GB"/>
              </w:rPr>
              <w:t>.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w:t>
            </w:r>
            <w:r>
              <w:rPr>
                <w:b/>
                <w:bCs/>
                <w:lang w:val="en-GB"/>
              </w:rPr>
              <w:t>3</w:t>
            </w:r>
            <w:r>
              <w:rPr>
                <w:b/>
                <w:bCs/>
                <w:lang w:val="en-GB"/>
              </w:rPr>
              <w:t xml:space="preserve"> </w:t>
            </w:r>
            <w:r>
              <w:rPr>
                <w:b/>
                <w:bCs/>
                <w:lang w:val="en-GB"/>
              </w:rPr>
              <w:t>T</w:t>
            </w:r>
            <w:r>
              <w:rPr>
                <w:b/>
                <w:bCs/>
                <w:lang w:val="en-GB"/>
              </w:rPr>
              <w:t>ransfer of knowledge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 xml:space="preserve">The expert partner will introduce the </w:t>
            </w:r>
            <w:r>
              <w:rPr>
                <w:lang w:val="en-GB"/>
              </w:rPr>
              <w:t>VLBI</w:t>
            </w:r>
            <w:r>
              <w:rPr>
                <w:lang w:val="en-GB"/>
              </w:rPr>
              <w:t xml:space="preserve">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VLBI site in Onsala (operated by OSO), where they will be introduced to the instrumentation and operational aspects of the site.</w:t>
            </w:r>
          </w:p>
          <w:p>
            <w:pPr>
              <w:pStyle w:val="Normal"/>
              <w:widowControl w:val="false"/>
              <w:spacing w:before="60" w:after="60"/>
              <w:jc w:val="both"/>
              <w:rPr/>
            </w:pPr>
            <w:r>
              <w:rPr>
                <w:lang w:val="en-GB"/>
              </w:rPr>
              <w:t>E</w:t>
            </w:r>
            <w:r>
              <w:rPr>
                <w:lang w:val="en-GB"/>
              </w:rPr>
              <w:t xml:space="preserve">xploiting the expertise of </w:t>
            </w:r>
            <w:r>
              <w:rPr>
                <w:lang w:val="en-GB"/>
              </w:rPr>
              <w:t>OSO</w:t>
            </w:r>
            <w:r>
              <w:rPr>
                <w:lang w:val="en-GB"/>
              </w:rPr>
              <w:t xml:space="preserve">, the partners will </w:t>
            </w:r>
            <w:r>
              <w:rPr>
                <w:lang w:val="en-GB"/>
              </w:rPr>
              <w:t>document</w:t>
            </w:r>
            <w:r>
              <w:rPr>
                <w:lang w:val="en-GB"/>
              </w:rPr>
              <w:t xml:space="preserve"> specifications, standards and models as well as hierarchically ordered tasks, </w:t>
            </w:r>
            <w:r>
              <w:rPr>
                <w:lang w:val="en-GB"/>
              </w:rPr>
              <w:t xml:space="preserve">acting as a road-map for designing and implementing through designing and implementing a geodetic toolbox, specifically aiming at an efficient and accurate handling of Earth orientation parameters, celestial and terrestrial reference frame transformations and modeling of tidal phenomena, </w:t>
            </w:r>
            <w:r>
              <w:rPr>
                <w:lang w:val="en-GB"/>
              </w:rPr>
              <w:t xml:space="preserve">eventually leading </w:t>
            </w:r>
            <w:r>
              <w:rPr>
                <w:lang w:val="en-GB"/>
              </w:rPr>
              <w:t xml:space="preserve">to </w:t>
            </w:r>
            <w:r>
              <w:rPr>
                <w:lang w:val="en-GB"/>
              </w:rPr>
              <w:t xml:space="preserve">state-of-the-art </w:t>
            </w:r>
            <w:r>
              <w:rPr>
                <w:lang w:val="en-GB"/>
              </w:rPr>
              <w:t>quality</w:t>
            </w:r>
            <w:r>
              <w:rPr>
                <w:lang w:val="en-GB"/>
              </w:rPr>
              <w:t>. The plan will include timely milestones, goals and validation tests.</w:t>
            </w:r>
          </w:p>
          <w:p>
            <w:pPr>
              <w:pStyle w:val="Normal"/>
              <w:widowControl w:val="false"/>
              <w:spacing w:before="60" w:after="60"/>
              <w:jc w:val="both"/>
              <w:rPr/>
            </w:pPr>
            <w:r>
              <w:rPr/>
            </w:r>
          </w:p>
          <w:p>
            <w:pPr>
              <w:pStyle w:val="Normal"/>
              <w:widowControl w:val="false"/>
              <w:spacing w:before="60" w:after="60"/>
              <w:jc w:val="both"/>
              <w:rPr>
                <w:b/>
                <w:bCs/>
              </w:rPr>
            </w:pPr>
            <w:r>
              <w:rPr>
                <w:b/>
                <w:bCs/>
              </w:rPr>
              <w:t>Task 2.</w:t>
            </w:r>
            <w:r>
              <w:rPr>
                <w:b/>
                <w:bCs/>
              </w:rPr>
              <w:t>4</w:t>
            </w:r>
            <w:r>
              <w:rPr>
                <w:b/>
                <w:bCs/>
              </w:rPr>
              <w:t xml:space="preserve"> </w:t>
            </w:r>
            <w:r>
              <w:rPr>
                <w:b/>
                <w:bCs/>
              </w:rPr>
              <w:t>Assessment</w:t>
            </w:r>
            <w:r>
              <w:rPr>
                <w:b/>
                <w:bCs/>
              </w:rPr>
              <w:t xml:space="preserve"> of currently available software tools (M</w:t>
            </w:r>
            <w:r>
              <w:rPr>
                <w:b/>
                <w:bCs/>
              </w:rPr>
              <w:t>6</w:t>
            </w:r>
            <w:r>
              <w:rPr>
                <w:b/>
                <w:bCs/>
              </w:rPr>
              <w:t>-</w:t>
            </w:r>
            <w:r>
              <w:rPr>
                <w:b/>
                <w:bCs/>
              </w:rPr>
              <w:t>12</w:t>
            </w:r>
            <w:r>
              <w:rPr>
                <w:b/>
                <w:bCs/>
              </w:rPr>
              <w:t>); Lead GFZ</w:t>
            </w:r>
          </w:p>
          <w:p>
            <w:pPr>
              <w:pStyle w:val="Normal"/>
              <w:widowControl w:val="false"/>
              <w:spacing w:before="60" w:after="60"/>
              <w:jc w:val="both"/>
              <w:rPr>
                <w:b w:val="false"/>
                <w:bCs w:val="false"/>
              </w:rPr>
            </w:pPr>
            <w:r>
              <w:rPr>
                <w:b w:val="false"/>
                <w:bCs w:val="false"/>
              </w:rPr>
              <w:t>All partners will be involved, according to their respective fields of expertise, in an effort to inspect, assess, test and validate software tools that the Coordinator has in the past designed and built. Expert nodes will evaluate design and implementation issues, possible shortcomings and mitigation/refinement actions. This is expected to significantly assist the software building process described in WP3.</w:t>
            </w:r>
          </w:p>
          <w:p>
            <w:pPr>
              <w:pStyle w:val="Normal"/>
              <w:widowControl w:val="false"/>
              <w:spacing w:before="60" w:after="60"/>
              <w:jc w:val="both"/>
              <w:rPr>
                <w:b/>
                <w:bCs/>
              </w:rPr>
            </w:pPr>
            <w:r>
              <w:rPr/>
            </w:r>
          </w:p>
          <w:p>
            <w:pPr>
              <w:pStyle w:val="Normal"/>
              <w:widowControl w:val="false"/>
              <w:spacing w:before="60" w:after="60"/>
              <w:jc w:val="both"/>
              <w:rPr>
                <w:b/>
                <w:bCs/>
              </w:rPr>
            </w:pPr>
            <w:r>
              <w:rPr>
                <w:b/>
                <w:bCs/>
              </w:rPr>
              <w:t>Task 2.5 Attending training events (M6-M36); Lead NTUA</w:t>
            </w:r>
          </w:p>
          <w:p>
            <w:pPr>
              <w:pStyle w:val="Normal"/>
              <w:jc w:val="both"/>
              <w:rPr/>
            </w:pPr>
            <w:r>
              <w:rPr/>
              <w:t>The Coordinator will closely follow any training activities/</w:t>
            </w:r>
            <w:r>
              <w:rPr/>
              <w:t>events</w:t>
            </w:r>
            <w:r>
              <w:rPr/>
              <w:t xml:space="preserve"> offered by International Geodetic Services and Co</w:t>
            </w:r>
            <w:r>
              <w:rPr/>
              <w:t>n</w:t>
            </w:r>
            <w:r>
              <w:rPr/>
              <w:t xml:space="preserve">sortia </w:t>
            </w:r>
            <w:r>
              <w:rPr/>
              <w:t>(e.g. IGS, IDS, ILRS, IVS, IAG, GGOS, ESA, etc)</w:t>
            </w:r>
            <w:r>
              <w:rPr/>
              <w:t xml:space="preserve">, and </w:t>
            </w:r>
            <w:r>
              <w:rPr/>
              <w:t xml:space="preserve">will pursue attendance by the </w:t>
            </w:r>
            <w:r>
              <w:rPr/>
              <w:t xml:space="preserve">relevant task forces </w:t>
            </w:r>
            <w:r>
              <w:rPr/>
              <w:t>(established in Tasks 2.1 through 2.3) either physically or remotely. Priority will be given to young scientists of the Coordinator institute.</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t>effectively enhance host’s research capacity through expertise, skill building and software implementation</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transfer of knowledge and best practices using a “hands-on” approach</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build a software toolbox to perform state-of-the-art data analysis for observations collected by both DORIS and SLR techniques. Additionally, efficiently incorporate recent advances and high-quality products from VLBI analysis.</w:t>
            </w:r>
          </w:p>
          <w:p>
            <w:pPr>
              <w:pStyle w:val="Normal"/>
              <w:widowControl w:val="false"/>
              <w:numPr>
                <w:ilvl w:val="0"/>
                <w:numId w:val="9"/>
              </w:numPr>
              <w:spacing w:before="60" w:after="60"/>
              <w:rPr>
                <w:color w:val="C9211E"/>
              </w:rPr>
            </w:pPr>
            <w:r>
              <w:rPr>
                <w:rFonts w:ascii="Times New Roman" w:hAnsi="Times New Roman"/>
                <w:b w:val="false"/>
                <w:bCs w:val="false"/>
                <w:color w:val="C9211E"/>
                <w:lang w:val="en-GB"/>
              </w:rPr>
              <w:t>enhance NTUA research profile via adherence to a  free and open-source policy (software)</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 xml:space="preserve">create highly skilled </w:t>
            </w:r>
            <w:r>
              <w:rPr>
                <w:rFonts w:ascii="Times New Roman" w:hAnsi="Times New Roman"/>
                <w:b w:val="false"/>
                <w:bCs w:val="false"/>
                <w:lang w:val="en-GB"/>
              </w:rPr>
              <w:t xml:space="preserve">scientific </w:t>
            </w:r>
            <w:r>
              <w:rPr>
                <w:rFonts w:ascii="Times New Roman" w:hAnsi="Times New Roman"/>
                <w:b w:val="false"/>
                <w:bCs w:val="false"/>
                <w:lang w:val="en-GB"/>
              </w:rPr>
              <w:t>personnel at the host institute</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 xml:space="preserve">establish a long term plan for </w:t>
            </w:r>
            <w:r>
              <w:rPr>
                <w:rFonts w:ascii="Times New Roman" w:hAnsi="Times New Roman"/>
                <w:b w:val="false"/>
                <w:bCs w:val="false"/>
                <w:lang w:val="en-GB"/>
              </w:rPr>
              <w:t xml:space="preserve">further </w:t>
            </w:r>
            <w:r>
              <w:rPr>
                <w:rFonts w:ascii="Times New Roman" w:hAnsi="Times New Roman"/>
                <w:b w:val="false"/>
                <w:bCs w:val="false"/>
                <w:lang w:val="en-GB"/>
              </w:rPr>
              <w:t xml:space="preserve">enhancing the host institute’s research capacity, international standing </w:t>
            </w:r>
            <w:r>
              <w:rPr>
                <w:rFonts w:ascii="Times New Roman" w:hAnsi="Times New Roman"/>
                <w:b w:val="false"/>
                <w:bCs w:val="false"/>
                <w:lang w:val="en-GB"/>
              </w:rPr>
              <w:t>and involvement</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 xml:space="preserve">CLS and IPGP will provide assistance to NTUA aiming at the upgrade and refinement of its own DORIS analysis software, to perform precise orbit determination and estimation of geodetic parameters. A working group of at least four members of NTUA, including one PhD and one PostDoc student, will be involved in this task on the </w:t>
            </w:r>
            <w:r>
              <w:rPr>
                <w:lang w:val="en-GB"/>
              </w:rPr>
              <w:t>Coordinator</w:t>
            </w:r>
            <w:r>
              <w:rPr>
                <w:lang w:val="en-GB"/>
              </w:rPr>
              <w:t>’s part.</w:t>
            </w:r>
          </w:p>
          <w:p>
            <w:pPr>
              <w:pStyle w:val="Normal"/>
              <w:widowControl w:val="false"/>
              <w:spacing w:before="60" w:after="60"/>
              <w:jc w:val="both"/>
              <w:rPr/>
            </w:pPr>
            <w:r>
              <w:rPr>
                <w:lang w:val="en-GB"/>
              </w:rPr>
              <w:t>Both expert nodes will assist NTUA’s personnel via online webinars, one-on-one and one-to-many training, problem solving and advisory meetings, exploiting the capacity already established in Task 2.</w:t>
            </w:r>
            <w:r>
              <w:rPr>
                <w:lang w:val="en-GB"/>
              </w:rPr>
              <w:t>2</w:t>
            </w:r>
            <w:r>
              <w:rPr>
                <w:lang w:val="en-GB"/>
              </w:rPr>
              <w:t>. Additionally, NTUA’s staff will visit CLS and both CLS and IPGP personnel will make one short visit to NTUA’s facilities, in an effort to further consolidate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w:t>
            </w:r>
            <w:r>
              <w:rPr/>
              <w:t>2</w:t>
            </w:r>
            <w:r>
              <w:rPr/>
              <w:t>,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GFZ will provide assistance to NTUA aiming at the development of its own SLR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The expert node will assist NTUA’s personnel via online webinars, one-on-one and one-to-many training, problem solving and advisory meetings, exploiting the capacity already established in Task 2.</w:t>
            </w:r>
            <w:r>
              <w:rPr>
                <w:lang w:val="en-GB"/>
              </w:rPr>
              <w:t>3</w:t>
            </w:r>
            <w:r>
              <w:rPr>
                <w:lang w:val="en-GB"/>
              </w:rPr>
              <w:t>. Additionally, NTUA’s staff will visit GFZ and GFZ personnel will make a short visit to NTUA’s facilities, in an effort to further consolidate an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w:t>
            </w:r>
            <w:r>
              <w:rPr/>
              <w:t>3</w:t>
            </w:r>
            <w:r>
              <w:rPr/>
              <w:t>,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capacity already established in Task 2.</w:t>
            </w:r>
            <w:r>
              <w:rPr>
                <w:lang w:val="en-GB"/>
              </w:rPr>
              <w:t>4</w:t>
            </w:r>
            <w:r>
              <w:rPr>
                <w:lang w:val="en-GB"/>
              </w:rPr>
              <w:t>. A working group of at least four members of NTUA, including one PhD and one PostDoc student, will be involved in this task on the host institute’s part. Regular virtual meetings will be held once per month to monitor progress, while additional meetings will take place on demand, targeting specific issues and/or problems that may come up (problem solving and training sessions). Additionally, NTUA’s staff will visit OSO and OSO personnel will make a short visit to NTUA’s facilities, in an effort to further consolidate networking and efficient expertise transfer.</w:t>
            </w:r>
          </w:p>
          <w:p>
            <w:pPr>
              <w:pStyle w:val="Normal"/>
              <w:widowControl w:val="false"/>
              <w:spacing w:before="60" w:after="60"/>
              <w:jc w:val="both"/>
              <w:rPr/>
            </w:pPr>
            <w:r>
              <w:rPr>
                <w:lang w:val="en-GB"/>
              </w:rPr>
              <w:t>Knowledge transfer at this stage will include robust algorithmic and design approaches, best modeling practices, state-of-the-art methodologies and implementation strategies. Software development will adopt the work plan established in Task 2.</w:t>
            </w:r>
            <w:r>
              <w:rPr>
                <w:lang w:val="en-GB"/>
              </w:rPr>
              <w:t>4</w:t>
            </w:r>
            <w:r>
              <w:rPr>
                <w:lang w:val="en-GB"/>
              </w:rPr>
              <w:t>,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r>
          </w:p>
          <w:p>
            <w:pPr>
              <w:pStyle w:val="Normal"/>
              <w:widowControl w:val="false"/>
              <w:spacing w:before="60" w:after="60"/>
              <w:jc w:val="both"/>
              <w:rPr>
                <w:highlight w:val="none"/>
                <w:shd w:fill="auto" w:val="clear"/>
              </w:rPr>
            </w:pPr>
            <w:r>
              <w:rPr>
                <w:b/>
                <w:bCs/>
                <w:shd w:fill="auto" w:val="clear"/>
                <w:lang w:val="en-GB"/>
              </w:rPr>
              <w:t xml:space="preserve">Task 3.4 Long term plan for </w:t>
            </w:r>
            <w:r>
              <w:rPr>
                <w:b/>
                <w:bCs/>
                <w:shd w:fill="auto" w:val="clear"/>
                <w:lang w:val="en-GB"/>
              </w:rPr>
              <w:t>scientific</w:t>
            </w:r>
            <w:r>
              <w:rPr>
                <w:b/>
                <w:bCs/>
                <w:shd w:fill="auto" w:val="clear"/>
                <w:lang w:val="en-GB"/>
              </w:rPr>
              <w:t xml:space="preserve"> excellence (M30-36); Lead NTUA</w:t>
            </w:r>
          </w:p>
          <w:p>
            <w:pPr>
              <w:pStyle w:val="Normal"/>
              <w:widowControl w:val="false"/>
              <w:spacing w:before="60" w:after="60"/>
              <w:jc w:val="both"/>
              <w:rPr/>
            </w:pPr>
            <w:r>
              <w:rPr>
                <w:lang w:val="en-GB"/>
              </w:rPr>
              <w:t xml:space="preserve">The consortium will thoroughly evaluate the progress performed within the framework of ACRONYM in terms of research capacity </w:t>
            </w:r>
            <w:r>
              <w:rPr>
                <w:lang w:val="en-GB"/>
              </w:rPr>
              <w:t>and scientific excellence achieved.</w:t>
            </w:r>
            <w:r>
              <w:rPr>
                <w:lang w:val="en-GB"/>
              </w:rPr>
              <w:t xml:space="preserve"> </w:t>
            </w:r>
            <w:r>
              <w:rPr>
                <w:lang w:val="en-GB"/>
              </w:rPr>
              <w:t>I</w:t>
            </w:r>
            <w:r>
              <w:rPr>
                <w:lang w:val="en-GB"/>
              </w:rPr>
              <w:t>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Additionally, the consortium will identify weak points in the capacity built and propose means to mitigate them. Finally, it will identify and propose a number of study areas that currently lay in research frontiers and attract international research interest. These focus areas will act as pathways for future evolution and growth of the Centre of Excellence.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Strengthening research management, administration and funding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rFonts w:ascii="Times New Roman" w:hAnsi="Times New Roman"/>
                <w:b w:val="false"/>
                <w:bCs w:val="false"/>
                <w:lang w:val="en-GB"/>
              </w:rPr>
              <w:t>s</w:t>
            </w:r>
            <w:r>
              <w:rPr>
                <w:rFonts w:ascii="Times New Roman" w:hAnsi="Times New Roman"/>
                <w:b w:val="false"/>
                <w:bCs w:val="false"/>
                <w:lang w:val="en-GB"/>
              </w:rPr>
              <w:t>trengthen research management capacit</w:t>
            </w:r>
            <w:r>
              <w:rPr>
                <w:rFonts w:ascii="Times New Roman" w:hAnsi="Times New Roman"/>
                <w:b w:val="false"/>
                <w:bCs w:val="false"/>
                <w:lang w:val="en-GB"/>
              </w:rPr>
              <w:t>y</w:t>
            </w:r>
            <w:r>
              <w:rPr>
                <w:rFonts w:ascii="Times New Roman" w:hAnsi="Times New Roman"/>
                <w:b w:val="false"/>
                <w:bCs w:val="false"/>
                <w:lang w:val="en-GB"/>
              </w:rPr>
              <w:t xml:space="preserve"> and administrative skills of the </w:t>
            </w:r>
            <w:r>
              <w:rPr>
                <w:rFonts w:ascii="Times New Roman" w:hAnsi="Times New Roman"/>
                <w:b w:val="false"/>
                <w:bCs w:val="false"/>
                <w:lang w:val="en-GB"/>
              </w:rPr>
              <w:t>Coordinator</w:t>
            </w:r>
          </w:p>
          <w:p>
            <w:pPr>
              <w:pStyle w:val="Normal"/>
              <w:widowControl w:val="false"/>
              <w:numPr>
                <w:ilvl w:val="0"/>
                <w:numId w:val="9"/>
              </w:numPr>
              <w:spacing w:before="60" w:after="60"/>
              <w:jc w:val="both"/>
              <w:rPr/>
            </w:pPr>
            <w:r>
              <w:rPr>
                <w:rFonts w:ascii="Times New Roman" w:hAnsi="Times New Roman"/>
                <w:b w:val="false"/>
                <w:bCs w:val="false"/>
                <w:lang w:val="en-GB"/>
              </w:rPr>
              <w:t>c</w:t>
            </w:r>
            <w:r>
              <w:rPr>
                <w:rFonts w:ascii="Times New Roman" w:hAnsi="Times New Roman"/>
                <w:b w:val="false"/>
                <w:bCs w:val="false"/>
                <w:lang w:val="en-GB"/>
              </w:rPr>
              <w:t>reate a dedicated, skilled workforce at NTUA responsible for project claiming</w:t>
            </w:r>
          </w:p>
          <w:p>
            <w:pPr>
              <w:pStyle w:val="Normal"/>
              <w:widowControl w:val="false"/>
              <w:numPr>
                <w:ilvl w:val="0"/>
                <w:numId w:val="9"/>
              </w:numPr>
              <w:spacing w:before="60" w:after="60"/>
              <w:rPr/>
            </w:pPr>
            <w:r>
              <w:rPr>
                <w:rFonts w:ascii="Times New Roman" w:hAnsi="Times New Roman"/>
                <w:b w:val="false"/>
                <w:bCs w:val="false"/>
                <w:lang w:val="en-GB"/>
              </w:rPr>
              <w:t xml:space="preserve">boost </w:t>
            </w:r>
            <w:r>
              <w:rPr>
                <w:rFonts w:ascii="Times New Roman" w:hAnsi="Times New Roman"/>
                <w:b w:val="false"/>
                <w:bCs w:val="false"/>
                <w:lang w:val="en-GB"/>
              </w:rPr>
              <w:t>Coordinator’s</w:t>
            </w:r>
            <w:r>
              <w:rPr>
                <w:rFonts w:ascii="Times New Roman" w:hAnsi="Times New Roman"/>
                <w:b w:val="false"/>
                <w:bCs w:val="false"/>
                <w:lang w:val="en-GB"/>
              </w:rPr>
              <w:t xml:space="preserve"> success rate in research funding bids</w:t>
            </w:r>
          </w:p>
          <w:p>
            <w:pPr>
              <w:pStyle w:val="Normal"/>
              <w:widowControl w:val="false"/>
              <w:numPr>
                <w:ilvl w:val="0"/>
                <w:numId w:val="9"/>
              </w:numPr>
              <w:spacing w:before="60" w:after="60"/>
              <w:jc w:val="both"/>
              <w:rPr/>
            </w:pPr>
            <w:r>
              <w:rPr>
                <w:rFonts w:ascii="Times New Roman" w:hAnsi="Times New Roman"/>
                <w:b w:val="false"/>
                <w:bCs w:val="false"/>
                <w:lang w:val="en-GB"/>
              </w:rPr>
              <w:t>e</w:t>
            </w:r>
            <w:r>
              <w:rPr>
                <w:rFonts w:ascii="Times New Roman" w:hAnsi="Times New Roman"/>
                <w:b w:val="false"/>
                <w:bCs w:val="false"/>
                <w:lang w:val="en-GB"/>
              </w:rPr>
              <w:t>xpand and diversify funding pools and capabilities targeted by NTUA</w:t>
            </w:r>
          </w:p>
          <w:p>
            <w:pPr>
              <w:pStyle w:val="Normal"/>
              <w:widowControl w:val="false"/>
              <w:numPr>
                <w:ilvl w:val="0"/>
                <w:numId w:val="9"/>
              </w:numPr>
              <w:spacing w:before="60" w:after="60"/>
              <w:jc w:val="both"/>
              <w:rPr/>
            </w:pPr>
            <w:r>
              <w:rPr>
                <w:rFonts w:ascii="Times New Roman" w:hAnsi="Times New Roman"/>
                <w:b w:val="false"/>
                <w:bCs w:val="false"/>
                <w:lang w:val="en-GB"/>
              </w:rPr>
              <w:t>b</w:t>
            </w:r>
            <w:r>
              <w:rPr>
                <w:rFonts w:ascii="Times New Roman" w:hAnsi="Times New Roman"/>
                <w:b w:val="false"/>
                <w:bCs w:val="false"/>
                <w:lang w:val="en-GB"/>
              </w:rPr>
              <w:t>uild expertise at efficient and succeseful research proposal writing</w:t>
            </w:r>
          </w:p>
          <w:p>
            <w:pPr>
              <w:pStyle w:val="Normal"/>
              <w:widowControl w:val="false"/>
              <w:numPr>
                <w:ilvl w:val="0"/>
                <w:numId w:val="9"/>
              </w:numPr>
              <w:spacing w:before="60" w:after="60"/>
              <w:jc w:val="both"/>
              <w:rPr/>
            </w:pPr>
            <w:r>
              <w:rPr>
                <w:rFonts w:ascii="Times New Roman" w:hAnsi="Times New Roman"/>
                <w:b w:val="false"/>
                <w:bCs w:val="false"/>
                <w:lang w:val="en-GB"/>
              </w:rPr>
              <w:t>c</w:t>
            </w:r>
            <w:r>
              <w:rPr>
                <w:rFonts w:ascii="Times New Roman" w:hAnsi="Times New Roman"/>
                <w:b w:val="false"/>
                <w:bCs w:val="false"/>
                <w:lang w:val="en-GB"/>
              </w:rPr>
              <w:t>laim research and scholarhsip funds to enahnce NTUA’s appealingness to young scientits and recruitement opportunities, increase mobility and support and expand research activities (financialy-wise)</w:t>
            </w:r>
          </w:p>
          <w:p>
            <w:pPr>
              <w:pStyle w:val="Normal"/>
              <w:numPr>
                <w:ilvl w:val="0"/>
                <w:numId w:val="9"/>
              </w:numPr>
              <w:spacing w:before="0" w:after="200"/>
              <w:jc w:val="both"/>
              <w:rPr/>
            </w:pPr>
            <w:r>
              <w:rPr>
                <w:shd w:fill="auto" w:val="clear"/>
                <w:lang w:val="en-GB"/>
              </w:rPr>
              <w:t>secure financial aid for the host’s research activities in the long-run and boost long-term synergy between the consortium partners</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r>
          </w:p>
          <w:p>
            <w:pPr>
              <w:pStyle w:val="Normal"/>
              <w:widowControl w:val="false"/>
              <w:spacing w:before="60" w:after="60"/>
              <w:jc w:val="both"/>
              <w:rPr>
                <w:b/>
                <w:bCs/>
              </w:rPr>
            </w:pPr>
            <w:r>
              <w:rPr>
                <w:b/>
                <w:bCs/>
              </w:rPr>
              <w:t>Task 4.</w:t>
            </w:r>
            <w:r>
              <w:rPr>
                <w:b/>
                <w:bCs/>
              </w:rPr>
              <w:t>1</w:t>
            </w:r>
            <w:r>
              <w:rPr>
                <w:b/>
                <w:bCs/>
              </w:rPr>
              <w:t xml:space="preserve"> </w:t>
            </w:r>
            <w:r>
              <w:rPr>
                <w:b/>
                <w:bCs/>
              </w:rPr>
              <w:t xml:space="preserve">Establish a </w:t>
            </w:r>
            <w:r>
              <w:rPr>
                <w:b/>
                <w:bCs/>
              </w:rPr>
              <w:t xml:space="preserve">research management/administration unit </w:t>
            </w:r>
            <w:r>
              <w:rPr>
                <w:b/>
                <w:bCs/>
              </w:rPr>
              <w:t>in the Coordinator institute (M1-M3); Lead NTUA</w:t>
            </w:r>
          </w:p>
          <w:p>
            <w:pPr>
              <w:pStyle w:val="Normal"/>
              <w:widowControl w:val="false"/>
              <w:spacing w:before="60" w:after="60"/>
              <w:jc w:val="both"/>
              <w:rPr/>
            </w:pPr>
            <w:r>
              <w:rPr/>
              <w:t xml:space="preserve">The host institute will establish a task force made up of </w:t>
            </w:r>
            <w:r>
              <w:rPr/>
              <w:t xml:space="preserve">four to </w:t>
            </w:r>
            <w:r>
              <w:rPr/>
              <w:t xml:space="preserve">six NTUA employees </w:t>
            </w:r>
            <w:r>
              <w:rPr/>
              <w:t>including administrative staff</w:t>
            </w:r>
            <w:r>
              <w:rPr/>
              <w:t xml:space="preserve">, which will be trained in project funding seeking, proposal writing and efficient research project management and administration, via remote mentoring and coaching. </w:t>
            </w:r>
            <w:r>
              <w:rPr>
                <w:color w:val="000000"/>
                <w:shd w:fill="auto" w:val="clear"/>
              </w:rPr>
              <w:t xml:space="preserve">The </w:t>
            </w:r>
            <w:r>
              <w:rPr>
                <w:color w:val="000000"/>
                <w:shd w:fill="auto" w:val="clear"/>
              </w:rPr>
              <w:t xml:space="preserve">sole purpose of this unit will be to seek, claim and manage research proposals </w:t>
            </w:r>
            <w:r>
              <w:rPr>
                <w:color w:val="000000"/>
                <w:shd w:fill="auto" w:val="clear"/>
              </w:rPr>
              <w:t xml:space="preserve">and its </w:t>
            </w:r>
            <w:r>
              <w:rPr>
                <w:color w:val="000000"/>
                <w:shd w:fill="auto" w:val="clear"/>
              </w:rPr>
              <w:br/>
            </w:r>
            <w:r>
              <w:rPr>
                <w:color w:val="000000"/>
                <w:shd w:fill="auto" w:val="clear"/>
              </w:rPr>
              <w:t xml:space="preserve">scope will expand well beyond ACRONYM, effectively </w:t>
            </w:r>
            <w:r>
              <w:rPr>
                <w:color w:val="000000"/>
                <w:shd w:fill="auto" w:val="clear"/>
                <w:lang w:val="en-GB"/>
              </w:rPr>
              <w:t>securing financial aid and supporting and administration for research activities in the long run.</w:t>
            </w:r>
          </w:p>
          <w:p>
            <w:pPr>
              <w:pStyle w:val="Normal"/>
              <w:jc w:val="both"/>
              <w:rPr/>
            </w:pPr>
            <w:r>
              <w:rPr>
                <w:color w:val="000000"/>
                <w:shd w:fill="auto" w:val="clear"/>
                <w:lang w:val="en-GB"/>
              </w:rPr>
              <w:t xml:space="preserve">The unit will report on its activities every six months to the </w:t>
            </w:r>
            <w:r>
              <w:rPr>
                <w:color w:val="000000"/>
                <w:u w:val="none"/>
                <w:shd w:fill="auto" w:val="clear"/>
                <w:lang w:val="en-GB"/>
              </w:rPr>
              <w:t>Project Management Board.</w:t>
            </w:r>
          </w:p>
          <w:p>
            <w:pPr>
              <w:pStyle w:val="Normal"/>
              <w:widowControl w:val="false"/>
              <w:spacing w:before="60" w:after="60"/>
              <w:jc w:val="both"/>
              <w:rPr/>
            </w:pPr>
            <w:r>
              <w:rPr/>
            </w:r>
          </w:p>
          <w:p>
            <w:pPr>
              <w:pStyle w:val="Normal"/>
              <w:widowControl w:val="false"/>
              <w:spacing w:before="60" w:after="60"/>
              <w:jc w:val="both"/>
              <w:rPr>
                <w:b/>
                <w:bCs/>
              </w:rPr>
            </w:pPr>
            <w:r>
              <w:rPr>
                <w:b/>
                <w:bCs/>
              </w:rPr>
              <w:t>Task 4.</w:t>
            </w:r>
            <w:r>
              <w:rPr>
                <w:b/>
                <w:bCs/>
              </w:rPr>
              <w:t>2</w:t>
            </w:r>
            <w:r>
              <w:rPr>
                <w:b/>
                <w:bCs/>
              </w:rPr>
              <w:t xml:space="preserve"> Strengthening research management capacity and administrative skills (M</w:t>
            </w:r>
            <w:r>
              <w:rPr>
                <w:b/>
                <w:bCs/>
              </w:rPr>
              <w:t>3</w:t>
            </w:r>
            <w:r>
              <w:rPr>
                <w:b/>
                <w:bCs/>
              </w:rPr>
              <w:t>-M</w:t>
            </w:r>
            <w:r>
              <w:rPr>
                <w:b/>
                <w:bCs/>
              </w:rPr>
              <w:t>12</w:t>
            </w:r>
            <w:r>
              <w:rPr>
                <w:b/>
                <w:bCs/>
              </w:rPr>
              <w:t>); Lead OSO</w:t>
            </w:r>
          </w:p>
          <w:p>
            <w:pPr>
              <w:pStyle w:val="Normal"/>
              <w:widowControl w:val="false"/>
              <w:spacing w:before="60" w:after="60"/>
              <w:jc w:val="both"/>
              <w:rPr/>
            </w:pPr>
            <w:r>
              <w:rPr>
                <w:lang w:val="en-GB"/>
              </w:rPr>
              <w:t xml:space="preserve">The consortium partners (CLS, IPGP, GFZ and OSO) will transfer technical knowledge, know-how and best practices to the </w:t>
            </w:r>
            <w:r>
              <w:rPr>
                <w:lang w:val="en-GB"/>
              </w:rPr>
              <w:t xml:space="preserve">Coordinator’s research administration unit. </w:t>
            </w:r>
            <w:r>
              <w:rPr>
                <w:shd w:fill="auto" w:val="clear"/>
                <w:lang w:val="en-GB"/>
              </w:rPr>
              <w:t>Training will be performed via online webinars, hosted by the partners and attended by the research administration unit.</w:t>
            </w:r>
            <w:r>
              <w:rPr>
                <w:lang w:val="en-GB"/>
              </w:rPr>
              <w:t xml:space="preserve"> At least two training sessions will be hosted per partner, emphasizing on (a) </w:t>
            </w:r>
            <w:r>
              <w:rPr>
                <w:shd w:fill="auto" w:val="clear"/>
                <w:lang w:val="en-GB"/>
              </w:rPr>
              <w:t xml:space="preserve">Project preperation, proposal writing and oragnisational issues and (b) Project management and administration (see section </w:t>
            </w:r>
            <w:r>
              <w:rPr>
                <w:shd w:fill="FF4000" w:val="clear"/>
                <w:lang w:val="en-GB"/>
              </w:rPr>
              <w:t>XX</w:t>
            </w:r>
            <w:r>
              <w:rPr>
                <w:shd w:fill="auto" w:val="clear"/>
                <w:lang w:val="en-GB"/>
              </w:rPr>
              <w:t>). Partners will use large scale research projects they have managed in the past, to provide detailed examples of successeful management and administration schema.</w:t>
            </w:r>
          </w:p>
          <w:p>
            <w:pPr>
              <w:pStyle w:val="Normal"/>
              <w:widowControl w:val="false"/>
              <w:spacing w:before="60" w:after="60"/>
              <w:jc w:val="both"/>
              <w:rPr>
                <w:b/>
                <w:bCs/>
              </w:rPr>
            </w:pPr>
            <w:r>
              <w:rPr/>
            </w:r>
          </w:p>
          <w:p>
            <w:pPr>
              <w:pStyle w:val="Normal"/>
              <w:widowControl w:val="false"/>
              <w:spacing w:before="60" w:after="60"/>
              <w:jc w:val="both"/>
              <w:rPr>
                <w:b/>
                <w:bCs/>
              </w:rPr>
            </w:pPr>
            <w:r>
              <w:rPr>
                <w:b/>
                <w:bCs/>
              </w:rPr>
              <w:t>Task 4.</w:t>
            </w:r>
            <w:r>
              <w:rPr>
                <w:b/>
                <w:bCs/>
              </w:rPr>
              <w:t xml:space="preserve">3 </w:t>
            </w:r>
            <w:r>
              <w:rPr>
                <w:b/>
                <w:bCs/>
              </w:rPr>
              <w:t>Exploring funding pools and opportunities (M12-M1</w:t>
            </w:r>
            <w:r>
              <w:rPr>
                <w:b/>
                <w:bCs/>
              </w:rPr>
              <w:t>6</w:t>
            </w:r>
            <w:r>
              <w:rPr>
                <w:b/>
                <w:bCs/>
              </w:rPr>
              <w:t>); Lead GFZ</w:t>
            </w:r>
          </w:p>
          <w:p>
            <w:pPr>
              <w:pStyle w:val="Normal"/>
              <w:widowControl w:val="false"/>
              <w:spacing w:before="60" w:after="60"/>
              <w:jc w:val="both"/>
              <w:rPr/>
            </w:pPr>
            <w:r>
              <w:rPr>
                <w:b w:val="false"/>
                <w:bCs w:val="false"/>
                <w:lang w:val="en-GB"/>
              </w:rPr>
              <w:t xml:space="preserve">The consortium partners (CLS, IPGP, GFZ and OSO) will </w:t>
            </w:r>
            <w:r>
              <w:rPr>
                <w:b w:val="false"/>
                <w:bCs w:val="false"/>
                <w:lang w:val="en-GB"/>
              </w:rPr>
              <w:t>introduce</w:t>
            </w:r>
            <w:r>
              <w:rPr>
                <w:b w:val="false"/>
                <w:bCs w:val="false"/>
                <w:lang w:val="en-GB"/>
              </w:rPr>
              <w:t xml:space="preserve"> </w:t>
            </w:r>
            <w:r>
              <w:rPr>
                <w:b w:val="false"/>
                <w:bCs w:val="false"/>
                <w:lang w:val="en-GB"/>
              </w:rPr>
              <w:t xml:space="preserve">and acquaint </w:t>
            </w:r>
            <w:r>
              <w:rPr>
                <w:b w:val="false"/>
                <w:bCs w:val="false"/>
                <w:lang w:val="en-GB"/>
              </w:rPr>
              <w:t xml:space="preserve">the </w:t>
            </w:r>
            <w:r>
              <w:rPr>
                <w:b w:val="false"/>
                <w:bCs w:val="false"/>
                <w:lang w:val="en-GB"/>
              </w:rPr>
              <w:t xml:space="preserve">Coordinator’s research administration unit to </w:t>
            </w:r>
            <w:r>
              <w:rPr>
                <w:b w:val="false"/>
                <w:bCs w:val="false"/>
                <w:shd w:fill="auto" w:val="clear"/>
                <w:lang w:val="en-GB"/>
              </w:rPr>
              <w:t>various, diverse research funding pools, grants, capabilities and opportunities,</w:t>
            </w:r>
            <w:r>
              <w:rPr>
                <w:shd w:fill="auto" w:val="clear"/>
                <w:lang w:val="en-GB"/>
              </w:rPr>
              <w:t xml:space="preserve"> which the unit can utilize to support research either individually (i.e. NTUA being the sole recipient of funding) or through partnerships (see section </w:t>
            </w:r>
            <w:r>
              <w:rPr>
                <w:shd w:fill="FF4000" w:val="clear"/>
                <w:lang w:val="en-GB"/>
              </w:rPr>
              <w:t>XX</w:t>
            </w:r>
            <w:r>
              <w:rPr>
                <w:shd w:fill="auto" w:val="clear"/>
                <w:lang w:val="en-GB"/>
              </w:rPr>
              <w:t>). Partners will use their own experience to transfer relevant knowledge to the Coordinator. At least one training session will be hosted per partner and attended by the unit.</w:t>
            </w:r>
          </w:p>
          <w:p>
            <w:pPr>
              <w:pStyle w:val="Normal"/>
              <w:widowControl w:val="false"/>
              <w:spacing w:before="60" w:after="60"/>
              <w:jc w:val="both"/>
              <w:rPr>
                <w:b/>
                <w:bCs/>
              </w:rPr>
            </w:pPr>
            <w:r>
              <w:rPr>
                <w:b/>
                <w:bCs/>
              </w:rPr>
            </w:r>
          </w:p>
          <w:p>
            <w:pPr>
              <w:pStyle w:val="Normal"/>
              <w:widowControl w:val="false"/>
              <w:spacing w:before="60" w:after="60"/>
              <w:jc w:val="both"/>
              <w:rPr/>
            </w:pPr>
            <w:r>
              <w:rPr>
                <w:b/>
                <w:bCs/>
                <w:lang w:val="en-GB"/>
              </w:rPr>
              <w:t>Task 4.</w:t>
            </w:r>
            <w:r>
              <w:rPr>
                <w:b/>
                <w:bCs/>
                <w:lang w:val="en-GB"/>
              </w:rPr>
              <w:t>4</w:t>
            </w:r>
            <w:r>
              <w:rPr>
                <w:b/>
                <w:bCs/>
                <w:lang w:val="en-GB"/>
              </w:rPr>
              <w:t xml:space="preserve"> Enhancing </w:t>
            </w:r>
            <w:r>
              <w:rPr>
                <w:b/>
                <w:bCs/>
                <w:lang w:val="en-GB"/>
              </w:rPr>
              <w:t>r</w:t>
            </w:r>
            <w:r>
              <w:rPr>
                <w:b/>
                <w:bCs/>
                <w:lang w:val="en-GB"/>
              </w:rPr>
              <w:t xml:space="preserve">esearch </w:t>
            </w:r>
            <w:r>
              <w:rPr>
                <w:b/>
                <w:bCs/>
                <w:lang w:val="en-GB"/>
              </w:rPr>
              <w:t>f</w:t>
            </w:r>
            <w:r>
              <w:rPr>
                <w:b/>
                <w:bCs/>
                <w:lang w:val="en-GB"/>
              </w:rPr>
              <w:t xml:space="preserve">unding </w:t>
            </w:r>
            <w:r>
              <w:rPr>
                <w:b/>
                <w:bCs/>
                <w:lang w:val="en-GB"/>
              </w:rPr>
              <w:t>c</w:t>
            </w:r>
            <w:r>
              <w:rPr>
                <w:b/>
                <w:bCs/>
                <w:lang w:val="en-GB"/>
              </w:rPr>
              <w:t>apacity (M1</w:t>
            </w:r>
            <w:r>
              <w:rPr>
                <w:b/>
                <w:bCs/>
                <w:lang w:val="en-GB"/>
              </w:rPr>
              <w:t>2</w:t>
            </w:r>
            <w:r>
              <w:rPr>
                <w:b/>
                <w:bCs/>
                <w:lang w:val="en-GB"/>
              </w:rPr>
              <w:t>-M36); Lead CLS</w:t>
            </w:r>
          </w:p>
          <w:p>
            <w:pPr>
              <w:pStyle w:val="Normal"/>
              <w:jc w:val="both"/>
              <w:rPr/>
            </w:pPr>
            <w:r>
              <w:rPr/>
              <w:t>Once th</w:t>
            </w:r>
            <w:r>
              <w:rPr/>
              <w:t>e</w:t>
            </w:r>
            <w:r>
              <w:rPr/>
              <w:t xml:space="preserve"> training phase of the </w:t>
            </w:r>
            <w:r>
              <w:rPr>
                <w:b w:val="false"/>
                <w:bCs w:val="false"/>
                <w:lang w:val="en-GB"/>
              </w:rPr>
              <w:t xml:space="preserve">research administration unit </w:t>
            </w:r>
            <w:r>
              <w:rPr/>
              <w:t xml:space="preserve">is </w:t>
            </w:r>
            <w:r>
              <w:rPr/>
              <w:t>(</w:t>
            </w:r>
            <w:r>
              <w:rPr/>
              <w:t>nearly</w:t>
            </w:r>
            <w:r>
              <w:rPr/>
              <w:t>)</w:t>
            </w:r>
            <w:r>
              <w:rPr/>
              <w:t xml:space="preserve"> over and throughout the rest of ACRONYM’s lifespan, the unit with the help and guidance of the twinning partners, will prepare and submit at least four research funding proposals, targeting various funding opportunities. These will build upon the research capacity build </w:t>
            </w:r>
            <w:r>
              <w:rPr/>
              <w:t xml:space="preserve">and scientific excellence gained </w:t>
            </w:r>
            <w:r>
              <w:rPr/>
              <w:t xml:space="preserve">via ACRONYM. </w:t>
            </w:r>
          </w:p>
          <w:p>
            <w:pPr>
              <w:pStyle w:val="Normal"/>
              <w:jc w:val="both"/>
              <w:rPr/>
            </w:pPr>
            <w:r>
              <w:rPr/>
              <w:t xml:space="preserve">At a minimum, the following funding bids will be submitted:  </w:t>
            </w:r>
          </w:p>
          <w:p>
            <w:pPr>
              <w:pStyle w:val="Normal"/>
              <w:numPr>
                <w:ilvl w:val="0"/>
                <w:numId w:val="21"/>
              </w:numPr>
              <w:jc w:val="both"/>
              <w:rPr/>
            </w:pPr>
            <w:r>
              <w:rPr/>
              <w:t xml:space="preserve">two EU large scale research and innovation calls (e.g. HORIZON), and </w:t>
            </w:r>
          </w:p>
          <w:p>
            <w:pPr>
              <w:pStyle w:val="Normal"/>
              <w:numPr>
                <w:ilvl w:val="0"/>
                <w:numId w:val="21"/>
              </w:numPr>
              <w:jc w:val="both"/>
              <w:rPr/>
            </w:pPr>
            <w:r>
              <w:rPr>
                <w:shd w:fill="auto" w:val="clear"/>
              </w:rPr>
              <w:t>two research proposals targeting young scientists and/or mobility (e.g. EU MSCA calls)</w:t>
            </w:r>
          </w:p>
          <w:p>
            <w:pPr>
              <w:pStyle w:val="Normal"/>
              <w:jc w:val="both"/>
              <w:rPr/>
            </w:pPr>
            <w:r>
              <w:rPr>
                <w:shd w:fill="auto" w:val="clear"/>
              </w:rPr>
              <w:t xml:space="preserve">Apart from NTUA, at least two of the ACRONYM partners will be involved in each of the proposals to be submitted, the aim being </w:t>
              <w:br/>
              <w:t>however for the consortium to be included as a whole.</w:t>
            </w:r>
          </w:p>
          <w:p>
            <w:pPr>
              <w:pStyle w:val="Normal"/>
              <w:widowControl w:val="false"/>
              <w:spacing w:before="60" w:after="60"/>
              <w:jc w:val="both"/>
              <w:rPr/>
            </w:pPr>
            <w:r>
              <w:rPr/>
            </w:r>
          </w:p>
          <w:p>
            <w:pPr>
              <w:pStyle w:val="Normal"/>
              <w:widowControl w:val="false"/>
              <w:spacing w:before="60" w:after="60"/>
              <w:jc w:val="both"/>
              <w:rPr>
                <w:highlight w:val="none"/>
                <w:shd w:fill="FF4000" w:val="clear"/>
              </w:rPr>
            </w:pPr>
            <w:r>
              <w:rPr>
                <w:b/>
                <w:bCs/>
                <w:shd w:fill="FF4000" w:val="clear"/>
              </w:rPr>
              <w:t>Task 4.4 Attracting new scientists and increasing mobility (M12-M36); Lead IPGP</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Ecosystem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8"/>
              </w:numPr>
              <w:spacing w:before="60" w:after="60"/>
              <w:jc w:val="both"/>
              <w:rPr>
                <w:b w:val="false"/>
                <w:bCs w:val="false"/>
              </w:rPr>
            </w:pPr>
            <w:r>
              <w:rPr>
                <w:rFonts w:ascii="Times New Roman" w:hAnsi="Times New Roman"/>
                <w:b w:val="false"/>
                <w:bCs w:val="false"/>
                <w:lang w:val="en-GB"/>
              </w:rPr>
              <w:t>establish efficient and seamless communication and knowledge transfer channels</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establish efficient and solid networking and collaboration between twinning partners</w:t>
            </w:r>
          </w:p>
          <w:p>
            <w:pPr>
              <w:pStyle w:val="Normal"/>
              <w:widowControl w:val="false"/>
              <w:numPr>
                <w:ilvl w:val="0"/>
                <w:numId w:val="9"/>
              </w:numPr>
              <w:spacing w:before="60" w:after="60"/>
              <w:jc w:val="both"/>
              <w:rPr>
                <w:b w:val="false"/>
                <w:bCs w:val="false"/>
              </w:rPr>
            </w:pPr>
            <w:r>
              <w:rPr>
                <w:rFonts w:ascii="Times New Roman" w:hAnsi="Times New Roman"/>
                <w:b w:val="false"/>
                <w:bCs w:val="false"/>
                <w:lang w:val="en-GB"/>
              </w:rPr>
              <w:t>introduction of NTUA to international consortia and/or services (i.e. IDS, ILRS and IVS)</w:t>
            </w:r>
          </w:p>
          <w:p>
            <w:pPr>
              <w:pStyle w:val="Normal"/>
              <w:widowControl w:val="false"/>
              <w:numPr>
                <w:ilvl w:val="0"/>
                <w:numId w:val="9"/>
              </w:numPr>
              <w:spacing w:before="60" w:after="60"/>
              <w:jc w:val="both"/>
              <w:rPr>
                <w:b/>
                <w:bCs/>
              </w:rPr>
            </w:pPr>
            <w:r>
              <w:rPr>
                <w:rFonts w:ascii="Times New Roman" w:hAnsi="Times New Roman"/>
                <w:b w:val="false"/>
                <w:bCs w:val="false"/>
                <w:lang w:val="en-GB"/>
              </w:rPr>
              <w:t>establishment of a Greek ecosystem of partners involved in space-based geosciences and applications</w:t>
            </w:r>
          </w:p>
          <w:p>
            <w:pPr>
              <w:pStyle w:val="Normal"/>
              <w:widowControl w:val="false"/>
              <w:numPr>
                <w:ilvl w:val="0"/>
                <w:numId w:val="9"/>
              </w:numPr>
              <w:spacing w:before="60" w:after="60"/>
              <w:rPr/>
            </w:pPr>
            <w:r>
              <w:rPr>
                <w:rFonts w:ascii="Times New Roman" w:hAnsi="Times New Roman"/>
                <w:b w:val="false"/>
                <w:bCs w:val="false"/>
                <w:lang w:val="en-GB"/>
              </w:rPr>
              <w:t>accommodate NTUA’s involvement in prestigious international consortia</w:t>
            </w:r>
          </w:p>
        </w:tc>
      </w:tr>
    </w:tbl>
    <w:p>
      <w:pPr>
        <w:pStyle w:val="Normal"/>
        <w:rPr/>
      </w:pPr>
      <w:r>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Cs/>
                <w:lang w:val="en-GB"/>
              </w:rPr>
            </w:pPr>
            <w:r>
              <w:rPr>
                <w:b/>
                <w:bCs/>
                <w:lang w:val="en-GB"/>
              </w:rPr>
              <w:t>Task 5.1 Agreement on PhD and PostDoc co-supervision (M1-M4); Lead NTUA</w:t>
            </w:r>
          </w:p>
          <w:p>
            <w:pPr>
              <w:pStyle w:val="Normal"/>
              <w:widowControl w:val="false"/>
              <w:spacing w:before="60" w:after="60"/>
              <w:jc w:val="both"/>
              <w:rPr>
                <w:b w:val="false"/>
                <w:bCs w:val="false"/>
                <w:lang w:val="en-GB"/>
              </w:rPr>
            </w:pPr>
            <w:r>
              <w:rPr>
                <w:b w:val="false"/>
                <w:bCs w:val="false"/>
                <w:lang w:val="en-GB"/>
              </w:rPr>
              <w:t>The Coordinator will reach an agreement with each of IPGP, GFZ and OSO, regarding the co-supervision of three PhD and three PostDoc thesis (each partner involved in one PhD and one PostDoc). The agreement will be formaly submitted to NTUA, and one  representative of each partner will be included in the three-part advisory committee (for PhD Thesis).</w:t>
            </w:r>
          </w:p>
          <w:p>
            <w:pPr>
              <w:pStyle w:val="Normal"/>
              <w:widowControl w:val="false"/>
              <w:spacing w:before="60" w:after="60"/>
              <w:jc w:val="both"/>
              <w:rPr>
                <w:b w:val="false"/>
                <w:bCs w:val="false"/>
                <w:lang w:val="en-GB"/>
              </w:rPr>
            </w:pPr>
            <w:r>
              <w:rPr>
                <w:b w:val="false"/>
                <w:bCs w:val="false"/>
                <w:lang w:val="en-GB"/>
              </w:rPr>
              <w:t>The subjects of the thesis will be codecided between the partners, depending on their respective expertise; the students will be allocated in the task forces descibed in WP2 (Tasks 2.2 to 2.4).</w:t>
            </w:r>
          </w:p>
          <w:p>
            <w:pPr>
              <w:pStyle w:val="Normal"/>
              <w:widowControl w:val="false"/>
              <w:spacing w:before="60" w:after="60"/>
              <w:jc w:val="both"/>
              <w:rPr/>
            </w:pPr>
            <w:r>
              <w:rPr/>
            </w:r>
          </w:p>
          <w:p>
            <w:pPr>
              <w:pStyle w:val="Normal"/>
              <w:widowControl w:val="false"/>
              <w:spacing w:before="60" w:after="60"/>
              <w:jc w:val="both"/>
              <w:rPr>
                <w:lang w:val="en-GB"/>
              </w:rPr>
            </w:pPr>
            <w:r>
              <w:rPr>
                <w:rFonts w:ascii="Times New Roman" w:hAnsi="Times New Roman"/>
                <w:b/>
                <w:lang w:val="en-GB"/>
              </w:rPr>
              <w:t>Task 2.1 Establishing ACRONYM seamless communication channels</w:t>
            </w:r>
          </w:p>
          <w:p>
            <w:pPr>
              <w:pStyle w:val="Normal"/>
              <w:widowControl w:val="false"/>
              <w:spacing w:before="60" w:after="60"/>
              <w:jc w:val="both"/>
              <w:rPr>
                <w:lang w:val="en-GB"/>
              </w:rPr>
            </w:pPr>
            <w:r>
              <w:rPr>
                <w:lang w:val="en-GB"/>
              </w:rPr>
            </w:r>
          </w:p>
          <w:p>
            <w:pPr>
              <w:pStyle w:val="Normal"/>
              <w:widowControl w:val="false"/>
              <w:spacing w:before="60" w:after="60"/>
              <w:jc w:val="both"/>
              <w:rPr>
                <w:lang w:val="en-GB"/>
              </w:rPr>
            </w:pPr>
            <w:r>
              <w:rPr>
                <w:rFonts w:ascii="Times New Roman" w:hAnsi="Times New Roman"/>
                <w:b/>
                <w:lang w:val="en-GB"/>
              </w:rPr>
              <w:t>Task 2.2 Introduction to Space Geodetic International Services</w:t>
            </w:r>
          </w:p>
          <w:p>
            <w:pPr>
              <w:pStyle w:val="Normal"/>
              <w:widowControl w:val="false"/>
              <w:spacing w:before="60" w:after="60"/>
              <w:jc w:val="both"/>
              <w:rPr>
                <w:lang w:val="en-GB"/>
              </w:rPr>
            </w:pPr>
            <w:r>
              <w:rPr>
                <w:lang w:val="en-GB"/>
              </w:rPr>
            </w:r>
          </w:p>
          <w:p>
            <w:pPr>
              <w:pStyle w:val="Normal"/>
              <w:widowControl w:val="false"/>
              <w:spacing w:before="60" w:after="60"/>
              <w:jc w:val="both"/>
              <w:rPr>
                <w:lang w:val="en-GB"/>
              </w:rPr>
            </w:pPr>
            <w:r>
              <w:rPr>
                <w:rFonts w:ascii="Times New Roman" w:hAnsi="Times New Roman"/>
                <w:b/>
                <w:lang w:val="en-GB"/>
              </w:rPr>
              <w:t>Task 2.3 Introduction to Internation Geodetic Consortia</w:t>
            </w:r>
          </w:p>
          <w:p>
            <w:pPr>
              <w:pStyle w:val="Normal"/>
              <w:rPr>
                <w:b w:val="false"/>
                <w:bCs w:val="false"/>
              </w:rPr>
            </w:pPr>
            <w:r>
              <w:rPr>
                <w:rFonts w:ascii="Times New Roman" w:hAnsi="Times New Roman"/>
                <w:b w:val="false"/>
                <w:bCs w:val="false"/>
                <w:lang w:val="en-GB"/>
              </w:rPr>
              <w:t xml:space="preserve">Expert nodes will introduce the </w:t>
            </w:r>
            <w:r>
              <w:rPr>
                <w:rFonts w:ascii="Times New Roman" w:hAnsi="Times New Roman"/>
                <w:b w:val="false"/>
                <w:bCs w:val="false"/>
                <w:lang w:val="en-GB"/>
              </w:rPr>
              <w:t>Coordinator</w:t>
            </w:r>
            <w:r>
              <w:rPr>
                <w:rFonts w:ascii="Times New Roman" w:hAnsi="Times New Roman"/>
                <w:b w:val="false"/>
                <w:bCs w:val="false"/>
                <w:lang w:val="en-GB"/>
              </w:rPr>
              <w:t xml:space="preserve"> to the IDS consortium, facilitating its </w:t>
            </w:r>
            <w:r>
              <w:rPr>
                <w:rFonts w:ascii="Times New Roman" w:hAnsi="Times New Roman"/>
                <w:b w:val="false"/>
                <w:bCs w:val="false"/>
                <w:lang w:val="en-GB"/>
              </w:rPr>
              <w:t xml:space="preserve">involvement within the service and </w:t>
            </w:r>
            <w:r>
              <w:rPr>
                <w:rFonts w:ascii="Times New Roman" w:hAnsi="Times New Roman"/>
                <w:b w:val="false"/>
                <w:bCs w:val="false"/>
                <w:lang w:val="en-GB"/>
              </w:rPr>
              <w:t>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b/>
                <w:bCs/>
              </w:rPr>
            </w:pPr>
            <w:r>
              <w:rPr>
                <w:b/>
                <w:bCs/>
              </w:rPr>
              <w:t>Task 2.6 Establishing a Greek Ecosystem of Partners in Space-based Geosciences (M6-18); Lead NTUA</w:t>
            </w:r>
          </w:p>
          <w:p>
            <w:pPr>
              <w:pStyle w:val="Normal"/>
              <w:widowControl w:val="false"/>
              <w:spacing w:before="60" w:after="60"/>
              <w:jc w:val="both"/>
              <w:rPr/>
            </w:pPr>
            <w:r>
              <w:rPr>
                <w:lang w:val="en-GB"/>
              </w:rPr>
              <w:t>NTUA will take the initiative of bringing together all parties in Greece involved in Space-based geosciences and related applications. This will include  possible industry partners (e.g. Libre Space Foundation (</w:t>
            </w:r>
            <w:hyperlink r:id="rId27">
              <w:r>
                <w:rPr>
                  <w:rStyle w:val="Hyperlink"/>
                  <w:lang w:val="en-GB"/>
                </w:rPr>
                <w:t>https://libre.space/</w:t>
              </w:r>
            </w:hyperlink>
            <w:r>
              <w:rPr>
                <w:lang w:val="en-GB"/>
              </w:rPr>
              <w:t>), Geosystems Hellas (</w:t>
            </w:r>
            <w:hyperlink r:id="rId28">
              <w:r>
                <w:rPr>
                  <w:rStyle w:val="Hyperlink"/>
                  <w:lang w:val="en-GB"/>
                </w:rPr>
                <w:t>https://www.geosystems-hellas.gr/</w:t>
              </w:r>
            </w:hyperlink>
            <w:r>
              <w:rPr>
                <w:lang w:val="en-GB"/>
              </w:rPr>
              <w:t>), Planetek Hellas (</w:t>
            </w:r>
            <w:hyperlink r:id="rId29">
              <w:r>
                <w:rPr>
                  <w:rStyle w:val="Hyperlink"/>
                  <w:lang w:val="en-GB"/>
                </w:rPr>
                <w:t>https://www.planetek.gr/</w:t>
              </w:r>
            </w:hyperlink>
            <w:r>
              <w:rPr>
                <w:lang w:val="en-GB"/>
              </w:rPr>
              <w:t>)), governmental agencies and institutions (e.g. National Observatory of Athens, Beyond Centre (</w:t>
            </w:r>
            <w:hyperlink r:id="rId30">
              <w:r>
                <w:rPr>
                  <w:rStyle w:val="Hyperlink"/>
                  <w:lang w:val="en-GB"/>
                </w:rPr>
                <w:t>http://beyond-eocenter.eu/</w:t>
              </w:r>
            </w:hyperlink>
            <w:r>
              <w:rPr>
                <w:lang w:val="en-GB"/>
              </w:rPr>
              <w:t>), Hellenic Group on Earth Observations (</w:t>
            </w:r>
            <w:hyperlink r:id="rId31">
              <w:r>
                <w:rPr>
                  <w:rStyle w:val="Hyperlink"/>
                  <w:lang w:val="en-GB"/>
                </w:rPr>
                <w:t>https://www.greekgeo.noa.gr/</w:t>
              </w:r>
            </w:hyperlink>
            <w:r>
              <w:rPr>
                <w:lang w:val="en-GB"/>
              </w:rPr>
              <w:t>)) as well as universities (e.g. Aristotle University of Thessaloniki, National and Kapodistrian University of Athens and the University of West Attica).</w:t>
            </w:r>
          </w:p>
          <w:p>
            <w:pPr>
              <w:pStyle w:val="Normal"/>
              <w:widowControl w:val="false"/>
              <w:spacing w:before="60" w:after="60"/>
              <w:jc w:val="both"/>
              <w:rPr/>
            </w:pPr>
            <w:r>
              <w:rPr/>
              <w:t>Two dedicated conferences will be organized by NTUA to take place in Greece, aiming at networking activities and potential collaborations between involved parties. A minimum attendance of 15 individual agencies is expected.</w:t>
            </w:r>
          </w:p>
          <w:p>
            <w:pPr>
              <w:pStyle w:val="Normal"/>
              <w:widowControl w:val="false"/>
              <w:spacing w:before="60" w:after="60"/>
              <w:jc w:val="both"/>
              <w:rPr/>
            </w:pPr>
            <w:r>
              <w:rPr/>
              <w:t>The first conference will focus on presenting ACRONYM’s aims, objectives and anticipated impact, as well as Space-based earth observation research activities currently active at NTUA performed in various laboratories (e.g. remote sensing, positioning and navigation, atmospheric studies, etc).</w:t>
            </w:r>
          </w:p>
          <w:p>
            <w:pPr>
              <w:pStyle w:val="Normal"/>
              <w:widowControl w:val="false"/>
              <w:spacing w:before="60" w:after="60"/>
              <w:jc w:val="both"/>
              <w:rPr>
                <w:b w:val="false"/>
                <w:bCs w:val="false"/>
              </w:rPr>
            </w:pPr>
            <w:r>
              <w:rPr>
                <w:b w:val="false"/>
                <w:bCs w:val="false"/>
                <w:lang w:val="en-GB"/>
              </w:rPr>
              <w:t>A second, two-day conference will focus on the introduction of the different ecosystem parties, presenting  their fields of expertise, research and industry portfolios, aspirations and future work.</w:t>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10"/>
              </w:numPr>
              <w:spacing w:before="60" w:after="60"/>
              <w:jc w:val="both"/>
              <w:rPr/>
            </w:pPr>
            <w:r>
              <w:rPr/>
              <w:t>significantly enhance the host institute’s international standing and prestige via dissemination and communication activities</w:t>
            </w:r>
          </w:p>
          <w:p>
            <w:pPr>
              <w:pStyle w:val="Normal"/>
              <w:widowControl w:val="false"/>
              <w:numPr>
                <w:ilvl w:val="0"/>
                <w:numId w:val="10"/>
              </w:numPr>
              <w:spacing w:before="60" w:after="60"/>
              <w:jc w:val="both"/>
              <w:rPr/>
            </w:pPr>
            <w:r>
              <w:rPr/>
              <w:t>endorse and promote the achievements of ACRONYM and the newly established center of excellence</w:t>
            </w:r>
          </w:p>
          <w:p>
            <w:pPr>
              <w:pStyle w:val="Normal"/>
              <w:widowControl w:val="false"/>
              <w:numPr>
                <w:ilvl w:val="0"/>
                <w:numId w:val="10"/>
              </w:numPr>
              <w:spacing w:before="60" w:after="60"/>
              <w:jc w:val="both"/>
              <w:rPr/>
            </w:pPr>
            <w:r>
              <w:rPr/>
              <w:t>enhance NTUA’s research profile through scientific papers in top-tier peer reviewed journals, co-authored with the top-class consortium partners (at least three)</w:t>
            </w:r>
          </w:p>
          <w:p>
            <w:pPr>
              <w:pStyle w:val="Normal"/>
              <w:widowControl w:val="false"/>
              <w:numPr>
                <w:ilvl w:val="0"/>
                <w:numId w:val="10"/>
              </w:numPr>
              <w:spacing w:before="60" w:after="60"/>
              <w:jc w:val="both"/>
              <w:rPr/>
            </w:pPr>
            <w:r>
              <w:rPr/>
              <w:t>enhance NTUA’s visibility, prominence and networking capabilities via consortium presence in at least five international conferences/workshops</w:t>
            </w:r>
          </w:p>
          <w:p>
            <w:pPr>
              <w:pStyle w:val="Normal"/>
              <w:widowControl w:val="false"/>
              <w:numPr>
                <w:ilvl w:val="0"/>
                <w:numId w:val="10"/>
              </w:numPr>
              <w:spacing w:before="60" w:after="60"/>
              <w:jc w:val="both"/>
              <w:rPr/>
            </w:pPr>
            <w:r>
              <w:rPr/>
              <w:t>strengthen the potential for future collaborations nationally and beyond borders</w:t>
            </w:r>
          </w:p>
          <w:p>
            <w:pPr>
              <w:pStyle w:val="Normal"/>
              <w:widowControl w:val="false"/>
              <w:numPr>
                <w:ilvl w:val="0"/>
                <w:numId w:val="10"/>
              </w:numPr>
              <w:spacing w:before="60" w:after="60"/>
              <w:jc w:val="both"/>
              <w:rPr/>
            </w:pPr>
            <w:r>
              <w:rPr/>
              <w:t>enhance NTUA’s appeal to young talented scientists</w:t>
            </w:r>
          </w:p>
          <w:p>
            <w:pPr>
              <w:pStyle w:val="Normal"/>
              <w:widowControl w:val="false"/>
              <w:numPr>
                <w:ilvl w:val="0"/>
                <w:numId w:val="10"/>
              </w:numPr>
              <w:spacing w:before="60" w:after="60"/>
              <w:jc w:val="both"/>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4.1 Project Website and Social Media Engagement (M6-M36); Lead NTUA</w:t>
            </w:r>
          </w:p>
          <w:p>
            <w:pPr>
              <w:pStyle w:val="Normal"/>
              <w:widowControl w:val="false"/>
              <w:spacing w:before="60" w:after="60"/>
              <w:jc w:val="both"/>
              <w:rPr/>
            </w:pPr>
            <w:r>
              <w:rPr>
                <w:lang w:val="en-GB"/>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Normal"/>
              <w:widowControl w:val="false"/>
              <w:spacing w:before="60" w:after="60"/>
              <w:jc w:val="both"/>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Normal"/>
              <w:widowControl w:val="false"/>
              <w:spacing w:before="60" w:after="60"/>
              <w:jc w:val="both"/>
              <w:rPr/>
            </w:pP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4.2 Sharing of technical knowledge and know-how (M12-M24); Lead IPGP</w:t>
            </w:r>
          </w:p>
          <w:p>
            <w:pPr>
              <w:pStyle w:val="Normal"/>
              <w:widowControl w:val="false"/>
              <w:spacing w:before="60" w:after="6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4.3 Joint Summer School and Se</w:t>
            </w:r>
            <w:r>
              <w:rPr>
                <w:b/>
                <w:bCs/>
                <w:shd w:fill="auto" w:val="clear"/>
                <w:lang w:val="en-GB"/>
              </w:rPr>
              <w:t>minar (M12-M36); Lead NTUA</w:t>
            </w:r>
          </w:p>
          <w:p>
            <w:pPr>
              <w:pStyle w:val="Normal"/>
              <w:widowControl w:val="false"/>
              <w:spacing w:before="60" w:after="60"/>
              <w:jc w:val="both"/>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spacing w:before="60" w:after="60"/>
              <w:jc w:val="both"/>
              <w:rPr/>
            </w:pPr>
            <w:r>
              <w:rPr>
                <w:lang w:val="en-GB"/>
              </w:rPr>
              <w:t>The host institute will also organize a one-day seminar (info-day) to take place in Greece, where 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4.4 Open-Access Publications (M12-M36); Lead NTUA</w:t>
            </w:r>
          </w:p>
          <w:p>
            <w:pPr>
              <w:pStyle w:val="Normal"/>
              <w:widowControl w:val="false"/>
              <w:spacing w:before="60" w:after="60"/>
              <w:jc w:val="both"/>
              <w:rPr/>
            </w:pPr>
            <w:r>
              <w:rPr>
                <w:lang w:val="en-GB"/>
              </w:rPr>
              <w:t>Each of the expert partners will collaborate with the host institution in the co-authorship of one scientific paper (in their respective fields of expertise), to be published in peer-reviewed journal (impact factor &gt; 2.4). Hence, by the end of ACRONYM, three high impact factor publications will have been produced, adhering to an open-access policy.</w:t>
            </w:r>
          </w:p>
          <w:p>
            <w:pPr>
              <w:pStyle w:val="Normal"/>
              <w:widowControl w:val="false"/>
              <w:spacing w:before="60" w:after="60"/>
              <w:jc w:val="both"/>
              <w:rPr>
                <w:lang w:val="en-GB"/>
              </w:rPr>
            </w:pPr>
            <w:r>
              <w:rPr>
                <w:lang w:val="en-GB"/>
              </w:rPr>
              <w:t>Additionally, members of the consortium will present relevant publications in at leas</w:t>
            </w:r>
            <w:r>
              <w:rPr>
                <w:shd w:fill="auto" w:val="clear"/>
                <w:lang w:val="en-GB"/>
              </w:rPr>
              <w:t>t five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Normal"/>
              <w:widowControl w:val="false"/>
              <w:spacing w:before="60" w:after="60"/>
              <w:jc w:val="both"/>
              <w:rPr>
                <w:lang w:val="en-GB"/>
              </w:rPr>
            </w:pPr>
            <w:r>
              <w:rPr>
                <w:lang w:val="en-GB"/>
              </w:rPr>
            </w:r>
          </w:p>
          <w:p>
            <w:pPr>
              <w:pStyle w:val="Normal"/>
              <w:widowControl w:val="false"/>
              <w:spacing w:before="60" w:after="60"/>
              <w:jc w:val="both"/>
              <w:rPr>
                <w:b/>
                <w:bCs/>
              </w:rPr>
            </w:pPr>
            <w:r>
              <w:rPr>
                <w:b/>
                <w:bCs/>
              </w:rPr>
              <w:t>Task 4.5 Dissemination Activities and Support for the Greek Ecosystem (M12-M36); Lead CLS</w:t>
            </w:r>
          </w:p>
          <w:p>
            <w:pPr>
              <w:pStyle w:val="Normal"/>
              <w:widowControl w:val="false"/>
              <w:spacing w:before="60" w:after="60"/>
              <w:jc w:val="both"/>
              <w:rPr>
                <w:b w:val="false"/>
                <w:bCs w:val="false"/>
              </w:rPr>
            </w:pPr>
            <w:r>
              <w:rPr>
                <w:b w:val="false"/>
                <w:bCs w:val="false"/>
              </w:rPr>
              <w:t xml:space="preserve">To support the establishment and longlivety of the Greek space-based geoscienences ecosystem </w:t>
            </w:r>
            <w:r>
              <w:rPr>
                <w:b w:val="false"/>
                <w:bCs w:val="false"/>
                <w:lang w:val="en-GB"/>
              </w:rPr>
              <w:t>(Task 2.5), NTUA and partners will prepare and disseminate a newletter, containing information on: (a) the aims and objectives of ACRONYMS, (b) milestones reached, (c) activities performed within ACRONYM including software design and release, conference attendance and relevant publications, (d) new prospects, missions and trends in pace Geodesy, (e) outreach matterial from all partners of ACRONYM and (f) outreach matterial from ecosystem members.</w:t>
            </w:r>
          </w:p>
          <w:p>
            <w:pPr>
              <w:pStyle w:val="Normal"/>
              <w:widowControl w:val="false"/>
              <w:spacing w:before="60" w:after="60"/>
              <w:jc w:val="both"/>
              <w:rPr>
                <w:b w:val="false"/>
                <w:bCs w:val="false"/>
              </w:rPr>
            </w:pPr>
            <w:r>
              <w:rPr>
                <w:b w:val="false"/>
                <w:bCs w:val="false"/>
              </w:rPr>
              <w:t>The first issue of the newsletter will be prepared and published by the 12</w:t>
            </w:r>
            <w:r>
              <w:rPr>
                <w:b w:val="false"/>
                <w:bCs w:val="false"/>
                <w:vertAlign w:val="superscript"/>
              </w:rPr>
              <w:t>th</w:t>
            </w:r>
            <w:r>
              <w:rPr>
                <w:b w:val="false"/>
                <w:bCs w:val="false"/>
              </w:rPr>
              <w:t xml:space="preserve"> month and from then on, a new issue will be released every six months.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lang w:val="en-GB"/>
        </w:rPr>
      </w:pPr>
      <w:r>
        <w:rPr>
          <w:rFonts w:ascii="Times New Roman" w:hAnsi="Times New Roman"/>
          <w:b/>
          <w:lang w:val="en-GB"/>
        </w:rPr>
      </w:r>
    </w:p>
    <w:tbl>
      <w:tblPr>
        <w:tblW w:w="1040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6"/>
        <w:gridCol w:w="2077"/>
        <w:gridCol w:w="1293"/>
        <w:gridCol w:w="1385"/>
        <w:gridCol w:w="1388"/>
        <w:gridCol w:w="1757"/>
        <w:gridCol w:w="1125"/>
      </w:tblGrid>
      <w:tr>
        <w:trPr/>
        <w:tc>
          <w:tcPr>
            <w:tcW w:w="1376"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Kick-Off Meeting</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Management Board Meetings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6,12,18,24,30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Final ACRONYM meeting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D5.X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Formal agreement on PhD &amp; PostDoc co-supervision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WP5</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Assessement</w:t>
            </w:r>
            <w:r>
              <w:rPr>
                <w:color w:val="C9211E"/>
                <w:lang w:val="en-GB"/>
              </w:rPr>
              <w:t xml:space="preserve"> of NTUA’s in-house software </w:t>
            </w:r>
            <w:r>
              <w:rPr>
                <w:color w:val="C9211E"/>
                <w:lang w:val="en-GB"/>
              </w:rPr>
              <w:t>tools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w:t>
            </w:r>
            <w:r>
              <w:rPr>
                <w:color w:val="C9211E"/>
                <w:lang w:val="en-GB"/>
              </w:rPr>
              <w:t>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w:t>
            </w:r>
            <w:r>
              <w:rPr>
                <w:color w:val="C9211E"/>
                <w:lang w:val="en-GB"/>
              </w:rPr>
              <w:t>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w:t>
            </w:r>
            <w:r>
              <w:rPr>
                <w:color w:val="C9211E"/>
                <w:lang w:val="en-GB"/>
              </w:rPr>
              <w:t>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Attendance report of training events (omitting ACRONYM)</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w:t>
            </w:r>
            <w:r>
              <w:rPr>
                <w:lang w:val="en-GB"/>
              </w:rPr>
              <w:t>6</w:t>
            </w:r>
            <w:r>
              <w:rPr>
                <w:lang w:val="en-GB"/>
              </w:rPr>
              <w:t>.X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ACRONYM Newsletter</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12,18,24,30,36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D</w:t>
            </w:r>
            <w:r>
              <w:rPr>
                <w:color w:val="81D41A"/>
                <w:lang w:val="en-GB"/>
              </w:rPr>
              <w:t>4</w:t>
            </w:r>
            <w:r>
              <w:rPr>
                <w:color w:val="81D41A"/>
                <w:lang w:val="en-GB"/>
              </w:rPr>
              <w:t>.</w:t>
            </w:r>
            <w:r>
              <w:rPr>
                <w:color w:val="81D41A"/>
                <w:lang w:val="en-GB"/>
              </w:rPr>
              <w:t>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Report on</w:t>
            </w:r>
            <w:r>
              <w:rPr>
                <w:color w:val="81D41A"/>
                <w:lang w:val="en-GB"/>
              </w:rPr>
              <w:t xml:space="preserve"> research proposal </w:t>
            </w:r>
            <w:r>
              <w:rPr>
                <w:color w:val="81D41A"/>
                <w:lang w:val="en-GB"/>
              </w:rPr>
              <w:t>submission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WP</w:t>
            </w:r>
            <w:r>
              <w:rPr>
                <w:color w:val="81D41A"/>
                <w:lang w:val="en-GB"/>
              </w:rPr>
              <w:t>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24, 36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rPr>
                <w:color w:val="81D41A"/>
              </w:rPr>
            </w:pPr>
            <w:r>
              <w:rPr>
                <w:color w:val="81D41A"/>
              </w:rPr>
              <w:t>R</w:t>
            </w:r>
            <w:r>
              <w:rPr>
                <w:color w:val="81D41A"/>
              </w:rPr>
              <w:t xml:space="preserve">esearch management </w:t>
            </w:r>
            <w:r>
              <w:rPr>
                <w:color w:val="81D41A"/>
              </w:rPr>
              <w:t xml:space="preserve">and </w:t>
            </w:r>
            <w:r>
              <w:rPr>
                <w:color w:val="81D41A"/>
              </w:rPr>
              <w:t>administration unit</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3</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rPr>
                <w:color w:val="81D41A"/>
              </w:rPr>
            </w:pPr>
            <w:r>
              <w:rPr>
                <w:color w:val="81D41A"/>
              </w:rPr>
              <w:t>R</w:t>
            </w:r>
            <w:r>
              <w:rPr>
                <w:color w:val="81D41A"/>
              </w:rPr>
              <w:t xml:space="preserve">esearch management </w:t>
            </w:r>
            <w:r>
              <w:rPr>
                <w:color w:val="81D41A"/>
              </w:rPr>
              <w:t xml:space="preserve">and </w:t>
            </w:r>
            <w:r>
              <w:rPr>
                <w:color w:val="81D41A"/>
              </w:rPr>
              <w:t xml:space="preserve">administration unit </w:t>
            </w:r>
            <w:r>
              <w:rPr>
                <w:color w:val="81D41A"/>
              </w:rPr>
              <w:t>training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12, 16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color w:val="2A6099"/>
              </w:rPr>
            </w:pPr>
            <w:r>
              <w:rPr>
                <w:color w:val="2A6099"/>
              </w:rPr>
              <w:t xml:space="preserve">Long term plan for </w:t>
            </w:r>
            <w:r>
              <w:rPr>
                <w:color w:val="2A6099"/>
              </w:rPr>
              <w:t>scientific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w:t>
            </w:r>
            <w:r>
              <w:rPr>
                <w:lang w:val="en-GB"/>
              </w:rPr>
              <w:t>6</w:t>
            </w:r>
            <w:r>
              <w:rPr>
                <w:lang w:val="en-GB"/>
              </w:rPr>
              <w:t>.1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w:t>
            </w:r>
            <w:r>
              <w:rPr>
                <w:lang w:val="en-GB"/>
              </w:rPr>
              <w:t>6</w:t>
            </w:r>
            <w:r>
              <w:rPr>
                <w:lang w:val="en-GB"/>
              </w:rPr>
              <w:t>.2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w:t>
            </w:r>
            <w:r>
              <w:rPr>
                <w:lang w:val="en-GB"/>
              </w:rPr>
              <w:t>6</w:t>
            </w:r>
            <w:r>
              <w:rPr>
                <w:lang w:val="en-GB"/>
              </w:rPr>
              <w:t>.3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w:t>
            </w:r>
            <w:r>
              <w:rPr>
                <w:shd w:fill="FFFF00" w:val="clear"/>
                <w:lang w:val="en-GB"/>
              </w:rPr>
              <w:t>6</w:t>
            </w:r>
            <w:r>
              <w:rPr>
                <w:shd w:fill="FFFF00" w:val="clear"/>
                <w:lang w:val="en-GB"/>
              </w:rPr>
              <w:t>.4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w:t>
            </w:r>
            <w:r>
              <w:rPr>
                <w:lang w:val="en-GB"/>
              </w:rPr>
              <w:t>6</w:t>
            </w:r>
            <w:r>
              <w:rPr>
                <w:lang w:val="en-GB"/>
              </w:rPr>
              <w:t>.5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Conclusions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35"/>
        <w:gridCol w:w="2275"/>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3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Kick-Off Meeting Organized</w:t>
            </w:r>
          </w:p>
        </w:tc>
        <w:tc>
          <w:tcPr>
            <w:tcW w:w="2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7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3</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3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7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7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7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Issue of the first volume of the ACRONYM newletter</w:t>
            </w:r>
          </w:p>
        </w:tc>
        <w:tc>
          <w:tcPr>
            <w:tcW w:w="223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7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Establishment of a Greek ecosystem for space-based Earth observation</w:t>
            </w:r>
          </w:p>
        </w:tc>
        <w:tc>
          <w:tcPr>
            <w:tcW w:w="223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7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7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3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7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3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7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Wrap Up Meeting</w:t>
            </w:r>
          </w:p>
        </w:tc>
        <w:tc>
          <w:tcPr>
            <w:tcW w:w="223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7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36</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All-partner meeting and technical report</w:t>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01"/>
        <w:gridCol w:w="2436"/>
        <w:gridCol w:w="3828"/>
      </w:tblGrid>
      <w:tr>
        <w:trPr/>
        <w:tc>
          <w:tcPr>
            <w:tcW w:w="380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3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8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8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80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ins w:id="0" w:author="Μαρία Τσακίρη" w:date="2023-07-24T08:48:00Z">
              <w:r>
                <w:rPr>
                  <w:rFonts w:ascii="Times New Roman" w:hAnsi="Times New Roman"/>
                  <w:b/>
                  <w:lang w:val="en-GB"/>
                </w:rPr>
                <w:t>One partner resigns from consortium</w:t>
              </w:r>
            </w:ins>
          </w:p>
        </w:tc>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80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243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84"/>
        <w:gridCol w:w="1493"/>
        <w:gridCol w:w="1467"/>
        <w:gridCol w:w="1446"/>
        <w:gridCol w:w="3134"/>
      </w:tblGrid>
      <w:tr>
        <w:trPr/>
        <w:tc>
          <w:tcPr>
            <w:tcW w:w="2384" w:type="dxa"/>
            <w:tcBorders>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8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4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rHeight w:val="506" w:hRule="atLeast"/>
        </w:trPr>
        <w:tc>
          <w:tcPr>
            <w:tcW w:w="238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c>
          <w:tcPr>
            <w:tcW w:w="238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c>
          <w:tcPr>
            <w:tcW w:w="238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4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rFonts w:ascii="Times New Roman" w:hAnsi="Times New Roman"/>
          <w:b/>
          <w:lang w:val="en-GB"/>
        </w:rPr>
      </w:pPr>
      <w:r>
        <w:rPr>
          <w:rFonts w:ascii="Times New Roman" w:hAnsi="Times New Roman"/>
          <w:b/>
          <w:lang w:val="en-GB"/>
        </w:rPr>
      </w:r>
    </w:p>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32"/>
      <w:headerReference w:type="first" r:id="rId33"/>
      <w:footerReference w:type="default" r:id="rId34"/>
      <w:footerReference w:type="first" r:id="rId35"/>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apple-system">
    <w:altName w:val="BlinkMacSystemFont"/>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Times New Roman">
    <w:charset w:val="01"/>
    <w:family w:val="roman"/>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4"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drawing>
        <wp:inline distT="0" distB="0" distL="0" distR="0">
          <wp:extent cx="6616700" cy="26733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1" allowOverlap="1" relativeHeight="27" wp14:anchorId="03E1E5DF">
              <wp:simplePos x="0" y="0"/>
              <wp:positionH relativeFrom="column">
                <wp:posOffset>0</wp:posOffset>
              </wp:positionH>
              <wp:positionV relativeFrom="paragraph">
                <wp:posOffset>635</wp:posOffset>
              </wp:positionV>
              <wp:extent cx="6616700" cy="267335"/>
              <wp:effectExtent l="5080" t="5715" r="5080" b="4445"/>
              <wp:wrapNone/>
              <wp:docPr id="6"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10</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10</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drawing>
        <wp:inline distT="0" distB="0" distL="0" distR="0">
          <wp:extent cx="6616700" cy="267335"/>
          <wp:effectExtent l="0" t="0" r="0" b="0"/>
          <wp:docPr id="7"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1" allowOverlap="1" relativeHeight="63" wp14:anchorId="48EC8C95">
              <wp:simplePos x="0" y="0"/>
              <wp:positionH relativeFrom="column">
                <wp:posOffset>0</wp:posOffset>
              </wp:positionH>
              <wp:positionV relativeFrom="paragraph">
                <wp:posOffset>635</wp:posOffset>
              </wp:positionV>
              <wp:extent cx="6616700" cy="267335"/>
              <wp:effectExtent l="5080" t="5715" r="5080" b="4445"/>
              <wp:wrapNone/>
              <wp:docPr id="8"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mc:AlternateContent>
        <mc:Choice Requires="wps">
          <w:drawing>
            <wp:anchor behindDoc="1" distT="5715" distB="4445" distL="5080" distR="5080" simplePos="0" locked="0" layoutInCell="1" allowOverlap="1" relativeHeight="93" wp14:anchorId="402D5860">
              <wp:simplePos x="0" y="0"/>
              <wp:positionH relativeFrom="column">
                <wp:posOffset>0</wp:posOffset>
              </wp:positionH>
              <wp:positionV relativeFrom="paragraph">
                <wp:posOffset>635</wp:posOffset>
              </wp:positionV>
              <wp:extent cx="6616700" cy="267335"/>
              <wp:effectExtent l="5080" t="5715" r="5080" b="4445"/>
              <wp:wrapNone/>
              <wp:docPr id="9"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31</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31</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0"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hanging="0" w:left="3442"/>
      <w:outlineLvl w:val="1"/>
    </w:pPr>
    <w:rPr>
      <w:rFonts w:ascii="Verdana" w:hAnsi="Verdana"/>
      <w:sz w:val="40"/>
      <w:szCs w:val="40"/>
    </w:rPr>
  </w:style>
  <w:style w:type="paragraph" w:styleId="Heading3">
    <w:name w:val="Heading 3"/>
    <w:basedOn w:val="Normal"/>
    <w:uiPriority w:val="9"/>
    <w:semiHidden/>
    <w:unhideWhenUsed/>
    <w:qFormat/>
    <w:pPr>
      <w:spacing w:before="2" w:after="0"/>
      <w:ind w:hanging="283" w:left="429"/>
      <w:outlineLvl w:val="2"/>
    </w:pPr>
    <w:rPr>
      <w:rFonts w:ascii="Arial" w:hAnsi="Arial"/>
      <w:sz w:val="34"/>
      <w:szCs w:val="34"/>
    </w:rPr>
  </w:style>
  <w:style w:type="paragraph" w:styleId="Heading4">
    <w:name w:val="Heading 4"/>
    <w:basedOn w:val="Normal"/>
    <w:uiPriority w:val="9"/>
    <w:semiHidden/>
    <w:unhideWhenUsed/>
    <w:qFormat/>
    <w:pPr>
      <w:ind w:hanging="0" w:left="146"/>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hanging="0" w:left="833"/>
      <w:outlineLvl w:val="4"/>
    </w:pPr>
    <w:rPr>
      <w:b/>
      <w:bCs/>
      <w:sz w:val="24"/>
      <w:szCs w:val="24"/>
    </w:rPr>
  </w:style>
  <w:style w:type="paragraph" w:styleId="Heading6">
    <w:name w:val="Heading 6"/>
    <w:basedOn w:val="Normal"/>
    <w:uiPriority w:val="9"/>
    <w:semiHidden/>
    <w:unhideWhenUsed/>
    <w:qFormat/>
    <w:pPr>
      <w:ind w:hanging="0" w:left="833"/>
      <w:outlineLvl w:val="5"/>
    </w:pPr>
    <w:rPr>
      <w:b/>
      <w:bCs/>
      <w:i/>
      <w:sz w:val="24"/>
      <w:szCs w:val="24"/>
    </w:rPr>
  </w:style>
  <w:style w:type="paragraph" w:styleId="Heading7">
    <w:name w:val="Heading 7"/>
    <w:basedOn w:val="Normal"/>
    <w:next w:val="Normal"/>
    <w:qFormat/>
    <w:pPr>
      <w:widowControl/>
      <w:numPr>
        <w:ilvl w:val="6"/>
        <w:numId w:val="2"/>
      </w:numPr>
      <w:spacing w:before="240" w:after="60"/>
      <w:ind w:hanging="708" w:left="474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hanging="708" w:left="5456"/>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hanging="708" w:left="6164"/>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Hyper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FollowedHyper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Reference">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LineNumber">
    <w:name w:val="Line Number"/>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ind w:hanging="360" w:left="1193"/>
    </w:pPr>
    <w:rPr>
      <w:sz w:val="24"/>
      <w:szCs w:val="24"/>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hanging="697" w:left="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hanging="0" w:left="482"/>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hanging="0" w:right="-21"/>
      <w:jc w:val="both"/>
    </w:pPr>
    <w:rPr>
      <w:b/>
      <w:szCs w:val="20"/>
      <w:lang w:val="en-GB" w:eastAsia="en-GB"/>
    </w:rPr>
  </w:style>
  <w:style w:type="paragraph" w:styleId="BodyText1" w:customStyle="1">
    <w:name w:val="Body Text1"/>
    <w:basedOn w:val="Normal"/>
    <w:qFormat/>
    <w:pPr>
      <w:widowControl/>
      <w:ind w:hanging="0" w:left="288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hanging="0" w:right="85"/>
      <w:jc w:val="both"/>
    </w:pPr>
    <w:rPr>
      <w:rFonts w:ascii="Arial" w:hAnsi="Arial"/>
      <w:szCs w:val="20"/>
      <w:lang w:val="en-GB" w:eastAsia="en-GB"/>
    </w:rPr>
  </w:style>
  <w:style w:type="paragraph" w:styleId="ZDGName" w:customStyle="1">
    <w:name w:val="Z_DGName"/>
    <w:basedOn w:val="Normal"/>
    <w:qFormat/>
    <w:pPr>
      <w:ind w:hanging="0" w:right="85"/>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hanging="0" w:left="144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TOC1">
    <w:name w:val="TOC 1"/>
    <w:basedOn w:val="Normal"/>
    <w:next w:val="Normal"/>
    <w:autoRedefine/>
    <w:pPr>
      <w:widowControl/>
      <w:spacing w:before="120" w:after="120"/>
    </w:pPr>
    <w:rPr>
      <w:b/>
      <w:bCs/>
      <w:caps/>
      <w:sz w:val="20"/>
      <w:szCs w:val="20"/>
      <w:lang w:val="en-GB" w:eastAsia="en-GB"/>
    </w:rPr>
  </w:style>
  <w:style w:type="paragraph" w:styleId="TOC2">
    <w:name w:val="TOC 2"/>
    <w:basedOn w:val="Normal"/>
    <w:next w:val="Normal"/>
    <w:autoRedefine/>
    <w:pPr>
      <w:widowControl/>
      <w:ind w:hanging="0" w:left="220"/>
    </w:pPr>
    <w:rPr>
      <w:smallCaps/>
      <w:sz w:val="20"/>
      <w:szCs w:val="20"/>
      <w:lang w:val="en-GB" w:eastAsia="en-GB"/>
    </w:rPr>
  </w:style>
  <w:style w:type="paragraph" w:styleId="TOC3">
    <w:name w:val="TOC 3"/>
    <w:basedOn w:val="Normal"/>
    <w:next w:val="Normal"/>
    <w:autoRedefine/>
    <w:pPr>
      <w:widowControl/>
      <w:ind w:hanging="0" w:left="440"/>
    </w:pPr>
    <w:rPr>
      <w:i/>
      <w:iCs/>
      <w:sz w:val="20"/>
      <w:szCs w:val="20"/>
      <w:lang w:val="en-GB" w:eastAsia="en-GB"/>
    </w:rPr>
  </w:style>
  <w:style w:type="paragraph" w:styleId="TOC4">
    <w:name w:val="TOC 4"/>
    <w:basedOn w:val="Normal"/>
    <w:next w:val="Normal"/>
    <w:autoRedefine/>
    <w:pPr>
      <w:widowControl/>
      <w:ind w:hanging="0" w:left="660"/>
    </w:pPr>
    <w:rPr>
      <w:sz w:val="18"/>
      <w:szCs w:val="18"/>
      <w:lang w:val="en-GB" w:eastAsia="en-GB"/>
    </w:rPr>
  </w:style>
  <w:style w:type="paragraph" w:styleId="TOC5">
    <w:name w:val="TOC 5"/>
    <w:basedOn w:val="Normal"/>
    <w:next w:val="Normal"/>
    <w:autoRedefine/>
    <w:pPr>
      <w:widowControl/>
      <w:ind w:hanging="0" w:left="880"/>
    </w:pPr>
    <w:rPr>
      <w:sz w:val="18"/>
      <w:szCs w:val="18"/>
      <w:lang w:val="en-GB" w:eastAsia="en-GB"/>
    </w:rPr>
  </w:style>
  <w:style w:type="paragraph" w:styleId="TOC6">
    <w:name w:val="TOC 6"/>
    <w:basedOn w:val="Normal"/>
    <w:next w:val="Normal"/>
    <w:autoRedefine/>
    <w:pPr>
      <w:widowControl/>
      <w:ind w:hanging="0" w:left="1100"/>
    </w:pPr>
    <w:rPr>
      <w:sz w:val="18"/>
      <w:szCs w:val="18"/>
      <w:lang w:val="en-GB" w:eastAsia="en-GB"/>
    </w:rPr>
  </w:style>
  <w:style w:type="paragraph" w:styleId="TOC7">
    <w:name w:val="TOC 7"/>
    <w:basedOn w:val="Normal"/>
    <w:next w:val="Normal"/>
    <w:autoRedefine/>
    <w:pPr>
      <w:widowControl/>
      <w:ind w:hanging="0" w:left="1320"/>
    </w:pPr>
    <w:rPr>
      <w:sz w:val="18"/>
      <w:szCs w:val="18"/>
      <w:lang w:val="en-GB" w:eastAsia="en-GB"/>
    </w:rPr>
  </w:style>
  <w:style w:type="paragraph" w:styleId="TOC8">
    <w:name w:val="TOC 8"/>
    <w:basedOn w:val="Normal"/>
    <w:next w:val="Normal"/>
    <w:autoRedefine/>
    <w:pPr>
      <w:widowControl/>
      <w:ind w:hanging="0" w:left="1540"/>
    </w:pPr>
    <w:rPr>
      <w:sz w:val="18"/>
      <w:szCs w:val="18"/>
      <w:lang w:val="en-GB" w:eastAsia="en-GB"/>
    </w:rPr>
  </w:style>
  <w:style w:type="paragraph" w:styleId="TOC9">
    <w:name w:val="TOC 9"/>
    <w:basedOn w:val="Normal"/>
    <w:next w:val="Normal"/>
    <w:autoRedefine/>
    <w:pPr>
      <w:widowControl/>
      <w:ind w:hanging="0" w:left="176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Text">
    <w:name w:val="Endnote Text"/>
    <w:basedOn w:val="Normal"/>
    <w:pPr>
      <w:widowControl/>
      <w:jc w:val="both"/>
    </w:pPr>
    <w:rPr>
      <w:sz w:val="20"/>
      <w:szCs w:val="20"/>
      <w:lang w:val="en-GB" w:eastAsia="en-GB"/>
    </w:rPr>
  </w:style>
  <w:style w:type="paragraph" w:styleId="NormalIndent">
    <w:name w:val="Normal Indent"/>
    <w:basedOn w:val="Normal"/>
    <w:qFormat/>
    <w:pPr>
      <w:widowControl/>
      <w:ind w:hanging="0" w:left="357"/>
      <w:jc w:val="both"/>
    </w:pPr>
    <w:rPr>
      <w:szCs w:val="20"/>
      <w:lang w:val="en-GB" w:eastAsia="en-GB"/>
    </w:rPr>
  </w:style>
  <w:style w:type="paragraph" w:styleId="NaceInclusionsid2" w:customStyle="1">
    <w:name w:val="Nace Inclusions id 2"/>
    <w:basedOn w:val="Normal"/>
    <w:qFormat/>
    <w:pPr>
      <w:keepNext w:val="true"/>
      <w:keepLines/>
      <w:widowControl/>
      <w:ind w:hanging="170" w:left="1191"/>
      <w:jc w:val="both"/>
    </w:pPr>
    <w:rPr>
      <w:rFonts w:ascii="Times" w:hAnsi="Times"/>
      <w:sz w:val="18"/>
      <w:szCs w:val="20"/>
    </w:rPr>
  </w:style>
  <w:style w:type="paragraph" w:styleId="NaceInclusionsId11" w:customStyle="1">
    <w:name w:val="Nace Inclusions Id 11"/>
    <w:basedOn w:val="Normal"/>
    <w:qFormat/>
    <w:pPr>
      <w:keepNext w:val="true"/>
      <w:keepLines/>
      <w:widowControl/>
      <w:ind w:hanging="170" w:left="1021"/>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hanging="284" w:left="1135"/>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hanging="284" w:left="1135"/>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hanging="284" w:left="1135"/>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hanging="483" w:left="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hanging="0" w:left="1077"/>
      <w:jc w:val="both"/>
    </w:pPr>
    <w:rPr>
      <w:szCs w:val="20"/>
      <w:lang w:val="en-GB" w:eastAsia="en-GB"/>
    </w:rPr>
  </w:style>
  <w:style w:type="paragraph" w:styleId="N4" w:customStyle="1">
    <w:name w:val="n4"/>
    <w:basedOn w:val="Heading4"/>
    <w:qFormat/>
    <w:pPr>
      <w:keepNext w:val="true"/>
      <w:widowControl/>
      <w:spacing w:before="120" w:after="120"/>
      <w:ind w:hanging="0" w:left="72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hanging="220" w:left="440"/>
    </w:pPr>
    <w:rPr>
      <w:sz w:val="18"/>
      <w:szCs w:val="18"/>
      <w:lang w:val="en-GB" w:eastAsia="en-GB"/>
    </w:rPr>
  </w:style>
  <w:style w:type="paragraph" w:styleId="Index3">
    <w:name w:val="index 3"/>
    <w:basedOn w:val="Normal"/>
    <w:next w:val="Normal"/>
    <w:autoRedefine/>
    <w:qFormat/>
    <w:pPr>
      <w:widowControl/>
      <w:ind w:hanging="220" w:left="660"/>
    </w:pPr>
    <w:rPr>
      <w:sz w:val="18"/>
      <w:szCs w:val="18"/>
      <w:lang w:val="en-GB" w:eastAsia="en-GB"/>
    </w:rPr>
  </w:style>
  <w:style w:type="paragraph" w:styleId="Index4">
    <w:name w:val="index 4"/>
    <w:basedOn w:val="Normal"/>
    <w:next w:val="Normal"/>
    <w:autoRedefine/>
    <w:qFormat/>
    <w:pPr>
      <w:widowControl/>
      <w:ind w:hanging="220" w:left="880"/>
    </w:pPr>
    <w:rPr>
      <w:sz w:val="18"/>
      <w:szCs w:val="18"/>
      <w:lang w:val="en-GB" w:eastAsia="en-GB"/>
    </w:rPr>
  </w:style>
  <w:style w:type="paragraph" w:styleId="Index5">
    <w:name w:val="index 5"/>
    <w:basedOn w:val="Normal"/>
    <w:next w:val="Normal"/>
    <w:autoRedefine/>
    <w:qFormat/>
    <w:pPr>
      <w:widowControl/>
      <w:ind w:hanging="220" w:left="1100"/>
    </w:pPr>
    <w:rPr>
      <w:sz w:val="18"/>
      <w:szCs w:val="18"/>
      <w:lang w:val="en-GB" w:eastAsia="en-GB"/>
    </w:rPr>
  </w:style>
  <w:style w:type="paragraph" w:styleId="Index6">
    <w:name w:val="index 6"/>
    <w:basedOn w:val="Normal"/>
    <w:next w:val="Normal"/>
    <w:autoRedefine/>
    <w:qFormat/>
    <w:pPr>
      <w:widowControl/>
      <w:ind w:hanging="220" w:left="1320"/>
    </w:pPr>
    <w:rPr>
      <w:sz w:val="18"/>
      <w:szCs w:val="18"/>
      <w:lang w:val="en-GB" w:eastAsia="en-GB"/>
    </w:rPr>
  </w:style>
  <w:style w:type="paragraph" w:styleId="Index7">
    <w:name w:val="index 7"/>
    <w:basedOn w:val="Normal"/>
    <w:next w:val="Normal"/>
    <w:autoRedefine/>
    <w:qFormat/>
    <w:pPr>
      <w:widowControl/>
      <w:ind w:hanging="220" w:left="1540"/>
    </w:pPr>
    <w:rPr>
      <w:sz w:val="18"/>
      <w:szCs w:val="18"/>
      <w:lang w:val="en-GB" w:eastAsia="en-GB"/>
    </w:rPr>
  </w:style>
  <w:style w:type="paragraph" w:styleId="Index8">
    <w:name w:val="index 8"/>
    <w:basedOn w:val="Normal"/>
    <w:next w:val="Normal"/>
    <w:autoRedefine/>
    <w:qFormat/>
    <w:pPr>
      <w:widowControl/>
      <w:ind w:hanging="220" w:left="1760"/>
    </w:pPr>
    <w:rPr>
      <w:sz w:val="18"/>
      <w:szCs w:val="18"/>
      <w:lang w:val="en-GB" w:eastAsia="en-GB"/>
    </w:rPr>
  </w:style>
  <w:style w:type="paragraph" w:styleId="Index9">
    <w:name w:val="index 9"/>
    <w:basedOn w:val="Normal"/>
    <w:next w:val="Normal"/>
    <w:autoRedefine/>
    <w:qFormat/>
    <w:pPr>
      <w:widowControl/>
      <w:ind w:hanging="220" w:left="1980"/>
    </w:pPr>
    <w:rPr>
      <w:sz w:val="18"/>
      <w:szCs w:val="18"/>
      <w:lang w:val="en-GB" w:eastAsia="en-GB"/>
    </w:rPr>
  </w:style>
  <w:style w:type="paragraph" w:styleId="Indexheading">
    <w:name w:val="index heading"/>
    <w:basedOn w:val="Normal"/>
    <w:next w:val="Index1"/>
    <w:qFormat/>
    <w:pPr>
      <w:widowControl/>
      <w:spacing w:before="240" w:after="120"/>
      <w:ind w:hanging="0" w:left="14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hanging="1191" w:left="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hanging="0" w:left="5103"/>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hanging="1191" w:left="1191"/>
    </w:pPr>
    <w:rPr>
      <w:sz w:val="24"/>
      <w:szCs w:val="20"/>
      <w:lang w:val="en-GB" w:eastAsia="en-GB"/>
    </w:rPr>
  </w:style>
  <w:style w:type="paragraph" w:styleId="Tiret0" w:customStyle="1">
    <w:name w:val="Tiret 0"/>
    <w:basedOn w:val="Normal"/>
    <w:qFormat/>
    <w:pPr>
      <w:widowControl/>
      <w:spacing w:before="120" w:after="120"/>
      <w:ind w:hanging="851" w:left="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hanging="850" w:left="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hanging="567" w:left="1418"/>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hanging="357" w:left="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hanging="0" w:left="1417"/>
    </w:pPr>
    <w:rPr>
      <w:sz w:val="24"/>
      <w:szCs w:val="20"/>
      <w:lang w:val="en-GB"/>
    </w:rPr>
  </w:style>
  <w:style w:type="paragraph" w:styleId="ManualNumPar1" w:customStyle="1">
    <w:name w:val="Manual NumPar 1"/>
    <w:basedOn w:val="Normal"/>
    <w:next w:val="Text1Char"/>
    <w:qFormat/>
    <w:pPr>
      <w:widowControl/>
      <w:spacing w:before="120" w:after="120"/>
      <w:ind w:hanging="850" w:left="850"/>
      <w:jc w:val="both"/>
    </w:pPr>
    <w:rPr>
      <w:sz w:val="24"/>
      <w:szCs w:val="24"/>
      <w:lang w:val="en-GB" w:eastAsia="zh-CN"/>
    </w:rPr>
  </w:style>
  <w:style w:type="paragraph" w:styleId="Text1" w:customStyle="1">
    <w:name w:val="Text 1"/>
    <w:basedOn w:val="Normal"/>
    <w:qFormat/>
    <w:pPr>
      <w:widowControl/>
      <w:spacing w:before="0" w:after="240"/>
      <w:ind w:hanging="0" w:left="482"/>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hanging="709" w:left="2835"/>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hanging="0" w:left="72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hanging="720" w:left="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Text">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s://www.earthobservations.org/index.php" TargetMode="External"/><Relationship Id="rId11" Type="http://schemas.openxmlformats.org/officeDocument/2006/relationships/hyperlink" Target="https://www.earthobservations.org/geoss.php" TargetMode="External"/><Relationship Id="rId12" Type="http://schemas.openxmlformats.org/officeDocument/2006/relationships/hyperlink" Target="https://ggos.org/" TargetMode="External"/><Relationship Id="rId13" Type="http://schemas.openxmlformats.org/officeDocument/2006/relationships/hyperlink" Target="https://libre.space/" TargetMode="External"/><Relationship Id="rId14" Type="http://schemas.openxmlformats.org/officeDocument/2006/relationships/hyperlink" Target="https://www.geosystems-hellas.gr/" TargetMode="External"/><Relationship Id="rId15" Type="http://schemas.openxmlformats.org/officeDocument/2006/relationships/hyperlink" Target="https://www.planetek.gr/" TargetMode="External"/><Relationship Id="rId16" Type="http://schemas.openxmlformats.org/officeDocument/2006/relationships/hyperlink" Target="http://beyond-eocenter.eu/" TargetMode="External"/><Relationship Id="rId17" Type="http://schemas.openxmlformats.org/officeDocument/2006/relationships/hyperlink" Target="https://www.greekgeo.noa.gr/" TargetMode="External"/><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hyperlink" Target="https://libre.space/" TargetMode="External"/><Relationship Id="rId28" Type="http://schemas.openxmlformats.org/officeDocument/2006/relationships/hyperlink" Target="https://www.geosystems-hellas.gr/" TargetMode="External"/><Relationship Id="rId29" Type="http://schemas.openxmlformats.org/officeDocument/2006/relationships/hyperlink" Target="https://www.planetek.gr/" TargetMode="External"/><Relationship Id="rId30" Type="http://schemas.openxmlformats.org/officeDocument/2006/relationships/hyperlink" Target="http://beyond-eocenter.eu/" TargetMode="External"/><Relationship Id="rId31" Type="http://schemas.openxmlformats.org/officeDocument/2006/relationships/hyperlink" Target="https://www.greekgeo.noa.gr/" TargetMode="Externa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footer" Target="footer8.xml"/><Relationship Id="rId35" Type="http://schemas.openxmlformats.org/officeDocument/2006/relationships/footer" Target="footer9.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_rels/footer4.xml.rels><?xml version="1.0" encoding="UTF-8"?>
<Relationships xmlns="http://schemas.openxmlformats.org/package/2006/relationships"><Relationship Id="rId1" Type="http://schemas.openxmlformats.org/officeDocument/2006/relationships/image" Target="media/image3.wmf"/>
</Relationships>
</file>

<file path=word/_rels/footer6.xml.rels><?xml version="1.0" encoding="UTF-8"?>
<Relationships xmlns="http://schemas.openxmlformats.org/package/2006/relationships"><Relationship Id="rId1" Type="http://schemas.openxmlformats.org/officeDocument/2006/relationships/image" Target="media/image4.wmf"/>
</Relationships>
</file>

<file path=word/_rels/footer8.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8818</TotalTime>
  <Application>LibreOffice/7.6.0.2$Linux_X86_64 LibreOffice_project/60$Build-2</Application>
  <AppVersion>15.0000</AppVersion>
  <Pages>33</Pages>
  <Words>13014</Words>
  <Characters>76378</Characters>
  <CharactersWithSpaces>88631</CharactersWithSpaces>
  <Paragraphs>780</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2023-08-21T01:40:36Z</dcterms:modified>
  <cp:revision>728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