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8834153"/>
            <w:bookmarkStart w:id="11" w:name="_Toc448828799"/>
            <w:bookmarkStart w:id="12" w:name="_Toc445930537"/>
            <w:bookmarkStart w:id="13" w:name="_Toc443645006"/>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Normal"/>
        <w:spacing w:before="0" w:after="200"/>
        <w:jc w:val="both"/>
        <w:rPr>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preperation, proposal writing and oragnisational issues.</w:t>
      </w:r>
      <w:r>
        <w:rPr>
          <w:rStyle w:val="Strong"/>
          <w:b w:val="false"/>
          <w:bCs w:val="false"/>
          <w:shd w:fill="auto" w:val="clear"/>
          <w:lang w:val="en-GB"/>
        </w:rPr>
        <w:t xml:space="preserve"> The leading partners will share their experience and skills gained throughout the years in successefully preparing and organizing a research proposal submission. This will include project team composition, networking and partnership building, budget considerations and allocation, research focus preserntation, dissemination activities and organization, common pitfalls and best practices in proposal preperation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successeful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reseach proposals targeting young scientits and mobility (e.g. EU MSCA calls)</w:t>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inculded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co-spervision will be performed by one representative of the respective expert node (i.e. GFZ, IPGP and OSO), acting as a member of the three-party advisory comitte.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governmental agencies and institutions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as well as 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questionnaires; one subset of these will target academia partners of the ecosystem and a second set will target commercial users/businesses active in  </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Cs/>
        </w:rPr>
      </w:pPr>
      <w:r>
        <w:rPr>
          <w:rFonts w:ascii="Times New Roman" w:hAnsi="Times New Roman"/>
          <w:b/>
          <w:bCs/>
          <w:shd w:fill="FFFF00" w:val="clear"/>
          <w:lang w:val="en-GB"/>
        </w:rPr>
        <w:t>todo</w:t>
      </w:r>
    </w:p>
    <w:p>
      <w:pPr>
        <w:sectPr>
          <w:headerReference w:type="even" r:id="rId18"/>
          <w:headerReference w:type="default" r:id="rId19"/>
          <w:headerReference w:type="first" r:id="rId20"/>
          <w:footerReference w:type="default" r:id="rId21"/>
          <w:footerReference w:type="first" r:id="rId22"/>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Cs/>
              </w:rPr>
            </w:pPr>
            <w:r>
              <w:rPr>
                <w:b/>
                <w:bCs/>
              </w:rPr>
              <w:t>Task 2.4 Assessment of currently available software tools (M6-12); Lead GFZ</w:t>
            </w:r>
          </w:p>
          <w:p>
            <w:pPr>
              <w:pStyle w:val="Normal"/>
              <w:widowControl w:val="false"/>
              <w:spacing w:before="60" w:after="60"/>
              <w:jc w:val="both"/>
              <w:rPr>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lang w:val="en-GB"/>
              </w:rPr>
            </w:pPr>
            <w:r>
              <w:rPr>
                <w:b/>
                <w:bCs/>
                <w:lang w:val="en-GB"/>
              </w:rPr>
              <w:t>Task 5.1 Agreement on PhD and PostDoc co-supervision (M1-M4); Lead NTUA</w:t>
            </w:r>
          </w:p>
          <w:p>
            <w:pPr>
              <w:pStyle w:val="Normal"/>
              <w:widowControl w:val="false"/>
              <w:spacing w:before="60" w:after="60"/>
              <w:jc w:val="both"/>
              <w:rPr>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2.1 Establishing ACRONYM seamless communication channels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 Geodetic Consortia</w:t>
            </w:r>
          </w:p>
          <w:p>
            <w:pPr>
              <w:pStyle w:val="Normal"/>
              <w:widowControl w:val="false"/>
              <w:rPr>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27">
              <w:r>
                <w:rPr>
                  <w:rStyle w:val="Hyperlink"/>
                  <w:lang w:val="en-GB"/>
                </w:rPr>
                <w:t>https://libre.space/</w:t>
              </w:r>
            </w:hyperlink>
            <w:r>
              <w:rPr>
                <w:lang w:val="en-GB"/>
              </w:rPr>
              <w:t>), Geosystems Hellas (</w:t>
            </w:r>
            <w:hyperlink r:id="rId28">
              <w:r>
                <w:rPr>
                  <w:rStyle w:val="Hyperlink"/>
                  <w:lang w:val="en-GB"/>
                </w:rPr>
                <w:t>https://www.geosystems-hellas.gr/</w:t>
              </w:r>
            </w:hyperlink>
            <w:r>
              <w:rPr>
                <w:lang w:val="en-GB"/>
              </w:rPr>
              <w:t>), Planetek Hellas (</w:t>
            </w:r>
            <w:hyperlink r:id="rId29">
              <w:r>
                <w:rPr>
                  <w:rStyle w:val="Hyperlink"/>
                  <w:lang w:val="en-GB"/>
                </w:rPr>
                <w:t>https://www.planetek.gr/</w:t>
              </w:r>
            </w:hyperlink>
            <w:r>
              <w:rPr>
                <w:lang w:val="en-GB"/>
              </w:rPr>
              <w:t>)), governmental agencies and institutions (e.g. National Observatory of Athens, Beyond Centre (</w:t>
            </w:r>
            <w:hyperlink r:id="rId30">
              <w:r>
                <w:rPr>
                  <w:rStyle w:val="Hyperlink"/>
                  <w:lang w:val="en-GB"/>
                </w:rPr>
                <w:t>http://beyond-eocenter.eu/</w:t>
              </w:r>
            </w:hyperlink>
            <w:r>
              <w:rPr>
                <w:lang w:val="en-GB"/>
              </w:rPr>
              <w:t>), Hellenic Group on Earth Observations (</w:t>
            </w:r>
            <w:hyperlink r:id="rId31">
              <w:r>
                <w:rPr>
                  <w:rStyle w:val="Hyper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b w:val="false"/>
                <w:bCs w:val="false"/>
              </w:rPr>
            </w:pPr>
            <w:r>
              <w:rPr>
                <w:b w:val="false"/>
                <w:bCs w:val="false"/>
                <w:lang w:val="en-GB"/>
              </w:rPr>
              <w:t>A second, two-day conference will focus on the introduction of the different ecosystem parties, presenting  their fields of expertise, research and industry portfolios, aspirations and future work.</w:t>
            </w:r>
          </w:p>
          <w:p>
            <w:pPr>
              <w:pStyle w:val="Normal"/>
              <w:widowControl w:val="false"/>
              <w:spacing w:before="60" w:after="60"/>
              <w:jc w:val="both"/>
              <w:rPr>
                <w:b w:val="false"/>
                <w:bCs w:val="false"/>
              </w:rPr>
            </w:pPr>
            <w:r>
              <w:rPr/>
            </w:r>
          </w:p>
          <w:p>
            <w:pPr>
              <w:pStyle w:val="Normal"/>
              <w:widowControl w:val="false"/>
              <w:spacing w:before="60" w:after="60"/>
              <w:jc w:val="both"/>
              <w:rPr>
                <w:b/>
                <w:bCs/>
              </w:rPr>
            </w:pPr>
            <w:r>
              <w:rPr>
                <w:b/>
                <w:bCs/>
                <w:lang w:val="en-GB"/>
              </w:rPr>
              <w:t>Task 2.X Exploring Greek academia needs and interest in Space Geodesy (M18-24); Lead NTUA</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questionaires to be sent to the academia members of the ecosystem established in </w:t>
            </w:r>
            <w:r>
              <w:rPr>
                <w:b w:val="false"/>
                <w:bCs w:val="false"/>
                <w:shd w:fill="FF4000" w:val="clear"/>
                <w:lang w:val="en-GB"/>
              </w:rPr>
              <w:t>Task XX</w:t>
            </w:r>
            <w:r>
              <w:rPr>
                <w:b w:val="false"/>
                <w:bCs w:val="false"/>
                <w:lang w:val="en-GB"/>
              </w:rPr>
              <w:t>. The questionaires will contain a number of questions and inquires to comprehensivelly access and evaluate Greek academia needs and interest in Space Geodesy and Earth Observation. Information to be collected will include (a) methods and techniques of Space Geodesy they use, (b) application range, (c) datasets and analysis pipelines (d) specific needs in data processing and products (e) research interest, aspirations and future plans.</w:t>
            </w:r>
          </w:p>
          <w:p>
            <w:pPr>
              <w:pStyle w:val="Normal"/>
              <w:widowControl w:val="false"/>
              <w:spacing w:before="60" w:after="60"/>
              <w:jc w:val="both"/>
              <w:rPr>
                <w:b w:val="false"/>
                <w:bCs w:val="false"/>
              </w:rPr>
            </w:pPr>
            <w:r>
              <w:rPr/>
            </w:r>
          </w:p>
          <w:p>
            <w:pPr>
              <w:pStyle w:val="Normal"/>
              <w:widowControl w:val="false"/>
              <w:spacing w:before="60" w:after="60"/>
              <w:jc w:val="both"/>
              <w:rPr>
                <w:b/>
                <w:bCs/>
              </w:rPr>
            </w:pPr>
            <w:r>
              <w:rPr>
                <w:b/>
                <w:bCs/>
                <w:lang w:val="en-GB"/>
              </w:rPr>
              <w:t>Task 2.X Exploring stakeholders and commercial needs and interest in Space Geodesy (M18-24); Lead CLS</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3"/>
        <w:gridCol w:w="2277"/>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9"/>
        <w:gridCol w:w="2438"/>
        <w:gridCol w:w="3828"/>
      </w:tblGrid>
      <w:tr>
        <w:trPr/>
        <w:tc>
          <w:tcPr>
            <w:tcW w:w="37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2"/>
        <w:gridCol w:w="1495"/>
        <w:gridCol w:w="1467"/>
        <w:gridCol w:w="1446"/>
        <w:gridCol w:w="3134"/>
      </w:tblGrid>
      <w:tr>
        <w:trPr/>
        <w:tc>
          <w:tcPr>
            <w:tcW w:w="2382"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32"/>
      <w:headerReference w:type="first" r:id="rId33"/>
      <w:footerReference w:type="default" r:id="rId34"/>
      <w:footerReference w:type="first" r:id="rId35"/>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22"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45"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75"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360" w:left="1193"/>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yperlink" Target="https://libre.space/" TargetMode="External"/><Relationship Id="rId28" Type="http://schemas.openxmlformats.org/officeDocument/2006/relationships/hyperlink" Target="https://www.geosystems-hellas.gr/" TargetMode="External"/><Relationship Id="rId29" Type="http://schemas.openxmlformats.org/officeDocument/2006/relationships/hyperlink" Target="https://www.planetek.gr/" TargetMode="External"/><Relationship Id="rId30" Type="http://schemas.openxmlformats.org/officeDocument/2006/relationships/hyperlink" Target="http://beyond-eocenter.eu/" TargetMode="External"/><Relationship Id="rId31" Type="http://schemas.openxmlformats.org/officeDocument/2006/relationships/hyperlink" Target="https://www.greekgeo.noa.gr/" TargetMode="Externa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9855</TotalTime>
  <Application>LibreOffice/7.6.0.2$Linux_X86_64 LibreOffice_project/60$Build-2</Application>
  <AppVersion>15.0000</AppVersion>
  <Pages>34</Pages>
  <Words>13467</Words>
  <Characters>79282</Characters>
  <CharactersWithSpaces>91970</CharactersWithSpaces>
  <Paragraphs>793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2023-08-22T10:23:40Z</dcterms:modified>
  <cp:revision>832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