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lang w:val="en-GB"/>
        </w:rPr>
      </w:r>
    </w:p>
    <w:p>
      <w:pPr>
        <w:pStyle w:val="Normal"/>
        <w:bidi w:val="0"/>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bidi w:val="0"/>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bidi w:val="0"/>
        <w:spacing w:before="11" w:after="0"/>
        <w:ind w:left="0" w:right="0" w:hanging="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bidi w:val="0"/>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bidi w:val="0"/>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bidi w:val="0"/>
        <w:ind w:left="0" w:right="0" w:hanging="0"/>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bidi w:val="0"/>
        <w:ind w:left="0" w:right="0" w:hanging="0"/>
        <w:jc w:val="center"/>
        <w:rPr>
          <w:lang w:val="en-GB"/>
        </w:rPr>
      </w:pPr>
      <w:r>
        <w:rPr>
          <w:rFonts w:ascii="EC Square Sans Pro Medium" w:hAnsi="EC Square Sans Pro Medium"/>
          <w:b/>
          <w:bCs/>
          <w:sz w:val="48"/>
          <w:szCs w:val="48"/>
          <w:lang w:val="en-GB"/>
        </w:rPr>
        <w:t>Horizon Europe Programme</w:t>
      </w:r>
    </w:p>
    <w:p>
      <w:pPr>
        <w:pStyle w:val="Normal"/>
        <w:bidi w:val="0"/>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bidi w:val="0"/>
        <w:ind w:left="0" w:right="0" w:hanging="0"/>
        <w:jc w:val="center"/>
        <w:rPr>
          <w:lang w:val="en-GB"/>
        </w:rPr>
      </w:pPr>
      <w:r>
        <w:rPr>
          <w:rFonts w:ascii="EC Square Sans Pro Light" w:hAnsi="EC Square Sans Pro Light"/>
          <w:b/>
          <w:bCs/>
          <w:sz w:val="48"/>
          <w:szCs w:val="48"/>
          <w:lang w:val="en-GB"/>
        </w:rPr>
        <w:t>Specific Application Form (HE CSA)</w:t>
      </w:r>
    </w:p>
    <w:p>
      <w:pPr>
        <w:pStyle w:val="Normal"/>
        <w:bidi w:val="0"/>
        <w:ind w:left="0" w:right="0" w:hanging="0"/>
        <w:jc w:val="center"/>
        <w:rPr>
          <w:lang w:val="en-GB"/>
        </w:rPr>
      </w:pPr>
      <w:r>
        <w:rPr>
          <w:rFonts w:ascii="EC Square Sans Pro Light" w:hAnsi="EC Square Sans Pro Light"/>
          <w:b/>
          <w:bCs/>
          <w:sz w:val="48"/>
          <w:szCs w:val="48"/>
          <w:lang w:val="en-GB"/>
        </w:rPr>
        <w:t>HORIZON-WIDERA-2023-ACCESS-02</w:t>
        <w:br/>
      </w:r>
    </w:p>
    <w:p>
      <w:pPr>
        <w:pStyle w:val="Normal"/>
        <w:bidi w:val="0"/>
        <w:ind w:left="0" w:right="0" w:hanging="0"/>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bidi w:val="0"/>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bidi w:val="0"/>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80">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bidi w:val="0"/>
                              <w:spacing w:before="0" w:after="0"/>
                              <w:ind w:left="0" w:right="0" w:hanging="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v:fill o:detectmouseclick="t" on="false"/>
                <v:stroke color="#3465a4" joinstyle="round" endcap="flat"/>
                <v:textbox>
                  <w:txbxContent>
                    <w:p>
                      <w:pPr>
                        <w:pStyle w:val="NormalWeb"/>
                        <w:bidi w:val="0"/>
                        <w:spacing w:before="0" w:after="0"/>
                        <w:ind w:left="0" w:right="0" w:hanging="0"/>
                        <w:jc w:val="center"/>
                        <w:rPr/>
                      </w:pPr>
                      <w:r>
                        <w:rPr>
                          <w:rFonts w:cs="Calibri"/>
                          <w:color w:val="A6A6A6"/>
                          <w:sz w:val="72"/>
                          <w:szCs w:val="72"/>
                        </w:rPr>
                        <w:t>Instructions, please remove</w:t>
                      </w:r>
                    </w:p>
                  </w:txbxContent>
                </v:textbox>
                <w10:wrap type="none"/>
              </v:rect>
            </w:pict>
          </mc:Fallback>
        </mc:AlternateContent>
      </w:r>
    </w:p>
    <w:p>
      <w:pPr>
        <w:pStyle w:val="Normal"/>
        <w:bidi w:val="0"/>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bidi w:val="0"/>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bidi w:val="0"/>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bidi w:val="0"/>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bidi w:val="0"/>
        <w:ind w:left="284" w:right="0"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bidi w:val="0"/>
        <w:ind w:left="284" w:right="0"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bidi w:val="0"/>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bidi w:val="0"/>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bidi w:val="0"/>
        <w:ind w:left="0" w:right="0" w:hanging="0"/>
        <w:jc w:val="both"/>
        <w:rPr>
          <w:rFonts w:ascii="Arial" w:hAnsi="Arial" w:cs="Arial"/>
          <w:sz w:val="18"/>
          <w:szCs w:val="18"/>
          <w:lang w:val="en-GB"/>
        </w:rPr>
      </w:pPr>
      <w:r>
        <w:rPr>
          <w:rFonts w:cs="Arial" w:ascii="Arial" w:hAnsi="Arial"/>
          <w:sz w:val="18"/>
          <w:szCs w:val="18"/>
          <w:lang w:val="en-GB"/>
        </w:rPr>
      </w:r>
    </w:p>
    <w:p>
      <w:pPr>
        <w:pStyle w:val="Normal"/>
        <w:bidi w:val="0"/>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bidi w:val="0"/>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bidi w:val="0"/>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bidi w:val="0"/>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bidi w:val="0"/>
        <w:ind w:left="0" w:right="0" w:hanging="0"/>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bidi w:val="0"/>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bidi w:val="0"/>
        <w:spacing w:before="11" w:after="0"/>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tabs>
                <w:tab w:val="clear" w:pos="720"/>
              </w:tabs>
              <w:bidi w:val="0"/>
              <w:spacing w:before="120" w:after="60"/>
              <w:ind w:left="0" w:right="0" w:hanging="0"/>
              <w:jc w:val="center"/>
              <w:outlineLvl w:val="1"/>
              <w:rPr>
                <w:lang w:val="en-GB"/>
              </w:rPr>
            </w:pPr>
            <w:bookmarkStart w:id="0" w:name="_Toc443645004"/>
            <w:bookmarkStart w:id="1" w:name="_Toc448834151"/>
            <w:bookmarkStart w:id="2" w:name="_Toc448828797"/>
            <w:bookmarkStart w:id="3" w:name="_Toc448828577"/>
            <w:bookmarkStart w:id="4" w:name="_Toc445930535"/>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tabs>
                <w:tab w:val="clear" w:pos="720"/>
              </w:tabs>
              <w:bidi w:val="0"/>
              <w:spacing w:lineRule="auto" w:line="276" w:before="60" w:after="60"/>
              <w:ind w:left="0" w:righ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tabs>
                <w:tab w:val="clear" w:pos="720"/>
              </w:tabs>
              <w:bidi w:val="0"/>
              <w:spacing w:lineRule="auto" w:line="276" w:before="60" w:after="60"/>
              <w:ind w:left="0" w:right="0" w:hanging="0"/>
              <w:jc w:val="center"/>
              <w:outlineLvl w:val="1"/>
              <w:rPr>
                <w:lang w:val="en-GB"/>
              </w:rPr>
            </w:pPr>
            <w:bookmarkStart w:id="10" w:name="_Toc443645006"/>
            <w:bookmarkStart w:id="11" w:name="_Toc448834153"/>
            <w:bookmarkStart w:id="12" w:name="_Toc448828799"/>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tabs>
                <w:tab w:val="clear" w:pos="720"/>
              </w:tabs>
              <w:bidi w:val="0"/>
              <w:spacing w:lineRule="auto" w:line="276" w:before="60" w:after="60"/>
              <w:ind w:left="0" w:righ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bidi w:val="0"/>
              <w:spacing w:before="60" w:after="60"/>
              <w:ind w:left="0" w:right="0" w:hanging="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tabs>
                <w:tab w:val="clear" w:pos="720"/>
              </w:tabs>
              <w:bidi w:val="0"/>
              <w:spacing w:before="60" w:after="60"/>
              <w:ind w:left="0" w:righ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bidi w:val="0"/>
              <w:spacing w:before="60" w:after="60"/>
              <w:ind w:left="318" w:right="0" w:hanging="284"/>
              <w:jc w:val="both"/>
              <w:outlineLvl w:val="1"/>
              <w:rPr>
                <w:lang w:val="en-GB"/>
              </w:rPr>
            </w:pPr>
            <w:r>
              <w:rPr>
                <w:sz w:val="18"/>
                <w:szCs w:val="18"/>
                <w:lang w:val="en-GB"/>
              </w:rPr>
              <w:t>Initial version</w:t>
            </w:r>
          </w:p>
        </w:tc>
      </w:tr>
    </w:tbl>
    <w:p>
      <w:pPr>
        <w:pStyle w:val="Normal"/>
        <w:widowControl w:val="false"/>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0"/>
        </w:sectPr>
        <w:pStyle w:val="Normal"/>
        <w:bidi w:val="0"/>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bidi w:val="0"/>
        <w:spacing w:before="11" w:after="0"/>
        <w:ind w:left="0" w:right="0" w:hanging="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bidi w:val="0"/>
        <w:ind w:left="0" w:right="0" w:hanging="0"/>
        <w:jc w:val="center"/>
        <w:rPr>
          <w:rFonts w:ascii="Arial" w:hAnsi="Arial" w:cs="Arial"/>
          <w:b/>
          <w:sz w:val="20"/>
          <w:szCs w:val="20"/>
          <w:u w:val="single"/>
        </w:rPr>
      </w:pPr>
      <w:r>
        <w:rPr>
          <w:rFonts w:cs="Arial" w:ascii="Arial" w:hAnsi="Arial"/>
          <w:b/>
          <w:sz w:val="20"/>
          <w:szCs w:val="20"/>
          <w:u w:val="single"/>
        </w:rPr>
      </w:r>
    </w:p>
    <w:p>
      <w:pPr>
        <w:pStyle w:val="Normal"/>
        <w:bidi w:val="0"/>
        <w:ind w:left="0" w:right="0" w:hanging="0"/>
        <w:jc w:val="center"/>
        <w:rPr>
          <w:lang w:val="en-GB"/>
        </w:rPr>
      </w:pPr>
      <w:r>
        <w:rPr>
          <w:rFonts w:ascii="Times New Roman" w:hAnsi="Times New Roman"/>
          <w:b/>
          <w:sz w:val="40"/>
          <w:szCs w:val="40"/>
          <w:lang w:val="en-GB"/>
        </w:rPr>
        <w:t>Proposal template Part B: technical description</w:t>
      </w:r>
    </w:p>
    <w:p>
      <w:pPr>
        <w:pStyle w:val="Normal"/>
        <w:bidi w:val="0"/>
        <w:spacing w:before="0" w:after="120"/>
        <w:ind w:left="0" w:right="0" w:hanging="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bidi w:val="0"/>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bidi w:val="0"/>
        <w:spacing w:before="0" w:after="200"/>
        <w:ind w:left="0" w:right="0" w:hanging="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0" w:righ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0" w:righ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0" w:righ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0" w:right="0" w:hanging="0"/>
              <w:jc w:val="both"/>
              <w:outlineLvl w:val="4"/>
              <w:rPr>
                <w:lang w:val="en-GB"/>
              </w:rPr>
            </w:pPr>
            <w:r>
              <w:rPr>
                <w:rFonts w:ascii="Times New Roman" w:hAnsi="Times New Roman"/>
                <w:lang w:val="en-GB"/>
              </w:rPr>
              <w:t>1 NTUA</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National Technical University of Athens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1191" w:right="0" w:hanging="1191"/>
              <w:jc w:val="both"/>
              <w:outlineLvl w:val="4"/>
              <w:rPr>
                <w:lang w:val="en-GB"/>
              </w:rPr>
            </w:pPr>
            <w:r>
              <w:rPr>
                <w:rFonts w:ascii="Times New Roman" w:hAnsi="Times New Roman"/>
                <w:lang w:val="en-GB"/>
              </w:rPr>
              <w:t>2 CLS</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Collecte Localisation Satellites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tabs>
                <w:tab w:val="clear" w:pos="720"/>
              </w:tabs>
              <w:bidi w:val="0"/>
              <w:spacing w:lineRule="atLeast" w:line="360" w:before="0" w:after="120"/>
              <w:ind w:left="1191" w:right="0" w:hanging="1191"/>
              <w:jc w:val="both"/>
              <w:outlineLvl w:val="4"/>
              <w:rPr>
                <w:lang w:val="en-GB"/>
              </w:rPr>
            </w:pPr>
            <w:r>
              <w:rPr>
                <w:rFonts w:ascii="Times New Roman" w:hAnsi="Times New Roman"/>
                <w:lang w:val="en-GB"/>
              </w:rPr>
              <w:t>3 IPGP/IGN</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Institut de physique du globe de Paris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lineRule="atLeast" w:line="360" w:before="0" w:after="120"/>
              <w:ind w:left="0" w:right="0" w:hanging="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bidi w:val="0"/>
              <w:spacing w:lineRule="atLeast" w:line="360" w:before="0" w:after="120"/>
              <w:ind w:left="0" w:right="0" w:hanging="0"/>
              <w:jc w:val="both"/>
              <w:outlineLvl w:val="4"/>
              <w:rPr/>
            </w:pPr>
            <w:r>
              <w:rPr/>
              <w:t>4 GFZ</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360" w:before="0" w:after="120"/>
              <w:ind w:left="0" w:right="0" w:hanging="0"/>
              <w:rPr>
                <w:rFonts w:ascii="Times New Roman" w:hAnsi="Times New Roman"/>
                <w:lang w:val="en-GB"/>
              </w:rPr>
            </w:pPr>
            <w:r>
              <w:rPr>
                <w:rFonts w:ascii="Times New Roman" w:hAnsi="Times New Roman"/>
                <w:lang w:val="en-GB"/>
              </w:rPr>
              <w:t>GeoForschungs Zentrum</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360" w:before="0" w:after="120"/>
              <w:ind w:left="0" w:right="0" w:hanging="0"/>
              <w:rPr>
                <w:rFonts w:ascii="Times New Roman" w:hAnsi="Times New Roman"/>
                <w:lang w:val="en-GB"/>
              </w:rPr>
            </w:pPr>
            <w:r>
              <w:rPr>
                <w:rFonts w:ascii="Times New Roman" w:hAnsi="Times New Roman"/>
                <w:lang w:val="en-GB"/>
              </w:rPr>
              <w:t>Gremany</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bidi w:val="0"/>
              <w:spacing w:lineRule="atLeast" w:line="360" w:before="0" w:after="120"/>
              <w:ind w:left="0" w:right="0" w:hanging="0"/>
              <w:jc w:val="both"/>
              <w:outlineLvl w:val="4"/>
              <w:rPr/>
            </w:pPr>
            <w:r>
              <w:rPr/>
              <w:t>5 OSO</w:t>
            </w:r>
          </w:p>
        </w:tc>
        <w:tc>
          <w:tcPr>
            <w:tcW w:w="5807" w:type="dxa"/>
            <w:tcBorders>
              <w:left w:val="single" w:sz="4" w:space="0" w:color="000000"/>
              <w:bottom w:val="single" w:sz="4" w:space="0" w:color="000000"/>
              <w:right w:val="single" w:sz="4" w:space="0" w:color="000000"/>
            </w:tcBorders>
          </w:tcPr>
          <w:p>
            <w:pPr>
              <w:pStyle w:val="Normal"/>
              <w:widowControl w:val="false"/>
              <w:bidi w:val="0"/>
              <w:spacing w:lineRule="atLeast" w:line="360" w:before="0" w:after="120"/>
              <w:ind w:left="0" w:right="0" w:hanging="0"/>
              <w:rPr>
                <w:rFonts w:ascii="Times New Roman" w:hAnsi="Times New Roman"/>
                <w:lang w:val="en-GB"/>
              </w:rPr>
            </w:pPr>
            <w:r>
              <w:rPr>
                <w:rFonts w:ascii="Times New Roman" w:hAnsi="Times New Roman"/>
                <w:lang w:val="en-GB"/>
              </w:rPr>
              <w:t>Onsala Space Observatory</w:t>
            </w:r>
          </w:p>
        </w:tc>
        <w:tc>
          <w:tcPr>
            <w:tcW w:w="1292" w:type="dxa"/>
            <w:tcBorders>
              <w:left w:val="single" w:sz="4" w:space="0" w:color="000000"/>
              <w:bottom w:val="single" w:sz="4" w:space="0" w:color="000000"/>
              <w:right w:val="single" w:sz="4" w:space="0" w:color="000000"/>
            </w:tcBorders>
          </w:tcPr>
          <w:p>
            <w:pPr>
              <w:pStyle w:val="Normal"/>
              <w:widowControl w:val="false"/>
              <w:bidi w:val="0"/>
              <w:spacing w:lineRule="atLeast" w:line="360" w:before="0" w:after="120"/>
              <w:ind w:left="0" w:right="0" w:hanging="0"/>
              <w:rPr>
                <w:rFonts w:ascii="Times New Roman" w:hAnsi="Times New Roman"/>
                <w:lang w:val="en-GB"/>
              </w:rPr>
            </w:pPr>
            <w:r>
              <w:rPr>
                <w:rFonts w:ascii="Times New Roman" w:hAnsi="Times New Roman"/>
                <w:lang w:val="en-GB"/>
              </w:rPr>
              <w:t>Sweeden</w:t>
            </w:r>
          </w:p>
        </w:tc>
      </w:tr>
    </w:tbl>
    <w:p>
      <w:pPr>
        <w:pStyle w:val="Normal"/>
        <w:widowControl w:val="false"/>
        <w:bidi w:val="0"/>
        <w:spacing w:before="76" w:after="0"/>
        <w:ind w:left="916" w:right="0" w:hanging="0"/>
        <w:rPr>
          <w:rFonts w:ascii="Times New Roman" w:hAnsi="Times New Roman"/>
          <w:b/>
          <w:lang w:val="en-GB"/>
        </w:rPr>
      </w:pPr>
      <w:r>
        <w:rPr>
          <w:rFonts w:ascii="Times New Roman" w:hAnsi="Times New Roman"/>
          <w:b/>
          <w:lang w:val="en-GB"/>
        </w:rPr>
      </w:r>
    </w:p>
    <w:p>
      <w:pPr>
        <w:pStyle w:val="Normal"/>
        <w:bidi w:val="0"/>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bidi w:val="0"/>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evidence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In turn, this capacity gap between NTUA and prestigious European institutes in the field, severely undermines its ability to successfully apply for research proposals and secure funding for its research activities.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ind w:right="0" w:hanging="0"/>
        <w:jc w:val="both"/>
        <w:rPr/>
      </w:pPr>
      <w:r>
        <w:rPr/>
        <w:t xml:space="preserve">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w:t>
      </w:r>
    </w:p>
    <w:p>
      <w:pPr>
        <w:pStyle w:val="Normal"/>
        <w:widowControl/>
        <w:spacing w:before="0" w:after="200"/>
        <w:ind w:right="0" w:hanging="0"/>
        <w:jc w:val="both"/>
        <w:rPr/>
      </w:pPr>
      <w:r>
        <w:rPr/>
        <w:t xml:space="preserve">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 </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w:t>
      </w:r>
    </w:p>
    <w:p>
      <w:pPr>
        <w:pStyle w:val="Normal"/>
        <w:widowControl/>
        <w:numPr>
          <w:ilvl w:val="0"/>
          <w:numId w:val="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7"/>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w:t>
      </w:r>
    </w:p>
    <w:p>
      <w:pPr>
        <w:pStyle w:val="Normal"/>
        <w:widowControl/>
        <w:numPr>
          <w:ilvl w:val="0"/>
          <w:numId w:val="7"/>
        </w:numPr>
        <w:spacing w:before="0" w:after="200"/>
        <w:jc w:val="both"/>
        <w:rPr/>
      </w:pPr>
      <w:r>
        <w:rPr>
          <w:rFonts w:ascii="Times New Roman" w:hAnsi="Times New Roman"/>
          <w:lang w:val="en-GB"/>
        </w:rPr>
        <w:t>Enhance the host's capacity in partnership-building, preparation and carrying out of research proposals funded by national authorities, the European Commission (EC) and the European Space Agency (ESA)</w:t>
      </w:r>
    </w:p>
    <w:p>
      <w:pPr>
        <w:pStyle w:val="Normal"/>
        <w:bidi w:val="0"/>
        <w:spacing w:before="0" w:after="200"/>
        <w:ind w:left="0" w:right="0" w:hanging="0"/>
        <w:jc w:val="both"/>
        <w:rPr>
          <w:rFonts w:ascii="Times New Roman" w:hAnsi="Times New Roman"/>
          <w:b/>
          <w:lang w:val="en-GB"/>
        </w:rPr>
      </w:pPr>
      <w:r>
        <w:rPr>
          <w:rFonts w:ascii="Times New Roman" w:hAnsi="Times New Roman"/>
          <w:b/>
          <w:lang w:val="en-GB"/>
        </w:rPr>
      </w:r>
    </w:p>
    <w:p>
      <w:pPr>
        <w:pStyle w:val="Normal"/>
        <w:bidi w:val="0"/>
        <w:spacing w:before="0" w:after="200"/>
        <w:ind w:left="0" w:right="0" w:hanging="0"/>
        <w:jc w:val="both"/>
        <w:rPr/>
      </w:pPr>
      <w:r>
        <w:rPr>
          <w:rFonts w:cs="Calibri"/>
          <w:color w:val="B5B5B5"/>
          <w:sz w:val="18"/>
          <w:szCs w:val="16"/>
        </w:rPr>
        <w:t>#§PRJ-OBJ-PO§#</w:t>
      </w:r>
    </w:p>
    <w:p>
      <w:pPr>
        <w:pStyle w:val="Normal"/>
        <w:bidi w:val="0"/>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right="0" w:hanging="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ind w:right="0" w:hanging="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ind w:right="0" w:hanging="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ind w:right="0" w:hanging="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ind w:right="0" w:hanging="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ind w:right="0" w:hanging="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ind w:right="0" w:hanging="0"/>
        <w:jc w:val="both"/>
        <w:rPr/>
      </w:pPr>
      <w:r>
        <w:rPr/>
        <w:t xml:space="preserve">Further strengthening of the host’s networking activities and prominence will be seeked through the consortium’s presence in at least </w:t>
      </w:r>
      <w:r>
        <w:rPr>
          <w:shd w:fill="FFFF00" w:val="clear"/>
        </w:rPr>
        <w:t>five</w:t>
      </w:r>
      <w:r>
        <w:rPr/>
        <w:t xml:space="preserv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right="0" w:hanging="0"/>
        <w:jc w:val="both"/>
        <w:rPr/>
      </w:pPr>
      <w:r>
        <w:rPr/>
        <w:t xml:space="preserve">Special care will be taken for efficiently disseminating the results and outcomes of ACRONYM. Besides adhering to an  open-science policy (see 1.2.1), the consortium will organize a </w:t>
      </w:r>
      <w:r>
        <w:rPr>
          <w:shd w:fill="FFFF00" w:val="clear"/>
        </w:rPr>
        <w:t>two-day</w:t>
      </w:r>
      <w:r>
        <w:rPr/>
        <w:t xml:space="preserve"> summer school on Space Geodesy to take place in Greece. The goal here will be to introduce space geodetic techniques as well as recent trends, applications and use cases to the Greek ecosystem of stakeholders that are involved in Space studies and Geosciences. This will include public research institutions, universities and private sector organizations/companies. All expert nodes will be involved and give presentations and/or lectures in their respective areas of expertise. CLS will also address issues of providing high value-added products and services, being a worldwide pioneer provider of monitoring and surveillance solutions for Earth, focusing on Environmental and Climate monitoring, Maritime Surveillance and Infrastructure monitoring.</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bidi w:val="0"/>
        <w:spacing w:before="0" w:after="200"/>
        <w:ind w:left="0" w:right="0" w:hanging="0"/>
        <w:jc w:val="both"/>
        <w:rPr>
          <w:rFonts w:ascii="Times New Roman" w:hAnsi="Times New Roman"/>
          <w:lang w:val="en-GB"/>
        </w:rPr>
      </w:pPr>
      <w:r>
        <w:rPr>
          <w:rFonts w:ascii="Times New Roman" w:hAnsi="Times New Roman"/>
          <w:lang w:val="en-GB"/>
        </w:rPr>
      </w:r>
    </w:p>
    <w:p>
      <w:pPr>
        <w:pStyle w:val="Normal"/>
        <w:bidi w:val="0"/>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bidi w:val="0"/>
        <w:spacing w:before="0" w:after="200"/>
        <w:ind w:left="0" w:right="0" w:hanging="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bidi w:val="0"/>
        <w:spacing w:before="0" w:after="200"/>
        <w:ind w:left="0" w:right="0" w:hanging="0"/>
        <w:jc w:val="both"/>
        <w:rPr>
          <w:lang w:val="en-GB"/>
        </w:rPr>
      </w:pPr>
      <w:r>
        <w:rPr>
          <w:rFonts w:ascii="Times New Roman" w:hAnsi="Times New Roman"/>
          <w:b/>
          <w:lang w:val="en-GB"/>
        </w:rPr>
        <w:t>2.1</w:t>
        <w:tab/>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highlight w:val="none"/>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bidi w:val="0"/>
        <w:spacing w:before="0" w:after="200"/>
        <w:ind w:left="0" w:right="0" w:hanging="0"/>
        <w:jc w:val="both"/>
        <w:rPr>
          <w:rFonts w:ascii="Times New Roman" w:hAnsi="Times New Roman"/>
          <w:b/>
          <w:lang w:val="en-GB"/>
        </w:rPr>
      </w:pPr>
      <w:r>
        <w:rPr>
          <w:rFonts w:ascii="Times New Roman" w:hAnsi="Times New Roman"/>
          <w:b/>
          <w:lang w:val="en-GB"/>
        </w:rPr>
      </w:r>
    </w:p>
    <w:p>
      <w:pPr>
        <w:pStyle w:val="Normal"/>
        <w:bidi w:val="0"/>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bidi w:val="0"/>
        <w:spacing w:before="0" w:after="200"/>
        <w:ind w:left="0" w:right="0" w:hanging="0"/>
        <w:jc w:val="both"/>
        <w:rPr>
          <w:highlight w:val="none"/>
          <w:shd w:fill="FFFF00" w:val="clear"/>
        </w:rPr>
      </w:pPr>
      <w:r>
        <w:rPr>
          <w:rFonts w:ascii="Times New Roman" w:hAnsi="Times New Roman"/>
          <w:shd w:fill="FFFF00" w:val="clear"/>
          <w:lang w:val="en-GB"/>
        </w:rPr>
        <w:t>Insert here text for your proposal</w:t>
      </w:r>
    </w:p>
    <w:p>
      <w:pPr>
        <w:sectPr>
          <w:headerReference w:type="even" r:id="rId10"/>
          <w:headerReference w:type="default" r:id="rId11"/>
          <w:headerReference w:type="first" r:id="rId12"/>
          <w:footerReference w:type="default" r:id="rId13"/>
          <w:footerReference w:type="first" r:id="rId14"/>
          <w:type w:val="nextPage"/>
          <w:pgSz w:w="11906" w:h="16838"/>
          <w:pgMar w:left="1134" w:right="1134" w:gutter="0" w:header="720" w:top="1134" w:footer="720" w:bottom="1134"/>
          <w:pgNumType w:fmt="decimal"/>
          <w:formProt w:val="false"/>
          <w:textDirection w:val="lrTb"/>
          <w:docGrid w:type="default" w:linePitch="100" w:charSpace="0"/>
        </w:sectPr>
        <w:pStyle w:val="Normal"/>
        <w:bidi w:val="0"/>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bidi w:val="0"/>
        <w:ind w:left="0" w:right="0" w:hanging="0"/>
        <w:rPr/>
      </w:pPr>
      <w:r>
        <w:rPr>
          <w:rFonts w:ascii="Times New Roman" w:hAnsi="Times New Roman"/>
          <w:b/>
          <w:color w:val="00B0F0"/>
        </w:rPr>
        <w:t>KEY ELEMENT OF THE IMPACT SECTION</w:t>
      </w:r>
    </w:p>
    <w:tbl>
      <w:tblPr>
        <w:tblW w:w="3878" w:type="dxa"/>
        <w:jc w:val="left"/>
        <w:tblInd w:w="-109"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bidi w:val="0"/>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i w:val="false"/>
                <w:i w:val="false"/>
                <w:iCs w:val="false"/>
              </w:rPr>
            </w:pPr>
            <w:r>
              <w:rPr>
                <w:i w:val="false"/>
                <w:iCs w:val="false"/>
                <w:color w:val="000000"/>
                <w:lang w:val="en-GB"/>
              </w:rPr>
              <w:t>Closing of the scientific gap between top class European institutes and Greece in the field of Space Geodesy.</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Enhancement of research capacity of NTUA in terms of technical assets, expertise and qualified staff.</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Improve prestige and international standing of the host institute.</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Establish a network of top-class collaborators and boost involvement in high-esteem consortia.</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rFonts w:ascii="Times New Roman" w:hAnsi="Times New Roman"/>
                <w:color w:val="000000"/>
                <w:lang w:val="en-GB"/>
              </w:rPr>
              <w:t>Increase funding capabilities and resources for research (project claiming).</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Boost Greece’s involvement and innovation in the wider field of Space studies and Geosciences and establish a national ecosystem in the field.</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bidi w:val="0"/>
              <w:ind w:left="0" w:right="0" w:hanging="0"/>
              <w:rPr>
                <w:rFonts w:ascii="Times New Roman" w:hAnsi="Times New Roman"/>
                <w:i/>
                <w:i/>
                <w:color w:val="00B0F0"/>
              </w:rPr>
            </w:pPr>
            <w:r>
              <w:rPr>
                <w:rFonts w:ascii="Times New Roman" w:hAnsi="Times New Roman"/>
                <w:i/>
                <w:color w:val="00B0F0"/>
              </w:rPr>
            </w:r>
          </w:p>
        </w:tc>
      </w:tr>
    </w:tbl>
    <w:p>
      <w:pPr>
        <w:pStyle w:val="Normal"/>
        <w:widowControl w:val="false"/>
        <w:bidi w:val="0"/>
        <w:ind w:left="0" w:right="0" w:hanging="0"/>
        <w:rPr>
          <w:rFonts w:ascii="Times New Roman" w:hAnsi="Times New Roman"/>
          <w:vanish/>
        </w:rPr>
      </w:pPr>
      <w:r>
        <w:rPr>
          <w:rFonts w:ascii="Times New Roman" w:hAnsi="Times New Roman"/>
          <w:vanish/>
        </w:rPr>
      </w:r>
    </w:p>
    <w:tbl>
      <w:tblPr>
        <w:tblW w:w="7015" w:type="dxa"/>
        <w:jc w:val="left"/>
        <w:tblInd w:w="-109"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bidi w:val="0"/>
              <w:ind w:left="0" w:right="0" w:hanging="0"/>
              <w:rPr>
                <w:rFonts w:ascii="Times New Roman" w:hAnsi="Times New Roman"/>
                <w:color w:val="00B0F0"/>
              </w:rPr>
            </w:pPr>
            <w:r>
              <w:rPr>
                <w:rFonts w:ascii="Times New Roman" w:hAnsi="Times New Roman"/>
                <w:color w:val="00B0F0"/>
              </w:rPr>
            </w:r>
          </w:p>
          <w:p>
            <w:pPr>
              <w:pStyle w:val="Normal"/>
              <w:widowControl w:val="false"/>
              <w:tabs>
                <w:tab w:val="clear" w:pos="720"/>
              </w:tabs>
              <w:ind w:left="0" w:right="0" w:hanging="0"/>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bidi w:val="0"/>
        <w:ind w:left="0" w:right="0" w:hanging="0"/>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pPr>
            <w:r>
              <w:rPr>
                <w:rFonts w:ascii="Times New Roman" w:hAnsi="Times New Roman"/>
                <w:color w:val="00B0F0"/>
              </w:rPr>
              <w:t>What do you expect to generate by the end of the project?</w:t>
            </w:r>
          </w:p>
          <w:p>
            <w:pPr>
              <w:pStyle w:val="Normal"/>
              <w:widowControl w:val="false"/>
              <w:tabs>
                <w:tab w:val="clear" w:pos="720"/>
              </w:tabs>
              <w:bidi w:val="0"/>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w:t>
            </w:r>
            <w:r>
              <w:rPr>
                <w:b w:val="false"/>
                <w:bCs w:val="false"/>
                <w:color w:val="000000"/>
                <w:shd w:fill="FFFF00" w:val="clear"/>
                <w:lang w:val="en-GB"/>
              </w:rPr>
              <w:t>five</w:t>
            </w:r>
            <w:r>
              <w:rPr>
                <w:b w:val="false"/>
                <w:bCs w:val="false"/>
                <w:color w:val="000000"/>
                <w:lang w:val="en-GB"/>
              </w:rPr>
              <w:t xml:space="preserve"> publication in international conferences.</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 and enhanced its research profile.</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rFonts w:ascii="Times New Roman" w:hAnsi="Times New Roman"/>
                <w:b/>
                <w:bCs/>
                <w:color w:val="000000"/>
                <w:lang w:val="en-GB"/>
              </w:rPr>
              <w:t>Involvement:</w:t>
            </w:r>
            <w:r>
              <w:rPr>
                <w:rFonts w:ascii="Times New Roman" w:hAnsi="Times New Roman"/>
                <w:b w:val="false"/>
                <w:bCs w:val="false"/>
                <w:color w:val="000000"/>
                <w:lang w:val="en-GB"/>
              </w:rPr>
              <w:t xml:space="preserve"> Involvement in international, high-prestige consortia such as IDS and IRLS, which shape the future of Space Geodesy.</w:t>
            </w:r>
          </w:p>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r>
          </w:p>
        </w:tc>
      </w:tr>
    </w:tbl>
    <w:p>
      <w:pPr>
        <w:pStyle w:val="Normal"/>
        <w:widowControl w:val="false"/>
        <w:bidi w:val="0"/>
        <w:ind w:left="1417" w:right="0" w:hanging="357"/>
        <w:rPr>
          <w:rFonts w:ascii="Times New Roman" w:hAnsi="Times New Roman"/>
          <w:lang w:val="en-GB"/>
        </w:rPr>
      </w:pPr>
      <w:r>
        <w:rPr>
          <w:rFonts w:ascii="Times New Roman" w:hAnsi="Times New Roman"/>
          <w:lang w:val="en-GB"/>
        </w:rPr>
      </w:r>
    </w:p>
    <w:p>
      <w:pPr>
        <w:pStyle w:val="Normal"/>
        <w:bidi w:val="0"/>
        <w:ind w:left="0" w:right="0" w:hanging="0"/>
        <w:rPr>
          <w:rFonts w:ascii="Times New Roman" w:hAnsi="Times New Roman"/>
          <w:vanish/>
        </w:rPr>
      </w:pPr>
      <w:r>
        <w:rPr>
          <w:rFonts w:ascii="Times New Roman" w:hAnsi="Times New Roman"/>
          <w:vanish/>
        </w:rPr>
      </w:r>
    </w:p>
    <w:p>
      <w:pPr>
        <w:pStyle w:val="Normal"/>
        <w:bidi w:val="0"/>
        <w:ind w:left="1417" w:right="0" w:hanging="357"/>
        <w:rPr>
          <w:rFonts w:ascii="Times New Roman" w:hAnsi="Times New Roman"/>
          <w:lang w:val="en-GB"/>
        </w:rPr>
      </w:pPr>
      <w:r>
        <w:rPr>
          <w:rFonts w:ascii="Times New Roman" w:hAnsi="Times New Roman"/>
          <w:lang w:val="en-GB"/>
        </w:rPr>
      </w:r>
    </w:p>
    <w:tbl>
      <w:tblPr>
        <w:tblW w:w="3991" w:type="dxa"/>
        <w:jc w:val="left"/>
        <w:tblInd w:w="-109"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bidi w:val="0"/>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Greek ecosystem</w:t>
            </w:r>
            <w:r>
              <w:rPr>
                <w:i w:val="false"/>
                <w:iCs w:val="false"/>
                <w:color w:val="000000"/>
                <w:lang w:val="en-GB"/>
              </w:rPr>
              <w:t xml:space="preserve"> of institutions involved in monitoring the region’s unique crust  kinematics/behavior (due to tectonics, seismic events,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rFonts w:ascii="Times New Roman" w:hAnsi="Times New Roman"/>
                <w:b/>
                <w:bCs/>
                <w:i w:val="false"/>
                <w:iCs w:val="false"/>
                <w:color w:val="000000"/>
                <w:lang w:val="en-GB"/>
              </w:rPr>
              <w:t>Young Scientists and Engineers</w:t>
            </w:r>
            <w:r>
              <w:rPr>
                <w:rFonts w:ascii="Times New Roman" w:hAnsi="Times New Roman"/>
                <w:i w:val="false"/>
                <w:iCs w:val="false"/>
                <w:color w:val="000000"/>
                <w:lang w:val="en-GB"/>
              </w:rPr>
              <w:t xml:space="preserve"> in the wider field of Geoscienses.</w:t>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bidi w:val="0"/>
        <w:ind w:left="0" w:right="0" w:hanging="0"/>
        <w:rPr>
          <w:rFonts w:ascii="Times New Roman" w:hAnsi="Times New Roman"/>
          <w:vanish/>
        </w:rPr>
      </w:pPr>
      <w:r>
        <w:rPr>
          <w:rFonts w:ascii="Times New Roman" w:hAnsi="Times New Roman"/>
          <w:vanish/>
        </w:rPr>
      </w:r>
    </w:p>
    <w:tbl>
      <w:tblPr>
        <w:tblW w:w="5354" w:type="dxa"/>
        <w:jc w:val="left"/>
        <w:tblInd w:w="-109"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bidi w:val="0"/>
              <w:ind w:left="0" w:right="0" w:hanging="0"/>
              <w:rPr>
                <w:rFonts w:ascii="Times New Roman" w:hAnsi="Times New Roman"/>
                <w:b/>
              </w:rPr>
            </w:pPr>
            <w:r>
              <w:rPr>
                <w:rFonts w:ascii="Times New Roman" w:hAnsi="Times New Roman"/>
                <w:b/>
              </w:rPr>
            </w:r>
          </w:p>
          <w:p>
            <w:pPr>
              <w:pStyle w:val="Normal"/>
              <w:widowControl w:val="false"/>
              <w:tabs>
                <w:tab w:val="clear" w:pos="720"/>
              </w:tabs>
              <w:ind w:left="0" w:right="0" w:hanging="0"/>
              <w:rPr>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Cs w:val="false"/>
              </w:rPr>
            </w:pPr>
            <w:r>
              <w:rPr>
                <w:b w:val="false"/>
                <w:bCs w:val="false"/>
              </w:rPr>
            </w:r>
          </w:p>
          <w:p>
            <w:pPr>
              <w:pStyle w:val="Normal"/>
              <w:widowControl w:val="false"/>
              <w:tabs>
                <w:tab w:val="clear" w:pos="720"/>
              </w:tabs>
              <w:ind w:left="0" w:right="0" w:hanging="0"/>
              <w:rPr>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papers published </w:t>
            </w:r>
            <w:r>
              <w:rPr/>
              <w:t>(measured with the relative rate of citation index of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Increased visibility and international standing of NTUA in the field of Space Geodesy and Geosciences.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rPr>
            </w:pPr>
            <w:r>
              <w:rPr>
                <w:rFonts w:ascii="Times New Roman" w:hAnsi="Times New Roman"/>
              </w:rPr>
            </w:r>
          </w:p>
          <w:p>
            <w:pPr>
              <w:pStyle w:val="Normal"/>
              <w:widowControl w:val="false"/>
              <w:tabs>
                <w:tab w:val="clear" w:pos="720"/>
              </w:tabs>
              <w:bidi w:val="0"/>
              <w:ind w:left="0" w:right="0" w:hanging="0"/>
              <w:rPr>
                <w:rFonts w:ascii="Times New Roman" w:hAnsi="Times New Roman"/>
                <w:color w:val="00B0F0"/>
              </w:rPr>
            </w:pPr>
            <w:r>
              <w:rPr>
                <w:rFonts w:ascii="Times New Roman" w:hAnsi="Times New Roman"/>
                <w:color w:val="00B0F0"/>
              </w:rPr>
            </w:r>
          </w:p>
        </w:tc>
      </w:tr>
    </w:tbl>
    <w:p>
      <w:pPr>
        <w:pStyle w:val="Normal"/>
        <w:widowControl w:val="false"/>
        <w:bidi w:val="0"/>
        <w:ind w:left="0" w:right="0" w:hanging="0"/>
        <w:rPr>
          <w:rFonts w:ascii="Times New Roman" w:hAnsi="Times New Roman"/>
          <w:vanish/>
        </w:rPr>
      </w:pPr>
      <w:r>
        <w:rPr>
          <w:rFonts w:ascii="Times New Roman" w:hAnsi="Times New Roman"/>
          <w:vanish/>
        </w:rPr>
      </w:r>
    </w:p>
    <w:tbl>
      <w:tblPr>
        <w:tblW w:w="5388" w:type="dxa"/>
        <w:jc w:val="left"/>
        <w:tblInd w:w="-109"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bidi w:val="0"/>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bidi w:val="0"/>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bidi w:val="0"/>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ind w:left="0" w:right="0" w:hanging="0"/>
              <w:rPr>
                <w:i/>
                <w:i/>
                <w:iCs/>
                <w:color w:val="000000"/>
              </w:rPr>
            </w:pPr>
            <w:r>
              <w:rPr>
                <w:b/>
                <w:bCs/>
                <w:i/>
                <w:iCs/>
                <w:color w:val="000000"/>
                <w:lang w:val="en-GB"/>
              </w:rPr>
              <w:t>S</w:t>
            </w:r>
            <w:r>
              <w:rPr>
                <w:b/>
                <w:bCs/>
                <w:i w:val="false"/>
                <w:iCs w:val="false"/>
                <w:color w:val="000000"/>
                <w:lang w:val="en-GB"/>
              </w:rPr>
              <w:t xml:space="preserve">ocietal: </w:t>
            </w:r>
            <w:r>
              <w:rPr>
                <w:i w:val="false"/>
                <w:iCs w:val="false"/>
                <w:color w:val="000000"/>
                <w:lang w:val="en-GB"/>
              </w:rPr>
              <w:t>Quenching of the crowding-out effect of young scientists experienced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Creation of a centre of excellence for Space Geodesy in Greece, with elevated international standing.</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Boost involvement, innovation and expertise for Space studies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Economic/Scientific:</w:t>
            </w:r>
            <w:r>
              <w:rPr>
                <w:i w:val="false"/>
                <w:iCs w:val="false"/>
                <w:color w:val="000000"/>
                <w:lang w:val="en-GB"/>
              </w:rPr>
              <w:t xml:space="preserve"> Boost host institute’s success rate in research funding bids.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rPr>
            </w:pPr>
            <w:r>
              <w:rPr>
                <w:rFonts w:ascii="Times New Roman" w:hAnsi="Times New Roman"/>
                <w:b/>
                <w:bCs/>
                <w:i w:val="false"/>
                <w:iCs w:val="false"/>
                <w:color w:val="000000"/>
                <w:lang w:val="en-GB"/>
              </w:rPr>
              <w:t>Scientific:</w:t>
            </w:r>
            <w:r>
              <w:rPr>
                <w:rFonts w:ascii="Times New Roman" w:hAnsi="Times New Roman"/>
                <w:i w:val="false"/>
                <w:iCs w:val="false"/>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tabs>
                <w:tab w:val="clear" w:pos="720"/>
              </w:tabs>
              <w:bidi w:val="0"/>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15"/>
          <w:headerReference w:type="first" r:id="rId16"/>
          <w:footerReference w:type="default" r:id="rId17"/>
          <w:footerReference w:type="first" r:id="rId18"/>
          <w:type w:val="nextPage"/>
          <w:pgSz w:orient="landscape" w:w="16838" w:h="11906"/>
          <w:pgMar w:left="851" w:right="851" w:gutter="0" w:header="720" w:top="851" w:footer="720" w:bottom="851"/>
          <w:pgNumType w:fmt="decimal"/>
          <w:formProt w:val="false"/>
          <w:textDirection w:val="lrTb"/>
          <w:docGrid w:type="default" w:linePitch="100" w:charSpace="0"/>
        </w:sectPr>
        <w:pStyle w:val="Normal"/>
        <w:widowControl w:val="false"/>
        <w:bidi w:val="0"/>
        <w:spacing w:before="0" w:after="200"/>
        <w:ind w:left="0" w:right="0" w:hanging="0"/>
        <w:jc w:val="both"/>
        <w:rPr/>
      </w:pPr>
      <w:r>
        <w:rPr>
          <w:rFonts w:cs="Arial"/>
          <w:color w:val="B5B5B5"/>
          <w:sz w:val="18"/>
          <w:szCs w:val="16"/>
        </w:rPr>
        <w:t>#§IMP-ACT-IA§#</w:t>
      </w:r>
    </w:p>
    <w:p>
      <w:pPr>
        <w:pStyle w:val="Normal"/>
        <w:bidi w:val="0"/>
        <w:spacing w:before="0" w:after="200"/>
        <w:ind w:left="0" w:right="0" w:hanging="0"/>
        <w:jc w:val="both"/>
        <w:rPr>
          <w:rFonts w:ascii="Times New Roman" w:hAnsi="Times New Roman"/>
          <w:b/>
          <w:bCs/>
          <w:lang w:val="en-GB"/>
        </w:rPr>
      </w:pPr>
      <w:r>
        <w:rPr>
          <w:rFonts w:ascii="Times New Roman" w:hAnsi="Times New Roman"/>
          <w:b/>
          <w:bCs/>
          <w:lang w:val="en-GB"/>
        </w:rPr>
      </w:r>
    </w:p>
    <w:p>
      <w:pPr>
        <w:pStyle w:val="Normal"/>
        <w:bidi w:val="0"/>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bidi w:val="0"/>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120"/>
        <w:ind w:left="0" w:right="0" w:hanging="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bidi w:val="0"/>
        <w:spacing w:before="0" w:after="200"/>
        <w:ind w:left="0" w:right="0" w:hanging="0"/>
        <w:jc w:val="both"/>
        <w:rPr>
          <w:rFonts w:ascii="Times New Roman" w:hAnsi="Times New Roman"/>
          <w:b/>
          <w:lang w:val="en-GB"/>
        </w:rPr>
      </w:pPr>
      <w:r>
        <w:rPr>
          <w:rFonts w:ascii="Times New Roman" w:hAnsi="Times New Roman"/>
          <w:b/>
          <w:lang w:val="en-GB"/>
        </w:rPr>
      </w:r>
    </w:p>
    <w:p>
      <w:pPr>
        <w:pStyle w:val="Normal"/>
        <w:bidi w:val="0"/>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bidi w:val="0"/>
        <w:spacing w:before="0" w:after="200"/>
        <w:ind w:left="0" w:right="0" w:hanging="0"/>
        <w:jc w:val="both"/>
        <w:rPr>
          <w:highlight w:val="none"/>
          <w:shd w:fill="FFFF00" w:val="clear"/>
        </w:rPr>
      </w:pPr>
      <w:r>
        <w:rPr>
          <w:rFonts w:ascii="Times New Roman" w:hAnsi="Times New Roman"/>
          <w:shd w:fill="FFFF00" w:val="clear"/>
          <w:lang w:val="en-GB"/>
        </w:rPr>
        <w:t>Insert here text for your proposal</w:t>
      </w:r>
    </w:p>
    <w:p>
      <w:pPr>
        <w:pStyle w:val="Normal"/>
        <w:bidi w:val="0"/>
        <w:spacing w:lineRule="auto" w:line="276" w:before="0" w:after="240"/>
        <w:ind w:left="0" w:right="0" w:hanging="0"/>
        <w:jc w:val="both"/>
        <w:rPr>
          <w:rFonts w:ascii="Times New Roman" w:hAnsi="Times New Roman"/>
          <w:b/>
          <w:bCs/>
          <w:lang w:val="en-GB"/>
        </w:rPr>
      </w:pPr>
      <w:r>
        <w:rPr>
          <w:rFonts w:ascii="Times New Roman" w:hAnsi="Times New Roman"/>
          <w:b/>
          <w:bCs/>
          <w:lang w:val="en-GB"/>
        </w:rPr>
      </w:r>
    </w:p>
    <w:p>
      <w:pPr>
        <w:pStyle w:val="Normal"/>
        <w:bidi w:val="0"/>
        <w:spacing w:before="0" w:after="200"/>
        <w:ind w:left="0" w:right="0" w:hanging="0"/>
        <w:rPr/>
      </w:pPr>
      <w:bookmarkStart w:id="25" w:name="_Hlk106802840"/>
      <w:r>
        <w:rPr>
          <w:rFonts w:cs="Arial"/>
          <w:color w:val="B5B5B5"/>
          <w:sz w:val="18"/>
          <w:szCs w:val="16"/>
        </w:rPr>
        <w:t>#§CON-SOR-CS§# #§PRJ-MGT-PM§#</w:t>
      </w:r>
      <w:bookmarkEnd w:id="25"/>
    </w:p>
    <w:p>
      <w:pPr>
        <w:pStyle w:val="Normal"/>
        <w:bidi w:val="0"/>
        <w:ind w:left="0" w:right="0" w:hanging="0"/>
        <w:rPr/>
      </w:pPr>
      <w:r>
        <w:rPr/>
      </w:r>
      <w:r>
        <w:br w:type="page"/>
      </w:r>
    </w:p>
    <w:p>
      <w:pPr>
        <w:pStyle w:val="Normal"/>
        <w:bidi w:val="0"/>
        <w:spacing w:lineRule="auto" w:line="276" w:before="0" w:after="240"/>
        <w:ind w:left="0" w:right="0" w:hanging="0"/>
        <w:jc w:val="both"/>
        <w:rPr>
          <w:lang w:val="en-GB"/>
        </w:rPr>
      </w:pPr>
      <w:r>
        <w:rPr>
          <w:rFonts w:ascii="Times New Roman" w:hAnsi="Times New Roman"/>
          <w:b/>
          <w:bCs/>
          <w:lang w:val="en-GB"/>
        </w:rPr>
        <w:t>Tables for section 3.1</w:t>
      </w:r>
    </w:p>
    <w:p>
      <w:pPr>
        <w:pStyle w:val="Normal"/>
        <w:bidi w:val="0"/>
        <w:spacing w:before="0" w:after="240"/>
        <w:ind w:left="0" w:right="0" w:hanging="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Pr>
      <w:tblGrid>
        <w:gridCol w:w="1101"/>
        <w:gridCol w:w="1416"/>
        <w:gridCol w:w="1417"/>
        <w:gridCol w:w="1418"/>
        <w:gridCol w:w="1276"/>
        <w:gridCol w:w="1133"/>
        <w:gridCol w:w="1134"/>
      </w:tblGrid>
      <w:tr>
        <w:trPr>
          <w:cantSplit w:val="true"/>
        </w:trPr>
        <w:tc>
          <w:tcPr>
            <w:tcW w:w="1101"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Work package No</w:t>
            </w:r>
          </w:p>
        </w:tc>
        <w:tc>
          <w:tcPr>
            <w:tcW w:w="1416"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Lead Participant Short Name</w:t>
            </w:r>
          </w:p>
        </w:tc>
        <w:tc>
          <w:tcPr>
            <w:tcW w:w="1276"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Person-Months</w:t>
            </w:r>
          </w:p>
        </w:tc>
        <w:tc>
          <w:tcPr>
            <w:tcW w:w="1133"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bidi w:val="0"/>
              <w:spacing w:before="120" w:after="120"/>
              <w:ind w:left="34" w:right="0" w:hanging="0"/>
              <w:jc w:val="center"/>
              <w:rPr>
                <w:lang w:val="en-GB"/>
              </w:rPr>
            </w:pPr>
            <w:r>
              <w:rPr>
                <w:rFonts w:ascii="Times New Roman" w:hAnsi="Times New Roman"/>
                <w:b/>
                <w:lang w:val="en-GB"/>
              </w:rPr>
              <w:t>End month</w:t>
            </w:r>
          </w:p>
        </w:tc>
      </w:tr>
      <w:tr>
        <w:trPr>
          <w:cantSplit w:val="true"/>
        </w:trPr>
        <w:tc>
          <w:tcPr>
            <w:tcW w:w="110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41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1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41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1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41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1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1"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41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1133"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bidi w:val="0"/>
        <w:spacing w:before="0" w:after="240"/>
        <w:ind w:left="0" w:right="0" w:hanging="0"/>
        <w:rPr>
          <w:rFonts w:ascii="Times New Roman" w:hAnsi="Times New Roman"/>
          <w:b/>
          <w:bCs/>
        </w:rPr>
      </w:pPr>
      <w:r>
        <w:rPr>
          <w:rFonts w:ascii="Times New Roman" w:hAnsi="Times New Roman"/>
          <w:b/>
          <w:bCs/>
        </w:rPr>
      </w:r>
      <w:r>
        <w:br w:type="page"/>
      </w:r>
    </w:p>
    <w:p>
      <w:pPr>
        <w:pStyle w:val="Normal"/>
        <w:bidi w:val="0"/>
        <w:spacing w:before="0" w:after="200"/>
        <w:ind w:left="0" w:right="0" w:hanging="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t>Project Management &amp; Coordination</w:t>
            </w:r>
          </w:p>
        </w:tc>
      </w:tr>
    </w:tbl>
    <w:p>
      <w:pPr>
        <w:pStyle w:val="Normal"/>
        <w:widowControl w:val="false"/>
        <w:bidi w:val="0"/>
        <w:spacing w:before="60" w:after="60"/>
        <w:ind w:left="0" w:right="0" w:hanging="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lang w:val="en-GB"/>
              </w:rPr>
            </w:pPr>
            <w:r>
              <w:rPr/>
              <w:t>The objectives of this WP are to: (1) Establish a strong project management scheme; (2) Establish the appropriate 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bl>
    <w:p>
      <w:pPr>
        <w:pStyle w:val="Normal"/>
        <w:widowControl w:val="false"/>
        <w:bidi w:val="0"/>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bidi w:val="0"/>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tc>
      </w:tr>
    </w:tbl>
    <w:p>
      <w:pPr>
        <w:pStyle w:val="Normal"/>
        <w:widowControl w:val="false"/>
        <w:bidi w:val="0"/>
        <w:ind w:left="0" w:right="0" w:hanging="0"/>
        <w:rPr>
          <w:rFonts w:ascii="Times New Roman" w:hAnsi="Times New Roman"/>
          <w:lang w:val="en-GB"/>
        </w:rPr>
      </w:pPr>
      <w:r>
        <w:rPr>
          <w:rFonts w:ascii="Times New Roman" w:hAnsi="Times New Roman"/>
          <w:lang w:val="en-GB"/>
        </w:rPr>
      </w:r>
    </w:p>
    <w:p>
      <w:pPr>
        <w:pStyle w:val="Normal"/>
        <w:widowControl w:val="false"/>
        <w:bidi w:val="0"/>
        <w:ind w:left="0" w:right="0" w:hanging="0"/>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Transfer of Knowledge</w:t>
            </w:r>
          </w:p>
        </w:tc>
      </w:tr>
    </w:tbl>
    <w:p>
      <w:pPr>
        <w:pStyle w:val="Normal"/>
        <w:bidi w:val="0"/>
        <w:ind w:left="0" w:right="0" w:hanging="0"/>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tabs>
                <w:tab w:val="clear" w:pos="720"/>
              </w:tabs>
              <w:bidi w:val="0"/>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partners. Through these channels, the expert nodes will introduce the host institute to their respective fields of expertise, transfer technique-specific knowledge and lay the groundwork for research capacity building.</w:t>
            </w:r>
          </w:p>
          <w:p>
            <w:pPr>
              <w:pStyle w:val="Normal"/>
              <w:widowControl w:val="false"/>
              <w:tabs>
                <w:tab w:val="clear" w:pos="720"/>
              </w:tabs>
              <w:spacing w:before="60" w:after="60"/>
              <w:ind w:left="0" w:right="0" w:hanging="0"/>
              <w:jc w:val="both"/>
              <w:rPr/>
            </w:pPr>
            <w:r>
              <w:rPr/>
              <w:t>Additionally, a task force will be established in the host institute and trained by the expert partners with the aim of boosting its success rate in research funding bids.</w:t>
            </w:r>
          </w:p>
        </w:tc>
      </w:tr>
    </w:tbl>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bidi w:val="0"/>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means through which this force will maintain a long-term sound communication and collaboration. The expert partners will introduce the DORIS technique to their peers in the host institute via online webinars, virtual training, venture labs and one short term encounter of all three involved partners. This encounter will be hosted by IPGP and will include the schooling of the host’s personnel and its training on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thus strengthening ties and synergies.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Additionally, exploiting the expertise of the top-class institutes (IPGP and CLS), the partners will draw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means through which this force will maintain a long-term, solid communication channel. The expert partner will introduce the SLR technique to its peers in the host institute via online webinars, virtual training, venture labs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means through which this force will maintain a long-term, sound communication channel. The expert partner will introduce the VLBI technique to its peers in the host institute via online webinars, virtual training, venture labs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Research Funding Capacity (M1-M24); Lead CLS</w:t>
            </w:r>
          </w:p>
          <w:p>
            <w:pPr>
              <w:pStyle w:val="Normal"/>
              <w:widowControl w:val="false"/>
              <w:tabs>
                <w:tab w:val="clear" w:pos="720"/>
              </w:tabs>
              <w:spacing w:before="60" w:after="60"/>
              <w:ind w:left="0" w:right="0" w:hanging="0"/>
              <w:jc w:val="both"/>
              <w:rPr/>
            </w:pPr>
            <w:r>
              <w:rPr>
                <w:b w:val="false"/>
                <w:bCs w:val="false"/>
                <w:lang w:val="en-GB"/>
              </w:rPr>
              <w:t>The host institute will establish a task force, made up of NTUA employees, which will be trained in project funding seeking, proposal submission and research project management. The consortium partners (CLS, IPGP, GFZ and OSO) will transfer technical knowledge, know-how and expertise to NTUA, concerning the writing and submitting of research proposals, as well as the efficient administration of research intensive scientific projects. The expert nodes will introduce the host task force to European research funding pools (e.g. EU, ESA, etc) and the means to significantly enhance its successful proposal submission rate. The task force along with the partners will decide on a strategic plan for two further research proposals to be submitted within the duration of ACRONYM.</w:t>
            </w:r>
          </w:p>
        </w:tc>
      </w:tr>
    </w:tbl>
    <w:p>
      <w:pPr>
        <w:pStyle w:val="Normal"/>
        <w:bidi w:val="0"/>
        <w:ind w:left="0" w:right="0" w:hanging="0"/>
        <w:rPr>
          <w:lang w:val="en-GB"/>
        </w:rPr>
      </w:pPr>
      <w:r>
        <w:rPr>
          <w:lang w:val="en-GB"/>
        </w:rPr>
      </w:r>
    </w:p>
    <w:p>
      <w:pPr>
        <w:pStyle w:val="Normal"/>
        <w:bidi w:val="0"/>
        <w:ind w:left="0" w:right="0" w:hanging="0"/>
        <w:rPr>
          <w:lang w:val="en-GB"/>
        </w:rPr>
      </w:pPr>
      <w:r>
        <w:rPr>
          <w:lang w:val="en-GB"/>
        </w:rPr>
      </w:r>
    </w:p>
    <w:p>
      <w:pPr>
        <w:pStyle w:val="Normal"/>
        <w:bidi w:val="0"/>
        <w:ind w:left="0" w:right="0" w:hanging="0"/>
        <w:rPr>
          <w:lang w:val="en-GB"/>
        </w:rPr>
      </w:pPr>
      <w:r>
        <w:rPr>
          <w:lang w:val="en-GB"/>
        </w:rPr>
      </w:r>
    </w:p>
    <w:tbl>
      <w:tblPr>
        <w:tblW w:w="9854" w:type="dxa"/>
        <w:jc w:val="left"/>
        <w:tblInd w:w="-109" w:type="dxa"/>
        <w:tblLayout w:type="fixed"/>
        <w:tblCellMar>
          <w:top w:w="0" w:type="dxa"/>
          <w:left w:w="108" w:type="dxa"/>
          <w:bottom w:w="0" w:type="dxa"/>
          <w:right w:w="108" w:type="dxa"/>
        </w:tblCellMar>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bl>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p>
            <w:pPr>
              <w:pStyle w:val="Normal"/>
              <w:widowControl w:val="false"/>
              <w:tabs>
                <w:tab w:val="clear" w:pos="720"/>
              </w:tabs>
              <w:spacing w:before="60" w:after="60"/>
              <w:ind w:left="0" w:right="0" w:hanging="0"/>
              <w:jc w:val="both"/>
              <w:rPr>
                <w:highlight w:val="none"/>
                <w:shd w:fill="auto" w:val="clear"/>
              </w:rPr>
            </w:pPr>
            <w:r>
              <w:rPr>
                <w:shd w:fill="auto" w:val="clear"/>
                <w:lang w:val="en-GB"/>
              </w:rPr>
              <w:t>The consortium will adhere to a free and open-source policy for all software tools to be built within the framework of this WP. Software implementation will be carried out on the public domain via dedicated repositories (hosted e.g. on gitlab) so as to enable a rigorous development platform for the consortium partners, easy and efficient progress monitoring (including the Commission) and instantaneous sharing with the scientific community.</w:t>
            </w:r>
          </w:p>
        </w:tc>
      </w:tr>
    </w:tbl>
    <w:p>
      <w:pPr>
        <w:pStyle w:val="Normal"/>
        <w:bidi w:val="0"/>
        <w:ind w:left="0" w:right="0" w:hanging="0"/>
        <w:rPr>
          <w:lang w:val="en-GB"/>
        </w:rPr>
      </w:pPr>
      <w:r>
        <w:rPr>
          <w:lang w:val="en-GB"/>
        </w:rPr>
      </w:r>
    </w:p>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bidi w:val="0"/>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training,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2.1,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IDS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2.2,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ILRS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Cs w:val="false"/>
              </w:rPr>
            </w:pPr>
            <w:r>
              <w:rPr>
                <w:lang w:val="en-GB"/>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p>
            <w:pPr>
              <w:pStyle w:val="Normal"/>
              <w:widowControl w:val="false"/>
              <w:tabs>
                <w:tab w:val="clear" w:pos="720"/>
              </w:tabs>
              <w:bidi w:val="0"/>
              <w:spacing w:before="60" w:after="60"/>
              <w:ind w:left="0" w:right="0" w:hanging="0"/>
              <w:rPr>
                <w:rFonts w:ascii="Times New Roman" w:hAnsi="Times New Roman"/>
                <w:lang w:val="en-GB"/>
              </w:rPr>
            </w:pPr>
            <w:r>
              <w:rPr>
                <w:rFonts w:ascii="Times New Roman" w:hAnsi="Times New Roman"/>
                <w:lang w:val="en-GB"/>
              </w:rPr>
            </w:r>
          </w:p>
        </w:tc>
      </w:tr>
    </w:tbl>
    <w:p>
      <w:pPr>
        <w:pStyle w:val="Normal"/>
        <w:bidi w:val="0"/>
        <w:ind w:left="0" w:right="0" w:hanging="0"/>
        <w:rPr>
          <w:lang w:val="en-GB"/>
        </w:rPr>
      </w:pPr>
      <w:r>
        <w:rPr>
          <w:lang w:val="en-GB"/>
        </w:rPr>
      </w:r>
    </w:p>
    <w:tbl>
      <w:tblPr>
        <w:tblW w:w="9854" w:type="dxa"/>
        <w:jc w:val="left"/>
        <w:tblInd w:w="-109" w:type="dxa"/>
        <w:tblLayout w:type="fixed"/>
        <w:tblCellMar>
          <w:top w:w="0" w:type="dxa"/>
          <w:left w:w="108" w:type="dxa"/>
          <w:bottom w:w="0" w:type="dxa"/>
          <w:right w:w="108" w:type="dxa"/>
        </w:tblCellMar>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bl>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jc w:val="both"/>
              <w:rPr/>
            </w:pPr>
            <w:r>
              <w:rPr/>
              <w:t>The objective of this WP is the significant enhancement of the host institute’s international standing and prestige via dissemination and communication activities. Publications in top-tier scientific journals and conferences will further increase NTUA’s visibility and prominence in the scientific community and strengthen the potential for future collaborations nationally and beyond borders. Communication and exploitation activities will help in boosting innovation in the Space and Geosciences fields in Greece, and appeal to young scientists. Focus will be placed in endorsing and promoting the achievements of ACRONYM and the newly established center of excellence.</w:t>
            </w:r>
          </w:p>
        </w:tc>
      </w:tr>
    </w:tbl>
    <w:p>
      <w:pPr>
        <w:pStyle w:val="Normal"/>
        <w:bidi w:val="0"/>
        <w:ind w:left="0" w:right="0" w:hanging="0"/>
        <w:rPr>
          <w:lang w:val="en-GB"/>
        </w:rPr>
      </w:pPr>
      <w:r>
        <w:rPr>
          <w:lang w:val="en-GB"/>
        </w:rPr>
      </w:r>
    </w:p>
    <w:p>
      <w:pPr>
        <w:pStyle w:val="Normal"/>
        <w:bidi w:val="0"/>
        <w:ind w:left="0" w:right="0" w:hanging="0"/>
        <w:rPr>
          <w:lang w:val="en-GB"/>
        </w:rPr>
      </w:pPr>
      <w:r>
        <w:rPr>
          <w:lang w:val="en-GB"/>
        </w:rPr>
      </w:r>
    </w:p>
    <w:tbl>
      <w:tblPr>
        <w:tblW w:w="9855" w:type="dxa"/>
        <w:jc w:val="left"/>
        <w:tblInd w:w="-109"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bidi w:val="0"/>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bidi w:val="0"/>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 xml:space="preserve">Th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Joint Summer School and Seminar</w:t>
            </w:r>
            <w:r>
              <w:rPr>
                <w:b/>
                <w:bCs/>
                <w:shd w:fill="FFFF00" w:val="clear"/>
                <w:lang w:val="en-GB"/>
              </w:rPr>
              <w:t xml:space="preserve"> (M1-M36); Lead NTUA</w:t>
            </w:r>
          </w:p>
          <w:p>
            <w:pPr>
              <w:pStyle w:val="Normal"/>
              <w:widowControl w:val="false"/>
              <w:tabs>
                <w:tab w:val="clear" w:pos="720"/>
              </w:tabs>
              <w:spacing w:before="60" w:after="60"/>
              <w:ind w:left="0" w:right="0" w:hanging="0"/>
              <w:jc w:val="both"/>
              <w:rPr/>
            </w:pPr>
            <w:r>
              <w:rPr>
                <w:lang w:val="en-GB"/>
              </w:rPr>
              <w:t xml:space="preserve">The host institute will organize a </w:t>
            </w:r>
            <w:r>
              <w:rPr>
                <w:shd w:fill="FFFF00" w:val="clear"/>
                <w:lang w:val="en-GB"/>
              </w:rPr>
              <w:t>two-day</w:t>
            </w:r>
            <w:r>
              <w:rPr>
                <w:lang w:val="en-GB"/>
              </w:rPr>
              <w:t xml:space="preserve"> Summer School that will take place in Greece, for the endorsement of ACRONYM, dissemination of its scientific output and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tabs>
                <w:tab w:val="clear" w:pos="720"/>
              </w:tabs>
              <w:spacing w:before="60" w:after="60"/>
              <w:ind w:left="0" w:right="0" w:hanging="0"/>
              <w:jc w:val="both"/>
              <w:rPr/>
            </w:pPr>
            <w:r>
              <w:rPr>
                <w:lang w:val="en-GB"/>
              </w:rPr>
              <w:t>The host institute will also organize a one-day seminar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(M12-M36);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Hence, by the end of ACRONYM, three high impact factor publications will have been produced, adhering to an open-access policy.</w:t>
            </w:r>
          </w:p>
          <w:p>
            <w:pPr>
              <w:pStyle w:val="Normal"/>
              <w:widowControl w:val="false"/>
              <w:tabs>
                <w:tab w:val="clear" w:pos="720"/>
              </w:tabs>
              <w:spacing w:before="60" w:after="60"/>
              <w:ind w:left="0" w:right="0" w:hanging="0"/>
              <w:jc w:val="both"/>
              <w:rPr>
                <w:b w:val="false"/>
                <w:bCs w:val="false"/>
              </w:rPr>
            </w:pPr>
            <w:r>
              <w:rPr>
                <w:b w:val="false"/>
                <w:bCs w:val="false"/>
                <w:lang w:val="en-GB"/>
              </w:rPr>
              <w:t xml:space="preserve">Additionally, members of the consortium will present relevant publications in at least </w:t>
            </w:r>
            <w:r>
              <w:rPr>
                <w:b w:val="false"/>
                <w:bCs w:val="false"/>
                <w:shd w:fill="FFFF00" w:val="clear"/>
                <w:lang w:val="en-GB"/>
              </w:rPr>
              <w:t>five</w:t>
            </w:r>
            <w:r>
              <w:rPr>
                <w:b w:val="false"/>
                <w:bCs w:val="false"/>
                <w:lang w:val="en-GB"/>
              </w:rPr>
              <w:t xml:space="preserve"> international conferences, targeting when possible technique-related workshops (e.g. Analysis Centre Workshops organized by IDS and/or ILRS).</w:t>
            </w:r>
          </w:p>
        </w:tc>
      </w:tr>
    </w:tbl>
    <w:p>
      <w:pPr>
        <w:pStyle w:val="Normal"/>
        <w:bidi w:val="0"/>
        <w:ind w:left="0" w:right="0" w:hanging="0"/>
        <w:rPr>
          <w:lang w:val="en-GB"/>
        </w:rPr>
      </w:pPr>
      <w:r>
        <w:rPr>
          <w:lang w:val="en-GB"/>
        </w:rPr>
      </w:r>
    </w:p>
    <w:p>
      <w:pPr>
        <w:pStyle w:val="Normal"/>
        <w:bidi w:val="0"/>
        <w:ind w:left="0" w:right="0" w:hanging="0"/>
        <w:rPr>
          <w:lang w:val="en-GB"/>
        </w:rPr>
      </w:pPr>
      <w:r>
        <w:rPr>
          <w:lang w:val="en-GB"/>
        </w:rPr>
      </w:r>
    </w:p>
    <w:p>
      <w:pPr>
        <w:pStyle w:val="Normal"/>
        <w:bidi w:val="0"/>
        <w:ind w:left="0" w:right="0" w:hanging="0"/>
        <w:rPr>
          <w:lang w:val="en-GB"/>
        </w:rPr>
      </w:pPr>
      <w:r>
        <w:rPr>
          <w:lang w:val="en-GB"/>
        </w:rPr>
      </w:r>
    </w:p>
    <w:p>
      <w:pPr>
        <w:pStyle w:val="Normal"/>
        <w:bidi w:val="0"/>
        <w:ind w:left="0" w:right="0" w:hanging="0"/>
        <w:rPr>
          <w:lang w:val="en-GB"/>
        </w:rPr>
      </w:pPr>
      <w:r>
        <w:rPr>
          <w:rFonts w:ascii="Times New Roman" w:hAnsi="Times New Roman"/>
          <w:b/>
          <w:lang w:val="en-GB"/>
        </w:rPr>
        <w:t>Table 3.1c:</w:t>
        <w:tab/>
        <w:t xml:space="preserve">List of Deliverables  </w:t>
      </w:r>
    </w:p>
    <w:p>
      <w:pPr>
        <w:pStyle w:val="Normal"/>
        <w:bidi w:val="0"/>
        <w:ind w:left="0" w:right="0" w:hanging="0"/>
        <w:rPr>
          <w:rFonts w:ascii="Times New Roman" w:hAnsi="Times New Roman"/>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Pr>
      <w:tblGrid>
        <w:gridCol w:w="1376"/>
        <w:gridCol w:w="2078"/>
        <w:gridCol w:w="1293"/>
        <w:gridCol w:w="1385"/>
        <w:gridCol w:w="1387"/>
        <w:gridCol w:w="1756"/>
        <w:gridCol w:w="1127"/>
      </w:tblGrid>
      <w:tr>
        <w:trPr/>
        <w:tc>
          <w:tcPr>
            <w:tcW w:w="137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ind w:left="0" w:right="0" w:hanging="0"/>
              <w:jc w:val="center"/>
              <w:rPr>
                <w:lang w:val="en-GB"/>
              </w:rPr>
            </w:pPr>
            <w:r>
              <w:rPr>
                <w:rFonts w:ascii="Times New Roman" w:hAnsi="Times New Roman"/>
                <w:b/>
                <w:lang w:val="en-GB"/>
              </w:rPr>
              <w:t>Short name of lead participant</w:t>
            </w:r>
          </w:p>
        </w:tc>
        <w:tc>
          <w:tcPr>
            <w:tcW w:w="138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ind w:left="0" w:right="0" w:hanging="0"/>
              <w:jc w:val="center"/>
              <w:rPr>
                <w:lang w:val="en-GB"/>
              </w:rPr>
            </w:pPr>
            <w:r>
              <w:rPr>
                <w:rFonts w:ascii="Times New Roman" w:hAnsi="Times New Roman"/>
                <w:b/>
                <w:lang w:val="en-GB"/>
              </w:rPr>
              <w:t>Type</w:t>
            </w:r>
          </w:p>
        </w:tc>
        <w:tc>
          <w:tcPr>
            <w:tcW w:w="175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Dissemination level</w:t>
            </w:r>
          </w:p>
        </w:tc>
        <w:tc>
          <w:tcPr>
            <w:tcW w:w="112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bidi w:val="0"/>
              <w:spacing w:before="120" w:after="0"/>
              <w:ind w:left="0" w:right="0" w:hanging="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6,24,36</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13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auto" w:val="clear"/>
              </w:rPr>
            </w:pPr>
            <w:r>
              <w:rPr>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Cs w:val="false"/>
              </w:rPr>
            </w:pPr>
            <w:r>
              <w:rPr>
                <w:b w:val="false"/>
                <w:bCs w:val="false"/>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D4.4</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Space Geodesy Solutions Seminar</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CLS</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DEC</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2078"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138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75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bl>
    <w:p>
      <w:pPr>
        <w:pStyle w:val="Normal"/>
        <w:widowControl w:val="false"/>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3.1d:</w:t>
        <w:tab/>
        <w:t xml:space="preserve">List of milestones </w:t>
      </w:r>
    </w:p>
    <w:p>
      <w:pPr>
        <w:pStyle w:val="Normal"/>
        <w:bidi w:val="0"/>
        <w:ind w:left="0" w:right="0" w:hanging="0"/>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Pr>
      <w:tblGrid>
        <w:gridCol w:w="1316"/>
        <w:gridCol w:w="1645"/>
        <w:gridCol w:w="2255"/>
        <w:gridCol w:w="2255"/>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Milestone name</w:t>
            </w:r>
          </w:p>
        </w:tc>
        <w:tc>
          <w:tcPr>
            <w:tcW w:w="225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Related work package(s)</w:t>
            </w:r>
          </w:p>
        </w:tc>
        <w:tc>
          <w:tcPr>
            <w:tcW w:w="225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5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5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5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5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bidi w:val="0"/>
        <w:ind w:left="0" w:right="0" w:hanging="0"/>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Pr>
      <w:tblGrid>
        <w:gridCol w:w="3821"/>
        <w:gridCol w:w="2416"/>
        <w:gridCol w:w="3828"/>
      </w:tblGrid>
      <w:tr>
        <w:trPr/>
        <w:tc>
          <w:tcPr>
            <w:tcW w:w="382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Description of risk (indicate level of (i) likelihood, and (ii) severity: Low/Medium/High)</w:t>
            </w:r>
          </w:p>
        </w:tc>
        <w:tc>
          <w:tcPr>
            <w:tcW w:w="24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Proposed risk-mitigation measures</w:t>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r>
      <w:tr>
        <w:trPr/>
        <w:tc>
          <w:tcPr>
            <w:tcW w:w="382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c>
          <w:tcPr>
            <w:tcW w:w="2416"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r>
    </w:tbl>
    <w:p>
      <w:pPr>
        <w:pStyle w:val="Normal"/>
        <w:widowControl w:val="false"/>
        <w:bidi w:val="0"/>
        <w:spacing w:before="0" w:after="240"/>
        <w:ind w:left="0" w:right="0" w:hanging="0"/>
        <w:rPr/>
      </w:pPr>
      <w:bookmarkStart w:id="27" w:name="_Hlk106802885"/>
      <w:r>
        <w:rPr>
          <w:rFonts w:cs="Arial"/>
          <w:color w:val="B5B5B5"/>
          <w:sz w:val="18"/>
          <w:szCs w:val="16"/>
        </w:rPr>
        <w:t>#§RSK-MGT-RM§#</w:t>
      </w:r>
      <w:bookmarkEnd w:id="27"/>
    </w:p>
    <w:p>
      <w:pPr>
        <w:pStyle w:val="Normal"/>
        <w:bidi w:val="0"/>
        <w:ind w:left="0" w:right="0" w:hanging="0"/>
        <w:rPr>
          <w:lang w:val="en-GB"/>
        </w:rPr>
      </w:pPr>
      <w:r>
        <w:rPr>
          <w:rFonts w:ascii="Times New Roman" w:hAnsi="Times New Roman"/>
          <w:b/>
          <w:lang w:val="en-GB"/>
        </w:rPr>
        <w:t xml:space="preserve">Table 3.1f: </w:t>
        <w:tab/>
        <w:t>Summary of staff effort</w:t>
      </w:r>
    </w:p>
    <w:p>
      <w:pPr>
        <w:pStyle w:val="Normal"/>
        <w:bidi w:val="0"/>
        <w:ind w:left="0" w:right="0" w:hanging="0"/>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4"/>
        <w:gridCol w:w="1473"/>
        <w:gridCol w:w="1467"/>
        <w:gridCol w:w="1462"/>
        <w:gridCol w:w="3118"/>
      </w:tblGrid>
      <w:tr>
        <w:trPr/>
        <w:tc>
          <w:tcPr>
            <w:tcW w:w="2404" w:type="dxa"/>
            <w:tcBorders>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7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WPn+1</w:t>
            </w:r>
          </w:p>
        </w:tc>
        <w:tc>
          <w:tcPr>
            <w:tcW w:w="14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WPn+2</w:t>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Total Person-</w:t>
            </w:r>
          </w:p>
          <w:p>
            <w:pPr>
              <w:pStyle w:val="Normal"/>
              <w:widowControl w:val="false"/>
              <w:tabs>
                <w:tab w:val="clear" w:pos="720"/>
              </w:tabs>
              <w:bidi w:val="0"/>
              <w:ind w:left="0" w:right="0" w:hanging="0"/>
              <w:rPr>
                <w:lang w:val="en-GB"/>
              </w:rPr>
            </w:pPr>
            <w:r>
              <w:rPr>
                <w:rFonts w:ascii="Times New Roman" w:hAnsi="Times New Roman"/>
                <w:b/>
                <w:lang w:val="en-GB"/>
              </w:rPr>
              <w:t>Months per Participant</w:t>
            </w:r>
          </w:p>
        </w:tc>
      </w:tr>
      <w:tr>
        <w:trPr/>
        <w:tc>
          <w:tcPr>
            <w:tcW w:w="24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Number/Short Name</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r>
        <w:trPr>
          <w:trHeight w:val="506" w:hRule="atLeast"/>
        </w:trPr>
        <w:tc>
          <w:tcPr>
            <w:tcW w:w="24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w:t>
            </w:r>
          </w:p>
          <w:p>
            <w:pPr>
              <w:pStyle w:val="Normal"/>
              <w:widowControl w:val="false"/>
              <w:tabs>
                <w:tab w:val="clear" w:pos="720"/>
              </w:tabs>
              <w:bidi w:val="0"/>
              <w:ind w:left="0" w:right="0" w:hanging="0"/>
              <w:rPr>
                <w:lang w:val="en-GB"/>
              </w:rPr>
            </w:pPr>
            <w:r>
              <w:rPr>
                <w:rFonts w:ascii="Times New Roman" w:hAnsi="Times New Roman"/>
                <w:b/>
                <w:lang w:val="en-GB"/>
              </w:rPr>
              <w:t>Short Name</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r>
        <w:trPr/>
        <w:tc>
          <w:tcPr>
            <w:tcW w:w="24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w:t>
            </w:r>
          </w:p>
          <w:p>
            <w:pPr>
              <w:pStyle w:val="Normal"/>
              <w:widowControl w:val="false"/>
              <w:tabs>
                <w:tab w:val="clear" w:pos="720"/>
              </w:tabs>
              <w:bidi w:val="0"/>
              <w:ind w:left="0" w:right="0" w:hanging="0"/>
              <w:rPr>
                <w:lang w:val="en-GB"/>
              </w:rPr>
            </w:pPr>
            <w:r>
              <w:rPr>
                <w:rFonts w:ascii="Times New Roman" w:hAnsi="Times New Roman"/>
                <w:b/>
                <w:lang w:val="en-GB"/>
              </w:rPr>
              <w:t>Short Name</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r>
        <w:trPr/>
        <w:tc>
          <w:tcPr>
            <w:tcW w:w="24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Total Person Months</w:t>
            </w:r>
          </w:p>
        </w:tc>
        <w:tc>
          <w:tcPr>
            <w:tcW w:w="147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14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311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bl>
    <w:p>
      <w:pPr>
        <w:pStyle w:val="Normal"/>
        <w:widowControl w:val="false"/>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3.1g:</w:t>
        <w:tab/>
        <w:t xml:space="preserve">‘Subcontracting costs’ items </w:t>
      </w:r>
    </w:p>
    <w:p>
      <w:pPr>
        <w:pStyle w:val="Normal"/>
        <w:bidi w:val="0"/>
        <w:ind w:left="0" w:right="0" w:hanging="0"/>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bl>
    <w:p>
      <w:pPr>
        <w:pStyle w:val="Normal"/>
        <w:widowControl w:val="false"/>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bidi w:val="0"/>
        <w:ind w:left="0" w:right="0" w:hanging="0"/>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bl>
    <w:p>
      <w:pPr>
        <w:pStyle w:val="Normal"/>
        <w:widowControl w:val="false"/>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3.1i:</w:t>
        <w:tab/>
        <w:t>‘Other costs categories’ items (e.g. internally invoiced goods and services)</w:t>
      </w:r>
    </w:p>
    <w:p>
      <w:pPr>
        <w:pStyle w:val="Normal"/>
        <w:bidi w:val="0"/>
        <w:ind w:left="0" w:right="0" w:hanging="0"/>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bidi w:val="0"/>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rFonts w:ascii="Times New Roman" w:hAnsi="Times New Roman"/>
                <w:b/>
                <w:lang w:val="en-GB"/>
              </w:rPr>
            </w:pPr>
            <w:r>
              <w:rPr>
                <w:rFonts w:ascii="Times New Roman" w:hAnsi="Times New Roman"/>
                <w:b/>
                <w:lang w:val="en-GB"/>
              </w:rPr>
            </w:r>
          </w:p>
        </w:tc>
      </w:tr>
    </w:tbl>
    <w:p>
      <w:pPr>
        <w:pStyle w:val="Normal"/>
        <w:widowControl w:val="false"/>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lang w:val="en-GB"/>
        </w:rPr>
      </w:pPr>
      <w:r>
        <w:rPr>
          <w:rFonts w:ascii="Times New Roman" w:hAnsi="Times New Roman"/>
          <w:b/>
          <w:lang w:val="en-GB"/>
        </w:rPr>
        <w:t>Table 3.1j:</w:t>
        <w:tab/>
        <w:t>‘In-kind contributions’ provided by third parties</w:t>
      </w:r>
    </w:p>
    <w:p>
      <w:pPr>
        <w:pStyle w:val="Normal"/>
        <w:bidi w:val="0"/>
        <w:ind w:left="0" w:right="0" w:hanging="0"/>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Pr>
      <w:tblGrid>
        <w:gridCol w:w="2267"/>
        <w:gridCol w:w="1986"/>
        <w:gridCol w:w="992"/>
        <w:gridCol w:w="4991"/>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bidi w:val="0"/>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jc w:val="right"/>
              <w:rPr>
                <w:rFonts w:ascii="Times New Roman" w:hAnsi="Times New Roman"/>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bidi w:val="0"/>
              <w:spacing w:before="120" w:after="120"/>
              <w:ind w:left="0" w:right="0" w:hanging="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jc w:val="right"/>
              <w:rPr>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bCs/>
                <w:lang w:val="en-GB"/>
              </w:rPr>
            </w:pPr>
            <w:r>
              <w:rPr>
                <w:bCs/>
                <w:lang w:val="en-GB"/>
              </w:rPr>
            </w:r>
          </w:p>
        </w:tc>
      </w:tr>
    </w:tbl>
    <w:p>
      <w:pPr>
        <w:pStyle w:val="Normal"/>
        <w:widowControl w:val="false"/>
        <w:bidi w:val="0"/>
        <w:ind w:left="0" w:right="0" w:hanging="0"/>
        <w:rPr>
          <w:rFonts w:ascii="Times New Roman" w:hAnsi="Times New Roman"/>
          <w:b/>
          <w:lang w:val="en-GB"/>
        </w:rPr>
      </w:pPr>
      <w:r>
        <w:rPr>
          <w:rFonts w:ascii="Times New Roman" w:hAnsi="Times New Roman"/>
          <w:b/>
          <w:lang w:val="en-GB"/>
        </w:rPr>
      </w:r>
    </w:p>
    <w:p>
      <w:pPr>
        <w:pStyle w:val="Normal"/>
        <w:bidi w:val="0"/>
        <w:ind w:left="0" w:right="0" w:hanging="0"/>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rFonts w:cs="Arial"/>
          <w:color w:val="B5B5B5"/>
          <w:sz w:val="18"/>
          <w:szCs w:val="16"/>
        </w:rPr>
      </w:pPr>
      <w:r>
        <w:rPr>
          <w:rFonts w:cs="Arial"/>
          <w:color w:val="B5B5B5"/>
          <w:sz w:val="18"/>
          <w:szCs w:val="16"/>
        </w:rPr>
      </w:r>
    </w:p>
    <w:p>
      <w:pPr>
        <w:pStyle w:val="Normal"/>
        <w:bidi w:val="0"/>
        <w:ind w:left="0" w:right="0" w:hanging="0"/>
        <w:rPr>
          <w:lang w:val="en-GB"/>
        </w:rPr>
      </w:pPr>
      <w:r>
        <w:rPr>
          <w:rFonts w:ascii="Times New Roman" w:hAnsi="Times New Roman"/>
          <w:b/>
          <w:lang w:val="en-GB"/>
        </w:rPr>
        <w:t>Table 3.1k:</w:t>
        <w:tab/>
        <w:t>Research Component</w:t>
      </w:r>
    </w:p>
    <w:p>
      <w:pPr>
        <w:pStyle w:val="Normal"/>
        <w:bidi w:val="0"/>
        <w:ind w:left="0" w:right="0" w:hanging="0"/>
        <w:rPr>
          <w:b/>
          <w:lang w:val="en-GB"/>
        </w:rPr>
      </w:pPr>
      <w:r>
        <w:rPr>
          <w:b/>
          <w:lang w:val="en-GB"/>
        </w:rPr>
      </w:r>
    </w:p>
    <w:tbl>
      <w:tblPr>
        <w:tblW w:w="7800" w:type="dxa"/>
        <w:jc w:val="left"/>
        <w:tblInd w:w="0" w:type="dxa"/>
        <w:tblLayout w:type="fixed"/>
        <w:tblCellMar>
          <w:top w:w="0" w:type="dxa"/>
          <w:left w:w="108" w:type="dxa"/>
          <w:bottom w:w="0" w:type="dxa"/>
          <w:right w:w="108" w:type="dxa"/>
        </w:tblCellMar>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bidi w:val="0"/>
              <w:ind w:left="0" w:right="0" w:hanging="0"/>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bidi w:val="0"/>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bidi w:val="0"/>
              <w:ind w:left="0" w:right="0" w:hanging="0"/>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bidi w:val="0"/>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bidi w:val="0"/>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bidi w:val="0"/>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bidi w:val="0"/>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bidi w:val="0"/>
              <w:ind w:left="0" w:right="0" w:hanging="0"/>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bidi w:val="0"/>
              <w:ind w:left="0" w:right="0" w:hanging="0"/>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bidi w:val="0"/>
              <w:ind w:left="0" w:right="0" w:hanging="0"/>
              <w:jc w:val="right"/>
              <w:rPr>
                <w:lang w:val="en-GB"/>
              </w:rPr>
            </w:pPr>
            <w:r>
              <w:rPr>
                <w:rFonts w:ascii="Times New Roman" w:hAnsi="Times New Roman"/>
                <w:color w:val="000000"/>
                <w:lang w:val="en-GB" w:eastAsia="en-GB"/>
              </w:rPr>
              <w:t>EUR</w:t>
            </w:r>
          </w:p>
        </w:tc>
      </w:tr>
    </w:tbl>
    <w:p>
      <w:pPr>
        <w:pStyle w:val="Normal"/>
        <w:widowControl w:val="false"/>
        <w:bidi w:val="0"/>
        <w:ind w:left="0" w:right="0" w:hanging="0"/>
        <w:rPr/>
      </w:pPr>
      <w:r>
        <w:rPr/>
      </w:r>
    </w:p>
    <w:sectPr>
      <w:headerReference w:type="default" r:id="rId19"/>
      <w:headerReference w:type="first" r:id="rId20"/>
      <w:footerReference w:type="default" r:id="rId21"/>
      <w:footerReference w:type="first" r:id="rId22"/>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0" distB="0" distL="0" distR="0" simplePos="0" locked="0" layoutInCell="0" allowOverlap="1" relativeHeight="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bidi w:val="0"/>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bidi w:val="0"/>
      <w:spacing w:before="120" w:after="0"/>
      <w:ind w:left="23" w:right="130" w:hanging="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16">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v:fill o:detectmouseclick="t" type="solid" color2="#272727"/>
              <v:stroke color="black" weight="9360" joinstyle="round" endcap="flat"/>
              <v:textbo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bidi w:val="0"/>
      <w:spacing w:before="120" w:after="0"/>
      <w:ind w:left="23" w:right="130" w:hanging="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36">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v:fill o:detectmouseclick="t" type="solid" color2="#272727"/>
              <v:stroke color="black" weight="9360" joinstyle="round" endcap="flat"/>
              <v:textbo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bidi w:val="0"/>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66">
              <wp:simplePos x="0" y="0"/>
              <wp:positionH relativeFrom="column">
                <wp:posOffset>0</wp:posOffset>
              </wp:positionH>
              <wp:positionV relativeFrom="paragraph">
                <wp:posOffset>635</wp:posOffset>
              </wp:positionV>
              <wp:extent cx="6616700" cy="267335"/>
              <wp:effectExtent l="5080" t="5715" r="5080" b="4445"/>
              <wp:wrapNone/>
              <wp:docPr id="10"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v:fill o:detectmouseclick="t" type="solid" color2="#272727"/>
              <v:stroke color="black" weight="9360" joinstyle="round" endcap="flat"/>
              <v:textbox>
                <w:txbxContent>
                  <w:p>
                    <w:pPr>
                      <w:pStyle w:val="Normal"/>
                      <w:bidi w:val="0"/>
                      <w:ind w:left="0" w:right="0" w:hanging="0"/>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bidi w:val="0"/>
      <w:ind w:left="0"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bidi w:val="0"/>
      <w:ind w:left="0" w:right="0" w:hanging="0"/>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Heading1">
    <w:name w:val="Heading 1"/>
    <w:basedOn w:val="Heading"/>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qFormat/>
    <w:pPr>
      <w:ind w:left="3442" w:hanging="0"/>
      <w:outlineLvl w:val="1"/>
    </w:pPr>
    <w:rPr>
      <w:rFonts w:ascii="Verdana" w:hAnsi="Verdana"/>
      <w:sz w:val="40"/>
      <w:szCs w:val="40"/>
    </w:rPr>
  </w:style>
  <w:style w:type="paragraph" w:styleId="Heading3">
    <w:name w:val="Heading 3"/>
    <w:basedOn w:val="Normal"/>
    <w:qFormat/>
    <w:pPr>
      <w:spacing w:before="2" w:after="0"/>
      <w:ind w:left="429" w:hanging="283"/>
      <w:outlineLvl w:val="2"/>
    </w:pPr>
    <w:rPr>
      <w:rFonts w:ascii="Arial" w:hAnsi="Arial"/>
      <w:sz w:val="34"/>
      <w:szCs w:val="34"/>
    </w:rPr>
  </w:style>
  <w:style w:type="paragraph" w:styleId="Heading4">
    <w:name w:val="Heading 4"/>
    <w:basedOn w:val="Normal"/>
    <w:qFormat/>
    <w:pPr>
      <w:ind w:left="146" w:hanging="0"/>
      <w:outlineLvl w:val="3"/>
    </w:pPr>
    <w:rPr>
      <w:rFonts w:ascii="EC Square Sans Pro Light" w:hAnsi="EC Square Sans Pro Light"/>
      <w:sz w:val="30"/>
      <w:szCs w:val="30"/>
    </w:rPr>
  </w:style>
  <w:style w:type="paragraph" w:styleId="Heading5">
    <w:name w:val="Heading 5"/>
    <w:basedOn w:val="Normal"/>
    <w:qFormat/>
    <w:pPr>
      <w:ind w:left="833" w:hanging="0"/>
      <w:outlineLvl w:val="4"/>
    </w:pPr>
    <w:rPr>
      <w:b/>
      <w:bCs/>
      <w:sz w:val="24"/>
      <w:szCs w:val="24"/>
    </w:rPr>
  </w:style>
  <w:style w:type="paragraph" w:styleId="Heading6">
    <w:name w:val="Heading 6"/>
    <w:basedOn w:val="Normal"/>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olor w:val="458DCB"/>
      <w:sz w:val="30"/>
      <w:szCs w:val="24"/>
    </w:rPr>
  </w:style>
  <w:style w:type="character" w:styleId="Heading2Char">
    <w:name w:val="Heading 2 Char"/>
    <w:basedOn w:val="DefaultParagraphFont"/>
    <w:qFormat/>
    <w:rPr>
      <w:rFonts w:ascii="Verdana" w:hAnsi="Verdana"/>
      <w:sz w:val="40"/>
      <w:szCs w:val="24"/>
    </w:rPr>
  </w:style>
  <w:style w:type="character" w:styleId="Heading3Char">
    <w:name w:val="Heading 3 Char"/>
    <w:basedOn w:val="DefaultParagraphFont"/>
    <w:qFormat/>
    <w:rPr>
      <w:rFonts w:ascii="Arial" w:hAnsi="Arial"/>
      <w:sz w:val="34"/>
      <w:szCs w:val="24"/>
    </w:rPr>
  </w:style>
  <w:style w:type="character" w:styleId="Heading4Char">
    <w:name w:val="Heading 4 Char"/>
    <w:basedOn w:val="DefaultParagraphFont"/>
    <w:qFormat/>
    <w:rPr>
      <w:rFonts w:ascii="EC Square Sans Pro Light" w:hAnsi="EC Square Sans Pro Light"/>
      <w:sz w:val="30"/>
      <w:szCs w:val="24"/>
    </w:rPr>
  </w:style>
  <w:style w:type="character" w:styleId="Heading5Char">
    <w:name w:val="Heading 5 Char"/>
    <w:basedOn w:val="DefaultParagraphFont"/>
    <w:qFormat/>
    <w:rPr>
      <w:rFonts w:ascii="Times New Roman" w:hAnsi="Times New Roman"/>
      <w:b/>
      <w:sz w:val="24"/>
      <w:szCs w:val="24"/>
    </w:rPr>
  </w:style>
  <w:style w:type="character" w:styleId="Heading6Char">
    <w:name w:val="Heading 6 Char"/>
    <w:basedOn w:val="DefaultParagraphFont"/>
    <w:qFormat/>
    <w:rPr>
      <w:rFonts w:ascii="Times New Roman" w:hAnsi="Times New Roman"/>
      <w:b/>
      <w:i/>
      <w:sz w:val="24"/>
      <w:szCs w:val="24"/>
    </w:rPr>
  </w:style>
  <w:style w:type="character" w:styleId="Heading7Char">
    <w:name w:val="Heading 7 Char"/>
    <w:basedOn w:val="DefaultParagraphFont"/>
    <w:qFormat/>
    <w:rPr>
      <w:rFonts w:ascii="Arial" w:hAnsi="Arial"/>
      <w:sz w:val="24"/>
      <w:szCs w:val="24"/>
    </w:rPr>
  </w:style>
  <w:style w:type="character" w:styleId="Heading8Char">
    <w:name w:val="Heading 8 Char"/>
    <w:basedOn w:val="DefaultParagraphFont"/>
    <w:qFormat/>
    <w:rPr>
      <w:rFonts w:ascii="Arial" w:hAnsi="Arial"/>
      <w:i/>
      <w:sz w:val="24"/>
      <w:szCs w:val="24"/>
    </w:rPr>
  </w:style>
  <w:style w:type="character" w:styleId="Heading9Char">
    <w:name w:val="Heading 9 Char"/>
    <w:basedOn w:val="DefaultParagraphFont"/>
    <w:qFormat/>
    <w:rPr>
      <w:rFonts w:ascii="Arial" w:hAnsi="Arial"/>
      <w:i/>
      <w:sz w:val="18"/>
      <w:szCs w:val="24"/>
    </w:rPr>
  </w:style>
  <w:style w:type="character" w:styleId="BodyTextChar">
    <w:name w:val="Body Text Char"/>
    <w:basedOn w:val="DefaultParagraphFont"/>
    <w:qFormat/>
    <w:rPr>
      <w:rFonts w:ascii="Times New Roman" w:hAnsi="Times New Roman"/>
      <w:sz w:val="24"/>
      <w:szCs w:val="24"/>
    </w:rPr>
  </w:style>
  <w:style w:type="character" w:styleId="HeaderChar">
    <w:name w:val="Header Char"/>
    <w:basedOn w:val="DefaultParagraphFont"/>
    <w:qFormat/>
    <w:rPr>
      <w:rFonts w:ascii="Times New Roman" w:hAnsi="Times New Roman"/>
      <w:sz w:val="24"/>
      <w:szCs w:val="24"/>
    </w:rPr>
  </w:style>
  <w:style w:type="character" w:styleId="FooterChar">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name w:val="Balloon Text Char"/>
    <w:basedOn w:val="DefaultParagraphFont"/>
    <w:qFormat/>
    <w:rPr>
      <w:rFonts w:ascii="Tahoma" w:hAnsi="Tahoma"/>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name w:val="Comment Text Char"/>
    <w:basedOn w:val="DefaultParagraphFont"/>
    <w:qFormat/>
    <w:rPr>
      <w:rFonts w:ascii="Times New Roman" w:hAnsi="Times New Roman"/>
      <w:sz w:val="24"/>
      <w:szCs w:val="24"/>
    </w:rPr>
  </w:style>
  <w:style w:type="character" w:styleId="CommentSubjectChar">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name w:val="Title Char"/>
    <w:basedOn w:val="DefaultParagraphFont"/>
    <w:qFormat/>
    <w:rPr>
      <w:rFonts w:ascii="Arial" w:hAnsi="Arial"/>
      <w:b/>
      <w:sz w:val="48"/>
      <w:szCs w:val="24"/>
      <w:lang w:val="en-GB" w:eastAsia="en-GB"/>
    </w:rPr>
  </w:style>
  <w:style w:type="character" w:styleId="EndnoteTextChar">
    <w:name w:val="Endnote Text Char"/>
    <w:basedOn w:val="DefaultParagraphFont"/>
    <w:qFormat/>
    <w:rPr>
      <w:rFonts w:ascii="Times New Roman" w:hAnsi="Times New Roman"/>
      <w:sz w:val="24"/>
      <w:szCs w:val="24"/>
      <w:lang w:val="en-GB" w:eastAsia="en-GB"/>
    </w:rPr>
  </w:style>
  <w:style w:type="character" w:styleId="DocumentMapChar">
    <w:name w:val="Document Map Char"/>
    <w:basedOn w:val="DefaultParagraphFont"/>
    <w:qFormat/>
    <w:rPr>
      <w:rFonts w:ascii="Tahoma" w:hAnsi="Tahoma"/>
      <w:szCs w:val="24"/>
      <w:shd w:fill="000080" w:val="clear"/>
      <w:lang w:val="en-GB" w:eastAsia="en-GB"/>
    </w:rPr>
  </w:style>
  <w:style w:type="character" w:styleId="SignatureChar">
    <w:name w:val="Signature Char"/>
    <w:basedOn w:val="DefaultParagraphFont"/>
    <w:qFormat/>
    <w:rPr>
      <w:rFonts w:ascii="Times New Roman" w:hAnsi="Times New Roman"/>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b/>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eastAsia="Times New Roman"/>
      <w:color w:val="5A5A5A"/>
      <w:spacing w:val="15"/>
    </w:rPr>
  </w:style>
  <w:style w:type="character" w:styleId="Normaltextrun">
    <w:name w:val="normaltextrun"/>
    <w:basedOn w:val="DefaultParagraphFont"/>
    <w:qFormat/>
    <w:rPr>
      <w:rFonts w:ascii="Times New Roman" w:hAnsi="Times New Roman"/>
      <w:sz w:val="24"/>
      <w:szCs w:val="24"/>
    </w:rPr>
  </w:style>
  <w:style w:type="character" w:styleId="Eop">
    <w:name w:val="eop"/>
    <w:basedOn w:val="DefaultParagraphFont"/>
    <w:qFormat/>
    <w:rPr>
      <w:rFonts w:ascii="Times New Roman" w:hAnsi="Times New Roman"/>
      <w:sz w:val="24"/>
      <w:szCs w:val="24"/>
    </w:rPr>
  </w:style>
  <w:style w:type="character" w:styleId="TagsChar">
    <w:name w:val="Tags Char"/>
    <w:basedOn w:val="DefaultParagraphFont"/>
    <w:qFormat/>
    <w:rPr>
      <w:rFonts w:ascii="Arial" w:hAnsi="Arial"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widowControl/>
      <w:spacing w:before="9" w:after="240"/>
      <w:ind w:left="483" w:hanging="483"/>
      <w:jc w:val="both"/>
    </w:pPr>
    <w:rPr>
      <w:color w:val="458DCB"/>
      <w:sz w:val="24"/>
      <w:szCs w:val="20"/>
      <w:lang w:val="en-GB" w:eastAsia="en-GB"/>
    </w:rPr>
  </w:style>
  <w:style w:type="paragraph" w:styleId="NumPar2">
    <w:name w:val="NumPar 2"/>
    <w:basedOn w:val="Heading2"/>
    <w:qFormat/>
    <w:pPr>
      <w:widowControl/>
      <w:spacing w:before="0" w:after="240"/>
      <w:jc w:val="both"/>
    </w:pPr>
    <w:rPr>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numPr>
        <w:ilvl w:val="0"/>
        <w:numId w:val="3"/>
      </w:numPr>
      <w:tabs>
        <w:tab w:val="clear" w:pos="720"/>
        <w:tab w:val="left" w:pos="360" w:leader="none"/>
      </w:tabs>
      <w:spacing w:before="240" w:after="120"/>
      <w:ind w:left="360" w:hanging="360"/>
      <w:jc w:val="both"/>
    </w:pPr>
    <w:rPr>
      <w:b/>
      <w:color w:val="458DCB"/>
      <w:kern w:val="2"/>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numPr>
        <w:ilvl w:val="1"/>
        <w:numId w:val="5"/>
      </w:numPr>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numPr>
        <w:ilvl w:val="2"/>
        <w:numId w:val="5"/>
      </w:numPr>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numPr>
        <w:ilvl w:val="0"/>
        <w:numId w:val="6"/>
      </w:numPr>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sz w:val="24"/>
      <w:szCs w:val="24"/>
      <w:lang w:val="en-GB" w:eastAsia="en-GB"/>
    </w:rPr>
  </w:style>
  <w:style w:type="paragraph" w:styleId="CM3">
    <w:name w:val="CM3"/>
    <w:basedOn w:val="Default"/>
    <w:next w:val="Default"/>
    <w:qFormat/>
    <w:pPr>
      <w:widowControl/>
    </w:pPr>
    <w:rPr>
      <w:rFonts w:ascii="EUAlbertina" w:hAnsi="EUAlbertina"/>
      <w:sz w:val="24"/>
      <w:szCs w:val="24"/>
      <w:lang w:val="en-GB" w:eastAsia="en-GB"/>
    </w:rPr>
  </w:style>
  <w:style w:type="paragraph" w:styleId="CM4">
    <w:name w:val="CM4"/>
    <w:basedOn w:val="Default"/>
    <w:next w:val="Default"/>
    <w:qFormat/>
    <w:pPr>
      <w:widowControl/>
    </w:pPr>
    <w:rPr>
      <w:rFonts w:ascii="EUAlbertina" w:hAnsi="EUAlbertina"/>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outlineLvl w:val="1"/>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2461</TotalTime>
  <Application>LibreOffice/7.5.4.2$Linux_X86_64 LibreOffice_project/50$Build-2</Application>
  <AppVersion>15.0000</AppVersion>
  <Pages>28</Pages>
  <Words>8752</Words>
  <Characters>51134</Characters>
  <CharactersWithSpaces>59428</CharactersWithSpaces>
  <Paragraphs>528</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2023-07-24T04:13:23Z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