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98"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0"/>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8834151"/>
            <w:bookmarkStart w:id="2" w:name="_Toc448828797"/>
            <w:bookmarkStart w:id="3" w:name="_Toc448828577"/>
            <w:bookmarkStart w:id="4" w:name="_Toc445930535"/>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3645005"/>
            <w:bookmarkStart w:id="6" w:name="_Toc448834152"/>
            <w:bookmarkStart w:id="7" w:name="_Toc448828798"/>
            <w:bookmarkStart w:id="8" w:name="_Toc448828578"/>
            <w:bookmarkStart w:id="9" w:name="_Toc445930536"/>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3645006"/>
            <w:bookmarkStart w:id="11" w:name="_Toc448834153"/>
            <w:bookmarkStart w:id="12" w:name="_Toc448828799"/>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3645007"/>
            <w:bookmarkStart w:id="16" w:name="_Toc448834154"/>
            <w:bookmarkStart w:id="17" w:name="_Toc448828800"/>
            <w:bookmarkStart w:id="18" w:name="_Toc448828580"/>
            <w:bookmarkStart w:id="19" w:name="_Toc445930538"/>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0"/>
        </w:sect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5000" w:type="pct"/>
        <w:jc w:val="left"/>
        <w:tblInd w:w="55" w:type="dxa"/>
        <w:tblLayout w:type="fixed"/>
        <w:tblCellMar>
          <w:top w:w="55" w:type="dxa"/>
          <w:left w:w="55" w:type="dxa"/>
          <w:bottom w:w="55" w:type="dxa"/>
          <w:right w:w="55" w:type="dxa"/>
        </w:tblCellMar>
      </w:tblPr>
      <w:tblGrid>
        <w:gridCol w:w="2474"/>
        <w:gridCol w:w="1713"/>
        <w:gridCol w:w="2163"/>
        <w:gridCol w:w="3287"/>
      </w:tblGrid>
      <w:tr>
        <w:trPr/>
        <w:tc>
          <w:tcPr>
            <w:tcW w:w="2474"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Objective</w:t>
            </w:r>
          </w:p>
        </w:tc>
        <w:tc>
          <w:tcPr>
            <w:tcW w:w="1713"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Involved WP</w:t>
            </w:r>
          </w:p>
        </w:tc>
        <w:tc>
          <w:tcPr>
            <w:tcW w:w="2163"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Target Group</w:t>
            </w:r>
          </w:p>
        </w:tc>
        <w:tc>
          <w:tcPr>
            <w:tcW w:w="3287"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Key Performance Indicator</w:t>
            </w:r>
          </w:p>
        </w:tc>
      </w:tr>
      <w:tr>
        <w:trPr/>
        <w:tc>
          <w:tcPr>
            <w:tcW w:w="2474"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Creation of highly skilled workforce</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and WP3</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host institute staff trained</w:t>
            </w:r>
          </w:p>
        </w:tc>
      </w:tr>
      <w:tr>
        <w:trPr/>
        <w:tc>
          <w:tcPr>
            <w:tcW w:w="2474"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Recruit and train new scientists</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and WP3</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PhD and PostDoc students trained</w:t>
            </w:r>
          </w:p>
        </w:tc>
      </w:tr>
      <w:tr>
        <w:trPr/>
        <w:tc>
          <w:tcPr>
            <w:tcW w:w="2474"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Research capacity enhancement via in-house software</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WP3</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Software tools to accommodate:</w:t>
            </w:r>
          </w:p>
          <w:p>
            <w:pPr>
              <w:pStyle w:val="TableContents"/>
              <w:widowControl w:val="false"/>
              <w:numPr>
                <w:ilvl w:val="0"/>
                <w:numId w:val="13"/>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DORIS observations</w:t>
            </w:r>
          </w:p>
          <w:p>
            <w:pPr>
              <w:pStyle w:val="TableContents"/>
              <w:widowControl w:val="false"/>
              <w:numPr>
                <w:ilvl w:val="0"/>
                <w:numId w:val="13"/>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SLR observations</w:t>
            </w:r>
          </w:p>
          <w:p>
            <w:pPr>
              <w:pStyle w:val="TableContents"/>
              <w:widowControl w:val="false"/>
              <w:numPr>
                <w:ilvl w:val="0"/>
                <w:numId w:val="13"/>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state-of-the-art handling of EOPs</w:t>
            </w:r>
          </w:p>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Software tools validated by expert partners and released online (free and open-source).</w:t>
            </w:r>
          </w:p>
        </w:tc>
      </w:tr>
      <w:tr>
        <w:trPr/>
        <w:tc>
          <w:tcPr>
            <w:tcW w:w="2474"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Involvement of NTUA in  the future of Space Geodesy on an international level</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WP3 and WP4</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Involvement of host institute in high-caliber international geodetic services (IDS, ILRS and IVS), acting as e.g. Associates of the Services.</w:t>
            </w:r>
          </w:p>
        </w:tc>
      </w:tr>
      <w:tr>
        <w:trPr/>
        <w:tc>
          <w:tcPr>
            <w:tcW w:w="2474"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Mitigation of  technological/scientific gap between the host institute and top-tier institutes</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WP2,WP3 and WP4</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4"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Attractive center of excellence for new scientists</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WP4</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applicants for PhD, PostDoc and (possible) tenure open positions. Expected to take place gradually after the start of ACRONYM.</w:t>
            </w:r>
          </w:p>
          <w:p>
            <w:pPr>
              <w:pStyle w:val="TableContents"/>
              <w:widowControl w:val="false"/>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young scientists (from partners) traveling to NTUA</w:t>
            </w:r>
          </w:p>
          <w:p>
            <w:pPr>
              <w:pStyle w:val="TableContents"/>
              <w:widowControl w:val="false"/>
              <w:numPr>
                <w:ilvl w:val="0"/>
                <w:numId w:val="16"/>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funding bids submitted for PhD and PostDoc studies (carried out in host institute)</w:t>
            </w:r>
          </w:p>
        </w:tc>
      </w:tr>
      <w:tr>
        <w:trPr/>
        <w:tc>
          <w:tcPr>
            <w:tcW w:w="2474"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Establish a national (Greek) ecosystem of space related stakeholders</w:t>
            </w:r>
          </w:p>
          <w:p>
            <w:pPr>
              <w:pStyle w:val="Normal"/>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Center of innovation for Greece in the field of space-based geosciences</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 and WP4</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numPr>
                <w:ilvl w:val="0"/>
                <w:numId w:val="14"/>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present in info-days and seminars.</w:t>
            </w:r>
          </w:p>
          <w:p>
            <w:pPr>
              <w:pStyle w:val="TableContents"/>
              <w:widowControl w:val="false"/>
              <w:numPr>
                <w:ilvl w:val="0"/>
                <w:numId w:val="14"/>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included in research proposals submitted</w:t>
            </w:r>
          </w:p>
          <w:p>
            <w:pPr>
              <w:pStyle w:val="TableContents"/>
              <w:widowControl w:val="false"/>
              <w:numPr>
                <w:ilvl w:val="0"/>
                <w:numId w:val="14"/>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interested in the ACRONYM newsletter</w:t>
            </w:r>
          </w:p>
          <w:p>
            <w:pPr>
              <w:pStyle w:val="TableContents"/>
              <w:widowControl w:val="false"/>
              <w:numPr>
                <w:ilvl w:val="0"/>
                <w:numId w:val="14"/>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stakeholders requesting/accessing online lectures and training videos (via ACRONYM’s website)</w:t>
            </w:r>
          </w:p>
        </w:tc>
      </w:tr>
      <w:tr>
        <w:trPr/>
        <w:tc>
          <w:tcPr>
            <w:tcW w:w="2474"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Increase host’s international standing and visibility</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WP4</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conferences/workshops attended</w:t>
            </w:r>
          </w:p>
          <w:p>
            <w:pPr>
              <w:pStyle w:val="TableContents"/>
              <w:widowControl w:val="false"/>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scientific publications in high-impact journals</w:t>
            </w:r>
          </w:p>
          <w:p>
            <w:pPr>
              <w:pStyle w:val="TableContents"/>
              <w:widowControl w:val="false"/>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Impact factor of scientific journals publishing results of ACRONYM</w:t>
            </w:r>
          </w:p>
          <w:p>
            <w:pPr>
              <w:pStyle w:val="TableContents"/>
              <w:widowControl w:val="false"/>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Involvement in International Association of Geodesy (IAG) and GGOS</w:t>
            </w:r>
          </w:p>
          <w:p>
            <w:pPr>
              <w:pStyle w:val="TableContents"/>
              <w:widowControl w:val="false"/>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Release free and open software tools, available on-line</w:t>
            </w:r>
          </w:p>
          <w:p>
            <w:pPr>
              <w:pStyle w:val="TableContents"/>
              <w:widowControl w:val="false"/>
              <w:numPr>
                <w:ilvl w:val="0"/>
                <w:numId w:val="15"/>
              </w:numPr>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Number of users of software released (measurable via online means, acknowledgments and DOI references)</w:t>
            </w:r>
          </w:p>
        </w:tc>
      </w:tr>
      <w:tr>
        <w:trPr/>
        <w:tc>
          <w:tcPr>
            <w:tcW w:w="2474"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Create a network of international collaborators, get involved in high-calibre international consortia</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4" w:type="dxa"/>
            <w:tcBorders>
              <w:left w:val="single" w:sz="4" w:space="0" w:color="000000"/>
              <w:bottom w:val="single" w:sz="4" w:space="0" w:color="000000"/>
            </w:tcBorders>
            <w:vAlign w:val="center"/>
          </w:tcPr>
          <w:p>
            <w:pPr>
              <w:pStyle w:val="Normal"/>
              <w:widowControl w:val="false"/>
              <w:spacing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lang w:val="en-GB"/>
              </w:rPr>
              <w:t>Enhance the host's capacity and efficiency in partnership-building, preparation and carrying out of research proposals funded by a series of alternate grant pools.</w:t>
            </w:r>
          </w:p>
        </w:tc>
        <w:tc>
          <w:tcPr>
            <w:tcW w:w="171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WP2</w:t>
            </w:r>
          </w:p>
        </w:tc>
        <w:tc>
          <w:tcPr>
            <w:tcW w:w="2163" w:type="dxa"/>
            <w:tcBorders>
              <w:left w:val="single" w:sz="4" w:space="0" w:color="000000"/>
              <w:bottom w:val="single" w:sz="4" w:space="0" w:color="000000"/>
            </w:tcBorders>
            <w:vAlign w:val="center"/>
          </w:tcPr>
          <w:p>
            <w:pPr>
              <w:pStyle w:val="TableContents"/>
              <w:widowControl w:val="false"/>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287" w:type="dxa"/>
            <w:tcBorders>
              <w:left w:val="single" w:sz="4" w:space="0" w:color="000000"/>
              <w:bottom w:val="single" w:sz="4" w:space="0" w:color="000000"/>
              <w:right w:val="single" w:sz="4" w:space="0" w:color="000000"/>
            </w:tcBorders>
            <w:vAlign w:val="center"/>
          </w:tcPr>
          <w:p>
            <w:pPr>
              <w:pStyle w:val="TableContents"/>
              <w:widowControl w:val="false"/>
              <w:numPr>
                <w:ilvl w:val="0"/>
                <w:numId w:val="17"/>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host institute staff trained</w:t>
            </w:r>
          </w:p>
          <w:p>
            <w:pPr>
              <w:pStyle w:val="TableContents"/>
              <w:widowControl w:val="false"/>
              <w:numPr>
                <w:ilvl w:val="0"/>
                <w:numId w:val="17"/>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Number of research proposals submitted (within the time span of ACRONYM)</w:t>
            </w:r>
          </w:p>
          <w:p>
            <w:pPr>
              <w:pStyle w:val="TableContents"/>
              <w:widowControl w:val="false"/>
              <w:numPr>
                <w:ilvl w:val="0"/>
                <w:numId w:val="17"/>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Diversity of funding pools targeted</w:t>
            </w:r>
          </w:p>
          <w:p>
            <w:pPr>
              <w:pStyle w:val="TableContents"/>
              <w:widowControl w:val="false"/>
              <w:numPr>
                <w:ilvl w:val="0"/>
                <w:numId w:val="17"/>
              </w:numPr>
              <w:jc w:val="both"/>
              <w:rPr/>
            </w:pPr>
            <w:r>
              <w:rPr>
                <w:rFonts w:ascii="Liberation Serif" w:hAnsi="Liberation Serif"/>
                <w:b w:val="false"/>
                <w:bCs w:val="false"/>
                <w:i w:val="false"/>
                <w:iCs w:val="false"/>
                <w:strike w:val="false"/>
                <w:dstrike w:val="false"/>
                <w:outline w:val="false"/>
                <w:shadow w:val="false"/>
                <w:color w:val="000000"/>
                <w:sz w:val="24"/>
                <w:szCs w:val="24"/>
                <w:u w:val="none"/>
              </w:rPr>
              <w:t>Success rate of funding bids</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 xml:space="preserve">Within the framework of ACRONYM, synergies are proposed with leading experts in the techniques of DORIS, SLR and VLBI with the aim of closing the knowledge and technological gap and thus significantly strengthening NTUA's academic and research capacity and potential. </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optionally one Post-Doc student  per technique. This allocation is expected to significantly enhance knowledge assimilation, create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pPr>
      <w: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 xml:space="preserve">By means of a specialized, technique-based contribution of each member of the consortium to the host (NTUA), knowledge transfer can be better achieved, managed, digested and verified. The host institution will be the sole recipient of this one-way flow of expertise, attributing dedicated personnel to each of the techniques described, thus creating a pool of experts. This highly-skilled work force will in turn disperse the knowledge gained, via NTUA's academic capacity, to the future Space- and Geo-scientists of Greece, significantly boosting innovation and the country's involvement in the growing satellite-based application market. </w:t>
      </w:r>
    </w:p>
    <w:p>
      <w:pPr>
        <w:pStyle w:val="Normal"/>
        <w:spacing w:before="0" w:after="200"/>
        <w:jc w:val="both"/>
        <w:rPr/>
      </w:pPr>
      <w:r>
        <w:rPr>
          <w:rFonts w:ascii="Times New Roman" w:hAnsi="Times New Roman"/>
          <w:lang w:val="en-GB"/>
        </w:rPr>
        <w:t>Capacity building activities within ACRONYM are split into two distinct phases, to allow for a more efficient and robust scheme. The first phase (WP2), places focus on establishing a solid networking and knowledge exchange pattern per technique and twinning pair. Personnel visits from NTUA to the partners, will solidify the networking activities and allow for further one-on-one communication and intercourse. This phase will also include exchange of knowledge between the twinning partners, specifically targeting the internals and details of the techniques themselves, methods and methodologies used, models, error sources and mitigation, application range, and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 xml:space="preserve">Knowledge transfer will flow from the expert nodes to the (per-technique) dedicated task force at NTUA. The aim here is twofold: on the one hand establish a seamless knowledge flow between the twinning partners and on the other hand introduce and train the dedicated task force on the Space Geodetic techniques, so that they gain a deep understanding of the methodologies involved. Lectures, on-line training courses, presentation of relevant bibliography, venture labs and one-on-one communication will take place to accommodate flow of expertise.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and respective validation procedures. </w:t>
      </w:r>
    </w:p>
    <w:p>
      <w:pPr>
        <w:pStyle w:val="Normal"/>
        <w:spacing w:before="0" w:after="200"/>
        <w:jc w:val="both"/>
        <w:rPr/>
      </w:pPr>
      <w:r>
        <w:rPr/>
        <w:t>The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Focus will be placed on problem solving skills, algorithmic approaches, numerical methodologies, program design and adoption of state-of-the-art models. During the last couple of years, DSO has already ignited an effort to develop such software tools, a fact that is expected to significantly assist the effort and outcome of ACRONYM.</w:t>
      </w:r>
    </w:p>
    <w:p>
      <w:pPr>
        <w:pStyle w:val="Normal"/>
        <w:spacing w:before="0" w:after="200"/>
        <w:jc w:val="both"/>
        <w:rPr/>
      </w:pPr>
      <w:r>
        <w:rPr/>
        <w:t>This second phase of capacity building, will also include dedicated webinars and venture labs on specific technical issues (e.g. modeling approaches) that will be carried out by personnel of the expert nodes, while one-on-one consulting will be performed to assist in or validate problem treatment. Short term visits from the host institute to the expert nodes and vice-verse will assist on-line training, further strengthening of synergies and provide a framework for teamwork and enhance collective problem solving.</w:t>
      </w:r>
    </w:p>
    <w:p>
      <w:pPr>
        <w:pStyle w:val="Normal"/>
        <w:spacing w:before="0" w:after="200"/>
        <w:jc w:val="both"/>
        <w:rPr/>
      </w:pPr>
      <w:r>
        <w:rPr/>
        <w:t>In order to further enhance NTUA’s research capacity and funding capabilities and resources, knowledge and expertise transfer will expand beyond technical matters, to include coaching on research proposal preparation/writing, submission and management (WP2). A dedicated task force will be established at NTUA, that will be targeting funding bids on a national and European level, with the aim of enhancing its ability to claim funding bids. As is the case for technical skills, a twofold approach will also be adopted here. Expert nodes will share their proposal management skills via dedicated online training of their peers in NTUA. The consortium will also prepare and submit two research proposals, building upon ACRONYM, that will be submitted within the duration of the current project, to national or European authorities. This is expected to both strengthen the host’s research project management skills and also to pursue the long-term involvement of NTUA with state-of-the-art challenges in Space Geodesy and related fields.</w:t>
      </w:r>
    </w:p>
    <w:p>
      <w:pPr>
        <w:pStyle w:val="Normal"/>
        <w:spacing w:before="0" w:after="200"/>
        <w:jc w:val="both"/>
        <w:rPr/>
      </w:pPr>
      <w:r>
        <w:rPr/>
        <w:t xml:space="preserve">Through the consortium synergy and in the framework of ACRONYM, at least three papers will be published in high impact, peer-reviewed scientific journals. These publications will target specific issues of the three respective Space Geodetic techniques tackled in ACRONYM. This goal is expected to strengthen the commitment and engagement of the twinning partners. Additionally, it will raise the host institute’s international prestige and its capacity in scientific publishing. </w:t>
      </w:r>
    </w:p>
    <w:p>
      <w:pPr>
        <w:pStyle w:val="Normal"/>
        <w:spacing w:before="0" w:after="200"/>
        <w:jc w:val="both"/>
        <w:rPr/>
      </w:pPr>
      <w:r>
        <w:rPr/>
        <w:t>Further strengthening of the host’s networking activities and prominence will be seeked through the consortium’s presence in at le</w:t>
      </w:r>
      <w:r>
        <w:rPr>
          <w:shd w:fill="auto" w:val="clear"/>
        </w:rPr>
        <w:t xml:space="preserve">ast five international conferences, where outcomes of ACRONYM will be presented. If possible, the host will </w:t>
      </w:r>
      <w:r>
        <w:rPr/>
        <w:t>specifically pursue its presence in technique-specific conferences/workshops, organized by the respective international services (i.e. IDS, ILRS and IVS), which will ensure the introduction of the host institute in an ecosystem of top-class, high-prestige experts in the field.</w:t>
      </w:r>
    </w:p>
    <w:p>
      <w:pPr>
        <w:pStyle w:val="Normal"/>
        <w:spacing w:before="0" w:after="200"/>
        <w:jc w:val="both"/>
        <w:rPr/>
      </w:pPr>
      <w:r>
        <w:rPr/>
        <w:t>Special care will be taken for efficiently disseminating the results and outcomes of ACRONYM. Besides adhering to an  open-science policy (see 1.2.1), the consortium will organize a three-day summer school on Space Geodesy to take place in Greece. The goal here will be to introduce space geodetic techniques as well as recent trends, applications and use cases to the Greek ecosystem of involved in Space studies and Geosciences. This will include public research institutions, universities and private sector organizations/companies. OSO, IPGP and GFZ will all be present and give presentations and/or lectures in their respective areas of expertise. NTUA will present the ongoing effort to establish a center of excellence for Space Geodesy in Greece, ACRONYM results and outcomes (e.g. software tools and products), expected impact and possible synergy opportunities.</w:t>
      </w:r>
    </w:p>
    <w:p>
      <w:pPr>
        <w:pStyle w:val="Normal"/>
        <w:spacing w:before="0" w:after="200"/>
        <w:jc w:val="both"/>
        <w:rPr/>
      </w:pPr>
      <w:r>
        <w:rPr/>
        <w:t>Additionally, one info-day/seminar will take place in Greece, 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of involved institutes in Space studies and Geosciences, with special focus on companies and stakeholders active in the field. Both the summer schools and the seminar are additionally expected to strengthen ties and networking within the national ecosystem.</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open-access. </w:t>
      </w:r>
    </w:p>
    <w:p>
      <w:pPr>
        <w:pStyle w:val="Normal"/>
        <w:spacing w:before="0" w:after="200"/>
        <w:jc w:val="both"/>
        <w:rPr/>
      </w:pPr>
      <w:r>
        <w:rPr/>
        <w:t>Additionally, the software to be designed and implemented (described above) will be developed using a free and open-source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FFFF00" w:val="clear"/>
          <w:lang w:val="en-GB"/>
        </w:rPr>
        <w:t>Impact</w:t>
      </w:r>
    </w:p>
    <w:p>
      <w:pPr>
        <w:pStyle w:val="Normal"/>
        <w:spacing w:before="0" w:after="200"/>
        <w:jc w:val="both"/>
        <w:rPr>
          <w:lang w:val="en-GB"/>
        </w:rPr>
      </w:pPr>
      <w:r>
        <w:rPr>
          <w:rFonts w:ascii="Times New Roman" w:hAnsi="Times New Roman"/>
          <w:b/>
          <w:lang w:val="en-GB"/>
        </w:rPr>
        <w:t>2.1</w:t>
        <w:tab/>
      </w:r>
      <w:r>
        <w:rPr>
          <w:rFonts w:ascii="Times New Roman" w:hAnsi="Times New Roman"/>
          <w:b/>
          <w:shd w:fill="FFFF00" w:val="clear"/>
          <w:lang w:val="en-GB"/>
        </w:rPr>
        <w:t>Project’s pathways towards impact</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spacing w:before="0" w:after="200"/>
        <w:jc w:val="both"/>
        <w:rPr>
          <w:b/>
          <w:b/>
          <w:bCs/>
        </w:rPr>
      </w:pPr>
      <w:r>
        <w:rPr>
          <w:rFonts w:ascii="Times New Roman" w:hAnsi="Times New Roman"/>
          <w:b/>
          <w:bCs/>
          <w:shd w:fill="FFFF00" w:val="clear"/>
          <w:lang w:val="en-GB"/>
        </w:rPr>
        <w:t>todo</w:t>
      </w:r>
    </w:p>
    <w:p>
      <w:pPr>
        <w:sectPr>
          <w:headerReference w:type="even" r:id="rId12"/>
          <w:headerReference w:type="default" r:id="rId13"/>
          <w:headerReference w:type="first" r:id="rId14"/>
          <w:footerReference w:type="default" r:id="rId15"/>
          <w:type w:val="nextPage"/>
          <w:pgSz w:w="11906" w:h="16838"/>
          <w:pgMar w:left="1134" w:right="1134" w:gutter="0" w:header="720" w:top="1134" w:footer="720" w:bottom="1134"/>
          <w:pgNumType w:fmt="decimal"/>
          <w:formProt w:val="false"/>
          <w:textDirection w:val="lrTb"/>
          <w:docGrid w:type="default" w:linePitch="100" w:charSpace="0"/>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5"/>
      </w:tblGrid>
      <w:tr>
        <w:trPr>
          <w:trHeight w:val="124" w:hRule="atLeast"/>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rPr/>
            </w:pPr>
            <w:r>
              <w:rPr>
                <w:color w:val="000000"/>
                <w:lang w:val="en-GB"/>
              </w:rPr>
              <w:t>Closing of the scientific gap between top class European institutes and Greece in the field of Space Geodesy.</w:t>
            </w:r>
          </w:p>
          <w:p>
            <w:pPr>
              <w:pStyle w:val="Normal"/>
              <w:widowControl w:val="false"/>
              <w:rPr/>
            </w:pPr>
            <w:r>
              <w:rPr/>
            </w:r>
          </w:p>
          <w:p>
            <w:pPr>
              <w:pStyle w:val="Normal"/>
              <w:widowControl w:val="false"/>
              <w:rPr/>
            </w:pPr>
            <w:r>
              <w:rPr>
                <w:color w:val="000000"/>
                <w:lang w:val="en-GB"/>
              </w:rPr>
              <w:t>Enhancement of research capacity of NTUA in terms of technical assets, expertise and qualified staff.</w:t>
            </w:r>
          </w:p>
          <w:p>
            <w:pPr>
              <w:pStyle w:val="Normal"/>
              <w:widowControl w:val="false"/>
              <w:rPr/>
            </w:pPr>
            <w:r>
              <w:rPr/>
            </w:r>
          </w:p>
          <w:p>
            <w:pPr>
              <w:pStyle w:val="Normal"/>
              <w:widowControl w:val="false"/>
              <w:rPr/>
            </w:pPr>
            <w:r>
              <w:rPr>
                <w:color w:val="000000"/>
                <w:lang w:val="en-GB"/>
              </w:rPr>
              <w:t>Improve prestige and international standing of the host institute.</w:t>
            </w:r>
          </w:p>
          <w:p>
            <w:pPr>
              <w:pStyle w:val="Normal"/>
              <w:widowControl w:val="false"/>
              <w:rPr/>
            </w:pPr>
            <w:r>
              <w:rPr/>
            </w:r>
          </w:p>
          <w:p>
            <w:pPr>
              <w:pStyle w:val="Normal"/>
              <w:widowControl w:val="false"/>
              <w:rPr/>
            </w:pPr>
            <w:r>
              <w:rPr>
                <w:color w:val="000000"/>
                <w:lang w:val="en-GB"/>
              </w:rPr>
              <w:t>Establish a network of top-class collaborators and boost involvement in high-esteem consortia.</w:t>
            </w:r>
          </w:p>
          <w:p>
            <w:pPr>
              <w:pStyle w:val="Normal"/>
              <w:widowControl w:val="false"/>
              <w:rPr/>
            </w:pPr>
            <w:r>
              <w:rPr/>
            </w:r>
          </w:p>
          <w:p>
            <w:pPr>
              <w:pStyle w:val="Normal"/>
              <w:widowControl w:val="false"/>
              <w:rPr/>
            </w:pPr>
            <w:r>
              <w:rPr>
                <w:rFonts w:ascii="Times New Roman" w:hAnsi="Times New Roman"/>
                <w:color w:val="000000"/>
                <w:lang w:val="en-GB"/>
              </w:rPr>
              <w:t>Increase funding capabilities and resources for research (project claiming).</w:t>
            </w:r>
          </w:p>
          <w:p>
            <w:pPr>
              <w:pStyle w:val="Normal"/>
              <w:widowControl w:val="false"/>
              <w:rPr/>
            </w:pPr>
            <w:r>
              <w:rPr/>
            </w:r>
          </w:p>
          <w:p>
            <w:pPr>
              <w:pStyle w:val="Normal"/>
              <w:widowControl w:val="false"/>
              <w:rPr/>
            </w:pPr>
            <w:r>
              <w:rPr>
                <w:color w:val="000000"/>
                <w:lang w:val="en-GB"/>
              </w:rPr>
              <w:t>Boost Greece’s involvement and innovation in the wider field of Space studies and Geosciences and establish a national ecosystem in the field.</w:t>
            </w:r>
          </w:p>
          <w:p>
            <w:pPr>
              <w:pStyle w:val="Normal"/>
              <w:widowControl w:val="false"/>
              <w:rPr/>
            </w:pPr>
            <w:r>
              <w:rPr/>
            </w:r>
          </w:p>
          <w:p>
            <w:pPr>
              <w:pStyle w:val="Normal"/>
              <w:widowControl w:val="false"/>
              <w:rPr>
                <w:rFonts w:ascii="Times New Roman" w:hAnsi="Times New Roman"/>
                <w:i/>
                <w:i/>
                <w:color w:val="00B0F0"/>
              </w:rPr>
            </w:pPr>
            <w:r>
              <w:rPr>
                <w:rFonts w:ascii="Times New Roman" w:hAnsi="Times New Roman"/>
                <w:i/>
                <w:color w:val="00B0F0"/>
              </w:rPr>
            </w:r>
          </w:p>
        </w:tc>
      </w:tr>
      <w:tr>
        <w:trPr/>
        <w:tc>
          <w:tcPr>
            <w:tcW w:w="7015"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5"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rPr>
                <w:color w:val="000000"/>
              </w:rPr>
            </w:pPr>
            <w:r>
              <w:rPr>
                <w:rFonts w:ascii="Times New Roman" w:hAnsi="Times New Roman"/>
                <w:b/>
                <w:bCs/>
                <w:color w:val="000000"/>
                <w:lang w:val="en-GB"/>
              </w:rPr>
              <w:t>Exploitation:</w:t>
            </w:r>
            <w:r>
              <w:rPr>
                <w:rFonts w:ascii="Times New Roman" w:hAnsi="Times New Roman"/>
                <w:color w:val="000000"/>
                <w:lang w:val="en-GB"/>
              </w:rPr>
              <w:t xml:space="preserve"> Release of DORIS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Release of SLR analysis software package attributing a citeable and trackable DOI (e.g. via zenodo).</w:t>
            </w:r>
          </w:p>
          <w:p>
            <w:pPr>
              <w:pStyle w:val="Normal"/>
              <w:widowControl w:val="false"/>
              <w:rPr>
                <w:color w:val="000000"/>
              </w:rPr>
            </w:pPr>
            <w:r>
              <w:rPr>
                <w:color w:val="000000"/>
              </w:rPr>
            </w:r>
          </w:p>
          <w:p>
            <w:pPr>
              <w:pStyle w:val="Normal"/>
              <w:widowControl w:val="false"/>
              <w:rPr>
                <w:color w:val="000000"/>
              </w:rPr>
            </w:pPr>
            <w:r>
              <w:rPr>
                <w:b/>
                <w:bCs/>
                <w:color w:val="000000"/>
              </w:rPr>
              <w:t>Exploitation:</w:t>
            </w:r>
            <w:r>
              <w:rPr>
                <w:color w:val="000000"/>
              </w:rPr>
              <w:t xml:space="preserve"> Use of capacity built in ACRONYM (software, expertise, network and management skills) to apply for further grants/projects in a national and/or European level.</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w:t>
            </w:r>
            <w:r>
              <w:rPr>
                <w:color w:val="000000"/>
              </w:rPr>
              <w:t>: Scientific publication (both in peer-reviewed journals and in international conference) with results obtained through software usage.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scientific community and Space Industry</w:t>
            </w:r>
            <w:r>
              <w:rPr>
                <w:color w:val="000000"/>
              </w:rPr>
              <w:t>: Software release using a public domain software repository/development platform (e.g. gitlab) using MIT license.</w:t>
            </w:r>
          </w:p>
          <w:p>
            <w:pPr>
              <w:pStyle w:val="Normal"/>
              <w:widowControl w:val="false"/>
              <w:rPr>
                <w:color w:val="000000"/>
              </w:rPr>
            </w:pPr>
            <w:r>
              <w:rPr>
                <w:color w:val="000000"/>
              </w:rPr>
            </w:r>
          </w:p>
          <w:p>
            <w:pPr>
              <w:pStyle w:val="Normal"/>
              <w:widowControl w:val="false"/>
              <w:rPr>
                <w:color w:val="000000"/>
              </w:rPr>
            </w:pPr>
            <w:r>
              <w:rPr>
                <w:b/>
                <w:bCs/>
                <w:color w:val="000000"/>
              </w:rPr>
              <w:t>Dissemination towards the academic community in Greece</w:t>
            </w:r>
            <w:r>
              <w:rPr>
                <w:color w:val="000000"/>
              </w:rPr>
              <w:t>: Include usage of parts of the software in the graduate-level academic curriculum of the School of Rural Surveying and Geoinformatics Engineering of NTUA (to perform data analysis).</w:t>
            </w:r>
          </w:p>
          <w:p>
            <w:pPr>
              <w:pStyle w:val="Normal"/>
              <w:widowControl w:val="false"/>
              <w:rPr>
                <w:color w:val="000000"/>
              </w:rPr>
            </w:pPr>
            <w:r>
              <w:rPr>
                <w:color w:val="000000"/>
              </w:rPr>
            </w:r>
          </w:p>
          <w:p>
            <w:pPr>
              <w:pStyle w:val="Normal"/>
              <w:widowControl w:val="false"/>
              <w:rPr>
                <w:lang w:val="en-GB"/>
              </w:rPr>
            </w:pPr>
            <w:r>
              <w:rPr>
                <w:rFonts w:ascii="Times New Roman" w:hAnsi="Times New Roman"/>
                <w:b/>
                <w:color w:val="000000"/>
                <w:lang w:val="en-GB"/>
              </w:rPr>
              <w:t xml:space="preserve">Communication towards </w:t>
            </w:r>
            <w:r>
              <w:rPr>
                <w:rFonts w:ascii="Times New Roman" w:hAnsi="Times New Roman"/>
                <w:b/>
                <w:bCs/>
                <w:color w:val="000000"/>
                <w:lang w:val="en-GB"/>
              </w:rPr>
              <w:t>the scientific community and Space Industry</w:t>
            </w:r>
            <w:r>
              <w:rPr>
                <w:rFonts w:ascii="Times New Roman" w:hAnsi="Times New Roman"/>
                <w:b/>
                <w:color w:val="000000"/>
                <w:lang w:val="en-GB"/>
              </w:rPr>
              <w:t xml:space="preserve">: </w:t>
            </w:r>
            <w:r>
              <w:rPr>
                <w:rFonts w:ascii="Times New Roman" w:hAnsi="Times New Roman"/>
                <w:color w:val="000000"/>
                <w:lang w:val="en-GB"/>
              </w:rPr>
              <w:t>Use of social media (e.g. LinkedIn) to promote and advertise the software tools built in ACRONYM. Usage and application range will also be presented in a conference/workshop organized by NTUA in Greece.</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pPr>
            <w:r>
              <w:rPr>
                <w:b/>
                <w:bCs/>
                <w:color w:val="000000"/>
              </w:rPr>
              <w:t>Software Tools:</w:t>
            </w:r>
            <w:r>
              <w:rPr>
                <w:color w:val="000000"/>
              </w:rPr>
              <w:t xml:space="preserve"> Brand new software tools to perform analysis of Space Geodetic data, using state-of-the-art modeling.</w:t>
            </w:r>
          </w:p>
          <w:p>
            <w:pPr>
              <w:pStyle w:val="Normal"/>
              <w:widowControl w:val="false"/>
              <w:rPr/>
            </w:pPr>
            <w:r>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DORIS data.</w:t>
            </w:r>
          </w:p>
          <w:p>
            <w:pPr>
              <w:pStyle w:val="Normal"/>
              <w:widowControl w:val="false"/>
              <w:rPr>
                <w:lang w:val="en-GB"/>
              </w:rPr>
            </w:pPr>
            <w:r>
              <w:rPr>
                <w:lang w:val="en-GB"/>
              </w:rPr>
            </w:r>
          </w:p>
          <w:p>
            <w:pPr>
              <w:pStyle w:val="Normal"/>
              <w:widowControl w:val="false"/>
              <w:rPr>
                <w:color w:val="000000"/>
              </w:rPr>
            </w:pPr>
            <w:r>
              <w:rPr>
                <w:b/>
                <w:color w:val="000000"/>
                <w:lang w:val="en-GB"/>
              </w:rPr>
              <w:t xml:space="preserve">Successful large-scale demonstrator: </w:t>
            </w:r>
            <w:r>
              <w:rPr>
                <w:color w:val="000000"/>
                <w:lang w:val="en-GB"/>
              </w:rPr>
              <w:t>Trial with 3 satellite missions of POD and precise  positioning using SLR data.</w:t>
            </w:r>
          </w:p>
          <w:p>
            <w:pPr>
              <w:pStyle w:val="Normal"/>
              <w:widowControl w:val="false"/>
              <w:rPr>
                <w:lang w:val="en-GB"/>
              </w:rPr>
            </w:pPr>
            <w:r>
              <w:rPr>
                <w:lang w:val="en-GB"/>
              </w:rPr>
            </w:r>
          </w:p>
          <w:p>
            <w:pPr>
              <w:pStyle w:val="Normal"/>
              <w:widowControl w:val="false"/>
              <w:rPr>
                <w:color w:val="000000"/>
              </w:rPr>
            </w:pPr>
            <w:r>
              <w:rPr>
                <w:b/>
                <w:bCs/>
                <w:color w:val="000000"/>
                <w:lang w:val="en-GB"/>
              </w:rPr>
              <w:t>Publications:</w:t>
            </w:r>
            <w:r>
              <w:rPr>
                <w:color w:val="000000"/>
                <w:lang w:val="en-GB"/>
              </w:rPr>
              <w:t xml:space="preserve"> Three scientific papers in peer-reviewed journals a</w:t>
            </w:r>
            <w:r>
              <w:rPr>
                <w:color w:val="000000"/>
                <w:shd w:fill="auto" w:val="clear"/>
                <w:lang w:val="en-GB"/>
              </w:rPr>
              <w:t xml:space="preserve">nd five </w:t>
            </w:r>
            <w:r>
              <w:rPr>
                <w:color w:val="000000"/>
                <w:lang w:val="en-GB"/>
              </w:rPr>
              <w:t>publication in international conferences.</w:t>
            </w:r>
          </w:p>
          <w:p>
            <w:pPr>
              <w:pStyle w:val="Normal"/>
              <w:widowControl w:val="false"/>
              <w:rPr>
                <w:lang w:val="en-GB"/>
              </w:rPr>
            </w:pPr>
            <w:r>
              <w:rPr>
                <w:lang w:val="en-GB"/>
              </w:rPr>
            </w:r>
          </w:p>
          <w:p>
            <w:pPr>
              <w:pStyle w:val="Normal"/>
              <w:widowControl w:val="false"/>
              <w:rPr>
                <w:color w:val="000000"/>
              </w:rPr>
            </w:pPr>
            <w:r>
              <w:rPr>
                <w:b/>
                <w:bCs/>
                <w:color w:val="000000"/>
                <w:lang w:val="en-GB"/>
              </w:rPr>
              <w:t>Expertise:</w:t>
            </w:r>
            <w:r>
              <w:rPr>
                <w:color w:val="000000"/>
                <w:lang w:val="en-GB"/>
              </w:rPr>
              <w:t xml:space="preserve"> Three PhD students trained and one Post-Doc trained. NTUA personnel will have gained extended expertise and enhanced its research profile.</w:t>
            </w:r>
          </w:p>
          <w:p>
            <w:pPr>
              <w:pStyle w:val="Normal"/>
              <w:widowControl w:val="false"/>
              <w:rPr>
                <w:lang w:val="en-GB"/>
              </w:rPr>
            </w:pPr>
            <w:r>
              <w:rPr>
                <w:lang w:val="en-GB"/>
              </w:rPr>
            </w:r>
          </w:p>
          <w:p>
            <w:pPr>
              <w:pStyle w:val="Normal"/>
              <w:widowControl w:val="false"/>
              <w:rPr>
                <w:color w:val="000000"/>
              </w:rPr>
            </w:pPr>
            <w:r>
              <w:rPr>
                <w:b/>
                <w:bCs/>
                <w:color w:val="000000"/>
                <w:lang w:val="en-GB"/>
              </w:rPr>
              <w:t>Further Grants and Long Term Plan:</w:t>
            </w:r>
            <w:r>
              <w:rPr>
                <w:color w:val="000000"/>
                <w:lang w:val="en-GB"/>
              </w:rPr>
              <w:t xml:space="preserve"> At least two grant proposals submitted to secure further, long term involvement in state-of-the-art Space Geodesy.</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Involvement:</w:t>
            </w:r>
            <w:r>
              <w:rPr>
                <w:rFonts w:ascii="Times New Roman" w:hAnsi="Times New Roman"/>
                <w:color w:val="000000"/>
                <w:lang w:val="en-GB"/>
              </w:rPr>
              <w:t xml:space="preserve"> Involvement in international, high-prestige consortia such as IDS and IRLS, which shape the future of Space Geodesy.</w:t>
            </w:r>
          </w:p>
          <w:p>
            <w:pPr>
              <w:pStyle w:val="Normal"/>
              <w:widowControl w:val="false"/>
              <w:rPr>
                <w:rFonts w:ascii="Times New Roman" w:hAnsi="Times New Roman"/>
                <w:lang w:val="en-GB"/>
              </w:rPr>
            </w:pPr>
            <w:r>
              <w:rPr>
                <w:rFonts w:ascii="Times New Roman" w:hAnsi="Times New Roman"/>
                <w:lang w:val="en-GB"/>
              </w:rPr>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Scientific community</w:t>
            </w:r>
            <w:r>
              <w:rPr>
                <w:color w:val="000000"/>
                <w:lang w:val="en-GB"/>
              </w:rPr>
              <w:t xml:space="preserve">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of institutions involved in monitoring the region’s unique crust  kinematics/behavior (due to tectonics, seismic events, etc).</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and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rPr>
                <w:i/>
                <w:i/>
                <w:iCs/>
                <w:color w:val="000000"/>
              </w:rPr>
            </w:pPr>
            <w:r>
              <w:rPr>
                <w:b/>
                <w:bCs/>
                <w:i/>
                <w:iCs/>
                <w:color w:val="000000"/>
                <w:lang w:val="en-GB"/>
              </w:rPr>
              <w:t>S</w:t>
            </w:r>
            <w:r>
              <w:rPr>
                <w:b/>
                <w:bCs/>
                <w:color w:val="000000"/>
                <w:lang w:val="en-GB"/>
              </w:rPr>
              <w:t xml:space="preserve">ocietal: </w:t>
            </w:r>
            <w:r>
              <w:rPr>
                <w:color w:val="000000"/>
                <w:lang w:val="en-GB"/>
              </w:rPr>
              <w:t>Quenching of the crowding-out effect of young scientists experienced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Creation of a centre of excellence for Space Geodesy in Greece, with elevated international standing.</w:t>
            </w:r>
          </w:p>
          <w:p>
            <w:pPr>
              <w:pStyle w:val="Normal"/>
              <w:widowControl w:val="false"/>
              <w:rPr>
                <w:color w:val="000000"/>
              </w:rPr>
            </w:pPr>
            <w:r>
              <w:rPr>
                <w:color w:val="000000"/>
              </w:rPr>
            </w:r>
          </w:p>
          <w:p>
            <w:pPr>
              <w:pStyle w:val="Normal"/>
              <w:widowControl w:val="false"/>
              <w:rPr>
                <w:color w:val="000000"/>
              </w:rPr>
            </w:pPr>
            <w:r>
              <w:rPr>
                <w:b/>
                <w:bCs/>
                <w:color w:val="000000"/>
                <w:lang w:val="en-GB"/>
              </w:rPr>
              <w:t>Technological:</w:t>
            </w:r>
            <w:r>
              <w:rPr>
                <w:color w:val="000000"/>
                <w:lang w:val="en-GB"/>
              </w:rPr>
              <w:t xml:space="preserve"> Boost involvement, innovation and expertise for Space studies in Greece.</w:t>
            </w:r>
          </w:p>
          <w:p>
            <w:pPr>
              <w:pStyle w:val="Normal"/>
              <w:widowControl w:val="false"/>
              <w:rPr>
                <w:color w:val="000000"/>
              </w:rPr>
            </w:pPr>
            <w:r>
              <w:rPr>
                <w:color w:val="000000"/>
              </w:rPr>
            </w:r>
          </w:p>
          <w:p>
            <w:pPr>
              <w:pStyle w:val="Normal"/>
              <w:widowControl w:val="false"/>
              <w:rPr>
                <w:color w:val="000000"/>
              </w:rPr>
            </w:pPr>
            <w:r>
              <w:rPr>
                <w:b/>
                <w:bCs/>
                <w:color w:val="000000"/>
                <w:lang w:val="en-GB"/>
              </w:rPr>
              <w:t>Economic/Scientific:</w:t>
            </w:r>
            <w:r>
              <w:rPr>
                <w:color w:val="000000"/>
                <w:lang w:val="en-GB"/>
              </w:rPr>
              <w:t xml:space="preserve"> Boost host institute’s success rate in research funding bids.</w:t>
            </w:r>
          </w:p>
          <w:p>
            <w:pPr>
              <w:pStyle w:val="Normal"/>
              <w:widowControl w:val="false"/>
              <w:rPr>
                <w:color w:val="000000"/>
              </w:rPr>
            </w:pPr>
            <w:r>
              <w:rPr>
                <w:color w:val="000000"/>
              </w:rPr>
            </w:r>
          </w:p>
          <w:p>
            <w:pPr>
              <w:pStyle w:val="Normal"/>
              <w:widowControl w:val="false"/>
              <w:rPr/>
            </w:pPr>
            <w:r>
              <w:rPr>
                <w:rFonts w:ascii="Times New Roman" w:hAnsi="Times New Roman"/>
                <w:b/>
                <w:bCs/>
                <w:color w:val="000000"/>
                <w:lang w:val="en-GB"/>
              </w:rPr>
              <w:t>Scientific:</w:t>
            </w:r>
            <w:r>
              <w:rPr>
                <w:rFonts w:ascii="Times New Roman" w:hAnsi="Times New Roman"/>
                <w:color w:val="000000"/>
                <w:lang w:val="en-GB"/>
              </w:rPr>
              <w:t xml:space="preserve"> Sustainable synergies with prestigious, top-level institutes and consortia. Establish and secure the host institute’s role as a key player in the field of Space Geodesy in the long run.</w:t>
            </w:r>
          </w:p>
          <w:p>
            <w:pPr>
              <w:pStyle w:val="Normal"/>
              <w:widowControl w:val="false"/>
              <w:rPr>
                <w:rFonts w:ascii="Times New Roman" w:hAnsi="Times New Roman"/>
                <w:color w:val="00B0F0"/>
                <w:lang w:val="en-GB"/>
              </w:rPr>
            </w:pPr>
            <w:r>
              <w:rPr>
                <w:rFonts w:ascii="Times New Roman" w:hAnsi="Times New Roman"/>
                <w:color w:val="00B0F0"/>
                <w:lang w:val="en-GB"/>
              </w:rPr>
            </w:r>
          </w:p>
        </w:tc>
      </w:tr>
    </w:tbl>
    <w:p>
      <w:pPr>
        <w:sectPr>
          <w:headerReference w:type="default" r:id="rId16"/>
          <w:footerReference w:type="default" r:id="rId17"/>
          <w:type w:val="nextPage"/>
          <w:pgSz w:orient="landscape" w:w="16838" w:h="11906"/>
          <w:pgMar w:left="851" w:right="851" w:gutter="0" w:header="720" w:top="851" w:footer="720" w:bottom="851"/>
          <w:pgNumType w:fmt="decimal"/>
          <w:formProt w:val="false"/>
          <w:textDirection w:val="lrTb"/>
          <w:docGrid w:type="default" w:linePitch="100" w:charSpace="0"/>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Networking and 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24</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Dissemination, Exploitation and Communication Activities</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rPr>
                <w:lang w:val="en-GB"/>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2"/>
              </w:numPr>
              <w:spacing w:before="60" w:after="60"/>
              <w:rPr>
                <w:lang w:val="en-GB"/>
              </w:rPr>
            </w:pPr>
            <w:r>
              <w:rPr/>
              <w:t>Establish a strong project management scheme</w:t>
            </w:r>
          </w:p>
          <w:p>
            <w:pPr>
              <w:pStyle w:val="Normal"/>
              <w:widowControl w:val="false"/>
              <w:numPr>
                <w:ilvl w:val="0"/>
                <w:numId w:val="12"/>
              </w:numPr>
              <w:spacing w:before="60" w:after="60"/>
              <w:rPr>
                <w:lang w:val="en-GB"/>
              </w:rPr>
            </w:pPr>
            <w:r>
              <w:rPr/>
              <w:t>Establish appropriate communication and reporting channels to the European Commission</w:t>
            </w:r>
          </w:p>
          <w:p>
            <w:pPr>
              <w:pStyle w:val="Normal"/>
              <w:widowControl w:val="false"/>
              <w:numPr>
                <w:ilvl w:val="0"/>
                <w:numId w:val="12"/>
              </w:numPr>
              <w:spacing w:before="60" w:after="60"/>
              <w:rPr>
                <w:lang w:val="en-GB"/>
              </w:rPr>
            </w:pPr>
            <w:r>
              <w:rPr/>
              <w:t>Ensure successful achievement of the project objectives on time and within budget</w:t>
            </w:r>
          </w:p>
          <w:p>
            <w:pPr>
              <w:pStyle w:val="Normal"/>
              <w:widowControl w:val="false"/>
              <w:numPr>
                <w:ilvl w:val="0"/>
                <w:numId w:val="12"/>
              </w:numPr>
              <w:spacing w:before="60" w:after="60"/>
              <w:rPr>
                <w:lang w:val="en-GB"/>
              </w:rPr>
            </w:pPr>
            <w:r>
              <w:rPr/>
              <w:t>Establish an efficient electronic service for communications, and document exchanging</w:t>
            </w:r>
          </w:p>
          <w:p>
            <w:pPr>
              <w:pStyle w:val="Normal"/>
              <w:widowControl w:val="false"/>
              <w:numPr>
                <w:ilvl w:val="0"/>
                <w:numId w:val="12"/>
              </w:numPr>
              <w:spacing w:before="60" w:after="60"/>
              <w:rPr>
                <w:lang w:val="en-GB"/>
              </w:rPr>
            </w:pPr>
            <w:r>
              <w:rPr/>
              <w:t>Conduct continuous quality assurance activities for the operation of the project and the production of its results within its lifespan</w:t>
            </w:r>
          </w:p>
          <w:p>
            <w:pPr>
              <w:pStyle w:val="Normal"/>
              <w:widowControl w:val="false"/>
              <w:numPr>
                <w:ilvl w:val="0"/>
                <w:numId w:val="12"/>
              </w:numPr>
              <w:spacing w:before="60" w:after="60"/>
              <w:rPr>
                <w:lang w:val="en-GB"/>
              </w:rPr>
            </w:pPr>
            <w:r>
              <w:rPr/>
              <w:t>Ensure continuous monitoring of the project’s progress and timely initiation of corrective actions (if needed)</w:t>
            </w:r>
          </w:p>
          <w:p>
            <w:pPr>
              <w:pStyle w:val="Normal"/>
              <w:widowControl w:val="false"/>
              <w:numPr>
                <w:ilvl w:val="0"/>
                <w:numId w:val="12"/>
              </w:numPr>
              <w:spacing w:before="60" w:after="60"/>
              <w:rPr>
                <w:lang w:val="en-GB"/>
              </w:rPr>
            </w:pPr>
            <w:r>
              <w:rPr/>
              <w:t>Coordinate the organization and execution of the various project meetings, and/or participation of the project in various external or self-organized events</w:t>
            </w:r>
          </w:p>
          <w:p>
            <w:pPr>
              <w:pStyle w:val="Normal"/>
              <w:widowControl w:val="false"/>
              <w:numPr>
                <w:ilvl w:val="0"/>
                <w:numId w:val="12"/>
              </w:numPr>
              <w:spacing w:before="60" w:after="60"/>
              <w:rPr>
                <w:lang w:val="en-GB"/>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original workplan from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6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(per technique) from expert nodes to the coordinator</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research capacity building (mid-term and long-term)</w:t>
            </w:r>
          </w:p>
          <w:p>
            <w:pPr>
              <w:pStyle w:val="Normal"/>
              <w:widowControl w:val="false"/>
              <w:numPr>
                <w:ilvl w:val="0"/>
                <w:numId w:val="8"/>
              </w:numPr>
              <w:spacing w:before="60" w:after="60"/>
              <w:rPr/>
            </w:pPr>
            <w:r>
              <w:rPr>
                <w:rFonts w:ascii="Times New Roman" w:hAnsi="Times New Roman"/>
                <w:b w:val="false"/>
                <w:bCs w:val="false"/>
                <w:lang w:val="en-GB"/>
              </w:rPr>
              <w:t>recruitment of at least three PhD students and three PostDoc students to support research capacity building</w:t>
            </w:r>
          </w:p>
          <w:p>
            <w:pPr>
              <w:pStyle w:val="Normal"/>
              <w:widowControl w:val="false"/>
              <w:numPr>
                <w:ilvl w:val="0"/>
                <w:numId w:val="8"/>
              </w:numPr>
              <w:spacing w:before="60" w:after="60"/>
              <w:rPr/>
            </w:pPr>
            <w:r>
              <w:rPr>
                <w:rFonts w:ascii="Times New Roman" w:hAnsi="Times New Roman"/>
                <w:b w:val="false"/>
                <w:bCs w:val="false"/>
                <w:lang w:val="en-GB"/>
              </w:rPr>
              <w:t>establish and train a task force at NTUA aiming at boosting its success rate in research funding bids</w:t>
            </w:r>
          </w:p>
          <w:p>
            <w:pPr>
              <w:pStyle w:val="Normal"/>
              <w:widowControl w:val="false"/>
              <w:numPr>
                <w:ilvl w:val="0"/>
                <w:numId w:val="8"/>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Networking and transfer of knowledge for DORIS (M1-M12); Lead IPGP</w:t>
            </w:r>
          </w:p>
          <w:p>
            <w:pPr>
              <w:pStyle w:val="Normal"/>
              <w:widowControl w:val="false"/>
              <w:spacing w:before="60" w:after="60"/>
              <w:jc w:val="both"/>
              <w:rPr/>
            </w:pPr>
            <w:r>
              <w:rPr>
                <w:lang w:val="en-GB"/>
              </w:rPr>
              <w:t>The host institute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in the host institute via online webinars, virtual training, videos conferences, venture labs and one short term encounter (duration between one and two weeks) of all three involved partners.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The short term visit will be hosted by IPGP and will include the schooling of the host’s personnel and its training on software tools used by the expert nodes in their respective institutes.</w:t>
            </w:r>
          </w:p>
          <w:p>
            <w:pPr>
              <w:pStyle w:val="Normal"/>
              <w:widowControl w:val="false"/>
              <w:spacing w:before="60" w:after="60"/>
              <w:jc w:val="both"/>
              <w:rPr/>
            </w:pPr>
            <w:r>
              <w:rPr/>
              <w:t>The partners will also decide on a technique-specific PhD thesis and one Post-Doc Thesis, which they will co-supervise, thus strengthening ties and synergies. Both theses will be carried out in NTUA, in close cooperation with the expert nodes, and written/defended in English.</w:t>
            </w:r>
          </w:p>
          <w:p>
            <w:pPr>
              <w:pStyle w:val="Normal"/>
              <w:widowControl w:val="false"/>
              <w:spacing w:before="60" w:after="60"/>
              <w:jc w:val="both"/>
              <w:rPr/>
            </w:pPr>
            <w:r>
              <w:rPr/>
              <w:t>Additionally, exploiting the expertise of the top-class institutes (IPGP and CLS), the partners will draw out a detailed plan on significantly enhancing the host’s research capacity within the time frame of ACRONYM, through designing and implementing a DORIS data analysis toolbox. This plan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this three-part consortium will decide on  two technique-related subjects to work on, aiming at two scientific publications in high-impact peer-reviewed scientific journals (impact factor &gt; 2.4).</w:t>
            </w:r>
          </w:p>
          <w:p>
            <w:pPr>
              <w:pStyle w:val="Normal"/>
              <w:widowControl w:val="false"/>
              <w:spacing w:before="60" w:after="60"/>
              <w:jc w:val="both"/>
              <w:rPr/>
            </w:pPr>
            <w:r>
              <w:rPr/>
              <w:t>Expert nodes will introduce the host to the IDS consortium</w:t>
            </w:r>
            <w:r>
              <w:rPr>
                <w:lang w:val="en-GB"/>
              </w:rPr>
              <w:t>,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Networking and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its peers in the host institute via online webinars, virtual training, video conferences, venture labs and one short term encounter (duration between one and two weeks), hosted by GFZ.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SLR station in Potsdam (operated by GFZ), where they will be introduced to the instrumentation and operational aspects of the site. Additionally, the visit will include the schooling of the host’s personnel in software tools developed and used by the expert node to process SLR data for precise orbit determination and estimation of geodetic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GFZ, the two partners will lay out a detailed plan on significantly enhancing the host’s research capacity within the time frame of ACRONYM, through designing and implementing an SLR data analysis toolbox. It will include specifications, standards and models as well as hierarchically ordered tasks, eventually leading to reaching state-of-the-art analysis results (i.e. Associate Analysis Center status).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GFZ will introduce the host to the ILRS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Networking and preparing research capacity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its peers in the host institute via online webinars, virtual training, video conferences, venture labs and one short term encounter (duration between one and two weeks), hosted by OSO. At this stage, virtual meetings (webinars, training and/or lab sessions) will be held twice per month. Knowledge exchange will include data curation, analysis pipelines, identification of technique specific error-budget and its treatment and mitigation, instrumentation and technique specific results, applications and future prospects. During the visit, NTUA personnel will make a guided in-situ visit to the VLBI site in Onsala (operated by OSO), where they will be introduced to the instrumentation and operational aspects of the site. Additionally, the visit will include the schooling and training of the host’s personnel in software tools developed and used by the expert node to process VLBI data for the estimation of Earth orientation parameters.</w:t>
            </w:r>
          </w:p>
          <w:p>
            <w:pPr>
              <w:pStyle w:val="Normal"/>
              <w:widowControl w:val="false"/>
              <w:spacing w:before="60" w:after="60"/>
              <w:jc w:val="both"/>
              <w:rPr/>
            </w:pPr>
            <w:r>
              <w:rPr/>
              <w:t>The partners will also decide on a technique-specific PhD thesis and one PostDoc thesis which they will co-supervise. The theses will be carried out in NTUA, in close cooperation with the expert node, and written/defended in English.</w:t>
            </w:r>
          </w:p>
          <w:p>
            <w:pPr>
              <w:pStyle w:val="Normal"/>
              <w:widowControl w:val="false"/>
              <w:spacing w:before="60" w:after="60"/>
              <w:jc w:val="both"/>
              <w:rPr/>
            </w:pPr>
            <w:r>
              <w:rPr/>
              <w:t>Exploiting the expertise of OSO, the partners will lay out a detailed plan on significantly enhancing the host’s research capacity within the time frame of ACRONYM, through designing and implementing a geodetic toolbox, specifically aiming at an efficient and accurate handling of Earth orientation parameters, celestial and terrestrial reference frame transformations and modeling of tidal phenomena. This plan will include state-of-the-art standards and models to be used, as well as testing and validation cases. Tasks will be hierarchically ordered in a precision ordered fashion, eventually leading to achieving utmost quality. The plan will include timely milestones, goals and validation tests.</w:t>
            </w:r>
          </w:p>
          <w:p>
            <w:pPr>
              <w:pStyle w:val="Normal"/>
              <w:widowControl w:val="false"/>
              <w:spacing w:before="60" w:after="60"/>
              <w:jc w:val="both"/>
              <w:rPr/>
            </w:pPr>
            <w:r>
              <w:rPr/>
              <w:t>Furthermore, the two partners will decide on  a technique-related subject to work on, aiming at a scientific publication in a peer-reviewed scientific journal (impact factor &gt; 2.4).</w:t>
            </w:r>
          </w:p>
          <w:p>
            <w:pPr>
              <w:pStyle w:val="Normal"/>
              <w:widowControl w:val="false"/>
              <w:spacing w:before="60" w:after="60"/>
              <w:jc w:val="both"/>
              <w:rPr/>
            </w:pPr>
            <w:r>
              <w:rPr>
                <w:lang w:val="en-GB"/>
              </w:rPr>
              <w:t>OSO will introduce the host to the IVS consortium, facilitating its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2.4 Enhancing Research Funding Capacity (M1-M24); Lead CLS</w:t>
            </w:r>
          </w:p>
          <w:p>
            <w:pPr>
              <w:pStyle w:val="Normal"/>
              <w:widowControl w:val="false"/>
              <w:spacing w:before="60" w:after="60"/>
              <w:jc w:val="both"/>
              <w:rPr/>
            </w:pPr>
            <w:r>
              <w:rPr>
                <w:lang w:val="en-GB"/>
              </w:rPr>
              <w:t>The host institute will establish a task force made up of six NTUA employees, which will be trained in project funding seeking, proposal writing and efficient research project management and administration, via remote mentoring and coaching. The consortium partners (CLS, IPGP, GFZ and OSO) will transfer technical knowledge, know-how and best practices to the NTUA task force.</w:t>
            </w:r>
          </w:p>
          <w:p>
            <w:pPr>
              <w:pStyle w:val="Normal"/>
              <w:widowControl w:val="false"/>
              <w:spacing w:before="60" w:after="60"/>
              <w:jc w:val="both"/>
              <w:rPr/>
            </w:pPr>
            <w:r>
              <w:rPr/>
              <w:t>The task force along with the partners will be involved in exploring possibilities and capabilities in:</w:t>
            </w:r>
          </w:p>
          <w:p>
            <w:pPr>
              <w:pStyle w:val="Normal"/>
              <w:widowControl w:val="false"/>
              <w:numPr>
                <w:ilvl w:val="0"/>
                <w:numId w:val="11"/>
              </w:numPr>
              <w:spacing w:before="60" w:after="60"/>
              <w:jc w:val="both"/>
              <w:rPr/>
            </w:pPr>
            <w:r>
              <w:rPr/>
              <w:t xml:space="preserve">research funding  possibilities  via </w:t>
            </w:r>
            <w:r>
              <w:rPr>
                <w:lang w:val="en-GB"/>
              </w:rPr>
              <w:t>European research funding pools and consortia (e.g. EU, ESA, etc)</w:t>
            </w:r>
          </w:p>
          <w:p>
            <w:pPr>
              <w:pStyle w:val="Normal"/>
              <w:widowControl w:val="false"/>
              <w:numPr>
                <w:ilvl w:val="0"/>
                <w:numId w:val="11"/>
              </w:numPr>
              <w:spacing w:before="60" w:after="60"/>
              <w:jc w:val="both"/>
              <w:rPr/>
            </w:pPr>
            <w:r>
              <w:rPr>
                <w:rStyle w:val="Strong"/>
                <w:b w:val="false"/>
                <w:bCs w:val="false"/>
              </w:rPr>
              <w:t>collaborative funding (contributions from various stakeholders, such as government agencies, private foundations and industry partners)</w:t>
            </w:r>
          </w:p>
          <w:p>
            <w:pPr>
              <w:pStyle w:val="Normal"/>
              <w:widowControl w:val="false"/>
              <w:numPr>
                <w:ilvl w:val="0"/>
                <w:numId w:val="11"/>
              </w:numPr>
              <w:spacing w:before="60" w:after="60"/>
              <w:jc w:val="both"/>
              <w:rPr/>
            </w:pPr>
            <w:r>
              <w:rPr>
                <w:rStyle w:val="Strong"/>
                <w:b w:val="false"/>
                <w:bCs w:val="false"/>
              </w:rPr>
              <w:t>funding via research consortia and networks (e.g. funding claiming via contribution in international services such as the IDS, ILRS and IVS)</w:t>
            </w:r>
          </w:p>
          <w:p>
            <w:pPr>
              <w:pStyle w:val="Normal"/>
              <w:widowControl w:val="false"/>
              <w:numPr>
                <w:ilvl w:val="0"/>
                <w:numId w:val="11"/>
              </w:numPr>
              <w:spacing w:before="60" w:after="60"/>
              <w:jc w:val="both"/>
              <w:rPr>
                <w:rStyle w:val="Strong"/>
                <w:b w:val="false"/>
                <w:b w:val="false"/>
                <w:bCs w:val="false"/>
              </w:rPr>
            </w:pPr>
            <w:r>
              <w:rPr>
                <w:rStyle w:val="Strong"/>
                <w:b w:val="false"/>
                <w:bCs w:val="false"/>
              </w:rPr>
              <w:t>funding pools and networking specifically targeting young scientists, e.g. MSCA Doctoral Networks</w:t>
            </w:r>
          </w:p>
          <w:p>
            <w:pPr>
              <w:pStyle w:val="Normal"/>
              <w:widowControl w:val="false"/>
              <w:numPr>
                <w:ilvl w:val="0"/>
                <w:numId w:val="11"/>
              </w:numPr>
              <w:spacing w:before="60" w:after="60"/>
              <w:jc w:val="both"/>
              <w:rPr/>
            </w:pPr>
            <w:r>
              <w:rPr>
                <w:rStyle w:val="Strong"/>
                <w:b w:val="false"/>
                <w:bCs w:val="false"/>
              </w:rPr>
              <w:t>public-private partnerships</w:t>
            </w:r>
            <w:r>
              <w:rPr>
                <w:rStyle w:val="Strong"/>
                <w:b w:val="false"/>
                <w:bCs w:val="false"/>
                <w:lang w:val="en-GB"/>
              </w:rPr>
              <w:t>, where partnerships with industry will be seeked for, to support research and development in Space and Earth Observation industry and technology</w:t>
            </w:r>
          </w:p>
          <w:p>
            <w:pPr>
              <w:pStyle w:val="Normal"/>
              <w:widowControl w:val="false"/>
              <w:spacing w:before="60" w:after="60"/>
              <w:jc w:val="both"/>
              <w:rPr/>
            </w:pPr>
            <w:r>
              <w:rPr>
                <w:lang w:val="en-GB"/>
              </w:rPr>
              <w:t>in an effort to significantly enhance future NTUA’s  successful proposal submission rate, secure financial aid for the host’s research activities in the long-run and boost long-term synergy between the consortium partners.</w:t>
            </w:r>
          </w:p>
          <w:p>
            <w:pPr>
              <w:pStyle w:val="Normal"/>
              <w:widowControl w:val="false"/>
              <w:spacing w:before="60" w:after="60"/>
              <w:jc w:val="both"/>
              <w:rPr/>
            </w:pPr>
            <w:r>
              <w:rPr>
                <w:lang w:val="en-GB"/>
              </w:rPr>
              <w:t>The task force along with the partners will decide on a strategic plan for two further research proposals to be submitted within the duration of ACRONYM.</w:t>
            </w:r>
          </w:p>
          <w:p>
            <w:pPr>
              <w:pStyle w:val="Normal"/>
              <w:widowControl w:val="false"/>
              <w:spacing w:before="60" w:after="60"/>
              <w:jc w:val="both"/>
              <w:rPr/>
            </w:pPr>
            <w:r>
              <w:rPr/>
            </w:r>
          </w:p>
          <w:p>
            <w:pPr>
              <w:pStyle w:val="Normal"/>
              <w:widowControl w:val="false"/>
              <w:spacing w:before="60" w:after="60"/>
              <w:jc w:val="both"/>
              <w:rPr>
                <w:b/>
                <w:b/>
                <w:bCs/>
              </w:rPr>
            </w:pPr>
            <w:r>
              <w:rPr>
                <w:b/>
                <w:bCs/>
              </w:rPr>
              <w:t>Task 2.5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and related applications. This will include  possible industry partners (e.g. Libre Space Foundation (</w:t>
            </w:r>
            <w:hyperlink r:id="rId18">
              <w:r>
                <w:rPr>
                  <w:rStyle w:val="InternetLink"/>
                  <w:lang w:val="en-GB"/>
                </w:rPr>
                <w:t>https://libre.space/</w:t>
              </w:r>
            </w:hyperlink>
            <w:r>
              <w:rPr>
                <w:lang w:val="en-GB"/>
              </w:rPr>
              <w:t>), Geosystems Hellas (</w:t>
            </w:r>
            <w:hyperlink r:id="rId19">
              <w:r>
                <w:rPr>
                  <w:rStyle w:val="InternetLink"/>
                  <w:lang w:val="en-GB"/>
                </w:rPr>
                <w:t>https://www.geosystems-hellas.gr/</w:t>
              </w:r>
            </w:hyperlink>
            <w:r>
              <w:rPr>
                <w:lang w:val="en-GB"/>
              </w:rPr>
              <w:t>), Planetek Hellas (</w:t>
            </w:r>
            <w:hyperlink r:id="rId20">
              <w:r>
                <w:rPr>
                  <w:rStyle w:val="InternetLink"/>
                  <w:lang w:val="en-GB"/>
                </w:rPr>
                <w:t>https://www.planetek.gr/</w:t>
              </w:r>
            </w:hyperlink>
            <w:r>
              <w:rPr>
                <w:lang w:val="en-GB"/>
              </w:rPr>
              <w:t>)), governmental agencies and institutions (e.g. National Observatory of Athens, Beyond Centre (</w:t>
            </w:r>
            <w:hyperlink r:id="rId21">
              <w:r>
                <w:rPr>
                  <w:rStyle w:val="InternetLink"/>
                  <w:lang w:val="en-GB"/>
                </w:rPr>
                <w:t>http://beyond-eocenter.eu/</w:t>
              </w:r>
            </w:hyperlink>
            <w:r>
              <w:rPr>
                <w:lang w:val="en-GB"/>
              </w:rPr>
              <w:t>), Hellenic Group on Earth Observations (</w:t>
            </w:r>
            <w:hyperlink r:id="rId22">
              <w:r>
                <w:rPr>
                  <w:rStyle w:val="InternetLink"/>
                  <w:lang w:val="en-GB"/>
                </w:rPr>
                <w:t>https://www.greekgeo.noa.gr/</w:t>
              </w:r>
            </w:hyperlink>
            <w:r>
              <w:rPr>
                <w:lang w:val="en-GB"/>
              </w:rPr>
              <w:t>)) as well as universities (e.g. Aristotle University of Thessaloniki, National and Kapodistrian University of Athens and the University of West Attica).</w:t>
            </w:r>
          </w:p>
          <w:p>
            <w:pPr>
              <w:pStyle w:val="Normal"/>
              <w:widowControl w:val="false"/>
              <w:spacing w:before="60" w:after="60"/>
              <w:jc w:val="both"/>
              <w:rPr/>
            </w:pPr>
            <w:r>
              <w:rPr/>
              <w:t>Two dedicated conferences will be organized by NTUA to take place in Greece, aiming at networking activities and potential collaborations between involved parties. A minimum attendance of 15 individual agencies is expected.</w:t>
            </w:r>
          </w:p>
          <w:p>
            <w:pPr>
              <w:pStyle w:val="Normal"/>
              <w:widowControl w:val="false"/>
              <w:spacing w:before="60" w:after="60"/>
              <w:jc w:val="both"/>
              <w:rPr/>
            </w:pPr>
            <w:r>
              <w:rPr/>
              <w:t>The first conference will focus on presenting ACRONYM’s aims, objectives and anticipated impact, as well as Space-based earth observation research activities currently active at NTUA performed in various laboratories (e.g. remote sensing, positioning and navigation, atmospheric studies, etc).</w:t>
            </w:r>
          </w:p>
          <w:p>
            <w:pPr>
              <w:pStyle w:val="Normal"/>
              <w:widowControl w:val="false"/>
              <w:spacing w:before="60" w:after="60"/>
              <w:jc w:val="both"/>
              <w:rPr/>
            </w:pPr>
            <w:r>
              <w:rPr>
                <w:lang w:val="en-GB"/>
              </w:rPr>
              <w:t>A second, two-day conference will focus on the introduction of the different ecosystem parties, presenting  their fields of expertise, research and industry portfolios, aspirations and future work.</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(per technique)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the package will be able to efficiently incorporate recent advances and high-quality products from VLBI analysis.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enhancing the host institute’s research capacity and international standing</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networking capacity already established in Task 2.1. Additionally, NTUA’s staff will visit CLS and both CLS and IPGP personnel will make one short visit to NTUA’s facilities, in an effort to further consolidate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Expert nodes will also introduce aspects of currently active intense research within the DORIS technique as well as IDS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networking capacity already established in Task 2.2. Additionally, NTUA’s staff will visit GFZ and GFZ personnel will make a short visit to NTUA’s facilities, in an effort to further consolidate an efficient flow of expertise. The short term visits will have a duration of one to two weeks.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t>GFZ will also introduce aspects of currently active intense research within the SLR technique as well as ILRS specific needs and ongoing and/or future plans, through which the host institute can play a significant role in the field in the long term.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networking capacity already established in Task 2.3.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lang w:val="en-GB"/>
              </w:rPr>
              <w:t>Additionally, NTUA’s staff will visit OSO and OSO personnel will make a short visit to NTUA’s facilities, in an effort to further consolidate networking and efficient expertise transfer. The short term visits will have a duration of one to two weeks.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centre of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research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p>
            <w:pPr>
              <w:pStyle w:val="Normal"/>
              <w:widowControl w:val="false"/>
              <w:spacing w:before="60" w:after="60"/>
              <w:rPr>
                <w:rFonts w:ascii="Times New Roman" w:hAnsi="Times New Roman"/>
                <w:lang w:val="en-GB"/>
              </w:rPr>
            </w:pPr>
            <w:r>
              <w:rPr>
                <w:rFonts w:ascii="Times New Roman" w:hAnsi="Times New Roman"/>
                <w:lang w:val="en-GB"/>
              </w:rPr>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7"/>
        <w:gridCol w:w="2077"/>
        <w:gridCol w:w="1293"/>
        <w:gridCol w:w="1385"/>
        <w:gridCol w:w="1388"/>
        <w:gridCol w:w="1757"/>
        <w:gridCol w:w="1125"/>
      </w:tblGrid>
      <w:tr>
        <w:trPr/>
        <w:tc>
          <w:tcPr>
            <w:tcW w:w="13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Submission of two research proposals for funding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highlight w:val="none"/>
                <w:shd w:fill="FFFF00" w:val="clear"/>
              </w:rPr>
            </w:pPr>
            <w:r>
              <w:rPr>
                <w:shd w:fill="FFFF00" w:val="clea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pPr>
            <w:r>
              <w:rPr/>
              <w:t>Long term plan for Center of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D4.4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D4.5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43"/>
        <w:gridCol w:w="2267"/>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4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4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4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6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4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6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43"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4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4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6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43"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67"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809"/>
        <w:gridCol w:w="2428"/>
        <w:gridCol w:w="3828"/>
      </w:tblGrid>
      <w:tr>
        <w:trPr/>
        <w:tc>
          <w:tcPr>
            <w:tcW w:w="380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8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80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80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80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2"/>
        <w:gridCol w:w="1485"/>
        <w:gridCol w:w="1467"/>
        <w:gridCol w:w="1450"/>
        <w:gridCol w:w="3130"/>
      </w:tblGrid>
      <w:tr>
        <w:trPr/>
        <w:tc>
          <w:tcPr>
            <w:tcW w:w="2392"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8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5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48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50"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48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5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0"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10</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10</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42"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16</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74"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32</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footer" Target="footer3.xml"/><Relationship Id="rId16" Type="http://schemas.openxmlformats.org/officeDocument/2006/relationships/header" Target="header8.xml"/><Relationship Id="rId17" Type="http://schemas.openxmlformats.org/officeDocument/2006/relationships/footer" Target="footer4.xml"/><Relationship Id="rId18" Type="http://schemas.openxmlformats.org/officeDocument/2006/relationships/hyperlink" Target="https://libre.space/" TargetMode="External"/><Relationship Id="rId19" Type="http://schemas.openxmlformats.org/officeDocument/2006/relationships/hyperlink" Target="https://www.geosystems-hellas.gr/" TargetMode="External"/><Relationship Id="rId20" Type="http://schemas.openxmlformats.org/officeDocument/2006/relationships/hyperlink" Target="https://www.planetek.gr/" TargetMode="External"/><Relationship Id="rId21" Type="http://schemas.openxmlformats.org/officeDocument/2006/relationships/hyperlink" Target="http://beyond-eocenter.eu/" TargetMode="External"/><Relationship Id="rId22" Type="http://schemas.openxmlformats.org/officeDocument/2006/relationships/hyperlink" Target="https://www.greekgeo.noa.gr/" TargetMode="Externa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5580</TotalTime>
  <Application>LibreOffice/7.4.7.2$Linux_X86_64 LibreOffice_project/40$Build-2</Application>
  <AppVersion>15.0000</AppVersion>
  <Pages>34</Pages>
  <Words>11391</Words>
  <Characters>66718</Characters>
  <CharactersWithSpaces>77438</CharactersWithSpaces>
  <Paragraphs>698</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2023-08-11T16:12:23Z</dcterms:modified>
  <cp:revision>368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