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110"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3645004"/>
            <w:bookmarkStart w:id="1" w:name="_Toc445930535"/>
            <w:bookmarkStart w:id="2" w:name="_Toc448828577"/>
            <w:bookmarkStart w:id="3" w:name="_Toc448828797"/>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8834153"/>
            <w:bookmarkStart w:id="11" w:name="_Toc448828799"/>
            <w:bookmarkStart w:id="12" w:name="_Toc443645006"/>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1.1.1 Space Geodesy and Earth Observation</w:t>
      </w:r>
    </w:p>
    <w:p>
      <w:pPr>
        <w:pStyle w:val="BodyText"/>
        <w:ind w:hanging="0" w:left="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BodyText"/>
        <w:ind w:hanging="0" w:left="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BodyText"/>
        <w:ind w:hanging="0" w:left="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BodyText"/>
        <w:ind w:hanging="0" w:left="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BodyText"/>
        <w:ind w:hanging="0" w:left="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BodyText"/>
        <w:ind w:hanging="0" w:left="0"/>
        <w:rPr>
          <w:rStyle w:val="Strong"/>
          <w:b w:val="false"/>
          <w:bCs w:val="false"/>
        </w:rPr>
      </w:pPr>
      <w:r>
        <w:rPr>
          <w:b w:val="false"/>
          <w:bCs w:val="false"/>
        </w:rPr>
      </w:r>
    </w:p>
    <w:p>
      <w:pPr>
        <w:pStyle w:val="Normal"/>
        <w:widowControl/>
        <w:spacing w:before="0" w:after="200"/>
        <w:jc w:val="both"/>
        <w:rPr>
          <w:b/>
          <w:bCs/>
        </w:rPr>
      </w:pPr>
      <w:r>
        <w:rPr>
          <w:b/>
          <w:bCs/>
        </w:rPr>
        <w:t>1.1.2 NTUA and Space Geodesy in Greece</w:t>
      </w:r>
    </w:p>
    <w:p>
      <w:pPr>
        <w:pStyle w:val="BodyText"/>
        <w:ind w:hanging="0" w:left="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BodyText"/>
        <w:ind w:hanging="0" w:left="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BodyText"/>
        <w:ind w:hanging="0" w:left="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BodyText"/>
        <w:ind w:hanging="0" w:left="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BodyText"/>
        <w:ind w:hanging="0" w:left="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BodyText"/>
        <w:ind w:hanging="0" w:left="0"/>
        <w:rPr/>
      </w:pPr>
      <w:r>
        <w:rPr/>
      </w:r>
    </w:p>
    <w:p>
      <w:pPr>
        <w:pStyle w:val="Normal"/>
        <w:widowControl/>
        <w:spacing w:before="0" w:after="200"/>
        <w:jc w:val="both"/>
        <w:rPr>
          <w:b/>
          <w:bCs/>
        </w:rPr>
      </w:pPr>
      <w:r>
        <w:rPr>
          <w:b/>
          <w:bCs/>
        </w:rPr>
        <w:t>1.1.3 ACRONYM Objectives</w:t>
      </w:r>
    </w:p>
    <w:p>
      <w:pPr>
        <w:pStyle w:val="BodyText"/>
        <w:ind w:hanging="0" w:left="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BodyText"/>
        <w:ind w:hanging="0" w:left="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BodyText"/>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BodyText"/>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BodyText"/>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BodyText"/>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BodyText"/>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BodyText"/>
        <w:numPr>
          <w:ilvl w:val="0"/>
          <w:numId w:val="0"/>
        </w:numPr>
        <w:ind w:hanging="0" w:left="72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18"/>
              </w:numPr>
              <w:rPr/>
            </w:pPr>
            <w:r>
              <w:rPr/>
              <w:t>Number of host institute staff trained</w:t>
            </w:r>
          </w:p>
          <w:p>
            <w:pPr>
              <w:pStyle w:val="BodyText"/>
              <w:numPr>
                <w:ilvl w:val="0"/>
                <w:numId w:val="18"/>
              </w:numPr>
              <w:rPr/>
            </w:pPr>
            <w:r>
              <w:rPr/>
              <w:t>Number of host institute staff involved in software development</w:t>
            </w:r>
          </w:p>
          <w:p>
            <w:pPr>
              <w:pStyle w:val="BodyText"/>
              <w:numPr>
                <w:ilvl w:val="0"/>
                <w:numId w:val="18"/>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18"/>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BodyText"/>
              <w:numPr>
                <w:ilvl w:val="0"/>
                <w:numId w:val="18"/>
              </w:numPr>
              <w:rPr/>
            </w:pPr>
            <w:r>
              <w:rPr/>
              <w:t>analysis of DORIS observations</w:t>
            </w:r>
          </w:p>
          <w:p>
            <w:pPr>
              <w:pStyle w:val="BodyText"/>
              <w:numPr>
                <w:ilvl w:val="0"/>
                <w:numId w:val="18"/>
              </w:numPr>
              <w:rPr/>
            </w:pPr>
            <w:r>
              <w:rPr/>
              <w:t>analysis of SLR observations</w:t>
            </w:r>
          </w:p>
          <w:p>
            <w:pPr>
              <w:pStyle w:val="BodyText"/>
              <w:numPr>
                <w:ilvl w:val="0"/>
                <w:numId w:val="18"/>
              </w:numPr>
              <w:rPr/>
            </w:pPr>
            <w:r>
              <w:rPr/>
              <w:t>state-of-the-art handling of EOPs</w:t>
            </w:r>
          </w:p>
          <w:p>
            <w:pPr>
              <w:pStyle w:val="BodyText"/>
              <w:ind w:hanging="0" w:left="0"/>
              <w:rPr/>
            </w:pPr>
            <w:r>
              <w:rPr/>
            </w:r>
          </w:p>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BodyText"/>
              <w:numPr>
                <w:ilvl w:val="0"/>
                <w:numId w:val="18"/>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19"/>
              </w:numPr>
              <w:rPr/>
            </w:pPr>
            <w:r>
              <w:rPr/>
              <w:t>Number of applicants for PhD, PostDoc and (possible) tenure open positions. Expected to take place gradually after the start of ACRONYM.</w:t>
            </w:r>
          </w:p>
          <w:p>
            <w:pPr>
              <w:pStyle w:val="BodyText"/>
              <w:numPr>
                <w:ilvl w:val="0"/>
                <w:numId w:val="19"/>
              </w:numPr>
              <w:rPr/>
            </w:pPr>
            <w:r>
              <w:rPr/>
              <w:t>Number of funding bids submitted including PhD and PostDoc studies (carried out in host institute)</w:t>
            </w:r>
          </w:p>
          <w:p>
            <w:pPr>
              <w:pStyle w:val="BodyText"/>
              <w:numPr>
                <w:ilvl w:val="0"/>
                <w:numId w:val="19"/>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21"/>
              </w:numPr>
              <w:rPr/>
            </w:pPr>
            <w:r>
              <w:rPr/>
              <w:t>Number of conferences/workshops attended</w:t>
            </w:r>
          </w:p>
          <w:p>
            <w:pPr>
              <w:pStyle w:val="BodyText"/>
              <w:numPr>
                <w:ilvl w:val="0"/>
                <w:numId w:val="21"/>
              </w:numPr>
              <w:rPr/>
            </w:pPr>
            <w:r>
              <w:rPr/>
              <w:t>Number of scientific publications in high-impact journals</w:t>
            </w:r>
          </w:p>
          <w:p>
            <w:pPr>
              <w:pStyle w:val="BodyText"/>
              <w:numPr>
                <w:ilvl w:val="0"/>
                <w:numId w:val="21"/>
              </w:numPr>
              <w:rPr/>
            </w:pPr>
            <w:r>
              <w:rPr/>
              <w:t>Impact factor of scientific journals publishing results of ACRONYM</w:t>
            </w:r>
          </w:p>
          <w:p>
            <w:pPr>
              <w:pStyle w:val="BodyText"/>
              <w:numPr>
                <w:ilvl w:val="0"/>
                <w:numId w:val="21"/>
              </w:numPr>
              <w:rPr/>
            </w:pPr>
            <w:r>
              <w:rPr/>
              <w:t>Level of involvement in International Association of Geodesy (IAG) and GGOS</w:t>
            </w:r>
          </w:p>
          <w:p>
            <w:pPr>
              <w:pStyle w:val="BodyText"/>
              <w:numPr>
                <w:ilvl w:val="0"/>
                <w:numId w:val="21"/>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jc w:val="right"/>
              <w:rPr>
                <w:b/>
                <w:bCs/>
              </w:rPr>
            </w:pPr>
            <w:r>
              <w:rPr>
                <w:b/>
                <w:bCs/>
              </w:rPr>
              <w:t>I</w:t>
            </w:r>
            <w:r>
              <w:rPr>
                <w:b/>
                <w:bCs/>
              </w:rPr>
              <w:t>ncreased mobility (inwards and outwards) of qualified scientists</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21"/>
              </w:numPr>
              <w:rPr/>
            </w:pPr>
            <w:r>
              <w:rPr/>
              <w:t>Number of Coordinator staff visiting ACRONYM partnership</w:t>
            </w:r>
          </w:p>
          <w:p>
            <w:pPr>
              <w:pStyle w:val="BodyText"/>
              <w:numPr>
                <w:ilvl w:val="0"/>
                <w:numId w:val="21"/>
              </w:numPr>
              <w:rPr/>
            </w:pPr>
            <w:r>
              <w:rPr/>
              <w:t>Number of partner staff visiting NTUA</w:t>
            </w:r>
          </w:p>
          <w:p>
            <w:pPr>
              <w:pStyle w:val="BodyText"/>
              <w:numPr>
                <w:ilvl w:val="0"/>
                <w:numId w:val="21"/>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ind w:hanging="0" w:left="0"/>
              <w:jc w:val="right"/>
              <w:rPr>
                <w:rFonts w:ascii="Liberation Serif" w:hAnsi="Liberation Serif"/>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22"/>
              </w:numPr>
              <w:rPr/>
            </w:pPr>
            <w:r>
              <w:rPr/>
              <w:t>Number of host institute staff trained (included in research administration unit)</w:t>
            </w:r>
          </w:p>
          <w:p>
            <w:pPr>
              <w:pStyle w:val="BodyText"/>
              <w:numPr>
                <w:ilvl w:val="0"/>
                <w:numId w:val="22"/>
              </w:numPr>
              <w:rPr/>
            </w:pPr>
            <w:r>
              <w:rPr/>
              <w:t>Number of research proposals submitted (within the time span of ACRONYM)</w:t>
            </w:r>
          </w:p>
          <w:p>
            <w:pPr>
              <w:pStyle w:val="BodyText"/>
              <w:numPr>
                <w:ilvl w:val="0"/>
                <w:numId w:val="22"/>
              </w:numPr>
              <w:rPr/>
            </w:pPr>
            <w:r>
              <w:rPr/>
              <w:t>Diversity of funding pools targeted</w:t>
            </w:r>
          </w:p>
          <w:p>
            <w:pPr>
              <w:pStyle w:val="BodyText"/>
              <w:numPr>
                <w:ilvl w:val="0"/>
                <w:numId w:val="22"/>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BodyText"/>
              <w:ind w:hanging="0" w:left="0"/>
              <w:jc w:val="right"/>
              <w:rPr>
                <w:b/>
                <w:bCs/>
              </w:rPr>
            </w:pPr>
            <w:r>
              <w:rPr>
                <w:b/>
                <w:bCs/>
              </w:rPr>
              <w:t>Establish a national (Greek) ecosystem of space-based geosciences related stakeholders and promote R&amp;I</w:t>
            </w:r>
          </w:p>
        </w:tc>
      </w:tr>
      <w:tr>
        <w:trPr/>
        <w:tc>
          <w:tcPr>
            <w:tcW w:w="2470"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BodyText"/>
              <w:ind w:hanging="0" w:left="0"/>
              <w:rPr>
                <w:rFonts w:ascii="Liberation Serif" w:hAnsi="Liberation Serif"/>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BodyText"/>
              <w:numPr>
                <w:ilvl w:val="0"/>
                <w:numId w:val="20"/>
              </w:numPr>
              <w:rPr/>
            </w:pPr>
            <w:r>
              <w:rPr/>
              <w:t>Number of stakeholders present in info-days and seminars.</w:t>
            </w:r>
          </w:p>
          <w:p>
            <w:pPr>
              <w:pStyle w:val="BodyText"/>
              <w:numPr>
                <w:ilvl w:val="0"/>
                <w:numId w:val="20"/>
              </w:numPr>
              <w:rPr/>
            </w:pPr>
            <w:r>
              <w:rPr/>
              <w:t>Number of stakeholders included in research proposals submitted</w:t>
            </w:r>
          </w:p>
          <w:p>
            <w:pPr>
              <w:pStyle w:val="BodyText"/>
              <w:numPr>
                <w:ilvl w:val="0"/>
                <w:numId w:val="20"/>
              </w:numPr>
              <w:rPr/>
            </w:pPr>
            <w:r>
              <w:rPr/>
              <w:t>Number of stakeholders interested in and/or subscribed to the ACRONYM newsletter</w:t>
            </w:r>
          </w:p>
          <w:p>
            <w:pPr>
              <w:pStyle w:val="BodyText"/>
              <w:numPr>
                <w:ilvl w:val="0"/>
                <w:numId w:val="20"/>
              </w:numPr>
              <w:rPr>
                <w:highlight w:val="none"/>
                <w:shd w:fill="FFFF00" w:val="clear"/>
              </w:rPr>
            </w:pPr>
            <w:r>
              <w:rPr>
                <w:shd w:fill="FFFF00" w:val="clear"/>
              </w:rPr>
              <w:t>Number of stakeholders requesting/accessing online lectures and training videos (via ACRONYM’s website)</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BodyText"/>
        <w:ind w:hanging="0" w:left="0"/>
        <w:rPr>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BodyText"/>
        <w:ind w:hanging="0" w:left="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BodyText"/>
        <w:ind w:hanging="0" w:left="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BodyText"/>
        <w:ind w:hanging="0" w:left="0"/>
        <w:rPr/>
      </w:pPr>
      <w:r>
        <w:rPr>
          <w:b w:val="false"/>
          <w:bCs w:val="false"/>
        </w:rPr>
        <w:t>Dedicated dissemination and communication activities are also included, aiming at promoting activities and results of ACRONYM, maximizing its impact and exploiting its outomces</w:t>
      </w:r>
      <w:r>
        <w:rPr/>
        <w:t>.</w:t>
      </w:r>
    </w:p>
    <w:p>
      <w:pPr>
        <w:pStyle w:val="BodyText"/>
        <w:ind w:hanging="0" w:left="0"/>
        <w:rPr/>
      </w:pPr>
      <w:r>
        <w:rPr/>
      </w:r>
    </w:p>
    <w:p>
      <w:pPr>
        <w:pStyle w:val="Normal"/>
        <w:spacing w:before="0" w:after="200"/>
        <w:jc w:val="both"/>
        <w:rPr>
          <w:b/>
          <w:bCs/>
        </w:rPr>
      </w:pPr>
      <w:r>
        <w:rPr>
          <w:b/>
          <w:bCs/>
        </w:rPr>
        <w:t>1.2.2 Enhancing Research Capacity and Achieving Scientific Excellence</w:t>
      </w:r>
    </w:p>
    <w:p>
      <w:pPr>
        <w:pStyle w:val="BodyText"/>
        <w:ind w:hanging="0" w:left="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BodyText"/>
        <w:ind w:hanging="0" w:left="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BodyText"/>
        <w:ind w:hanging="0" w:left="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BodyText"/>
        <w:ind w:hanging="0" w:left="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BodyText"/>
        <w:ind w:hanging="0" w:left="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BodyText"/>
        <w:ind w:hanging="0" w:left="0"/>
        <w:rPr>
          <w:rFonts w:ascii="Nimbus Roman" w:hAnsi="Nimbus Roman"/>
          <w:b/>
          <w:bCs/>
          <w:u w:val="single"/>
        </w:rPr>
      </w:pPr>
      <w:r>
        <w:rPr>
          <w:b/>
          <w:bCs/>
          <w:u w:val="single"/>
        </w:rPr>
      </w:r>
    </w:p>
    <w:p>
      <w:pPr>
        <w:pStyle w:val="BodyText"/>
        <w:ind w:hanging="0" w:left="0"/>
        <w:rPr>
          <w:rFonts w:ascii="Nimbus Roman" w:hAnsi="Nimbus Roman"/>
          <w:b/>
          <w:bCs/>
          <w:u w:val="single"/>
        </w:rPr>
      </w:pPr>
      <w:r>
        <w:rPr>
          <w:b/>
          <w:bCs/>
          <w:u w:val="single"/>
        </w:rPr>
        <w:t>Expert Nodes</w:t>
      </w:r>
    </w:p>
    <w:p>
      <w:pPr>
        <w:pStyle w:val="BodyText"/>
        <w:ind w:hanging="0" w:left="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BodyText"/>
        <w:ind w:hanging="0" w:left="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BodyText"/>
        <w:ind w:hanging="0" w:left="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BodyText"/>
        <w:ind w:hanging="0" w:left="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BodyText"/>
        <w:ind w:hanging="0" w:left="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BodyText"/>
        <w:ind w:hanging="0" w:left="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BodyText"/>
        <w:ind w:hanging="0" w:left="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BodyText"/>
        <w:ind w:hanging="0" w:left="0"/>
        <w:rPr>
          <w:rFonts w:ascii="Nimbus Roman" w:hAnsi="Nimbus Roman"/>
        </w:rPr>
      </w:pPr>
      <w:r>
        <w:rPr/>
      </w:r>
    </w:p>
    <w:p>
      <w:pPr>
        <w:pStyle w:val="BodyText"/>
        <w:ind w:hanging="0" w:left="0"/>
        <w:rPr>
          <w:u w:val="single"/>
        </w:rPr>
      </w:pPr>
      <w:r>
        <w:rPr>
          <w:b/>
          <w:bCs/>
          <w:u w:val="single"/>
        </w:rPr>
        <w:t>Achieving Scientific Excellence Phase I</w:t>
      </w:r>
    </w:p>
    <w:p>
      <w:pPr>
        <w:pStyle w:val="BodyText"/>
        <w:ind w:hanging="0" w:left="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BodyText"/>
        <w:ind w:hanging="0" w:left="0"/>
        <w:rPr>
          <w:rFonts w:ascii="Nimbus Roman" w:hAnsi="Nimbus Roman"/>
        </w:rPr>
      </w:pPr>
      <w:r>
        <w:rPr/>
        <w:t>Knowledge transfer will be performed by means of:</w:t>
      </w:r>
    </w:p>
    <w:p>
      <w:pPr>
        <w:pStyle w:val="BodyText"/>
        <w:numPr>
          <w:ilvl w:val="0"/>
          <w:numId w:val="23"/>
        </w:numPr>
        <w:rPr/>
      </w:pPr>
      <w:r>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BodyText"/>
        <w:numPr>
          <w:ilvl w:val="0"/>
          <w:numId w:val="23"/>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BodyText"/>
        <w:numPr>
          <w:ilvl w:val="0"/>
          <w:numId w:val="23"/>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BodyText"/>
        <w:ind w:hanging="0" w:left="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BodyText"/>
        <w:ind w:hanging="0" w:left="0"/>
        <w:rPr>
          <w:rFonts w:ascii="Nimbus Roman" w:hAnsi="Nimbus Roman"/>
        </w:rPr>
      </w:pPr>
      <w:r>
        <w:rPr/>
      </w:r>
    </w:p>
    <w:p>
      <w:pPr>
        <w:pStyle w:val="BodyText"/>
        <w:ind w:hanging="0" w:left="0"/>
        <w:rPr>
          <w:u w:val="single"/>
        </w:rPr>
      </w:pPr>
      <w:r>
        <w:rPr>
          <w:b/>
          <w:bCs/>
          <w:u w:val="single"/>
        </w:rPr>
        <w:t>Achieving Scientific Excellence Phase II</w:t>
      </w:r>
    </w:p>
    <w:p>
      <w:pPr>
        <w:pStyle w:val="BodyText"/>
        <w:ind w:hanging="0" w:left="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BodyText"/>
        <w:ind w:hanging="0" w:left="0"/>
        <w:rPr>
          <w:rFonts w:ascii="Nimbus Roman" w:hAnsi="Nimbus Roman"/>
        </w:rPr>
      </w:pPr>
      <w:r>
        <w:rPr/>
        <w:t xml:space="preserve">Software development will adopt the work plan established in </w:t>
      </w:r>
      <w:r>
        <w:rPr>
          <w:shd w:fill="FFFF00" w:val="clear"/>
        </w:rPr>
        <w:t>Task 2.1</w:t>
      </w:r>
      <w:r>
        <w:rPr/>
        <w:t>, enabling step-by-step validation. Such a process will enable the efficient administration of the capacity building process,  monitoring progress through well established, timely milestones, goals and validation tests.</w:t>
      </w:r>
    </w:p>
    <w:p>
      <w:pPr>
        <w:pStyle w:val="BodyText"/>
        <w:ind w:hanging="0" w:left="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BodyText"/>
        <w:numPr>
          <w:ilvl w:val="0"/>
          <w:numId w:val="24"/>
        </w:numPr>
        <w:rPr/>
      </w:pPr>
      <w:r>
        <w:rPr/>
        <w:t xml:space="preserve">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 </w:t>
      </w:r>
    </w:p>
    <w:p>
      <w:pPr>
        <w:pStyle w:val="BodyText"/>
        <w:numPr>
          <w:ilvl w:val="0"/>
          <w:numId w:val="24"/>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BodyText"/>
        <w:numPr>
          <w:ilvl w:val="0"/>
          <w:numId w:val="24"/>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BodyText"/>
        <w:ind w:hanging="0" w:left="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BodyText"/>
        <w:ind w:hanging="0" w:left="0"/>
        <w:rPr>
          <w:rFonts w:ascii="Nimbus Roman" w:hAnsi="Nimbus Roman"/>
        </w:rPr>
      </w:pPr>
      <w:r>
        <w:rPr/>
      </w:r>
    </w:p>
    <w:p>
      <w:pPr>
        <w:pStyle w:val="BodyText"/>
        <w:ind w:hanging="0" w:left="0"/>
        <w:rPr>
          <w:rFonts w:ascii="Nimbus Roman" w:hAnsi="Nimbus Roman"/>
          <w:highlight w:val="none"/>
          <w:shd w:fill="FFFF00" w:val="clear"/>
        </w:rPr>
      </w:pPr>
      <w:r>
        <w:rPr>
          <w:shd w:fill="FFFF00" w:val="clear"/>
        </w:rPr>
        <w:t>DORIS day etc, where should I put these?</w:t>
      </w:r>
    </w:p>
    <w:p>
      <w:pPr>
        <w:pStyle w:val="BodyText"/>
        <w:ind w:hanging="0" w:left="0"/>
        <w:rPr/>
      </w:pPr>
      <w:r>
        <w:rPr>
          <w:shd w:fill="auto" w:val="clear"/>
        </w:rPr>
        <w:t>Coordinator’s staff, and especially young scientists involved, will seek to attend any virtual and/or on-site training events organized by IGS, IDS, ILRS, IVS and IAG (e.g. DORIS-days organized by IDS).</w:t>
      </w:r>
    </w:p>
    <w:p>
      <w:pPr>
        <w:pStyle w:val="BodyText"/>
        <w:ind w:hanging="0" w:left="0"/>
        <w:rPr>
          <w:rFonts w:ascii="Nimbus Roman" w:hAnsi="Nimbus Roman"/>
        </w:rPr>
      </w:pPr>
      <w:r>
        <w:rPr/>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BodyText"/>
        <w:ind w:hanging="0" w:left="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BodyText"/>
        <w:ind w:hanging="0" w:left="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BodyText"/>
        <w:numPr>
          <w:ilvl w:val="0"/>
          <w:numId w:val="25"/>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BodyText"/>
        <w:numPr>
          <w:ilvl w:val="0"/>
          <w:numId w:val="25"/>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BodyText"/>
        <w:numPr>
          <w:ilvl w:val="0"/>
          <w:numId w:val="25"/>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BodyText"/>
        <w:ind w:hanging="0" w:left="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BodyText"/>
        <w:ind w:hanging="0" w:left="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BodyText"/>
        <w:numPr>
          <w:ilvl w:val="0"/>
          <w:numId w:val="26"/>
        </w:numPr>
        <w:rPr/>
      </w:pPr>
      <w:r>
        <w:rPr>
          <w:rStyle w:val="Strong"/>
          <w:b w:val="false"/>
          <w:bCs w:val="false"/>
        </w:rPr>
        <w:t>two EU large scale research and innovation calls (e.g. HORIZON),</w:t>
      </w:r>
    </w:p>
    <w:p>
      <w:pPr>
        <w:pStyle w:val="BodyText"/>
        <w:numPr>
          <w:ilvl w:val="0"/>
          <w:numId w:val="26"/>
        </w:numPr>
        <w:rPr/>
      </w:pPr>
      <w:r>
        <w:rPr>
          <w:rStyle w:val="Strong"/>
          <w:b w:val="false"/>
          <w:bCs w:val="false"/>
        </w:rPr>
        <w:t>two research proposals targeting young scientists and mobility (e.g. EU MSCA calls)</w:t>
      </w:r>
    </w:p>
    <w:p>
      <w:pPr>
        <w:pStyle w:val="BodyText"/>
        <w:numPr>
          <w:ilvl w:val="0"/>
          <w:numId w:val="26"/>
        </w:numPr>
        <w:rPr/>
      </w:pPr>
      <w:r>
        <w:rPr/>
        <w:t>one funding bid targeting private/public collaboration, including at least one the ecosystem commercial (business) partner</w:t>
      </w:r>
    </w:p>
    <w:p>
      <w:pPr>
        <w:pStyle w:val="BodyText"/>
        <w:ind w:hanging="0" w:left="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BodyText"/>
        <w:ind w:hanging="0" w:left="0"/>
        <w:rPr>
          <w:rStyle w:val="Strong"/>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BodyText"/>
        <w:ind w:hanging="0" w:left="0"/>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BodyText"/>
        <w:ind w:hanging="0" w:left="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FFFF00" w:val="clear"/>
        </w:rPr>
        <w:t>XXX</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BodyText"/>
        <w:ind w:hanging="0" w:left="0"/>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w:t>
      </w:r>
    </w:p>
    <w:p>
      <w:pPr>
        <w:pStyle w:val="BodyText"/>
        <w:ind w:hanging="0" w:left="0"/>
        <w:rPr>
          <w:highlight w:val="none"/>
          <w:shd w:fill="FFFF00" w:val="clear"/>
        </w:rPr>
      </w:pPr>
      <w:r>
        <w:rPr>
          <w:shd w:fill="FFFF00" w:val="clear"/>
        </w:rPr>
        <w:t>Getting involved IDS ILRS IAG</w:t>
      </w:r>
    </w:p>
    <w:p>
      <w:pPr>
        <w:pStyle w:val="BodyText"/>
        <w:ind w:hanging="0" w:left="0"/>
        <w:rPr>
          <w:shd w:fill="auto" w:val="clear"/>
        </w:rPr>
      </w:pPr>
      <w:r>
        <w:rPr>
          <w:shd w:fill="auto" w:val="clear"/>
        </w:rPr>
      </w:r>
    </w:p>
    <w:p>
      <w:pPr>
        <w:pStyle w:val="Normal"/>
        <w:spacing w:before="0" w:after="200"/>
        <w:jc w:val="both"/>
        <w:rPr>
          <w:b/>
          <w:bCs/>
        </w:rPr>
      </w:pPr>
      <w:r>
        <w:rPr>
          <w:b/>
          <w:bCs/>
          <w:shd w:fill="auto" w:val="clear"/>
        </w:rPr>
        <w:t>1.2.5 Establishing a Greek ecosystem of Space-based geosciences and ties between market and academia</w:t>
      </w:r>
    </w:p>
    <w:p>
      <w:pPr>
        <w:pStyle w:val="BodyText"/>
        <w:ind w:hanging="0" w:left="0"/>
        <w:rPr/>
      </w:pPr>
      <w:r>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BodyText"/>
        <w:ind w:hanging="0" w:left="0"/>
        <w:rPr/>
      </w:pPr>
      <w:r>
        <w:rPr/>
        <w:t>The ecosystem call is expected to attract more than ten participants, including  possible industry partners active in:</w:t>
      </w:r>
    </w:p>
    <w:p>
      <w:pPr>
        <w:pStyle w:val="BodyText"/>
        <w:numPr>
          <w:ilvl w:val="0"/>
          <w:numId w:val="27"/>
        </w:numPr>
        <w:rPr/>
      </w:pPr>
      <w:r>
        <w:rPr>
          <w:lang w:val="en-GB"/>
        </w:rPr>
        <w:t>Space industry, space sciences, space awareness and  security, geosciences, Earth observation, tracking and navigation and related fields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xml:space="preserve">)), </w:t>
      </w:r>
    </w:p>
    <w:p>
      <w:pPr>
        <w:pStyle w:val="BodyText"/>
        <w:numPr>
          <w:ilvl w:val="0"/>
          <w:numId w:val="27"/>
        </w:numPr>
        <w:rPr/>
      </w:pPr>
      <w:r>
        <w:rPr>
          <w:lang w:val="en-GB"/>
        </w:rPr>
        <w:t>Governmental agencies and research institutions (e.g.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xml:space="preserve">)) </w:t>
      </w:r>
    </w:p>
    <w:p>
      <w:pPr>
        <w:pStyle w:val="BodyText"/>
        <w:numPr>
          <w:ilvl w:val="0"/>
          <w:numId w:val="27"/>
        </w:numPr>
        <w:rPr/>
      </w:pPr>
      <w:r>
        <w:rPr/>
        <w:t>Universities (e.g. Aristotle University of Thessaloniki, National and Kapodistrian University of Athens and the University of West Attica).</w:t>
      </w:r>
    </w:p>
    <w:p>
      <w:pPr>
        <w:pStyle w:val="BodyText"/>
        <w:ind w:hanging="0" w:left="0"/>
        <w:rPr>
          <w:highlight w:val="none"/>
          <w:shd w:fill="auto" w:val="clear"/>
        </w:rPr>
      </w:pPr>
      <w: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BodyText"/>
        <w:ind w:hanging="0" w:left="0"/>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BodyText"/>
        <w:ind w:hanging="0" w:left="0"/>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BodyText"/>
        <w:ind w:hanging="0" w:left="0"/>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BodyText"/>
        <w:ind w:hanging="0" w:left="0"/>
        <w:rPr>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BodyText"/>
        <w:ind w:hanging="0" w:left="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BodyText"/>
        <w:ind w:hanging="0" w:left="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BodyText"/>
        <w:ind w:hanging="0" w:left="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BodyText"/>
        <w:ind w:hanging="0" w:left="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BodyText"/>
        <w:ind w:hanging="0" w:left="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BodyText"/>
        <w:ind w:hanging="0" w:left="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w:t>
      </w:r>
      <w:r>
        <w:rPr>
          <w:b w:val="false"/>
          <w:bCs w:val="false"/>
          <w:shd w:fill="auto" w:val="clear"/>
        </w:rPr>
        <w:t xml:space="preserve">Section </w:t>
      </w:r>
      <w:r>
        <w:rPr>
          <w:b w:val="false"/>
          <w:bCs w:val="false"/>
          <w:shd w:fill="C9211E" w:val="clear"/>
        </w:rPr>
        <w:t>1.2.5</w:t>
      </w:r>
      <w:r>
        <w:rPr>
          <w:b w:val="false"/>
          <w:bCs w:val="false"/>
          <w:shd w:fill="auto" w:val="clear"/>
        </w:rPr>
        <w:t>) the Coordinator will gradually disperse knowledge and help raise expertise and involvement in Earth Observation on a national scale (actions described in Task</w:t>
      </w:r>
      <w:r>
        <w:rPr>
          <w:b w:val="false"/>
          <w:bCs w:val="false"/>
          <w:shd w:fill="auto" w:val="clear"/>
        </w:rPr>
        <w:t>s</w:t>
      </w:r>
      <w:r>
        <w:rPr>
          <w:b w:val="false"/>
          <w:bCs w:val="false"/>
          <w:shd w:fill="auto" w:val="clear"/>
        </w:rPr>
        <w:t xml:space="preserve"> </w:t>
      </w:r>
      <w:r>
        <w:rPr>
          <w:b w:val="false"/>
          <w:bCs w:val="false"/>
          <w:shd w:fill="C9211E" w:val="clear"/>
        </w:rPr>
        <w:t>5.3 to 5.5</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BodyText"/>
        <w:ind w:hanging="0" w:left="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BodyText"/>
        <w:ind w:hanging="0" w:left="0"/>
        <w:rPr/>
      </w:pPr>
      <w:r>
        <w:rPr/>
        <w:t>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 xml:space="preserve">Within the lifetime of ACRONYM a series of scientific publications will be issued, tackling open issues (i.e. modeling approaches) used in the fundamental Space Geodetic observation techniques. These include at least three publications in high-impact, peer-reviewed scientific journals and at least five publications in international conferences. It is expected that these publications will either create new knowledge (e.g. adopt/introduce new modeling and/or numerical techniques) or reinforce current approaches through robust validation, experimentation and assessment of their characteristics. </w:t>
      </w:r>
    </w:p>
    <w:p>
      <w:pPr>
        <w:pStyle w:val="Normal"/>
        <w:rPr/>
      </w:pPr>
      <w:r>
        <w:rPr/>
      </w:r>
    </w:p>
    <w:p>
      <w:pPr>
        <w:pStyle w:val="Normal"/>
        <w:jc w:val="both"/>
        <w:rPr>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rPr>
        <w:t>3.2</w:t>
      </w:r>
      <w:r>
        <w:rPr>
          <w:b w:val="false"/>
          <w:bCs w:val="false"/>
          <w:u w:val="none"/>
          <w:shd w:fill="C9211E" w:val="clear"/>
        </w:rPr>
        <w:t xml:space="preserve">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w:t>
      </w:r>
      <w:r>
        <w:rPr>
          <w:b w:val="false"/>
          <w:bCs w:val="false"/>
          <w:u w:val="none"/>
          <w:shd w:fill="auto" w:val="clear"/>
        </w:rPr>
        <w:t>s</w:t>
      </w:r>
      <w:r>
        <w:rPr>
          <w:b w:val="false"/>
          <w:bCs w:val="false"/>
          <w:u w:val="none"/>
          <w:shd w:fill="auto" w:val="clear"/>
        </w:rPr>
        <w:t xml:space="preserve"> and a series of visits (at least two visits from and to the partners) are expected to solidify networking. Additionally, a number of tasks focuses on networking, including (a) co-supervision of PhD and PostDoc students, (b) submission of further (at least </w:t>
      </w:r>
      <w:r>
        <w:rPr>
          <w:b w:val="false"/>
          <w:bCs w:val="false"/>
          <w:u w:val="none"/>
          <w:shd w:fill="auto" w:val="clear"/>
        </w:rPr>
        <w:t>five</w:t>
      </w:r>
      <w:r>
        <w:rPr>
          <w:b w:val="false"/>
          <w:bCs w:val="false"/>
          <w:u w:val="none"/>
          <w:shd w:fill="auto" w:val="clear"/>
        </w:rPr>
        <w:t>) research proposals including all or a subset of ACRONYM’s consortium, (c) co-authorship of (at least three) research scientific papers and (d) attendance as a group to (at least five)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14"/>
        </w:numPr>
        <w:jc w:val="both"/>
        <w:rPr>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14"/>
        </w:numPr>
        <w:jc w:val="both"/>
        <w:rPr>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4.2</w:t>
      </w:r>
      <w:r>
        <w:rPr>
          <w:b w:val="false"/>
          <w:bCs w:val="false"/>
          <w:u w:val="none"/>
          <w:shd w:fill="auto" w:val="clear"/>
        </w:rPr>
        <w:t xml:space="preserve">), (c) diversification of funding pools and schema (see Task </w:t>
      </w:r>
      <w:r>
        <w:rPr>
          <w:b w:val="false"/>
          <w:bCs w:val="false"/>
          <w:u w:val="none"/>
          <w:shd w:fill="C9211E" w:val="clear"/>
        </w:rPr>
        <w:t>4.3</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Cs/>
          <w:u w:val="single"/>
        </w:rPr>
      </w:pPr>
      <w:r>
        <w:rPr>
          <w:b/>
          <w:bCs/>
          <w:u w:val="single"/>
        </w:rPr>
        <w:t>Strengthened research management capacities and administrative skills of the staff working in institutions from the Widening country.</w:t>
      </w:r>
    </w:p>
    <w:p>
      <w:pPr>
        <w:pStyle w:val="Normal"/>
        <w:jc w:val="both"/>
        <w:rPr>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Cs/>
          <w:u w:val="single"/>
        </w:rPr>
      </w:pPr>
      <w:r>
        <w:rPr>
          <w:b/>
          <w:bCs/>
          <w:u w:val="single"/>
        </w:rPr>
        <w:t>A Greek ecosystem of Space-based geosciences stakeholders.</w:t>
      </w:r>
    </w:p>
    <w:p>
      <w:pPr>
        <w:pStyle w:val="BodyText"/>
        <w:ind w:hanging="0" w:left="0"/>
        <w:rPr>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BodyText"/>
        <w:ind w:hanging="0" w:left="0"/>
        <w:rPr>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BodyText"/>
        <w:ind w:hanging="0" w:left="0"/>
        <w:rPr>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Cs/>
          <w:u w:val="single"/>
        </w:rPr>
      </w:pPr>
      <w:r>
        <w:rPr>
          <w:b/>
          <w:bCs/>
          <w:u w:val="single"/>
        </w:rPr>
        <w:t>A Space Geodesy science, technology and academic hub.</w:t>
      </w:r>
    </w:p>
    <w:p>
      <w:pPr>
        <w:pStyle w:val="Normal"/>
        <w:spacing w:before="0" w:after="200"/>
        <w:jc w:val="both"/>
        <w:rPr>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BodyText"/>
        <w:ind w:hanging="0" w:left="0"/>
        <w:rPr>
          <w:b w:val="false"/>
          <w:bCs w:val="false"/>
        </w:rPr>
      </w:pPr>
      <w:r>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BodyText"/>
        <w:ind w:hanging="0" w:left="0"/>
        <w:rPr>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BodyText"/>
        <w:ind w:hanging="0" w:left="0"/>
        <w:rPr>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BodyText"/>
        <w:ind w:hanging="0" w:left="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BodyText"/>
        <w:rPr>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Normal"/>
        <w:numPr>
          <w:ilvl w:val="0"/>
          <w:numId w:val="15"/>
        </w:numPr>
        <w:spacing w:before="0" w:after="200"/>
        <w:jc w:val="both"/>
        <w:rPr>
          <w:highlight w:val="none"/>
          <w:shd w:fill="FFFF00" w:val="clear"/>
        </w:rPr>
      </w:pPr>
      <w:r>
        <w:rPr>
          <w:shd w:fill="FFFF00" w:val="clear"/>
        </w:rPr>
        <w:t xml:space="preserve">Increased contribution of the Coordinator and Greek institutions in Space-based geosciences. </w:t>
      </w:r>
    </w:p>
    <w:p>
      <w:pPr>
        <w:pStyle w:val="Normal"/>
        <w:numPr>
          <w:ilvl w:val="0"/>
          <w:numId w:val="15"/>
        </w:numPr>
        <w:spacing w:before="0" w:after="200"/>
        <w:jc w:val="both"/>
        <w:rPr>
          <w:highlight w:val="none"/>
          <w:shd w:fill="FFFF00" w:val="clear"/>
        </w:rPr>
      </w:pPr>
      <w:r>
        <w:rPr>
          <w:shd w:fill="FFFF00" w:val="clear"/>
        </w:rPr>
        <w:t>support an enhance space geodesy analysis quality and products</w:t>
      </w:r>
    </w:p>
    <w:p>
      <w:pPr>
        <w:pStyle w:val="Normal"/>
        <w:numPr>
          <w:ilvl w:val="0"/>
          <w:numId w:val="15"/>
        </w:numPr>
        <w:spacing w:before="0" w:after="200"/>
        <w:jc w:val="both"/>
        <w:rPr>
          <w:highlight w:val="none"/>
          <w:shd w:fill="FFFF00" w:val="clear"/>
        </w:rPr>
      </w:pPr>
      <w:r>
        <w:rPr>
          <w:shd w:fill="FFFF00" w:val="clear"/>
        </w:rPr>
        <w:t>provide tools to potential new scientific users</w:t>
      </w:r>
    </w:p>
    <w:p>
      <w:pPr>
        <w:pStyle w:val="Normal"/>
        <w:numPr>
          <w:ilvl w:val="0"/>
          <w:numId w:val="15"/>
        </w:numPr>
        <w:spacing w:before="0" w:after="200"/>
        <w:jc w:val="both"/>
        <w:rPr>
          <w:highlight w:val="none"/>
          <w:shd w:fill="FFFF00" w:val="clear"/>
        </w:rPr>
      </w:pPr>
      <w:r>
        <w:rPr>
          <w:shd w:fill="FFFF00" w:val="clear"/>
        </w:rPr>
        <w:t>increase mobility (inwards/outwards) of skilled scientists</w:t>
      </w:r>
    </w:p>
    <w:p>
      <w:pPr>
        <w:pStyle w:val="Normal"/>
        <w:numPr>
          <w:ilvl w:val="0"/>
          <w:numId w:val="15"/>
        </w:numPr>
        <w:spacing w:before="0" w:after="200"/>
        <w:jc w:val="both"/>
        <w:rPr>
          <w:highlight w:val="none"/>
          <w:shd w:fill="FFFF00" w:val="clear"/>
        </w:rPr>
      </w:pPr>
      <w:r>
        <w:rPr>
          <w:shd w:fill="FFFF00" w:val="clear"/>
        </w:rPr>
        <w:t>coordinate Greece’s contribution in Space-based geosciences</w:t>
      </w:r>
    </w:p>
    <w:p>
      <w:pPr>
        <w:pStyle w:val="Normal"/>
        <w:numPr>
          <w:ilvl w:val="0"/>
          <w:numId w:val="15"/>
        </w:numPr>
        <w:spacing w:before="0" w:after="200"/>
        <w:jc w:val="both"/>
        <w:rPr>
          <w:highlight w:val="none"/>
          <w:shd w:fill="FFFF00" w:val="clear"/>
        </w:rPr>
      </w:pPr>
      <w:r>
        <w:rPr>
          <w:shd w:fill="FFFF00" w:val="clear"/>
        </w:rPr>
        <w:t>new knowledge via 3 PhD and 3 PostDoc thesis</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BodyText"/>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funding income and scope. NTUA will have at its disposal the skills to target a significantly wider range of funding bids and apply for bids with a severely boosted success rate. Networking actions are also expected to </w:t>
      </w:r>
      <w:r>
        <w:rPr>
          <w:rFonts w:ascii="Times New Roman" w:hAnsi="Times New Roman"/>
          <w:b w:val="false"/>
          <w:bCs w:val="false"/>
          <w:shd w:fill="auto" w:val="clear"/>
          <w:lang w:val="en-GB"/>
        </w:rPr>
        <w:t xml:space="preserve">stimulate preparation of joint research projects. Given the fact that limited research funding is a major drawback for all Greek institutions, the expected impact is of paramount importance. </w:t>
      </w:r>
    </w:p>
    <w:p>
      <w:pPr>
        <w:pStyle w:val="BodyText"/>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BodyText"/>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 </w:t>
      </w:r>
      <w:r>
        <w:rPr>
          <w:rFonts w:ascii="Nimbus Roman No9 L" w:hAnsi="Nimbus Roman No9 L"/>
          <w:b w:val="false"/>
          <w:bCs w:val="false"/>
          <w:shd w:fill="FFFF00" w:val="clear"/>
          <w:lang w:val="en-GB"/>
        </w:rPr>
        <w:t xml:space="preserve">Transition from an academic oriented career to a relevant business industry related one and vice versa will be more </w:t>
      </w:r>
      <w:r>
        <w:rPr>
          <w:rFonts w:ascii="Nimbus Roman No9 L" w:hAnsi="Nimbus Roman No9 L"/>
          <w:shd w:fill="FFFF00" w:val="clear"/>
        </w:rPr>
        <w:t>easily pursued, thus, providing alternative choices to the Greek researchers for their career paths. Stronger linkages between academia and business and improved career permeability.</w:t>
      </w:r>
    </w:p>
    <w:p>
      <w:pPr>
        <w:pStyle w:val="BodyText"/>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BodyText"/>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BodyText"/>
        <w:rPr>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 xml:space="preserve">Coordinator institute and its personnel, Greek ecosystem of space and earth observation actors, Greek space industry and , young scientists and engineers, worldwide commercial users of space geodetic data, </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boost its success rate in research funding bids</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stimulate preparation of joint research projects</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strengthen ties and synergies between research and commercial users</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enhanced recruitment opportunities/capacity</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support independence of  Greece’s space research</w:t>
      </w:r>
    </w:p>
    <w:p>
      <w:pPr>
        <w:pStyle w:val="Normal"/>
        <w:numPr>
          <w:ilvl w:val="0"/>
          <w:numId w:val="17"/>
        </w:numPr>
        <w:spacing w:before="0" w:after="200"/>
        <w:jc w:val="both"/>
        <w:rPr>
          <w:highlight w:val="none"/>
          <w:shd w:fill="FFFF00" w:val="clear"/>
        </w:rPr>
      </w:pPr>
      <w:r>
        <w:rPr>
          <w:rFonts w:ascii="Times New Roman" w:hAnsi="Times New Roman"/>
          <w:b w:val="false"/>
          <w:bCs w:val="false"/>
          <w:shd w:fill="FFFF00" w:val="clear"/>
          <w:lang w:val="en-GB"/>
        </w:rPr>
        <w:t>increase Greece’s share in research funding pools</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spacing w:before="0" w:after="200"/>
        <w:jc w:val="both"/>
        <w:rPr>
          <w:highlight w:val="none"/>
          <w:shd w:fill="auto" w:val="clear"/>
        </w:rPr>
      </w:pPr>
      <w:r>
        <w:rPr>
          <w:shd w:fill="auto" w:val="clear"/>
        </w:rPr>
      </w:r>
    </w:p>
    <w:p>
      <w:pPr>
        <w:pStyle w:val="Normal"/>
        <w:numPr>
          <w:ilvl w:val="0"/>
          <w:numId w:val="16"/>
        </w:numPr>
        <w:spacing w:before="0" w:after="200"/>
        <w:jc w:val="both"/>
        <w:rPr>
          <w:highlight w:val="none"/>
          <w:shd w:fill="FFFF00" w:val="clear"/>
        </w:rPr>
      </w:pPr>
      <w:r>
        <w:rPr>
          <w:shd w:fill="FFFF00" w:val="clear"/>
        </w:rPr>
        <w:t>Enhancement of NTUA’s academic capacity</w:t>
      </w:r>
    </w:p>
    <w:p>
      <w:pPr>
        <w:pStyle w:val="Normal"/>
        <w:numPr>
          <w:ilvl w:val="0"/>
          <w:numId w:val="16"/>
        </w:numPr>
        <w:spacing w:before="0" w:after="200"/>
        <w:jc w:val="both"/>
        <w:rPr>
          <w:highlight w:val="none"/>
          <w:shd w:fill="FFFF00" w:val="clear"/>
        </w:rPr>
      </w:pPr>
      <w:r>
        <w:rPr>
          <w:shd w:fill="FFFF00" w:val="clear"/>
        </w:rPr>
        <w:t>quenching of the crowding-out effect experienced in the European Research Area</w:t>
      </w:r>
    </w:p>
    <w:p>
      <w:pPr>
        <w:pStyle w:val="Normal"/>
        <w:numPr>
          <w:ilvl w:val="0"/>
          <w:numId w:val="16"/>
        </w:numPr>
        <w:spacing w:before="0" w:after="200"/>
        <w:jc w:val="both"/>
        <w:rPr>
          <w:highlight w:val="none"/>
          <w:shd w:fill="FFFF00" w:val="clear"/>
        </w:rPr>
      </w:pPr>
      <w:r>
        <w:rPr>
          <w:shd w:fill="FFFF00" w:val="clear"/>
        </w:rPr>
        <w:t>support climate studies and related fields</w:t>
      </w:r>
    </w:p>
    <w:p>
      <w:pPr>
        <w:pStyle w:val="Normal"/>
        <w:numPr>
          <w:ilvl w:val="0"/>
          <w:numId w:val="16"/>
        </w:numPr>
        <w:spacing w:before="0" w:after="200"/>
        <w:jc w:val="both"/>
        <w:rPr>
          <w:highlight w:val="none"/>
          <w:shd w:fill="FFFF00" w:val="clear"/>
        </w:rPr>
      </w:pPr>
      <w:r>
        <w:rPr>
          <w:shd w:fill="FFFF00" w:val="clear"/>
        </w:rPr>
        <w:t>leadership and involvement in internation prestigius consortia</w:t>
      </w:r>
    </w:p>
    <w:p>
      <w:pPr>
        <w:pStyle w:val="BodyText"/>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BodyText"/>
        <w:rPr/>
      </w:pPr>
      <w:r>
        <w:rPr/>
      </w:r>
    </w:p>
    <w:p>
      <w:pPr>
        <w:pStyle w:val="BodyText"/>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BodyText"/>
        <w:rPr/>
      </w:pPr>
      <w:r>
        <w:rPr/>
      </w:r>
    </w:p>
    <w:p>
      <w:pPr>
        <w:pStyle w:val="BodyText"/>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BodyText"/>
        <w:rPr/>
      </w:pPr>
      <w:r>
        <w:rPr/>
      </w:r>
    </w:p>
    <w:p>
      <w:pPr>
        <w:pStyle w:val="BodyText"/>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BodyText"/>
        <w:rPr/>
      </w:pPr>
      <w:r>
        <w:rPr/>
      </w:r>
    </w:p>
    <w:p>
      <w:pPr>
        <w:pStyle w:val="BodyText"/>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BodyText"/>
        <w:rPr/>
      </w:pPr>
      <w:r>
        <w:rPr/>
      </w:r>
    </w:p>
    <w:p>
      <w:pPr>
        <w:pStyle w:val="BodyText"/>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BodyText"/>
        <w:rPr/>
      </w:pPr>
      <w:r>
        <w:rPr/>
      </w:r>
    </w:p>
    <w:p>
      <w:pPr>
        <w:pStyle w:val="BodyText"/>
        <w:rPr/>
      </w:pPr>
      <w:r>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jc w:val="both"/>
        <w:rPr>
          <w:rFonts w:ascii="Times New Roman" w:hAnsi="Times New Roman"/>
          <w:lang w:val="en-GB"/>
        </w:rPr>
      </w:pPr>
      <w:r>
        <w:rPr>
          <w:rFonts w:ascii="Times New Roman" w:hAnsi="Times New Roman"/>
          <w:lang w:val="en-GB"/>
        </w:rPr>
      </w:r>
    </w:p>
    <w:p>
      <w:pPr>
        <w:pStyle w:val="Normal"/>
        <w:widowControl w:val="false"/>
        <w:spacing w:before="60" w:after="60"/>
        <w:jc w:val="both"/>
        <w:rPr>
          <w:lang w:val="en-GB"/>
        </w:rPr>
      </w:pPr>
      <w:r>
        <w:rPr>
          <w:rFonts w:ascii="Times New Roman" w:hAnsi="Times New Roman"/>
          <w:b/>
          <w:shd w:fill="auto" w:val="clear"/>
          <w:lang w:val="en-GB"/>
        </w:rPr>
        <w:t>Introduction to Space Geodetic International Services</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jc w:val="both"/>
        <w:rPr/>
      </w:pPr>
      <w:r>
        <w:rPr/>
        <w:t>ACRONYM foresees to promote the project itself and the obtained results by carrying out different types of activities, tailored to multiple and diverse targeted audiences.</w:t>
      </w:r>
    </w:p>
    <w:p>
      <w:pPr>
        <w:pStyle w:val="Normal"/>
        <w:jc w:val="both"/>
        <w:rPr/>
      </w:pPr>
      <w:r>
        <w:rPr/>
      </w:r>
    </w:p>
    <w:p>
      <w:pPr>
        <w:pStyle w:val="Normal"/>
        <w:jc w:val="both"/>
        <w:rPr/>
      </w:pPr>
      <w:r>
        <w:rPr/>
        <w:t>As a first step, ACRONYM will develop its logo, establishing its visual identity and promoting recognizability; ACRONYM’s logo will be used in all project-related documents and presentations.</w:t>
      </w:r>
    </w:p>
    <w:p>
      <w:pPr>
        <w:pStyle w:val="Normal"/>
        <w:jc w:val="both"/>
        <w:rPr/>
      </w:pPr>
      <w:r>
        <w:rPr/>
      </w:r>
    </w:p>
    <w:p>
      <w:pPr>
        <w:pStyle w:val="Normal"/>
        <w:jc w:val="both"/>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dedicated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w:t>
      </w:r>
    </w:p>
    <w:p>
      <w:pPr>
        <w:pStyle w:val="Normal"/>
        <w:jc w:val="both"/>
        <w:rPr>
          <w:u w:val="none"/>
        </w:rPr>
      </w:pPr>
      <w:r>
        <w:rPr>
          <w:u w:val="none"/>
        </w:rPr>
      </w:r>
    </w:p>
    <w:p>
      <w:pPr>
        <w:pStyle w:val="Normal"/>
        <w:jc w:val="both"/>
        <w:rPr/>
      </w:pPr>
      <w:r>
        <w:rPr>
          <w:u w:val="none"/>
        </w:rPr>
        <w:t xml:space="preserve">Except from ACRONYM’s website, each of the software tools to be built in the project (Section </w:t>
      </w:r>
      <w:r>
        <w:rPr>
          <w:u w:val="none"/>
          <w:shd w:fill="FFFF00" w:val="clear"/>
        </w:rPr>
        <w:t>XX</w:t>
      </w:r>
      <w:r>
        <w:rPr>
          <w:u w:val="none"/>
        </w:rPr>
        <w:t>) will have a dedicated webpage, including the source code, example usage, help, manual, information and wiki pages. It is expected that this setup can greatly boost the user base, helping in incorporating scientists, researchers and commercial users not highly skilled in programming and/or high-level IT administration skills.</w:t>
      </w:r>
    </w:p>
    <w:p>
      <w:pPr>
        <w:pStyle w:val="Normal"/>
        <w:jc w:val="both"/>
        <w:rPr/>
      </w:pPr>
      <w:r>
        <w:rPr/>
      </w:r>
    </w:p>
    <w:p>
      <w:pPr>
        <w:pStyle w:val="Normal"/>
        <w:jc w:val="both"/>
        <w:rPr/>
      </w:pPr>
      <w:r>
        <w:rPr/>
        <w:t xml:space="preserve">ACRONYM will adopt a free and open-source policy for all of its software products (MIT license).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Normal"/>
        <w:jc w:val="both"/>
        <w:rPr>
          <w:u w:val="none"/>
        </w:rPr>
      </w:pPr>
      <w:r>
        <w:rPr>
          <w:u w:val="none"/>
        </w:rPr>
      </w:r>
    </w:p>
    <w:p>
      <w:pPr>
        <w:pStyle w:val="Normal"/>
        <w:jc w:val="both"/>
        <w:rPr/>
      </w:pPr>
      <w:r>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targeting young talented scientists (e.g. postgraduates) not yet fully networked into scientific media platforms.</w:t>
      </w:r>
    </w:p>
    <w:p>
      <w:pPr>
        <w:pStyle w:val="Normal"/>
        <w:jc w:val="both"/>
        <w:rPr/>
      </w:pPr>
      <w:r>
        <w:rPr/>
      </w:r>
    </w:p>
    <w:p>
      <w:pPr>
        <w:pStyle w:val="Normal"/>
        <w:jc w:val="both"/>
        <w:rPr/>
      </w:pPr>
      <w: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Normal"/>
        <w:jc w:val="both"/>
        <w:rPr/>
      </w:pPr>
      <w:r>
        <w:rPr/>
      </w:r>
    </w:p>
    <w:p>
      <w:pPr>
        <w:pStyle w:val="Normal"/>
        <w:widowControl w:val="false"/>
        <w:spacing w:before="60" w:after="60"/>
        <w:jc w:val="both"/>
        <w:rPr/>
      </w:pPr>
      <w:r>
        <w:rPr>
          <w:shd w:fill="auto" w:val="clear"/>
          <w:lang w:val="en-GB"/>
        </w:rPr>
        <w:t>A dissemination activity of major importance will be the organization of a three-day Summer School that will take place in Greece, for the endorsement of ACRONYM, dissemination of its scientific output a</w:t>
      </w:r>
      <w:r>
        <w:rPr>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lang w:val="en-GB"/>
        </w:rPr>
        <w:t>The school will target the Greek scientific and research community, commercial users/busineses, industry and the ecosystem of stakeholders that are involved in Space studies and Geosciences.</w:t>
      </w:r>
    </w:p>
    <w:p>
      <w:pPr>
        <w:pStyle w:val="Normal"/>
        <w:jc w:val="both"/>
        <w:rPr/>
      </w:pPr>
      <w:r>
        <w:rPr/>
      </w:r>
    </w:p>
    <w:p>
      <w:pPr>
        <w:pStyle w:val="Normal"/>
        <w:jc w:val="both"/>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w:t>
      </w:r>
      <w:r>
        <w:rPr>
          <w:shd w:fill="FFFF00" w:val="clear"/>
        </w:rPr>
        <w:t>XX</w:t>
      </w:r>
      <w:r>
        <w:rPr/>
        <w:t xml:space="preserve">)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Normal"/>
        <w:jc w:val="both"/>
        <w:rPr>
          <w:highlight w:val="none"/>
          <w:shd w:fill="FFFF00" w:val="clear"/>
        </w:rPr>
      </w:pPr>
      <w:r>
        <w:rPr>
          <w:shd w:fill="FFFF00" w:val="clear"/>
        </w:rPr>
      </w:r>
    </w:p>
    <w:p>
      <w:pPr>
        <w:pStyle w:val="Normal"/>
        <w:jc w:val="both"/>
        <w:rPr/>
      </w:pPr>
      <w:r>
        <w:rPr/>
        <w:t xml:space="preserve">One dedicated conference and one info-day will be organized and take place in Greece, to enhance networking, and promote both ACRONYM results and most importantly the impact of the project (see also Section </w:t>
      </w:r>
      <w:r>
        <w:rPr>
          <w:shd w:fill="FFFF00" w:val="clear"/>
        </w:rPr>
        <w:t>XX</w:t>
      </w:r>
      <w:r>
        <w:rPr/>
        <w:t>). A Newsletter will be issued and distributed (every six months) to the stakeholders to further raise interest and inform ecosystem members of relevant tasks, events, new challenges, issues and trending new in Space Geodesy and related applications.</w:t>
      </w:r>
    </w:p>
    <w:p>
      <w:pPr>
        <w:pStyle w:val="Normal"/>
        <w:jc w:val="both"/>
        <w:rPr/>
      </w:pPr>
      <w:r>
        <w:rPr/>
      </w:r>
    </w:p>
    <w:p>
      <w:pPr>
        <w:pStyle w:val="Normal"/>
        <w:jc w:val="both"/>
        <w:rPr/>
      </w:pPr>
      <w:r>
        <w:rPr/>
        <w:t xml:space="preserve">The partner will also issue a series of questionnaires, targeting both research institutions and business members of the ecosystem (see Section </w:t>
      </w:r>
      <w:r>
        <w:rPr>
          <w:shd w:fill="FFFF00" w:val="clear"/>
        </w:rPr>
        <w:t>XX</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Normal"/>
        <w:jc w:val="both"/>
        <w:rPr/>
      </w:pPr>
      <w:r>
        <w:rPr/>
      </w:r>
    </w:p>
    <w:p>
      <w:pPr>
        <w:pStyle w:val="Normal"/>
        <w:jc w:val="both"/>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Normal"/>
        <w:jc w:val="both"/>
        <w:rPr>
          <w:highlight w:val="none"/>
          <w:shd w:fill="auto" w:val="clear"/>
        </w:rPr>
      </w:pPr>
      <w:r>
        <w:rPr>
          <w:shd w:fill="auto" w:val="clear"/>
        </w:rPr>
      </w:r>
    </w:p>
    <w:p>
      <w:pPr>
        <w:pStyle w:val="Normal"/>
        <w:jc w:val="both"/>
        <w:rPr/>
      </w:pPr>
      <w:r>
        <w:rPr/>
        <w:t>As already noted, a series of scientific publications will also help disseminate ACRONYM results. These will include at least three scientific publications in peer-reviewed journals, attendance of at least five international conferences, submission of three PhD theses and three PostDoc theses. All of the above, will be published adopting a strict open-access policy.</w:t>
      </w:r>
    </w:p>
    <w:p>
      <w:pPr>
        <w:pStyle w:val="Normal"/>
        <w:jc w:val="both"/>
        <w:rPr/>
      </w:pPr>
      <w:r>
        <w:rPr/>
      </w:r>
    </w:p>
    <w:p>
      <w:pPr>
        <w:sectPr>
          <w:headerReference w:type="even" r:id="rId18"/>
          <w:headerReference w:type="default" r:id="rId19"/>
          <w:headerReference w:type="first" r:id="rId20"/>
          <w:footerReference w:type="default" r:id="rId21"/>
          <w:footerReference w:type="first" r:id="rId22"/>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Strengthening research management, administration and funding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WP5</w:t>
            </w:r>
          </w:p>
        </w:tc>
        <w:tc>
          <w:tcPr>
            <w:tcW w:w="1415" w:type="dxa"/>
            <w:tcBorders>
              <w:left w:val="single" w:sz="2" w:space="0" w:color="000000"/>
              <w:bottom w:val="single" w:sz="2" w:space="0" w:color="000000"/>
              <w:right w:val="single" w:sz="2" w:space="0" w:color="000000"/>
            </w:tcBorders>
          </w:tcPr>
          <w:p>
            <w:pPr>
              <w:pStyle w:val="Normal"/>
              <w:widowControl w:val="false"/>
              <w:rPr>
                <w:lang w:val="en-GB"/>
              </w:rPr>
            </w:pPr>
            <w:r>
              <w:rPr/>
              <w:t>Networking and Ecosystem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WP6</w:t>
            </w:r>
          </w:p>
        </w:tc>
        <w:tc>
          <w:tcPr>
            <w:tcW w:w="1415"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t>Dissemination, Exploitation and Communication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transfer knowledge from expert nodes to the Coordinator, building foundations for scientific excellence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Cs/>
              </w:rPr>
            </w:pPr>
            <w:r>
              <w:rPr>
                <w:b/>
                <w:bCs/>
              </w:rPr>
              <w:t>Task 2.4 Assessment of currently available software tools (M6-12); Lead GFZ</w:t>
            </w:r>
          </w:p>
          <w:p>
            <w:pPr>
              <w:pStyle w:val="Normal"/>
              <w:widowControl w:val="false"/>
              <w:spacing w:before="60" w:after="60"/>
              <w:jc w:val="both"/>
              <w:rPr>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12"/>
              </w:numPr>
              <w:jc w:val="both"/>
              <w:rPr/>
            </w:pPr>
            <w:r>
              <w:rPr/>
              <w:t>two EU large scale research and innovation calls (e.g. HORIZON), and</w:t>
            </w:r>
          </w:p>
          <w:p>
            <w:pPr>
              <w:pStyle w:val="Normal"/>
              <w:widowControl w:val="false"/>
              <w:numPr>
                <w:ilvl w:val="0"/>
                <w:numId w:val="12"/>
              </w:numPr>
              <w:jc w:val="both"/>
              <w:rPr/>
            </w:pPr>
            <w:r>
              <w:rPr>
                <w:shd w:fill="auto" w:val="clear"/>
              </w:rPr>
              <w:t>two research proposals targeting young scientists and/or mobility (e.g. EU MSCA calls)</w:t>
            </w:r>
          </w:p>
          <w:p>
            <w:pPr>
              <w:pStyle w:val="Normal"/>
              <w:widowControl w:val="false"/>
              <w:numPr>
                <w:ilvl w:val="0"/>
                <w:numId w:val="12"/>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lang w:val="en-GB"/>
              </w:rPr>
            </w:pPr>
            <w:r>
              <w:rPr>
                <w:b/>
                <w:bCs/>
                <w:lang w:val="en-GB"/>
              </w:rPr>
              <w:t>Task 5.1 Agreement on PhD and PostDoc co-supervision (M1-M6); Lead NTUA</w:t>
            </w:r>
          </w:p>
          <w:p>
            <w:pPr>
              <w:pStyle w:val="Normal"/>
              <w:widowControl w:val="false"/>
              <w:spacing w:before="60" w:after="60"/>
              <w:jc w:val="both"/>
              <w:rPr>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5.2 Introduction to Space Geodetic International Services and International Geodetic Consortia</w:t>
            </w:r>
          </w:p>
          <w:p>
            <w:pPr>
              <w:pStyle w:val="Normal"/>
              <w:widowControl w:val="false"/>
              <w:jc w:val="both"/>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5.3 Establishing a Greek Ecosystem of Partners in Space-based Geosciences (M6-24);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13"/>
              </w:numPr>
              <w:spacing w:before="60" w:after="60"/>
              <w:jc w:val="both"/>
              <w:rPr/>
            </w:pPr>
            <w:r>
              <w:rPr/>
              <w:t xml:space="preserve">one hybrid two-day conference to take place in Greece, with the (virtual or physical)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1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Cs w:val="false"/>
              </w:rPr>
            </w:pPr>
            <w:r>
              <w:rPr>
                <w:b w:val="false"/>
                <w:bCs w:val="false"/>
              </w:rPr>
            </w:r>
          </w:p>
          <w:p>
            <w:pPr>
              <w:pStyle w:val="Normal"/>
              <w:widowControl w:val="false"/>
              <w:spacing w:before="60" w:after="60"/>
              <w:jc w:val="both"/>
              <w:rPr>
                <w:b/>
                <w:bCs/>
              </w:rPr>
            </w:pPr>
            <w:r>
              <w:rPr>
                <w:b/>
                <w:bCs/>
                <w:lang w:val="en-GB"/>
              </w:rPr>
              <w:t>Task 5.4 Exploring Greek academia needs and interest in Space Geodesy (M18-24); Lead NTUA</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Cs w:val="false"/>
              </w:rPr>
            </w:pPr>
            <w:r>
              <w:rPr>
                <w:b w:val="false"/>
                <w:bCs w:val="false"/>
              </w:rPr>
            </w:r>
          </w:p>
          <w:p>
            <w:pPr>
              <w:pStyle w:val="Normal"/>
              <w:widowControl w:val="false"/>
              <w:spacing w:before="60" w:after="60"/>
              <w:jc w:val="both"/>
              <w:rPr>
                <w:b/>
                <w:bCs/>
              </w:rPr>
            </w:pPr>
            <w:r>
              <w:rPr>
                <w:b/>
                <w:bCs/>
                <w:lang w:val="en-GB"/>
              </w:rPr>
              <w:t>Task 5.5 Exploring stakeholders and commercial needs and interest in Space Geodesy (M18-24); Lead CLS</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w:t>
            </w:r>
            <w:r>
              <w:rPr>
                <w:rFonts w:ascii="Times New Roman" w:hAnsi="Times New Roman"/>
                <w:lang w:val="en-GB"/>
              </w:rPr>
              <w:t>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highlight w:val="none"/>
                <w:shd w:fill="FFFF00" w:val="clear"/>
              </w:rPr>
            </w:pPr>
            <w:r>
              <w:rPr>
                <w:shd w:fill="FFFF00" w:val="clear"/>
                <w:lang w:val="en-GB"/>
              </w:rPr>
              <w:t>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6"/>
        <w:gridCol w:w="228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3"/>
        <w:gridCol w:w="1504"/>
        <w:gridCol w:w="1467"/>
        <w:gridCol w:w="1446"/>
        <w:gridCol w:w="3134"/>
      </w:tblGrid>
      <w:tr>
        <w:trPr/>
        <w:tc>
          <w:tcPr>
            <w:tcW w:w="2373"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5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30"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15</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78"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21</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108"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720" w:hanging="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numPr>
        <w:ilvl w:val="0"/>
        <w:numId w:val="0"/>
      </w:numPr>
      <w:tabs>
        <w:tab w:val="clear" w:pos="720"/>
      </w:tabs>
      <w:jc w:val="both"/>
    </w:pPr>
    <w:rPr>
      <w:sz w:val="18"/>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11909</TotalTime>
  <Application>LibreOffice/7.6.0.2$Linux_X86_64 LibreOffice_project/60$Build-2</Application>
  <AppVersion>15.0000</AppVersion>
  <Pages>38</Pages>
  <Words>17645</Words>
  <Characters>103526</Characters>
  <CharactersWithSpaces>120290</CharactersWithSpaces>
  <Paragraphs>882</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2023-08-30T00:55:54Z</dcterms:modified>
  <cp:revision>1380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