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2"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3645004"/>
            <w:bookmarkStart w:id="1" w:name="_Toc448834151"/>
            <w:bookmarkStart w:id="2" w:name="_Toc448828797"/>
            <w:bookmarkStart w:id="3" w:name="_Toc448828577"/>
            <w:bookmarkStart w:id="4" w:name="_Toc445930535"/>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3645006"/>
            <w:bookmarkStart w:id="11" w:name="_Toc448834153"/>
            <w:bookmarkStart w:id="12" w:name="_Toc448828799"/>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0"/>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 xml:space="preserve">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limited, intermittent, infrequent and often incidental, missing long-term planning and well defined objectives and aims. Research capacity is </w:t>
      </w:r>
    </w:p>
    <w:p>
      <w:pPr>
        <w:pStyle w:val="Normal"/>
        <w:widowControl/>
        <w:spacing w:before="0" w:after="200"/>
        <w:jc w:val="both"/>
        <w:rPr/>
      </w:pPr>
      <w:r>
        <w:rPr/>
        <w:t xml:space="preserve">The lack of a dedicated excellence center in the field of Space Geodesy, is also reflected in the limited involvement of Greece in one of the currently fastest blooming markets internationally, that of Space </w:t>
      </w:r>
      <w:r>
        <w:rPr/>
        <w:t>sciences</w:t>
      </w:r>
      <w:r>
        <w:rPr/>
        <w:t>.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in partnership-building, preparation and carrying out of research proposals funded by national authorities, the European Commission (EC) and the European Space Agency (ESA). </w:t>
      </w:r>
      <w:r>
        <w:rPr/>
        <w:t>Increase financial support capabilities for its research activities (both in the long-run and for the duration of ACRONYM) and its ability and capacity to attract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areas</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optionally one Post-Doc student  per technique. This allocation is expected to significantly enhance knowledge assimilation, create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12"/>
          <w:headerReference w:type="default" r:id="rId13"/>
          <w:headerReference w:type="first" r:id="rId14"/>
          <w:footerReference w:type="default" r:id="rId15"/>
          <w:type w:val="nextPage"/>
          <w:pgSz w:w="11906" w:h="16838"/>
          <w:pgMar w:left="1134" w:right="1134" w:gutter="0" w:header="720" w:top="1134" w:footer="720" w:bottom="1134"/>
          <w:pgNumType w:fmt="decimal"/>
          <w:formProt w:val="false"/>
          <w:textDirection w:val="lrTb"/>
          <w:docGrid w:type="default" w:linePitch="100" w:charSpace="0"/>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6"/>
          <w:footerReference w:type="default" r:id="rId17"/>
          <w:type w:val="nextPage"/>
          <w:pgSz w:orient="landscape" w:w="16838" w:h="11906"/>
          <w:pgMar w:left="851" w:right="851" w:gutter="0" w:header="720" w:top="851" w:footer="720" w:bottom="851"/>
          <w:pgNumType w:fmt="decimal"/>
          <w:formProt w:val="false"/>
          <w:textDirection w:val="lrTb"/>
          <w:docGrid w:type="default" w:linePitch="100" w:charSpace="0"/>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rPr>
                <w:lang w:val="en-GB"/>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2"/>
              </w:numPr>
              <w:spacing w:before="60" w:after="60"/>
              <w:rPr>
                <w:lang w:val="en-GB"/>
              </w:rPr>
            </w:pPr>
            <w:r>
              <w:rPr/>
              <w:t>Establish a strong project management scheme</w:t>
            </w:r>
          </w:p>
          <w:p>
            <w:pPr>
              <w:pStyle w:val="Normal"/>
              <w:widowControl w:val="false"/>
              <w:numPr>
                <w:ilvl w:val="0"/>
                <w:numId w:val="12"/>
              </w:numPr>
              <w:spacing w:before="60" w:after="60"/>
              <w:rPr>
                <w:lang w:val="en-GB"/>
              </w:rPr>
            </w:pPr>
            <w:r>
              <w:rPr/>
              <w:t>Establish appropriate communication and reporting channels to the European Commission</w:t>
            </w:r>
          </w:p>
          <w:p>
            <w:pPr>
              <w:pStyle w:val="Normal"/>
              <w:widowControl w:val="false"/>
              <w:numPr>
                <w:ilvl w:val="0"/>
                <w:numId w:val="12"/>
              </w:numPr>
              <w:spacing w:before="60" w:after="60"/>
              <w:rPr>
                <w:lang w:val="en-GB"/>
              </w:rPr>
            </w:pPr>
            <w:r>
              <w:rPr/>
              <w:t>Ensure successful achievement of the project objectives on time and within budget</w:t>
            </w:r>
          </w:p>
          <w:p>
            <w:pPr>
              <w:pStyle w:val="Normal"/>
              <w:widowControl w:val="false"/>
              <w:numPr>
                <w:ilvl w:val="0"/>
                <w:numId w:val="12"/>
              </w:numPr>
              <w:spacing w:before="60" w:after="60"/>
              <w:rPr>
                <w:lang w:val="en-GB"/>
              </w:rPr>
            </w:pPr>
            <w:r>
              <w:rPr/>
              <w:t>Establish an efficient electronic service for communications, and document exchanging</w:t>
            </w:r>
          </w:p>
          <w:p>
            <w:pPr>
              <w:pStyle w:val="Normal"/>
              <w:widowControl w:val="false"/>
              <w:numPr>
                <w:ilvl w:val="0"/>
                <w:numId w:val="12"/>
              </w:numPr>
              <w:spacing w:before="60" w:after="60"/>
              <w:rPr>
                <w:lang w:val="en-GB"/>
              </w:rPr>
            </w:pPr>
            <w:r>
              <w:rPr/>
              <w:t>Conduct continuous quality assurance activities for the operation of the project and the production of its results within its lifespan</w:t>
            </w:r>
          </w:p>
          <w:p>
            <w:pPr>
              <w:pStyle w:val="Normal"/>
              <w:widowControl w:val="false"/>
              <w:numPr>
                <w:ilvl w:val="0"/>
                <w:numId w:val="12"/>
              </w:numPr>
              <w:spacing w:before="60" w:after="60"/>
              <w:rPr>
                <w:lang w:val="en-GB"/>
              </w:rPr>
            </w:pPr>
            <w:r>
              <w:rPr/>
              <w:t>Ensure continuous monitoring of the project’s progress and timely initiation of corrective actions (if needed)</w:t>
            </w:r>
          </w:p>
          <w:p>
            <w:pPr>
              <w:pStyle w:val="Normal"/>
              <w:widowControl w:val="false"/>
              <w:numPr>
                <w:ilvl w:val="0"/>
                <w:numId w:val="12"/>
              </w:numPr>
              <w:spacing w:before="60" w:after="60"/>
              <w:rPr>
                <w:lang w:val="en-GB"/>
              </w:rPr>
            </w:pPr>
            <w:r>
              <w:rPr/>
              <w:t>Coordinate the organization and execution of the various project meetings, and/or participation of the project in various external or self-organized events</w:t>
            </w:r>
          </w:p>
          <w:p>
            <w:pPr>
              <w:pStyle w:val="Normal"/>
              <w:widowControl w:val="false"/>
              <w:numPr>
                <w:ilvl w:val="0"/>
                <w:numId w:val="12"/>
              </w:numPr>
              <w:spacing w:before="60" w:after="60"/>
              <w:rPr>
                <w:lang w:val="en-GB"/>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original workplan from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p>
            <w:pPr>
              <w:pStyle w:val="Normal"/>
              <w:widowControl w:val="false"/>
              <w:numPr>
                <w:ilvl w:val="0"/>
                <w:numId w:val="8"/>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in the host institute via online webinars, virtual training, videos conferences, venture labs and one short term encounter (duration between one and two weeks) of all three involved partners.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its peers in the host institute via online webinars, virtual training, video conferences, venture labs and one short term encounter (duration between one and two weeks), hosted by GFZ.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its peers in the host institute via online webinars, virtual training, video conferences, venture labs and one short term encounter (duration between one and two weeks), hosted by OSO.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2.4 Enhancing Research Funding Capacity (M1-M24); Lead CLS</w:t>
            </w:r>
          </w:p>
          <w:p>
            <w:pPr>
              <w:pStyle w:val="Normal"/>
              <w:widowControl w:val="false"/>
              <w:spacing w:before="60" w:after="60"/>
              <w:jc w:val="both"/>
              <w:rPr/>
            </w:pPr>
            <w:r>
              <w:rPr>
                <w:lang w:val="en-GB"/>
              </w:rPr>
              <w:t>The host institute will establish a task force made up of six NTUA employees, which will be trained in project funding seeking, proposal writing and efficient research project management and administration, via remote mentoring and coaching. The consortium partners (CLS, IPGP, GFZ and OSO) will transfer technical knowledge, know-how and best practices to the NTUA task force.</w:t>
            </w:r>
          </w:p>
          <w:p>
            <w:pPr>
              <w:pStyle w:val="Normal"/>
              <w:widowControl w:val="false"/>
              <w:spacing w:before="60" w:after="60"/>
              <w:jc w:val="both"/>
              <w:rPr/>
            </w:pPr>
            <w:r>
              <w:rPr/>
              <w:t>The task force along with the partners will be involved in exploring possibilities and capabilities in:</w:t>
            </w:r>
          </w:p>
          <w:p>
            <w:pPr>
              <w:pStyle w:val="Normal"/>
              <w:widowControl w:val="false"/>
              <w:numPr>
                <w:ilvl w:val="0"/>
                <w:numId w:val="11"/>
              </w:numPr>
              <w:spacing w:before="60" w:after="60"/>
              <w:jc w:val="both"/>
              <w:rPr/>
            </w:pPr>
            <w:r>
              <w:rPr/>
              <w:t xml:space="preserve">research funding  possibilities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in an effort to significantly enhance future NTUA’s  successful proposal submission rate, secure financial aid for the host’s research activities in the long-run and boost long-term synergy between the consortium partners.</w:t>
            </w:r>
          </w:p>
          <w:p>
            <w:pPr>
              <w:pStyle w:val="Normal"/>
              <w:widowControl w:val="false"/>
              <w:spacing w:before="60" w:after="60"/>
              <w:jc w:val="both"/>
              <w:rPr/>
            </w:pPr>
            <w:r>
              <w:rPr>
                <w:lang w:val="en-GB"/>
              </w:rPr>
              <w:t>The task force along with the partners will decide on a strategic plan for two further research proposals to be submitted within the duration of ACRONYM.</w:t>
            </w:r>
          </w:p>
          <w:p>
            <w:pPr>
              <w:pStyle w:val="Normal"/>
              <w:widowControl w:val="false"/>
              <w:spacing w:before="60" w:after="60"/>
              <w:jc w:val="both"/>
              <w:rPr/>
            </w:pPr>
            <w:r>
              <w:rPr/>
            </w:r>
          </w:p>
          <w:p>
            <w:pPr>
              <w:pStyle w:val="Normal"/>
              <w:widowControl w:val="false"/>
              <w:spacing w:before="60" w:after="60"/>
              <w:jc w:val="both"/>
              <w:rPr>
                <w:b/>
                <w:b/>
                <w:bCs/>
              </w:rPr>
            </w:pPr>
            <w:r>
              <w:rPr>
                <w:b/>
                <w:bCs/>
              </w:rPr>
              <w:t>Task 2.5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18">
              <w:r>
                <w:rPr>
                  <w:rStyle w:val="InternetLink"/>
                  <w:lang w:val="en-GB"/>
                </w:rPr>
                <w:t>https://libre.space/</w:t>
              </w:r>
            </w:hyperlink>
            <w:r>
              <w:rPr>
                <w:lang w:val="en-GB"/>
              </w:rPr>
              <w:t>), Geosystems Hellas (</w:t>
            </w:r>
            <w:hyperlink r:id="rId19">
              <w:r>
                <w:rPr>
                  <w:rStyle w:val="InternetLink"/>
                  <w:lang w:val="en-GB"/>
                </w:rPr>
                <w:t>https://www.geosystems-hellas.gr/</w:t>
              </w:r>
            </w:hyperlink>
            <w:r>
              <w:rPr>
                <w:lang w:val="en-GB"/>
              </w:rPr>
              <w:t>), Planetek Hellas (</w:t>
            </w:r>
            <w:hyperlink r:id="rId20">
              <w:r>
                <w:rPr>
                  <w:rStyle w:val="InternetLink"/>
                  <w:lang w:val="en-GB"/>
                </w:rPr>
                <w:t>https://www.planetek.gr/</w:t>
              </w:r>
            </w:hyperlink>
            <w:r>
              <w:rPr>
                <w:lang w:val="en-GB"/>
              </w:rPr>
              <w:t>)), governmental agencies and institutions (e.g. National Observatory of Athens, Beyond Centre (</w:t>
            </w:r>
            <w:hyperlink r:id="rId21">
              <w:r>
                <w:rPr>
                  <w:rStyle w:val="InternetLink"/>
                  <w:lang w:val="en-GB"/>
                </w:rPr>
                <w:t>http://beyond-eocenter.eu/</w:t>
              </w:r>
            </w:hyperlink>
            <w:r>
              <w:rPr>
                <w:lang w:val="en-GB"/>
              </w:rPr>
              <w:t>), Hellenic Group on Earth Observations (</w:t>
            </w:r>
            <w:hyperlink r:id="rId22">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 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pPr>
            <w:r>
              <w:rPr>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enhancing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 The short term visits will have a duration of one to two weeks.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centre of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w:t>
            </w:r>
            <w:r>
              <w:rPr>
                <w:b/>
                <w:bCs/>
              </w:rPr>
              <w:t>12</w:t>
            </w:r>
            <w:r>
              <w:rPr>
                <w:b/>
                <w:bCs/>
              </w:rPr>
              <w:t>-M36);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Submission of two research proposals for funding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45"/>
        <w:gridCol w:w="2265"/>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6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11"/>
        <w:gridCol w:w="2426"/>
        <w:gridCol w:w="3828"/>
      </w:tblGrid>
      <w:tr>
        <w:trPr/>
        <w:tc>
          <w:tcPr>
            <w:tcW w:w="381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1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2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1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2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4"/>
        <w:gridCol w:w="1483"/>
        <w:gridCol w:w="1467"/>
        <w:gridCol w:w="1452"/>
        <w:gridCol w:w="3128"/>
      </w:tblGrid>
      <w:tr>
        <w:trPr/>
        <w:tc>
          <w:tcPr>
            <w:tcW w:w="2394"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5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8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5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16"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6"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68"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footer" Target="footer4.xml"/><Relationship Id="rId18" Type="http://schemas.openxmlformats.org/officeDocument/2006/relationships/hyperlink" Target="https://libre.space/" TargetMode="External"/><Relationship Id="rId19" Type="http://schemas.openxmlformats.org/officeDocument/2006/relationships/hyperlink" Target="https://www.geosystems-hellas.gr/" TargetMode="External"/><Relationship Id="rId20" Type="http://schemas.openxmlformats.org/officeDocument/2006/relationships/hyperlink" Target="https://www.planetek.gr/" TargetMode="External"/><Relationship Id="rId21" Type="http://schemas.openxmlformats.org/officeDocument/2006/relationships/hyperlink" Target="http://beyond-eocenter.eu/" TargetMode="External"/><Relationship Id="rId22" Type="http://schemas.openxmlformats.org/officeDocument/2006/relationships/hyperlink" Target="https://www.greekgeo.noa.gr/" TargetMode="Externa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5442</TotalTime>
  <Application>LibreOffice/7.4.7.2$Linux_X86_64 LibreOffice_project/40$Build-2</Application>
  <AppVersion>15.0000</AppVersion>
  <Pages>32</Pages>
  <Words>10986</Words>
  <Characters>64309</Characters>
  <CharactersWithSpaces>74694</CharactersWithSpaces>
  <Paragraphs>648</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2023-08-10T12:43:47Z</dcterms:modified>
  <cp:revision>313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