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5"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8834151"/>
            <w:bookmarkStart w:id="1" w:name="_Toc443645004"/>
            <w:bookmarkStart w:id="2" w:name="_Toc445930535"/>
            <w:bookmarkStart w:id="3" w:name="_Toc448828577"/>
            <w:bookmarkStart w:id="4" w:name="_Toc448828797"/>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8828579"/>
            <w:bookmarkStart w:id="11" w:name="_Toc443645006"/>
            <w:bookmarkStart w:id="12" w:name="_Toc445930537"/>
            <w:bookmarkStart w:id="13" w:name="_Toc448828799"/>
            <w:bookmarkStart w:id="14" w:name="_Toc448834153"/>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20"/>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host institute staff trained</w:t>
            </w:r>
          </w:p>
          <w:p>
            <w:pPr>
              <w:pStyle w:val="Normal"/>
              <w:widowControl w:val="false"/>
              <w:numPr>
                <w:ilvl w:val="0"/>
                <w:numId w:val="2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Reaching scientific excellence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DORIS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SLR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5"/>
              </w:numPr>
              <w:rPr/>
            </w:pPr>
            <w:r>
              <w:rPr/>
              <w:t>Number of applicants for PhD, PostDoc and (possible) tenure open positions. Expected to take place gradually after the start of ACRONYM.</w:t>
            </w:r>
          </w:p>
          <w:p>
            <w:pPr>
              <w:pStyle w:val="Normal"/>
              <w:widowControl w:val="false"/>
              <w:numPr>
                <w:ilvl w:val="0"/>
                <w:numId w:val="15"/>
              </w:numPr>
              <w:rPr/>
            </w:pPr>
            <w:r>
              <w:rPr/>
              <w:t>Number of young scientists (from partners) traveling to NTUA</w:t>
            </w:r>
          </w:p>
          <w:p>
            <w:pPr>
              <w:pStyle w:val="Normal"/>
              <w:widowControl w:val="false"/>
              <w:numPr>
                <w:ilvl w:val="0"/>
                <w:numId w:val="15"/>
              </w:numPr>
              <w:rPr/>
            </w:pPr>
            <w:r>
              <w:rPr/>
              <w:t>Number of funding bids submitted for PhD and PostDoc studies (carried out in host institute)</w:t>
            </w:r>
          </w:p>
          <w:p>
            <w:pPr>
              <w:pStyle w:val="Normal"/>
              <w:widowControl w:val="false"/>
              <w:numPr>
                <w:ilvl w:val="0"/>
                <w:numId w:val="15"/>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6"/>
              </w:numPr>
              <w:rPr/>
            </w:pPr>
            <w:r>
              <w:rPr/>
              <w:t>Number of host institute staff trained</w:t>
            </w:r>
          </w:p>
          <w:p>
            <w:pPr>
              <w:pStyle w:val="Normal"/>
              <w:widowControl w:val="false"/>
              <w:numPr>
                <w:ilvl w:val="0"/>
                <w:numId w:val="16"/>
              </w:numPr>
              <w:rPr/>
            </w:pPr>
            <w:r>
              <w:rPr/>
              <w:t>Number of research proposals submitted (within the time span of ACRONYM)</w:t>
            </w:r>
          </w:p>
          <w:p>
            <w:pPr>
              <w:pStyle w:val="Normal"/>
              <w:widowControl w:val="false"/>
              <w:numPr>
                <w:ilvl w:val="0"/>
                <w:numId w:val="16"/>
              </w:numPr>
              <w:rPr/>
            </w:pPr>
            <w:r>
              <w:rPr/>
              <w:t>Diversity of funding pools targeted</w:t>
            </w:r>
          </w:p>
          <w:p>
            <w:pPr>
              <w:pStyle w:val="Normal"/>
              <w:widowControl w:val="false"/>
              <w:numPr>
                <w:ilvl w:val="0"/>
                <w:numId w:val="16"/>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Normal"/>
        <w:spacing w:before="0" w:after="200"/>
        <w:jc w:val="both"/>
        <w:rPr>
          <w:b w:val="false"/>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
          <w:bCs/>
        </w:rPr>
      </w:pPr>
      <w:r>
        <w:rPr>
          <w:b/>
          <w:bCs/>
        </w:rPr>
        <w:t>1.2.2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7"/>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7"/>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modeling approaches  (according to the roadmap laied out in the technical dpocuments of the previous step). These meets will be performed once every two months.</w:t>
      </w:r>
    </w:p>
    <w:p>
      <w:pPr>
        <w:pStyle w:val="Normal"/>
        <w:numPr>
          <w:ilvl w:val="0"/>
          <w:numId w:val="17"/>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7"/>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utilising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Normal"/>
        <w:numPr>
          <w:ilvl w:val="0"/>
          <w:numId w:val="18"/>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8"/>
        </w:numPr>
        <w:spacing w:before="0" w:after="200"/>
        <w:jc w:val="both"/>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submition), seeking greater impact and pathways to achieving it.</w:t>
      </w:r>
    </w:p>
    <w:p>
      <w:pPr>
        <w:pStyle w:val="Normal"/>
        <w:numPr>
          <w:ilvl w:val="0"/>
          <w:numId w:val="18"/>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Normal"/>
        <w:numPr>
          <w:ilvl w:val="0"/>
          <w:numId w:val="19"/>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19"/>
        </w:numPr>
        <w:spacing w:before="0" w:after="200"/>
        <w:jc w:val="both"/>
        <w:rPr/>
      </w:pPr>
      <w:r>
        <w:rPr>
          <w:rStyle w:val="Strong"/>
          <w:b w:val="false"/>
          <w:bCs w:val="false"/>
          <w:shd w:fill="auto" w:val="clear"/>
          <w:lang w:val="en-GB"/>
        </w:rPr>
        <w:t>two research proposals targeting young scientist</w:t>
      </w:r>
      <w:r>
        <w:rPr>
          <w:rStyle w:val="Strong"/>
          <w:b w:val="false"/>
          <w:bCs w:val="false"/>
          <w:shd w:fill="auto" w:val="clear"/>
          <w:lang w:val="en-GB"/>
        </w:rPr>
        <w:t>s</w:t>
      </w:r>
      <w:r>
        <w:rPr>
          <w:rStyle w:val="Strong"/>
          <w:b w:val="false"/>
          <w:bCs w:val="false"/>
          <w:shd w:fill="auto" w:val="clear"/>
          <w:lang w:val="en-GB"/>
        </w:rPr>
        <w:t xml:space="preserve"> and mobility (e.g. EU MSCA calls)</w:t>
      </w:r>
    </w:p>
    <w:p>
      <w:pPr>
        <w:pStyle w:val="Normal"/>
        <w:widowControl w:val="false"/>
        <w:numPr>
          <w:ilvl w:val="0"/>
          <w:numId w:val="19"/>
        </w:numPr>
        <w:jc w:val="both"/>
        <w:rPr/>
      </w:pPr>
      <w:r>
        <w:rPr>
          <w:shd w:fill="auto" w:val="clear"/>
        </w:rPr>
        <w:t>one funding bid targeting private/public collaboration, including at least one the ecosystem commercial partner</w:t>
      </w:r>
    </w:p>
    <w:p>
      <w:pPr>
        <w:pStyle w:val="Normal"/>
        <w:widowControl w:val="false"/>
        <w:numPr>
          <w:ilvl w:val="0"/>
          <w:numId w:val="0"/>
        </w:numPr>
        <w:ind w:left="720" w:hanging="0"/>
        <w:jc w:val="both"/>
        <w:rPr>
          <w:shd w:fill="auto" w:val="clear"/>
        </w:rPr>
      </w:pPr>
      <w:r>
        <w:rPr/>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included as a whole.</w:t>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Normal"/>
        <w:spacing w:before="0" w:after="200"/>
        <w:jc w:val="both"/>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Normal"/>
        <w:spacing w:before="0" w:after="200"/>
        <w:jc w:val="both"/>
        <w:rPr/>
      </w:pPr>
      <w:r>
        <w:rPr/>
        <w:t>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XXX) and the co-spervision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Normal"/>
        <w:spacing w:before="0" w:after="200"/>
        <w:jc w:val="both"/>
        <w:rPr>
          <w:highlight w:val="none"/>
          <w:shd w:fill="FF4000" w:val="clear"/>
        </w:rPr>
      </w:pPr>
      <w:r>
        <w:rPr>
          <w:shd w:fill="FF4000" w:val="clear"/>
        </w:rPr>
        <w:t>More specific next paragraph</w:t>
      </w:r>
    </w:p>
    <w:p>
      <w:pPr>
        <w:pStyle w:val="Normal"/>
        <w:spacing w:before="0" w:after="200"/>
        <w:jc w:val="both"/>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Normal"/>
        <w:spacing w:before="0" w:after="200"/>
        <w:jc w:val="both"/>
        <w:rPr>
          <w:b/>
          <w:b/>
          <w:bCs/>
        </w:rPr>
      </w:pPr>
      <w:r>
        <w:rPr>
          <w:b/>
          <w:bCs/>
          <w:shd w:fill="auto" w:val="clear"/>
        </w:rPr>
        <w:t>1.2.5 Establishing a Greek ecosystem of Space-based geosciences and ties between market and academia</w:t>
      </w:r>
    </w:p>
    <w:p>
      <w:pPr>
        <w:pStyle w:val="Normal"/>
        <w:jc w:val="both"/>
        <w:rPr/>
      </w:pPr>
      <w:r>
        <w:rPr>
          <w:lang w:val="en-GB"/>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Normal"/>
        <w:jc w:val="both"/>
        <w:rPr>
          <w:lang w:val="en-GB"/>
        </w:rPr>
      </w:pPr>
      <w:r>
        <w:rPr>
          <w:lang w:val="en-GB"/>
        </w:rPr>
      </w:r>
    </w:p>
    <w:p>
      <w:pPr>
        <w:pStyle w:val="Normal"/>
        <w:jc w:val="both"/>
        <w:rPr/>
      </w:pPr>
      <w:r>
        <w:rPr>
          <w:lang w:val="en-GB"/>
        </w:rPr>
        <w:t xml:space="preserve">The ecosystem call is expected to attract more than ten participants, including  possible industry partners </w:t>
      </w:r>
      <w:r>
        <w:rPr>
          <w:lang w:val="en-GB"/>
        </w:rPr>
        <w:t>active in:</w:t>
      </w:r>
    </w:p>
    <w:p>
      <w:pPr>
        <w:pStyle w:val="Normal"/>
        <w:numPr>
          <w:ilvl w:val="0"/>
          <w:numId w:val="22"/>
        </w:numPr>
        <w:jc w:val="both"/>
        <w:rPr/>
      </w:pPr>
      <w:r>
        <w:rPr>
          <w:lang w:val="en-GB"/>
        </w:rPr>
        <w:t xml:space="preserve">Space industry, space sciences, space awareness and  security, geosciences, Earth observation, tracking and navigation and related fields </w:t>
      </w:r>
      <w:r>
        <w:rPr>
          <w:lang w:val="en-GB"/>
        </w:rPr>
        <w:t>(e.g.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w:t>
      </w:r>
    </w:p>
    <w:p>
      <w:pPr>
        <w:pStyle w:val="Normal"/>
        <w:numPr>
          <w:ilvl w:val="0"/>
          <w:numId w:val="22"/>
        </w:numPr>
        <w:jc w:val="both"/>
        <w:rPr/>
      </w:pPr>
      <w:r>
        <w:rPr>
          <w:lang w:val="en-GB"/>
        </w:rPr>
        <w:t>G</w:t>
      </w:r>
      <w:r>
        <w:rPr>
          <w:lang w:val="en-GB"/>
        </w:rPr>
        <w:t xml:space="preserve">overnmental agencies and </w:t>
      </w:r>
      <w:r>
        <w:rPr>
          <w:lang w:val="en-GB"/>
        </w:rPr>
        <w:t xml:space="preserve">research </w:t>
      </w:r>
      <w:r>
        <w:rPr>
          <w:lang w:val="en-GB"/>
        </w:rPr>
        <w:t>institutions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Normal"/>
        <w:numPr>
          <w:ilvl w:val="0"/>
          <w:numId w:val="22"/>
        </w:numPr>
        <w:jc w:val="both"/>
        <w:rPr/>
      </w:pPr>
      <w:r>
        <w:rPr>
          <w:lang w:val="en-GB"/>
        </w:rPr>
        <w:t>U</w:t>
      </w:r>
      <w:r>
        <w:rPr>
          <w:lang w:val="en-GB"/>
        </w:rPr>
        <w:t>niversities (e.g. Aristotle University of Thessaloniki, National and Kapodistrian University of Athens and the University of West Attica).</w:t>
      </w:r>
    </w:p>
    <w:p>
      <w:pPr>
        <w:pStyle w:val="Normal"/>
        <w:jc w:val="both"/>
        <w:rPr>
          <w:lang w:val="en-GB"/>
        </w:rPr>
      </w:pPr>
      <w:r>
        <w:rPr>
          <w:lang w:val="en-GB"/>
        </w:rPr>
      </w:r>
    </w:p>
    <w:p>
      <w:pPr>
        <w:pStyle w:val="Normal"/>
        <w:jc w:val="both"/>
        <w:rPr>
          <w:highlight w:val="none"/>
          <w:shd w:fill="auto" w:val="clear"/>
        </w:rPr>
      </w:pPr>
      <w:r>
        <w:rPr>
          <w:shd w:fill="auto" w:val="clea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Normal"/>
        <w:jc w:val="both"/>
        <w:rPr>
          <w:highlight w:val="none"/>
          <w:shd w:fill="auto" w:val="clear"/>
        </w:rPr>
      </w:pPr>
      <w:r>
        <w:rPr>
          <w:shd w:fill="auto" w:val="clear"/>
        </w:rPr>
      </w:r>
    </w:p>
    <w:p>
      <w:pPr>
        <w:pStyle w:val="Normal"/>
        <w:spacing w:before="0" w:after="200"/>
        <w:jc w:val="both"/>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Normal"/>
        <w:spacing w:before="0" w:after="200"/>
        <w:jc w:val="both"/>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Normal"/>
        <w:spacing w:before="0" w:after="200"/>
        <w:jc w:val="both"/>
        <w:rPr/>
      </w:pPr>
      <w:r>
        <w:rPr/>
        <w:t xml:space="preserve">To explore, access and evaluate both academia and commercial needs and interest on a national scale, the ACRONYM partners will compile and hand out a series of </w:t>
      </w:r>
      <w:r>
        <w:rPr/>
        <w:t xml:space="preserve">(on-line) </w:t>
      </w:r>
      <w:r>
        <w:rPr/>
        <w:t xml:space="preserve">questionnaires; one subset of these will target academia partners of the ecosystem and a second set will target commercial users/businesses. </w:t>
      </w:r>
      <w:r>
        <w:rPr/>
        <w:t xml:space="preserve">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Normal"/>
        <w:spacing w:before="0" w:after="200"/>
        <w:jc w:val="both"/>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r>
      <w:r>
        <w:rPr>
          <w:rFonts w:ascii="Times New Roman" w:hAnsi="Times New Roman"/>
          <w:b/>
          <w:shd w:fill="auto" w:val="clear"/>
          <w:lang w:val="en-GB"/>
        </w:rPr>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Normal"/>
        <w:jc w:val="both"/>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Normal"/>
        <w:jc w:val="both"/>
        <w:rPr/>
      </w:pPr>
      <w:r>
        <w:rPr/>
      </w:r>
    </w:p>
    <w:p>
      <w:pPr>
        <w:pStyle w:val="Normal"/>
        <w:jc w:val="both"/>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Normal"/>
        <w:jc w:val="both"/>
        <w:rPr/>
      </w:pPr>
      <w:r>
        <w:rPr/>
      </w:r>
    </w:p>
    <w:p>
      <w:pPr>
        <w:pStyle w:val="Normal"/>
        <w:jc w:val="both"/>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Normal"/>
        <w:jc w:val="both"/>
        <w:rPr/>
      </w:pPr>
      <w:r>
        <w:rPr/>
      </w:r>
    </w:p>
    <w:p>
      <w:pPr>
        <w:pStyle w:val="Normal"/>
        <w:jc w:val="both"/>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Space-based geosciences (see</w:t>
      </w:r>
      <w:r>
        <w:rPr>
          <w:b w:val="false"/>
          <w:bCs w:val="false"/>
          <w:shd w:fill="C9211E" w:val="clear"/>
        </w:rPr>
        <w:t xml:space="preserve"> XX</w:t>
      </w:r>
      <w:r>
        <w:rPr>
          <w:b w:val="false"/>
          <w:bCs w:val="false"/>
          <w:shd w:fill="auto" w:val="clear"/>
        </w:rPr>
        <w:t xml:space="preserve">) the Coordinator will gradually disperse knowledge and help raise expertise and involvement in Earth Observation on a national scale (actions described in Task </w:t>
      </w:r>
      <w:r>
        <w:rPr>
          <w:b w:val="false"/>
          <w:bCs w:val="false"/>
          <w:shd w:fill="C9211E" w:val="clear"/>
        </w:rPr>
        <w:t>XX</w:t>
      </w:r>
      <w:r>
        <w:rPr>
          <w:b w:val="false"/>
          <w:bCs w:val="false"/>
          <w:shd w:fill="auto" w:val="clear"/>
        </w:rPr>
        <w:t xml:space="preserve">).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 xml:space="preserve">As already described and thoroughly presented in Section </w:t>
      </w:r>
      <w:r>
        <w:rPr>
          <w:b w:val="false"/>
          <w:bCs w:val="false"/>
          <w:u w:val="none"/>
          <w:shd w:fill="C9211E" w:val="clear"/>
        </w:rPr>
        <w:t xml:space="preserve">XX </w:t>
      </w:r>
      <w:r>
        <w:rPr>
          <w:b w:val="false"/>
          <w:bCs w:val="false"/>
          <w:u w:val="none"/>
          <w:shd w:fill="auto" w:val="clear"/>
        </w:rPr>
        <w:t>all 4 ACRONYM partners (excluding the Coordinator) are world leading experts in Space Geodesy. ACRONYM activities are targeted towards creating solid, seamless networking between the Coordinator and the partners, past the lifetime of this project. On-line meeting and a series of visits (at least two visits from and to the partners) are expected to solidify networking. Additionally, a number of tasks focuses on networking, including (a) co-supervision of PhD and PostDoc students, (b) submission of further (at least four) research proposals including all or a subset of ACRONYM’s consortium, (c) co-authorship of (at least three) research scientific papers and (d) attendance as a group to (at least five) conferences.</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24"/>
        </w:numPr>
        <w:jc w:val="both"/>
        <w:rPr>
          <w:b w:val="false"/>
          <w:b w:val="false"/>
          <w:bCs w:val="false"/>
          <w:u w:val="none"/>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24"/>
        </w:numPr>
        <w:jc w:val="both"/>
        <w:rPr>
          <w:b w:val="false"/>
          <w:b w:val="false"/>
          <w:bCs w:val="false"/>
          <w:u w:val="none"/>
        </w:rPr>
      </w:pPr>
      <w:r>
        <w:rPr>
          <w:b w:val="false"/>
          <w:bCs w:val="false"/>
          <w:u w:val="none"/>
          <w:shd w:fill="auto" w:val="clear"/>
        </w:rPr>
        <w:t xml:space="preserve">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w:t>
      </w:r>
      <w:r>
        <w:rPr>
          <w:b w:val="false"/>
          <w:bCs w:val="false"/>
          <w:u w:val="none"/>
          <w:shd w:fill="C9211E" w:val="clear"/>
        </w:rPr>
        <w:t>XX</w:t>
      </w:r>
      <w:r>
        <w:rPr>
          <w:b w:val="false"/>
          <w:bCs w:val="false"/>
          <w:u w:val="none"/>
          <w:shd w:fill="auto" w:val="clear"/>
        </w:rPr>
        <w:t xml:space="preserve">), (c) diversification of funding pools and schema (see Task </w:t>
      </w:r>
      <w:r>
        <w:rPr>
          <w:b w:val="false"/>
          <w:bCs w:val="false"/>
          <w:u w:val="none"/>
          <w:shd w:fill="C9211E" w:val="clear"/>
        </w:rPr>
        <w:t>XX</w:t>
      </w:r>
      <w:r>
        <w:rPr>
          <w:b w:val="false"/>
          <w:bCs w:val="false"/>
          <w:u w:val="none"/>
          <w:shd w:fill="auto" w:val="clear"/>
        </w:rPr>
        <w:t>)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rPr>
          <w:lang w:val="en-GB"/>
        </w:rPr>
      </w:pPr>
      <w:r>
        <w:rPr/>
      </w:r>
    </w:p>
    <w:p>
      <w:pPr>
        <w:pStyle w:val="Normal"/>
        <w:jc w:val="both"/>
        <w:rPr>
          <w:lang w:val="en-GB"/>
        </w:rPr>
      </w:pPr>
      <w:r>
        <w:rPr>
          <w:u w:val="single"/>
        </w:rPr>
        <w:t>I</w:t>
      </w:r>
      <w:r>
        <w:rPr>
          <w:b/>
          <w:bCs/>
          <w:u w:val="single"/>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17"/>
          <w:headerReference w:type="default" r:id="rId18"/>
          <w:headerReference w:type="first" r:id="rId19"/>
          <w:footerReference w:type="default" r:id="rId20"/>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Fonts w:ascii="Times New Roman" w:hAnsi="Times New Roman"/>
                <w:color w:val="auto"/>
                <w:lang w:val="en-GB"/>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(a) 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publications in high-impact 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Exploitation:</w:t>
            </w:r>
            <w:r>
              <w:rPr>
                <w:b w:val="false"/>
                <w:bCs w:val="false"/>
                <w:color w:val="000000"/>
              </w:rPr>
              <w:t xml:space="preserve"> Use synergies within the national ecosystem to</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Research and Scientific community</w:t>
            </w:r>
            <w:r>
              <w:rPr>
                <w:color w:val="000000"/>
                <w:lang w:val="en-GB"/>
              </w:rPr>
              <w:t xml:space="preserve"> in the field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from expert nodes to the Coordinator, building fundations for scientific excelence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
                <w:bCs/>
              </w:rPr>
            </w:pPr>
            <w:r>
              <w:rPr>
                <w:b/>
                <w:bCs/>
              </w:rPr>
              <w:t>Task 2.4 Assessment of currently available software tools (M6-12); Lead GFZ</w:t>
            </w:r>
          </w:p>
          <w:p>
            <w:pPr>
              <w:pStyle w:val="Normal"/>
              <w:widowControl w:val="false"/>
              <w:spacing w:before="60" w:after="60"/>
              <w:jc w:val="both"/>
              <w:rPr>
                <w:b w:val="false"/>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21"/>
              </w:numPr>
              <w:jc w:val="both"/>
              <w:rPr/>
            </w:pPr>
            <w:r>
              <w:rPr/>
              <w:t>two EU large scale research and innovation calls (e.g. HORIZON), and</w:t>
            </w:r>
          </w:p>
          <w:p>
            <w:pPr>
              <w:pStyle w:val="Normal"/>
              <w:widowControl w:val="false"/>
              <w:numPr>
                <w:ilvl w:val="0"/>
                <w:numId w:val="21"/>
              </w:numPr>
              <w:jc w:val="both"/>
              <w:rPr/>
            </w:pPr>
            <w:r>
              <w:rPr>
                <w:shd w:fill="auto" w:val="clear"/>
              </w:rPr>
              <w:t>two research proposals targeting young scientists and/or mobility (e.g. EU MSCA calls)</w:t>
            </w:r>
          </w:p>
          <w:p>
            <w:pPr>
              <w:pStyle w:val="Normal"/>
              <w:widowControl w:val="false"/>
              <w:numPr>
                <w:ilvl w:val="0"/>
                <w:numId w:val="21"/>
              </w:numPr>
              <w:jc w:val="both"/>
              <w:rPr/>
            </w:pPr>
            <w:r>
              <w:rPr>
                <w:shd w:fill="auto" w:val="clear"/>
              </w:rPr>
              <w:t xml:space="preserve">one funding bid targeting private/public collaboration, including at least one the ecosystem commercial partner (see Task </w:t>
            </w:r>
            <w:r>
              <w:rPr>
                <w:shd w:fill="C9211E" w:val="clear"/>
              </w:rPr>
              <w:t>XX</w:t>
            </w:r>
            <w:r>
              <w:rPr>
                <w:shd w:fill="auto" w:val="clear"/>
              </w:rPr>
              <w:t>)</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lang w:val="en-GB"/>
              </w:rPr>
            </w:pPr>
            <w:r>
              <w:rPr>
                <w:b/>
                <w:bCs/>
                <w:lang w:val="en-GB"/>
              </w:rPr>
              <w:t>Task 5.1 Agreement on PhD and PostDoc co-supervision (M1-M4); Lead NTUA</w:t>
            </w:r>
          </w:p>
          <w:p>
            <w:pPr>
              <w:pStyle w:val="Normal"/>
              <w:widowControl w:val="false"/>
              <w:spacing w:before="60" w:after="60"/>
              <w:jc w:val="both"/>
              <w:rPr>
                <w:b w:val="false"/>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w:t>
            </w:r>
            <w:r>
              <w:rPr>
                <w:rFonts w:ascii="Times New Roman" w:hAnsi="Times New Roman"/>
                <w:b/>
                <w:lang w:val="en-GB"/>
              </w:rPr>
              <w:t>al</w:t>
            </w:r>
            <w:r>
              <w:rPr>
                <w:rFonts w:ascii="Times New Roman" w:hAnsi="Times New Roman"/>
                <w:b/>
                <w:lang w:val="en-GB"/>
              </w:rPr>
              <w:t xml:space="preserve"> Geodetic Consortia</w:t>
            </w:r>
          </w:p>
          <w:p>
            <w:pPr>
              <w:pStyle w:val="Normal"/>
              <w:widowControl w:val="false"/>
              <w:rPr>
                <w:b w:val="false"/>
                <w:b w:val="false"/>
                <w:bCs w:val="false"/>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2.6 Establishing a Greek Ecosystem of Partners in Space-based Geosciences (M6-18); Lead NTUA</w:t>
            </w:r>
          </w:p>
          <w:p>
            <w:pPr>
              <w:pStyle w:val="Normal"/>
              <w:widowControl w:val="false"/>
              <w:spacing w:before="60" w:after="60"/>
              <w:jc w:val="both"/>
              <w:rPr/>
            </w:pPr>
            <w:r>
              <w:rPr>
                <w:lang w:val="en-GB"/>
              </w:rPr>
              <w:t xml:space="preserve">NTUA will take the initiative of bringing together all parties in Greece involved in Space-based geosciences, related applications </w:t>
            </w:r>
            <w:r>
              <w:rPr>
                <w:lang w:val="en-GB"/>
              </w:rPr>
              <w:t>and industries (e.g. Space industry, space awareness and security, tracking and navigation, etc)</w:t>
            </w:r>
            <w:r>
              <w:rPr>
                <w:lang w:val="en-GB"/>
              </w:rPr>
              <w:t>. This will include possible industry partners, governmental agencies and institutions, as well as universities.</w:t>
            </w:r>
          </w:p>
          <w:p>
            <w:pPr>
              <w:pStyle w:val="Normal"/>
              <w:widowControl w:val="false"/>
              <w:spacing w:before="60" w:after="60"/>
              <w:jc w:val="both"/>
              <w:rPr/>
            </w:pPr>
            <w:r>
              <w:rPr/>
              <w:t>NTUA will organize:</w:t>
            </w:r>
          </w:p>
          <w:p>
            <w:pPr>
              <w:pStyle w:val="Normal"/>
              <w:widowControl w:val="false"/>
              <w:numPr>
                <w:ilvl w:val="0"/>
                <w:numId w:val="23"/>
              </w:numPr>
              <w:spacing w:before="60" w:after="60"/>
              <w:jc w:val="both"/>
              <w:rPr/>
            </w:pPr>
            <w:r>
              <w:rPr/>
              <w:t xml:space="preserve">on two-day conference to take place in Greece, with the attendance of all ecosystem partners as well as ACRONYM partners.  ACRONYM’s aims, objectives and anticipated impact will be presented, relevant research activities carried out in different NTUA laboratories. </w:t>
            </w:r>
            <w:r>
              <w:rPr>
                <w:color w:val="000000"/>
                <w:shd w:fill="auto" w:val="clear"/>
              </w:rPr>
              <w:t xml:space="preserve">Ecosystem parties will be asked to present their current activities, research and industry portfolios, aspirations, products and solutions, as well as specific needs and interest related to ACRONYM and Space Geodesy. </w:t>
            </w:r>
          </w:p>
          <w:p>
            <w:pPr>
              <w:pStyle w:val="Normal"/>
              <w:widowControl w:val="false"/>
              <w:numPr>
                <w:ilvl w:val="0"/>
                <w:numId w:val="23"/>
              </w:numPr>
              <w:spacing w:before="60" w:after="60"/>
              <w:jc w:val="both"/>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 (see Section</w:t>
            </w:r>
            <w:r>
              <w:rPr>
                <w:b w:val="false"/>
                <w:bCs w:val="false"/>
                <w:color w:val="000000"/>
                <w:shd w:fill="C9211E" w:val="clear"/>
                <w:lang w:val="en-GB"/>
              </w:rPr>
              <w:t xml:space="preserve"> XX)</w:t>
            </w:r>
            <w:r>
              <w:rPr>
                <w:b w:val="false"/>
                <w:bCs w:val="false"/>
                <w:color w:val="000000"/>
                <w:shd w:fill="auto" w:val="clear"/>
                <w:lang w:val="en-GB"/>
              </w:rPr>
              <w:t>.</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2.X Exploring Greek academia needs and interest in Space Geodesy (M18-24); Lead NTUA</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w:t>
            </w:r>
            <w:r>
              <w:rPr>
                <w:b w:val="false"/>
                <w:bCs w:val="false"/>
                <w:lang w:val="en-GB"/>
              </w:rPr>
              <w:t xml:space="preserve">on-line </w:t>
            </w:r>
            <w:r>
              <w:rPr>
                <w:b w:val="false"/>
                <w:bCs w:val="false"/>
                <w:lang w:val="en-GB"/>
              </w:rPr>
              <w:t xml:space="preserve">questionnaires to be sent to the academia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Greek academia needs and interest in Space Geodesy and Earth Observation. </w:t>
            </w:r>
            <w:r>
              <w:rPr>
                <w:b w:val="false"/>
                <w:bCs w:val="false"/>
                <w:lang w:val="en-GB"/>
              </w:rPr>
              <w:t xml:space="preserve">See also Section </w:t>
            </w:r>
            <w:r>
              <w:rPr>
                <w:b w:val="false"/>
                <w:bCs w:val="false"/>
                <w:color w:val="000000"/>
                <w:shd w:fill="C9211E" w:val="clear"/>
                <w:lang w:val="en-GB"/>
              </w:rPr>
              <w:t>XX.</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2.X Exploring stakeholders and commercial needs and interest in Space Geodesy (M18-24); Lead CLS</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w:t>
            </w:r>
            <w:r>
              <w:rPr>
                <w:b w:val="false"/>
                <w:bCs w:val="false"/>
                <w:lang w:val="en-GB"/>
              </w:rPr>
              <w:t xml:space="preserve">on-line </w:t>
            </w:r>
            <w:r>
              <w:rPr>
                <w:b w:val="false"/>
                <w:bCs w:val="false"/>
                <w:lang w:val="en-GB"/>
              </w:rPr>
              <w:t xml:space="preserve">questionnaires to be sent to the </w:t>
            </w:r>
            <w:r>
              <w:rPr>
                <w:b w:val="false"/>
                <w:bCs w:val="false"/>
                <w:lang w:val="en-GB"/>
              </w:rPr>
              <w:t xml:space="preserve">commercial/business </w:t>
            </w:r>
            <w:r>
              <w:rPr>
                <w:b w:val="false"/>
                <w:bCs w:val="false"/>
                <w:lang w:val="en-GB"/>
              </w:rPr>
              <w:t xml:space="preserve">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w:t>
            </w:r>
            <w:r>
              <w:rPr>
                <w:b w:val="false"/>
                <w:bCs w:val="false"/>
                <w:lang w:val="en-GB"/>
              </w:rPr>
              <w:t xml:space="preserve">market </w:t>
            </w:r>
            <w:r>
              <w:rPr>
                <w:b w:val="false"/>
                <w:bCs w:val="false"/>
                <w:lang w:val="en-GB"/>
              </w:rPr>
              <w:t xml:space="preserve">needs and interest </w:t>
            </w:r>
            <w:r>
              <w:rPr>
                <w:b w:val="false"/>
                <w:bCs w:val="false"/>
                <w:lang w:val="en-GB"/>
              </w:rPr>
              <w:t>related to</w:t>
            </w:r>
            <w:r>
              <w:rPr>
                <w:b w:val="false"/>
                <w:bCs w:val="false"/>
                <w:lang w:val="en-GB"/>
              </w:rPr>
              <w:t xml:space="preserve"> Space Geodesy and Earth Observation </w:t>
            </w:r>
            <w:r>
              <w:rPr>
                <w:b w:val="false"/>
                <w:bCs w:val="false"/>
                <w:lang w:val="en-GB"/>
              </w:rPr>
              <w:t xml:space="preserve">(see also Section </w:t>
            </w:r>
            <w:r>
              <w:rPr>
                <w:b w:val="false"/>
                <w:bCs w:val="false"/>
                <w:color w:val="000000"/>
                <w:shd w:fill="C9211E" w:val="clear"/>
                <w:lang w:val="en-GB"/>
              </w:rPr>
              <w:t>XX).</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(M12-M36);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32"/>
        <w:gridCol w:w="2278"/>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7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3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3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3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3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3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3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3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3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3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32"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8"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8"/>
        <w:gridCol w:w="2439"/>
        <w:gridCol w:w="3828"/>
      </w:tblGrid>
      <w:tr>
        <w:trPr/>
        <w:tc>
          <w:tcPr>
            <w:tcW w:w="379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3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3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1"/>
        <w:gridCol w:w="1496"/>
        <w:gridCol w:w="1467"/>
        <w:gridCol w:w="1446"/>
        <w:gridCol w:w="3134"/>
      </w:tblGrid>
      <w:tr>
        <w:trPr/>
        <w:tc>
          <w:tcPr>
            <w:tcW w:w="2381"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1"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45"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73"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842"/>
        </w:tabs>
        <w:ind w:left="842" w:hanging="360"/>
      </w:pPr>
      <w:rPr>
        <w:rFonts w:ascii="Symbol" w:hAnsi="Symbol" w:cs="Symbol" w:hint="default"/>
      </w:rPr>
    </w:lvl>
    <w:lvl w:ilvl="1">
      <w:start w:val="1"/>
      <w:numFmt w:val="bullet"/>
      <w:lvlText w:val="◦"/>
      <w:lvlJc w:val="left"/>
      <w:pPr>
        <w:tabs>
          <w:tab w:val="num" w:pos="1202"/>
        </w:tabs>
        <w:ind w:left="1202" w:hanging="360"/>
      </w:pPr>
      <w:rPr>
        <w:rFonts w:ascii="OpenSymbol" w:hAnsi="OpenSymbol" w:cs="OpenSymbol" w:hint="default"/>
      </w:rPr>
    </w:lvl>
    <w:lvl w:ilvl="2">
      <w:start w:val="1"/>
      <w:numFmt w:val="bullet"/>
      <w:lvlText w:val="▪"/>
      <w:lvlJc w:val="left"/>
      <w:pPr>
        <w:tabs>
          <w:tab w:val="num" w:pos="1562"/>
        </w:tabs>
        <w:ind w:left="1562" w:hanging="360"/>
      </w:pPr>
      <w:rPr>
        <w:rFonts w:ascii="OpenSymbol" w:hAnsi="OpenSymbol" w:cs="OpenSymbol" w:hint="default"/>
      </w:rPr>
    </w:lvl>
    <w:lvl w:ilvl="3">
      <w:start w:val="1"/>
      <w:numFmt w:val="bullet"/>
      <w:lvlText w:val=""/>
      <w:lvlJc w:val="left"/>
      <w:pPr>
        <w:tabs>
          <w:tab w:val="num" w:pos="1922"/>
        </w:tabs>
        <w:ind w:left="1922" w:hanging="360"/>
      </w:pPr>
      <w:rPr>
        <w:rFonts w:ascii="Symbol" w:hAnsi="Symbol" w:cs="Symbol" w:hint="default"/>
      </w:rPr>
    </w:lvl>
    <w:lvl w:ilvl="4">
      <w:start w:val="1"/>
      <w:numFmt w:val="bullet"/>
      <w:lvlText w:val="◦"/>
      <w:lvlJc w:val="left"/>
      <w:pPr>
        <w:tabs>
          <w:tab w:val="num" w:pos="2282"/>
        </w:tabs>
        <w:ind w:left="2282" w:hanging="360"/>
      </w:pPr>
      <w:rPr>
        <w:rFonts w:ascii="OpenSymbol" w:hAnsi="OpenSymbol" w:cs="OpenSymbol" w:hint="default"/>
      </w:rPr>
    </w:lvl>
    <w:lvl w:ilvl="5">
      <w:start w:val="1"/>
      <w:numFmt w:val="bullet"/>
      <w:lvlText w:val="▪"/>
      <w:lvlJc w:val="left"/>
      <w:pPr>
        <w:tabs>
          <w:tab w:val="num" w:pos="2642"/>
        </w:tabs>
        <w:ind w:left="2642" w:hanging="360"/>
      </w:pPr>
      <w:rPr>
        <w:rFonts w:ascii="OpenSymbol" w:hAnsi="OpenSymbol" w:cs="OpenSymbol" w:hint="default"/>
      </w:rPr>
    </w:lvl>
    <w:lvl w:ilvl="6">
      <w:start w:val="1"/>
      <w:numFmt w:val="bullet"/>
      <w:lvlText w:val=""/>
      <w:lvlJc w:val="left"/>
      <w:pPr>
        <w:tabs>
          <w:tab w:val="num" w:pos="3002"/>
        </w:tabs>
        <w:ind w:left="3002" w:hanging="360"/>
      </w:pPr>
      <w:rPr>
        <w:rFonts w:ascii="Symbol" w:hAnsi="Symbol" w:cs="Symbol" w:hint="default"/>
      </w:rPr>
    </w:lvl>
    <w:lvl w:ilvl="7">
      <w:start w:val="1"/>
      <w:numFmt w:val="bullet"/>
      <w:lvlText w:val="◦"/>
      <w:lvlJc w:val="left"/>
      <w:pPr>
        <w:tabs>
          <w:tab w:val="num" w:pos="3362"/>
        </w:tabs>
        <w:ind w:left="3362" w:hanging="360"/>
      </w:pPr>
      <w:rPr>
        <w:rFonts w:ascii="OpenSymbol" w:hAnsi="OpenSymbol" w:cs="OpenSymbol" w:hint="default"/>
      </w:rPr>
    </w:lvl>
    <w:lvl w:ilvl="8">
      <w:start w:val="1"/>
      <w:numFmt w:val="bullet"/>
      <w:lvlText w:val="▪"/>
      <w:lvlJc w:val="left"/>
      <w:pPr>
        <w:tabs>
          <w:tab w:val="num" w:pos="3722"/>
        </w:tabs>
        <w:ind w:left="3722"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10106</TotalTime>
  <Application>LibreOffice/7.4.7.2$Linux_X86_64 LibreOffice_project/40$Build-2</Application>
  <AppVersion>15.0000</AppVersion>
  <Pages>33</Pages>
  <Words>14456</Words>
  <Characters>84900</Characters>
  <CharactersWithSpaces>98549</CharactersWithSpaces>
  <Paragraphs>815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2023-08-22T17:31:04Z</dcterms:modified>
  <cp:revision>918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