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2"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8834151"/>
            <w:bookmarkStart w:id="1" w:name="_Toc443645004"/>
            <w:bookmarkStart w:id="2" w:name="_Toc445930535"/>
            <w:bookmarkStart w:id="3" w:name="_Toc448828577"/>
            <w:bookmarkStart w:id="4" w:name="_Toc448828797"/>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28579"/>
            <w:bookmarkStart w:id="11" w:name="_Toc443645006"/>
            <w:bookmarkStart w:id="12" w:name="_Toc445930537"/>
            <w:bookmarkStart w:id="13" w:name="_Toc448828799"/>
            <w:bookmarkStart w:id="14" w:name="_Toc448834153"/>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20"/>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widowControl w:val="false"/>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DORIS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SLR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5"/>
              </w:numPr>
              <w:rPr/>
            </w:pPr>
            <w:r>
              <w:rPr/>
              <w:t>Number of applicants for PhD, PostDoc and (possible) tenure open positions. Expected to take place gradually after the start of ACRONYM.</w:t>
            </w:r>
          </w:p>
          <w:p>
            <w:pPr>
              <w:pStyle w:val="Normal"/>
              <w:widowControl w:val="false"/>
              <w:numPr>
                <w:ilvl w:val="0"/>
                <w:numId w:val="15"/>
              </w:numPr>
              <w:rPr/>
            </w:pPr>
            <w:r>
              <w:rPr/>
              <w:t>Number of young scientists (from partners) traveling to NTUA</w:t>
            </w:r>
          </w:p>
          <w:p>
            <w:pPr>
              <w:pStyle w:val="Normal"/>
              <w:widowControl w:val="false"/>
              <w:numPr>
                <w:ilvl w:val="0"/>
                <w:numId w:val="15"/>
              </w:numPr>
              <w:rPr/>
            </w:pPr>
            <w:r>
              <w:rPr/>
              <w:t>Number of funding bids submitted for PhD and PostDoc studies (carried out in host institute)</w:t>
            </w:r>
          </w:p>
          <w:p>
            <w:pPr>
              <w:pStyle w:val="Normal"/>
              <w:widowControl w:val="false"/>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Number of host institute staff trained</w:t>
            </w:r>
          </w:p>
          <w:p>
            <w:pPr>
              <w:pStyle w:val="Normal"/>
              <w:widowControl w:val="false"/>
              <w:numPr>
                <w:ilvl w:val="0"/>
                <w:numId w:val="16"/>
              </w:numPr>
              <w:rPr/>
            </w:pPr>
            <w:r>
              <w:rPr/>
              <w:t>Number of research proposals submitted (within the time span of ACRONYM)</w:t>
            </w:r>
          </w:p>
          <w:p>
            <w:pPr>
              <w:pStyle w:val="Normal"/>
              <w:widowControl w:val="false"/>
              <w:numPr>
                <w:ilvl w:val="0"/>
                <w:numId w:val="16"/>
              </w:numPr>
              <w:rPr/>
            </w:pPr>
            <w:r>
              <w:rPr/>
              <w:t>Diversity of funding pools targeted</w:t>
            </w:r>
          </w:p>
          <w:p>
            <w:pPr>
              <w:pStyle w:val="Normal"/>
              <w:widowControl w:val="false"/>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Normal"/>
        <w:spacing w:before="0" w:after="200"/>
        <w:jc w:val="both"/>
        <w:rPr>
          <w:b w:val="false"/>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modeling approaches  (according to the roadmap laied out in the technical dpocuments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utilising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preperation, proposal writing and oragnisational issues.</w:t>
      </w:r>
      <w:r>
        <w:rPr>
          <w:rStyle w:val="Strong"/>
          <w:b w:val="false"/>
          <w:bCs w:val="false"/>
          <w:shd w:fill="auto" w:val="clear"/>
          <w:lang w:val="en-GB"/>
        </w:rPr>
        <w:t xml:space="preserve"> The leading partners will share their experience and skills gained throughout the years in successefully preparing and organizing a research proposal submission. This will include project team composition, networking and partnership building, budget considerations and allocation, research focus preserntation, dissemination activities and organization, common pitfalls and best practices in proposal preperation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successeful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reseach proposals targeting young scientits and mobility (e.g. EU MSCA calls)</w:t>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inculded as a whole.</w:t>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Normal"/>
        <w:spacing w:before="0" w:after="200"/>
        <w:jc w:val="both"/>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co-spervision will be performed by one representative of the respective expert node (i.e. GFZ, IPGP and OSO), acting as a member of the three-party advisory comitte.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jc w:val="both"/>
        <w:rPr/>
      </w:pPr>
      <w:r>
        <w:rPr>
          <w:lang w:val="en-GB"/>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futher strategic networking, both with research institutions and collaboration agreements with businesses active in the field.</w:t>
      </w:r>
    </w:p>
    <w:p>
      <w:pPr>
        <w:pStyle w:val="Normal"/>
        <w:jc w:val="both"/>
        <w:rPr>
          <w:lang w:val="en-GB"/>
        </w:rPr>
      </w:pPr>
      <w:r>
        <w:rPr>
          <w:lang w:val="en-GB"/>
        </w:rPr>
      </w:r>
    </w:p>
    <w:p>
      <w:pPr>
        <w:pStyle w:val="Normal"/>
        <w:jc w:val="both"/>
        <w:rPr/>
      </w:pPr>
      <w:r>
        <w:rPr>
          <w:lang w:val="en-GB"/>
        </w:rPr>
        <w:t>The ecosystem call is expected to attract more than ten participants, including  possible industry partners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governmental agencies and 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jc w:val="both"/>
        <w:rPr>
          <w:lang w:val="en-GB"/>
        </w:rPr>
      </w:pPr>
      <w:r>
        <w:rPr>
          <w:lang w:val="en-GB"/>
        </w:rPr>
      </w:r>
    </w:p>
    <w:p>
      <w:pPr>
        <w:pStyle w:val="Normal"/>
        <w:jc w:val="both"/>
        <w:rPr>
          <w:highlight w:val="none"/>
          <w:shd w:fill="auto" w:val="clear"/>
        </w:rPr>
      </w:pPr>
      <w:r>
        <w:rPr>
          <w:shd w:fill="auto" w:val="clea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17"/>
          <w:headerReference w:type="default" r:id="rId18"/>
          <w:headerReference w:type="first" r:id="rId19"/>
          <w:footerReference w:type="default" r:id="rId20"/>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r>
          </w:p>
          <w:p>
            <w:pPr>
              <w:pStyle w:val="Normal"/>
              <w:widowControl w:val="false"/>
              <w:jc w:val="both"/>
              <w:rPr/>
            </w:pPr>
            <w:r>
              <w:rPr>
                <w:color w:val="000000"/>
                <w:lang w:val="en-GB"/>
              </w:rPr>
              <w:t xml:space="preserve">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 </w:t>
            </w:r>
          </w:p>
          <w:p>
            <w:pPr>
              <w:pStyle w:val="Normal"/>
              <w:widowControl w:val="false"/>
              <w:jc w:val="both"/>
              <w:rPr>
                <w:color w:val="000000"/>
                <w:lang w:val="en-GB"/>
              </w:rPr>
            </w:pPr>
            <w:r>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r>
          </w:p>
          <w:p>
            <w:pPr>
              <w:pStyle w:val="Normal"/>
              <w:widowControl w:val="false"/>
              <w:jc w:val="both"/>
              <w:rPr/>
            </w:pPr>
            <w:r>
              <w:rPr>
                <w:color w:val="000000"/>
                <w:lang w:val="en-GB"/>
              </w:rPr>
              <w:t>C</w:t>
            </w:r>
            <w:r>
              <w:rPr>
                <w:color w:val="000000"/>
                <w:lang w:val="en-GB"/>
              </w:rPr>
              <w:t>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xml:space="preserve">:  </w:t>
            </w:r>
            <w:r>
              <w:rPr>
                <w:rFonts w:ascii="Times New Roman" w:hAnsi="Times New Roman"/>
                <w:color w:val="auto"/>
                <w:lang w:val="en-GB"/>
              </w:rPr>
              <w:t>P</w:t>
            </w:r>
            <w:r>
              <w:rPr>
                <w:rFonts w:ascii="Times New Roman" w:hAnsi="Times New Roman"/>
                <w:color w:val="auto"/>
                <w:lang w:val="en-GB"/>
              </w:rPr>
              <w:t>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w:t>
            </w:r>
            <w:r>
              <w:rPr>
                <w:rFonts w:ascii="Times New Roman" w:hAnsi="Times New Roman"/>
                <w:color w:val="000000"/>
                <w:lang w:val="en-GB"/>
              </w:rPr>
              <w:t xml:space="preserve">(a) </w:t>
            </w:r>
            <w:r>
              <w:rPr>
                <w:rFonts w:ascii="Times New Roman" w:hAnsi="Times New Roman"/>
                <w:color w:val="000000"/>
                <w:lang w:val="en-GB"/>
              </w:rPr>
              <w:t>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w:t>
            </w:r>
            <w:r>
              <w:rPr>
                <w:color w:val="000000"/>
              </w:rPr>
              <w:t xml:space="preserve">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w:t>
            </w:r>
            <w:r>
              <w:rPr>
                <w:color w:val="000000"/>
              </w:rPr>
              <w:t>s</w:t>
            </w:r>
            <w:r>
              <w:rPr>
                <w:color w:val="000000"/>
              </w:rPr>
              <w:t xml:space="preserve"> in </w:t>
            </w:r>
            <w:r>
              <w:rPr>
                <w:color w:val="000000"/>
              </w:rPr>
              <w:t xml:space="preserve">high-impact </w:t>
            </w:r>
            <w:r>
              <w:rPr>
                <w:color w:val="000000"/>
              </w:rPr>
              <w:t>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w:t>
            </w:r>
            <w:r>
              <w:rPr>
                <w:color w:val="000000"/>
              </w:rPr>
              <w:t>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 xml:space="preserve">research management and administration unit to claim research bids. </w:t>
            </w:r>
            <w:r>
              <w:rPr>
                <w:b w:val="false"/>
                <w:bCs w:val="false"/>
                <w:color w:val="000000"/>
              </w:rPr>
              <w:t>Use the network of top-class partners/collaborators and Coordinator’s involvement in prestigious consortia to get involved in large scale research projects and claim funding.</w:t>
            </w:r>
          </w:p>
          <w:p>
            <w:pPr>
              <w:pStyle w:val="Normal"/>
              <w:widowControl w:val="false"/>
              <w:jc w:val="both"/>
              <w:rPr>
                <w:b w:val="false"/>
                <w:b w:val="false"/>
                <w:bCs w:val="false"/>
                <w:color w:val="000000"/>
              </w:rPr>
            </w:pPr>
            <w:r>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 w:val="false"/>
                <w:bCs w:val="false"/>
                <w:color w:val="000000"/>
              </w:rPr>
            </w:pPr>
            <w:r>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 w:val="false"/>
                <w:bCs w:val="false"/>
                <w:color w:val="000000"/>
              </w:rPr>
            </w:pPr>
            <w:r>
              <w:rPr/>
            </w:r>
          </w:p>
          <w:p>
            <w:pPr>
              <w:pStyle w:val="Normal"/>
              <w:widowControl w:val="false"/>
              <w:jc w:val="both"/>
              <w:rPr/>
            </w:pPr>
            <w:r>
              <w:rPr>
                <w:b/>
                <w:bCs/>
                <w:color w:val="000000"/>
              </w:rPr>
              <w:t>Exploitation:</w:t>
            </w:r>
            <w:r>
              <w:rPr>
                <w:b w:val="false"/>
                <w:bCs w:val="false"/>
                <w:color w:val="000000"/>
              </w:rPr>
              <w:t xml:space="preserve"> Use synergies within the national ecosystem to </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 xml:space="preserve">Three scientific papers in peer-reviewed, </w:t>
            </w:r>
            <w:r>
              <w:rPr>
                <w:color w:val="000000"/>
                <w:lang w:val="en-GB"/>
              </w:rPr>
              <w:t>high-impact</w:t>
            </w:r>
            <w:r>
              <w:rPr>
                <w:color w:val="000000"/>
                <w:lang w:val="en-GB"/>
              </w:rPr>
              <w:t xml:space="preserve"> journals.</w:t>
            </w:r>
            <w:r>
              <w:rPr>
                <w:color w:val="000000"/>
                <w:shd w:fill="auto" w:val="clear"/>
                <w:lang w:val="en-GB"/>
              </w:rPr>
              <w:t xml:space="preserve"> </w:t>
            </w:r>
            <w:r>
              <w:rPr>
                <w:color w:val="000000"/>
                <w:shd w:fill="auto" w:val="clear"/>
                <w:lang w:val="en-GB"/>
              </w:rPr>
              <w:t>F</w:t>
            </w:r>
            <w:r>
              <w:rPr>
                <w:color w:val="000000"/>
                <w:shd w:fill="auto" w:val="clear"/>
                <w:lang w:val="en-GB"/>
              </w:rPr>
              <w:t xml:space="preserve">ive </w:t>
            </w:r>
            <w:r>
              <w:rPr>
                <w:color w:val="000000"/>
                <w:lang w:val="en-GB"/>
              </w:rPr>
              <w:t>publication</w:t>
            </w:r>
            <w:r>
              <w:rPr>
                <w:color w:val="000000"/>
                <w:lang w:val="en-GB"/>
              </w:rPr>
              <w:t>s</w:t>
            </w:r>
            <w:r>
              <w:rPr>
                <w:color w:val="000000"/>
                <w:lang w:val="en-GB"/>
              </w:rPr>
              <w:t xml:space="preserve">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 xml:space="preserve">Three PhD and </w:t>
            </w:r>
            <w:r>
              <w:rPr>
                <w:color w:val="000000"/>
                <w:lang w:val="en-GB"/>
              </w:rPr>
              <w:t>three</w:t>
            </w:r>
            <w:r>
              <w:rPr>
                <w:color w:val="000000"/>
                <w:lang w:val="en-GB"/>
              </w:rPr>
              <w:t xml:space="preserve"> Post-Doc </w:t>
            </w:r>
            <w:r>
              <w:rPr>
                <w:color w:val="000000"/>
                <w:lang w:val="en-GB"/>
              </w:rPr>
              <w:t xml:space="preserve">students </w:t>
            </w:r>
            <w:r>
              <w:rPr>
                <w:color w:val="000000"/>
                <w:lang w:val="en-GB"/>
              </w:rPr>
              <w:t xml:space="preserve">trained. </w:t>
            </w:r>
            <w:r>
              <w:rPr>
                <w:color w:val="000000"/>
                <w:lang w:val="en-GB"/>
              </w:rPr>
              <w:t>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 xml:space="preserve">A prestigious network of collaborators, </w:t>
            </w:r>
            <w:r>
              <w:rPr>
                <w:rFonts w:ascii="Times New Roman" w:hAnsi="Times New Roman"/>
                <w:color w:val="000000"/>
                <w:lang w:val="en-GB"/>
              </w:rPr>
              <w:t xml:space="preserve">Involvement in international, high-prestige consortia such as IDS, IRLS </w:t>
            </w:r>
            <w:r>
              <w:rPr>
                <w:rFonts w:ascii="Times New Roman" w:hAnsi="Times New Roman"/>
                <w:color w:val="000000"/>
                <w:lang w:val="en-GB"/>
              </w:rPr>
              <w:t>and GGOS</w:t>
            </w:r>
            <w:r>
              <w:rPr>
                <w:rFonts w:ascii="Times New Roman" w:hAnsi="Times New Roman"/>
                <w:color w:val="000000"/>
                <w:lang w:val="en-GB"/>
              </w:rPr>
              <w:t>,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 xml:space="preserve">A national ecosystem of </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 xml:space="preserve">Research and </w:t>
            </w:r>
            <w:r>
              <w:rPr>
                <w:b/>
                <w:bCs/>
                <w:color w:val="000000"/>
                <w:lang w:val="en-GB"/>
              </w:rPr>
              <w:t>Scientific community</w:t>
            </w:r>
            <w:r>
              <w:rPr>
                <w:color w:val="000000"/>
                <w:lang w:val="en-GB"/>
              </w:rPr>
              <w:t xml:space="preserve"> </w:t>
            </w:r>
            <w:r>
              <w:rPr>
                <w:color w:val="000000"/>
                <w:lang w:val="en-GB"/>
              </w:rPr>
              <w:t xml:space="preserve">in the field </w:t>
            </w:r>
            <w:r>
              <w:rPr>
                <w:color w:val="000000"/>
                <w:lang w:val="en-GB"/>
              </w:rPr>
              <w:t>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(via the Coordinator and the ecosystem)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 xml:space="preserve">Significantly up-scale academic curriculum and research scope in Greece. Create a pool of experts in Space and studies and Geosciences, boosting innovation and research capacity on a national scale. </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r>
          </w:p>
          <w:p>
            <w:pPr>
              <w:pStyle w:val="Normal"/>
              <w:widowControl w:val="false"/>
              <w:jc w:val="both"/>
              <w:rPr/>
            </w:pPr>
            <w:r>
              <w:rPr>
                <w:i/>
                <w:iCs/>
                <w:color w:val="000000"/>
                <w:lang w:val="en-GB"/>
              </w:rPr>
              <w:t xml:space="preserve">Disperse and disseminate space geodetic products in yet a wider audience of scientists and applications. </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from expert nodes to the Coordinator, 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21"/>
              </w:numPr>
              <w:jc w:val="both"/>
              <w:rPr/>
            </w:pPr>
            <w:r>
              <w:rPr/>
              <w:t>two EU large scale research and innovation calls (e.g. HORIZON), and</w:t>
            </w:r>
          </w:p>
          <w:p>
            <w:pPr>
              <w:pStyle w:val="Normal"/>
              <w:widowControl w:val="false"/>
              <w:numPr>
                <w:ilvl w:val="0"/>
                <w:numId w:val="21"/>
              </w:numPr>
              <w:jc w:val="both"/>
              <w:rPr/>
            </w:pPr>
            <w:r>
              <w:rPr>
                <w:shd w:fill="auto" w:val="clear"/>
              </w:rPr>
              <w:t>two research proposals targeting young scientists and/or mobility (e.g. EU MSCA calls)</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(M1-M4); Lead NTUA</w:t>
            </w:r>
          </w:p>
          <w:p>
            <w:pPr>
              <w:pStyle w:val="Normal"/>
              <w:widowControl w:val="false"/>
              <w:spacing w:before="60" w:after="60"/>
              <w:jc w:val="both"/>
              <w:rPr>
                <w:b w:val="false"/>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2.1 Establishing ACRONYM seamless communication channels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 Geodetic Consortia</w:t>
            </w:r>
          </w:p>
          <w:p>
            <w:pPr>
              <w:pStyle w:val="Normal"/>
              <w:widowControl w:val="false"/>
              <w:rPr>
                <w:b w:val="false"/>
                <w:b w:val="false"/>
                <w:bCs w:val="false"/>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23">
              <w:r>
                <w:rPr>
                  <w:rStyle w:val="InternetLink"/>
                  <w:lang w:val="en-GB"/>
                </w:rPr>
                <w:t>https://libre.space/</w:t>
              </w:r>
            </w:hyperlink>
            <w:r>
              <w:rPr>
                <w:lang w:val="en-GB"/>
              </w:rPr>
              <w:t>), Geosystems Hellas (</w:t>
            </w:r>
            <w:hyperlink r:id="rId24">
              <w:r>
                <w:rPr>
                  <w:rStyle w:val="InternetLink"/>
                  <w:lang w:val="en-GB"/>
                </w:rPr>
                <w:t>https://www.geosystems-hellas.gr/</w:t>
              </w:r>
            </w:hyperlink>
            <w:r>
              <w:rPr>
                <w:lang w:val="en-GB"/>
              </w:rPr>
              <w:t>), Planetek Hellas (</w:t>
            </w:r>
            <w:hyperlink r:id="rId25">
              <w:r>
                <w:rPr>
                  <w:rStyle w:val="InternetLink"/>
                  <w:lang w:val="en-GB"/>
                </w:rPr>
                <w:t>https://www.planetek.gr/</w:t>
              </w:r>
            </w:hyperlink>
            <w:r>
              <w:rPr>
                <w:lang w:val="en-GB"/>
              </w:rPr>
              <w:t>)), governmental agencies and institutions (e.g. National Observatory of Athens, Beyond Centre (</w:t>
            </w:r>
            <w:hyperlink r:id="rId26">
              <w:r>
                <w:rPr>
                  <w:rStyle w:val="InternetLink"/>
                  <w:lang w:val="en-GB"/>
                </w:rPr>
                <w:t>http://beyond-eocenter.eu/</w:t>
              </w:r>
            </w:hyperlink>
            <w:r>
              <w:rPr>
                <w:lang w:val="en-GB"/>
              </w:rPr>
              <w:t>), Hellenic Group on Earth Observations (</w:t>
            </w:r>
            <w:hyperlink r:id="rId27">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b w:val="false"/>
                <w:b w:val="false"/>
                <w:bCs w:val="false"/>
              </w:rPr>
            </w:pPr>
            <w:r>
              <w:rPr>
                <w:b w:val="false"/>
                <w:bCs w:val="false"/>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34"/>
        <w:gridCol w:w="2276"/>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7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3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3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3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3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3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3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3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3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3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3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00"/>
        <w:gridCol w:w="2437"/>
        <w:gridCol w:w="3828"/>
      </w:tblGrid>
      <w:tr>
        <w:trPr/>
        <w:tc>
          <w:tcPr>
            <w:tcW w:w="3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3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0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0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3"/>
        <w:gridCol w:w="1494"/>
        <w:gridCol w:w="1467"/>
        <w:gridCol w:w="1446"/>
        <w:gridCol w:w="3134"/>
      </w:tblGrid>
      <w:tr>
        <w:trPr/>
        <w:tc>
          <w:tcPr>
            <w:tcW w:w="2383"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8"/>
      <w:footerReference w:type="default" r:id="rId29"/>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0"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9</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9</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42"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70"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yperlink" Target="https://libre.space/" TargetMode="External"/><Relationship Id="rId24" Type="http://schemas.openxmlformats.org/officeDocument/2006/relationships/hyperlink" Target="https://www.geosystems-hellas.gr/" TargetMode="External"/><Relationship Id="rId25" Type="http://schemas.openxmlformats.org/officeDocument/2006/relationships/hyperlink" Target="https://www.planetek.gr/" TargetMode="External"/><Relationship Id="rId26" Type="http://schemas.openxmlformats.org/officeDocument/2006/relationships/hyperlink" Target="http://beyond-eocenter.eu/" TargetMode="External"/><Relationship Id="rId27" Type="http://schemas.openxmlformats.org/officeDocument/2006/relationships/hyperlink" Target="https://www.greekgeo.noa.gr/" TargetMode="External"/><Relationship Id="rId28" Type="http://schemas.openxmlformats.org/officeDocument/2006/relationships/header" Target="header9.xml"/><Relationship Id="rId29" Type="http://schemas.openxmlformats.org/officeDocument/2006/relationships/footer" Target="footer5.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9041</TotalTime>
  <Application>LibreOffice/7.4.7.2$Linux_X86_64 LibreOffice_project/40$Build-2</Application>
  <AppVersion>15.0000</AppVersion>
  <Pages>32</Pages>
  <Words>13289</Words>
  <Characters>78293</Characters>
  <CharactersWithSpaces>90811</CharactersWithSpaces>
  <Paragraphs>788</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2023-08-21T15:06:24Z</dcterms:modified>
  <cp:revision>817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