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8C493" w14:textId="1871AF19" w:rsidR="00C26737" w:rsidRDefault="00C26737" w:rsidP="00042D69">
      <w:pPr>
        <w:rPr>
          <w:b/>
        </w:rPr>
      </w:pPr>
      <w:r>
        <w:rPr>
          <w:b/>
        </w:rPr>
        <w:t>January 2019</w:t>
      </w:r>
    </w:p>
    <w:p w14:paraId="77A0DD74" w14:textId="77777777" w:rsidR="00C26737" w:rsidRDefault="00C26737" w:rsidP="00042D69">
      <w:pPr>
        <w:rPr>
          <w:b/>
        </w:rPr>
      </w:pPr>
    </w:p>
    <w:p w14:paraId="33A883CE" w14:textId="6C971C62" w:rsidR="00042D69" w:rsidRPr="003F2FF8" w:rsidRDefault="003F2FF8" w:rsidP="00042D69">
      <w:pPr>
        <w:rPr>
          <w:b/>
        </w:rPr>
      </w:pPr>
      <w:r w:rsidRPr="003F2FF8">
        <w:rPr>
          <w:b/>
        </w:rPr>
        <w:t>Ethics</w:t>
      </w:r>
      <w:r w:rsidR="00C26737">
        <w:rPr>
          <w:b/>
        </w:rPr>
        <w:t xml:space="preserve"> – excerpts from a review of the literature</w:t>
      </w:r>
    </w:p>
    <w:p w14:paraId="4497761E" w14:textId="77777777" w:rsidR="003F2FF8" w:rsidRDefault="003F2FF8" w:rsidP="00042D69"/>
    <w:p w14:paraId="4759F79A" w14:textId="0DD0BDC2" w:rsidR="008177D6" w:rsidRPr="007D092D" w:rsidRDefault="008177D6" w:rsidP="00AC0C98">
      <w:pPr>
        <w:pStyle w:val="Heading4"/>
        <w:spacing w:before="0"/>
        <w:rPr>
          <w:szCs w:val="22"/>
        </w:rPr>
      </w:pPr>
      <w:r w:rsidRPr="007D092D">
        <w:rPr>
          <w:szCs w:val="22"/>
        </w:rPr>
        <w:t>Ethics and data governance</w:t>
      </w:r>
    </w:p>
    <w:p w14:paraId="64622E18" w14:textId="772A0C1A" w:rsidR="000A3630" w:rsidRPr="007D092D" w:rsidRDefault="0021453F" w:rsidP="00AC0C98">
      <w:pPr>
        <w:snapToGrid w:val="0"/>
        <w:rPr>
          <w:rFonts w:ascii="ITC Franklin Gothic Std Book" w:hAnsi="ITC Franklin Gothic Std Book"/>
          <w:color w:val="000000" w:themeColor="text1"/>
          <w:sz w:val="22"/>
          <w:szCs w:val="22"/>
        </w:rPr>
      </w:pPr>
      <w:r w:rsidRPr="007D092D">
        <w:rPr>
          <w:rFonts w:ascii="ITC Franklin Gothic Std Book" w:hAnsi="ITC Franklin Gothic Std Book"/>
          <w:color w:val="000000" w:themeColor="text1"/>
          <w:sz w:val="22"/>
          <w:szCs w:val="22"/>
        </w:rPr>
        <w:t>Conceptualizing and implementing the data science framework as an ecosystem moves the framework from a set of isolated steps to set of seamless activities (Berman et al. 2018).</w:t>
      </w:r>
      <w:r w:rsidR="000A3630" w:rsidRPr="007D092D">
        <w:rPr>
          <w:rStyle w:val="FootnoteReference"/>
          <w:rFonts w:ascii="ITC Franklin Gothic Std Book" w:hAnsi="ITC Franklin Gothic Std Book"/>
          <w:color w:val="000000" w:themeColor="text1"/>
          <w:sz w:val="22"/>
          <w:szCs w:val="22"/>
        </w:rPr>
        <w:footnoteReference w:id="1"/>
      </w:r>
      <w:r w:rsidR="000A3630" w:rsidRPr="007D092D">
        <w:rPr>
          <w:rFonts w:ascii="ITC Franklin Gothic Std Book" w:hAnsi="ITC Franklin Gothic Std Book"/>
          <w:color w:val="000000" w:themeColor="text1"/>
          <w:sz w:val="22"/>
          <w:szCs w:val="22"/>
          <w:vertAlign w:val="superscript"/>
        </w:rPr>
        <w:t xml:space="preserve">  </w:t>
      </w:r>
      <w:r w:rsidR="000A3630" w:rsidRPr="007D092D">
        <w:rPr>
          <w:rFonts w:ascii="ITC Franklin Gothic Std Book" w:hAnsi="ITC Franklin Gothic Std Book"/>
          <w:color w:val="000000" w:themeColor="text1"/>
          <w:sz w:val="22"/>
          <w:szCs w:val="22"/>
        </w:rPr>
        <w:t xml:space="preserve">Underlying the framework is an environment of ethics, policies, rules, and stewardship that guide the implementation of the data science framework. The digital age imposes additional challenges on researchers, journals, and businesses. </w:t>
      </w:r>
    </w:p>
    <w:p w14:paraId="06895704" w14:textId="77FDDE06" w:rsidR="000A3630" w:rsidRPr="007D092D" w:rsidRDefault="000A3630" w:rsidP="00AC0C98">
      <w:pPr>
        <w:rPr>
          <w:rStyle w:val="Hyperlink"/>
          <w:rFonts w:ascii="ITC Franklin Gothic Std Book" w:hAnsi="ITC Franklin Gothic Std Book"/>
          <w:sz w:val="22"/>
          <w:szCs w:val="22"/>
        </w:rPr>
      </w:pPr>
    </w:p>
    <w:p w14:paraId="3AC1BAF9" w14:textId="2CEE512C" w:rsidR="000A3630" w:rsidRPr="007D092D" w:rsidRDefault="000A3630" w:rsidP="00A40F64">
      <w:pPr>
        <w:pStyle w:val="Heading5"/>
        <w:spacing w:before="0"/>
        <w:rPr>
          <w:szCs w:val="22"/>
        </w:rPr>
      </w:pPr>
      <w:r w:rsidRPr="007D092D">
        <w:rPr>
          <w:rStyle w:val="Hyperlink"/>
          <w:color w:val="000000" w:themeColor="text1"/>
          <w:szCs w:val="22"/>
          <w:u w:val="none"/>
        </w:rPr>
        <w:t>Ethical Challenges for Researchers in the Digital Age</w:t>
      </w:r>
    </w:p>
    <w:p w14:paraId="19E8A73D" w14:textId="42B6316A" w:rsidR="000A3630" w:rsidRPr="007D092D" w:rsidRDefault="000A3630" w:rsidP="00AC0C98">
      <w:pPr>
        <w:snapToGrid w:val="0"/>
        <w:rPr>
          <w:rFonts w:ascii="ITC Franklin Gothic Std Book" w:hAnsi="ITC Franklin Gothic Std Book"/>
          <w:color w:val="000000" w:themeColor="text1"/>
          <w:sz w:val="22"/>
          <w:szCs w:val="22"/>
        </w:rPr>
      </w:pPr>
      <w:r w:rsidRPr="007D092D">
        <w:rPr>
          <w:rFonts w:ascii="ITC Franklin Gothic Std Book" w:hAnsi="ITC Franklin Gothic Std Book"/>
          <w:color w:val="000000" w:themeColor="text1"/>
          <w:sz w:val="22"/>
          <w:szCs w:val="22"/>
        </w:rPr>
        <w:t>Social science research in the digital age is different because researchers can now observe behavior without consent or awareness by those providing the data (</w:t>
      </w:r>
      <w:proofErr w:type="spellStart"/>
      <w:r w:rsidRPr="007D092D">
        <w:rPr>
          <w:rFonts w:ascii="ITC Franklin Gothic Std Book" w:hAnsi="ITC Franklin Gothic Std Book"/>
          <w:color w:val="000000" w:themeColor="text1"/>
          <w:sz w:val="22"/>
          <w:szCs w:val="22"/>
        </w:rPr>
        <w:t>Salganik</w:t>
      </w:r>
      <w:proofErr w:type="spellEnd"/>
      <w:r w:rsidRPr="007D092D">
        <w:rPr>
          <w:rFonts w:ascii="ITC Franklin Gothic Std Book" w:hAnsi="ITC Franklin Gothic Std Book"/>
          <w:color w:val="000000" w:themeColor="text1"/>
          <w:sz w:val="22"/>
          <w:szCs w:val="22"/>
        </w:rPr>
        <w:t xml:space="preserve"> 2018). </w:t>
      </w:r>
      <w:r w:rsidRPr="00BF66EA">
        <w:rPr>
          <w:rFonts w:ascii="ITC Franklin Gothic Std Book" w:hAnsi="ITC Franklin Gothic Std Book"/>
          <w:b/>
          <w:color w:val="000000" w:themeColor="text1"/>
          <w:sz w:val="22"/>
          <w:szCs w:val="22"/>
        </w:rPr>
        <w:t>An analogy is the panopticon prison, a circular building that allows an observer in the watchtower (the most inner circle) to observe the behavior of all the people in their cells without being seen.</w:t>
      </w:r>
      <w:r w:rsidRPr="007D092D">
        <w:rPr>
          <w:rFonts w:ascii="ITC Franklin Gothic Std Book" w:hAnsi="ITC Franklin Gothic Std Book"/>
          <w:color w:val="000000" w:themeColor="text1"/>
          <w:sz w:val="22"/>
          <w:szCs w:val="22"/>
        </w:rPr>
        <w:t xml:space="preserve"> There is concern that that companies and governments are constantly observing and recording our data (</w:t>
      </w:r>
      <w:proofErr w:type="spellStart"/>
      <w:r w:rsidRPr="007D092D">
        <w:rPr>
          <w:rFonts w:ascii="ITC Franklin Gothic Std Book" w:hAnsi="ITC Franklin Gothic Std Book"/>
          <w:color w:val="000000" w:themeColor="text1"/>
          <w:sz w:val="22"/>
          <w:szCs w:val="22"/>
        </w:rPr>
        <w:t>Salganik</w:t>
      </w:r>
      <w:proofErr w:type="spellEnd"/>
      <w:r w:rsidRPr="007D092D">
        <w:rPr>
          <w:rFonts w:ascii="ITC Franklin Gothic Std Book" w:hAnsi="ITC Franklin Gothic Std Book"/>
          <w:color w:val="000000" w:themeColor="text1"/>
          <w:sz w:val="22"/>
          <w:szCs w:val="22"/>
        </w:rPr>
        <w:t xml:space="preserve"> 2018) similar to the observer in the watchtower. </w:t>
      </w:r>
    </w:p>
    <w:p w14:paraId="64985183" w14:textId="77777777" w:rsidR="000A3630" w:rsidRPr="007D092D" w:rsidRDefault="000A3630" w:rsidP="00AC0C98">
      <w:pPr>
        <w:snapToGrid w:val="0"/>
        <w:rPr>
          <w:rFonts w:ascii="ITC Franklin Gothic Std Book" w:hAnsi="ITC Franklin Gothic Std Book"/>
          <w:color w:val="000000" w:themeColor="text1"/>
          <w:sz w:val="22"/>
          <w:szCs w:val="22"/>
        </w:rPr>
      </w:pPr>
    </w:p>
    <w:p w14:paraId="045F1404" w14:textId="1F06CFBC" w:rsidR="000A3630" w:rsidRDefault="000A3630" w:rsidP="00AC0C98">
      <w:pPr>
        <w:snapToGrid w:val="0"/>
        <w:rPr>
          <w:rFonts w:ascii="ITC Franklin Gothic Std Book" w:hAnsi="ITC Franklin Gothic Std Book"/>
          <w:color w:val="000000" w:themeColor="text1"/>
          <w:sz w:val="22"/>
          <w:szCs w:val="22"/>
        </w:rPr>
      </w:pPr>
      <w:r w:rsidRPr="007D092D">
        <w:rPr>
          <w:rFonts w:ascii="ITC Franklin Gothic Std Book" w:hAnsi="ITC Franklin Gothic Std Book"/>
          <w:color w:val="000000" w:themeColor="text1"/>
          <w:sz w:val="22"/>
          <w:szCs w:val="22"/>
        </w:rPr>
        <w:t xml:space="preserve">Three examples of ethical challenges in the digital age are the Emotional Contagion experiments conducted by Facebook in 2012; the merging of Facebook and university records by researchers at Harvard University in 2006 and then sharing deidentified data with other researchers; and Encore, a code used to measure Internet censorship, implemented with good intentions but others raised concern that people in some countries would be exposed to risk if their computer tried </w:t>
      </w:r>
      <w:r>
        <w:rPr>
          <w:rFonts w:ascii="ITC Franklin Gothic Std Book" w:hAnsi="ITC Franklin Gothic Std Book"/>
          <w:color w:val="000000" w:themeColor="text1"/>
          <w:sz w:val="22"/>
          <w:szCs w:val="22"/>
        </w:rPr>
        <w:t xml:space="preserve">to </w:t>
      </w:r>
      <w:r w:rsidRPr="007D092D">
        <w:rPr>
          <w:rFonts w:ascii="ITC Franklin Gothic Std Book" w:hAnsi="ITC Franklin Gothic Std Book"/>
          <w:color w:val="000000" w:themeColor="text1"/>
          <w:sz w:val="22"/>
          <w:szCs w:val="22"/>
        </w:rPr>
        <w:t>visit certain websites (</w:t>
      </w:r>
      <w:proofErr w:type="spellStart"/>
      <w:r w:rsidRPr="007D092D">
        <w:rPr>
          <w:rFonts w:ascii="ITC Franklin Gothic Std Book" w:hAnsi="ITC Franklin Gothic Std Book"/>
          <w:color w:val="000000" w:themeColor="text1"/>
          <w:sz w:val="22"/>
          <w:szCs w:val="22"/>
        </w:rPr>
        <w:t>Salganik</w:t>
      </w:r>
      <w:proofErr w:type="spellEnd"/>
      <w:r w:rsidRPr="007D092D">
        <w:rPr>
          <w:rFonts w:ascii="ITC Franklin Gothic Std Book" w:hAnsi="ITC Franklin Gothic Std Book"/>
          <w:color w:val="000000" w:themeColor="text1"/>
          <w:sz w:val="22"/>
          <w:szCs w:val="22"/>
        </w:rPr>
        <w:t xml:space="preserve"> 2018</w:t>
      </w:r>
      <w:r>
        <w:rPr>
          <w:rFonts w:ascii="ITC Franklin Gothic Std Book" w:hAnsi="ITC Franklin Gothic Std Book"/>
          <w:color w:val="000000" w:themeColor="text1"/>
          <w:sz w:val="22"/>
          <w:szCs w:val="22"/>
        </w:rPr>
        <w:t>)</w:t>
      </w:r>
    </w:p>
    <w:p w14:paraId="7592424D" w14:textId="77777777" w:rsidR="000A3630" w:rsidRDefault="000A3630" w:rsidP="00AC0C98">
      <w:pPr>
        <w:snapToGrid w:val="0"/>
        <w:rPr>
          <w:rFonts w:ascii="ITC Franklin Gothic Std Book" w:hAnsi="ITC Franklin Gothic Std Book"/>
          <w:color w:val="000000" w:themeColor="text1"/>
          <w:sz w:val="22"/>
          <w:szCs w:val="22"/>
        </w:rPr>
      </w:pPr>
    </w:p>
    <w:p w14:paraId="6F1467BD" w14:textId="4605F25D" w:rsidR="000A3630" w:rsidRPr="007D092D" w:rsidRDefault="000A3630" w:rsidP="00AC0C98">
      <w:pPr>
        <w:autoSpaceDE w:val="0"/>
        <w:autoSpaceDN w:val="0"/>
        <w:adjustRightInd w:val="0"/>
        <w:rPr>
          <w:rFonts w:ascii="ITC Franklin Gothic Std Book" w:eastAsiaTheme="minorHAnsi" w:hAnsi="ITC Franklin Gothic Std Book" w:cs="Georgia"/>
          <w:color w:val="000000"/>
          <w:sz w:val="22"/>
          <w:szCs w:val="22"/>
        </w:rPr>
      </w:pPr>
      <w:r w:rsidRPr="003F2FF8">
        <w:rPr>
          <w:rFonts w:ascii="ITC Franklin Gothic Std Book" w:eastAsiaTheme="minorHAnsi" w:hAnsi="ITC Franklin Gothic Std Book" w:cs="Georgia"/>
          <w:b/>
          <w:iCs/>
          <w:color w:val="000000"/>
          <w:sz w:val="22"/>
          <w:szCs w:val="22"/>
        </w:rPr>
        <w:t>One challenge is that social scientists and data scientists may think about ethics differently</w:t>
      </w:r>
      <w:r w:rsidRPr="007D092D">
        <w:rPr>
          <w:rFonts w:ascii="ITC Franklin Gothic Std Book" w:eastAsiaTheme="minorHAnsi" w:hAnsi="ITC Franklin Gothic Std Book" w:cs="Georgia"/>
          <w:iCs/>
          <w:color w:val="000000"/>
          <w:sz w:val="22"/>
          <w:szCs w:val="22"/>
        </w:rPr>
        <w:t xml:space="preserve"> (</w:t>
      </w:r>
      <w:proofErr w:type="spellStart"/>
      <w:r w:rsidRPr="007D092D">
        <w:rPr>
          <w:rFonts w:ascii="ITC Franklin Gothic Std Book" w:eastAsiaTheme="minorHAnsi" w:hAnsi="ITC Franklin Gothic Std Book" w:cs="Georgia"/>
          <w:iCs/>
          <w:color w:val="000000"/>
          <w:sz w:val="22"/>
          <w:szCs w:val="22"/>
        </w:rPr>
        <w:t>Salganik</w:t>
      </w:r>
      <w:proofErr w:type="spellEnd"/>
      <w:r w:rsidRPr="007D092D">
        <w:rPr>
          <w:rFonts w:ascii="ITC Franklin Gothic Std Book" w:eastAsiaTheme="minorHAnsi" w:hAnsi="ITC Franklin Gothic Std Book" w:cs="Georgia"/>
          <w:iCs/>
          <w:color w:val="000000"/>
          <w:sz w:val="22"/>
          <w:szCs w:val="22"/>
        </w:rPr>
        <w:t xml:space="preserve"> 2018).  </w:t>
      </w:r>
      <w:r w:rsidRPr="007D092D">
        <w:rPr>
          <w:rFonts w:ascii="ITC Franklin Gothic Std Book" w:eastAsiaTheme="minorHAnsi" w:hAnsi="ITC Franklin Gothic Std Book" w:cs="Georgia"/>
          <w:color w:val="000000"/>
          <w:sz w:val="22"/>
          <w:szCs w:val="22"/>
        </w:rPr>
        <w:t xml:space="preserve">Social scientists follow a rules-based approach and data scientists use ad hoc approaches. Instead, </w:t>
      </w:r>
      <w:proofErr w:type="spellStart"/>
      <w:r w:rsidRPr="007D092D">
        <w:rPr>
          <w:rFonts w:ascii="ITC Franklin Gothic Std Book" w:eastAsiaTheme="minorHAnsi" w:hAnsi="ITC Franklin Gothic Std Book" w:cs="Georgia"/>
          <w:color w:val="000000"/>
          <w:sz w:val="22"/>
          <w:szCs w:val="22"/>
        </w:rPr>
        <w:t>Salganik</w:t>
      </w:r>
      <w:proofErr w:type="spellEnd"/>
      <w:r w:rsidRPr="007D092D">
        <w:rPr>
          <w:rFonts w:ascii="ITC Franklin Gothic Std Book" w:eastAsiaTheme="minorHAnsi" w:hAnsi="ITC Franklin Gothic Std Book" w:cs="Georgia"/>
          <w:color w:val="000000"/>
          <w:sz w:val="22"/>
          <w:szCs w:val="22"/>
        </w:rPr>
        <w:t xml:space="preserve"> (2018) advocates a </w:t>
      </w:r>
      <w:r w:rsidRPr="00C5523D">
        <w:rPr>
          <w:rFonts w:ascii="ITC Franklin Gothic Std Book" w:eastAsiaTheme="minorHAnsi" w:hAnsi="ITC Franklin Gothic Std Book" w:cs="Georgia"/>
          <w:b/>
          <w:color w:val="000000"/>
          <w:sz w:val="22"/>
          <w:szCs w:val="22"/>
        </w:rPr>
        <w:t>principles-based approach</w:t>
      </w:r>
      <w:r w:rsidRPr="007D092D">
        <w:rPr>
          <w:rFonts w:ascii="ITC Franklin Gothic Std Book" w:eastAsiaTheme="minorHAnsi" w:hAnsi="ITC Franklin Gothic Std Book" w:cs="Georgia"/>
          <w:color w:val="000000"/>
          <w:sz w:val="22"/>
          <w:szCs w:val="22"/>
        </w:rPr>
        <w:t xml:space="preserve">, which allows researchers to make decisions and communicate their decision process for cases where rules do not yet exist. </w:t>
      </w:r>
      <w:r w:rsidRPr="007D092D">
        <w:rPr>
          <w:rFonts w:ascii="ITC Franklin Gothic Std Book" w:eastAsiaTheme="minorHAnsi" w:hAnsi="ITC Franklin Gothic Std Book" w:cs="Georgia"/>
          <w:iCs/>
          <w:color w:val="000000"/>
          <w:sz w:val="22"/>
          <w:szCs w:val="22"/>
        </w:rPr>
        <w:t>The approach emphasizes responsibility and methods expected to produce results that will benefit society.</w:t>
      </w:r>
    </w:p>
    <w:p w14:paraId="1934C88E" w14:textId="77777777" w:rsidR="000A3630" w:rsidRPr="007D092D" w:rsidRDefault="000A3630" w:rsidP="00AC0C98">
      <w:pPr>
        <w:autoSpaceDE w:val="0"/>
        <w:autoSpaceDN w:val="0"/>
        <w:adjustRightInd w:val="0"/>
        <w:rPr>
          <w:rFonts w:ascii="ITC Franklin Gothic Std Book" w:eastAsiaTheme="minorHAnsi" w:hAnsi="ITC Franklin Gothic Std Book" w:cs="Georgia"/>
          <w:color w:val="000000"/>
          <w:sz w:val="22"/>
          <w:szCs w:val="22"/>
        </w:rPr>
      </w:pPr>
    </w:p>
    <w:p w14:paraId="653E161F" w14:textId="17F9E714" w:rsidR="000A3630" w:rsidRPr="007D092D" w:rsidRDefault="000A3630" w:rsidP="00AC0C98">
      <w:pPr>
        <w:autoSpaceDE w:val="0"/>
        <w:autoSpaceDN w:val="0"/>
        <w:adjustRightInd w:val="0"/>
        <w:rPr>
          <w:rFonts w:ascii="ITC Franklin Gothic Std Book" w:eastAsiaTheme="minorHAnsi" w:hAnsi="ITC Franklin Gothic Std Book" w:cs="Georgia"/>
          <w:iCs/>
          <w:color w:val="000000"/>
          <w:sz w:val="22"/>
          <w:szCs w:val="22"/>
        </w:rPr>
      </w:pPr>
      <w:r w:rsidRPr="007D092D">
        <w:rPr>
          <w:rFonts w:ascii="ITC Franklin Gothic Std Book" w:eastAsiaTheme="minorHAnsi" w:hAnsi="ITC Franklin Gothic Std Book" w:cs="Georgia"/>
          <w:color w:val="000000"/>
          <w:sz w:val="22"/>
          <w:szCs w:val="22"/>
        </w:rPr>
        <w:t>These principles are rooted in the rules that were developed after ethical failures by researchers (e.g., the Tuskegee Syphilis Study conducted from 1932-1972). University research and others already follow these rules with approval and monitoring by their Institutional Review Boards. These existing principles are</w:t>
      </w:r>
      <w:r>
        <w:rPr>
          <w:rFonts w:ascii="ITC Franklin Gothic Std Book" w:eastAsiaTheme="minorHAnsi" w:hAnsi="ITC Franklin Gothic Std Book" w:cs="Georgia"/>
          <w:color w:val="000000"/>
          <w:sz w:val="22"/>
          <w:szCs w:val="22"/>
        </w:rPr>
        <w:t xml:space="preserve"> (</w:t>
      </w:r>
      <w:proofErr w:type="spellStart"/>
      <w:r>
        <w:rPr>
          <w:rFonts w:ascii="ITC Franklin Gothic Std Book" w:eastAsiaTheme="minorHAnsi" w:hAnsi="ITC Franklin Gothic Std Book" w:cs="Georgia"/>
          <w:color w:val="000000"/>
          <w:sz w:val="22"/>
          <w:szCs w:val="22"/>
        </w:rPr>
        <w:t>Salganik</w:t>
      </w:r>
      <w:proofErr w:type="spellEnd"/>
      <w:r>
        <w:rPr>
          <w:rFonts w:ascii="ITC Franklin Gothic Std Book" w:eastAsiaTheme="minorHAnsi" w:hAnsi="ITC Franklin Gothic Std Book" w:cs="Georgia"/>
          <w:color w:val="000000"/>
          <w:sz w:val="22"/>
          <w:szCs w:val="22"/>
        </w:rPr>
        <w:t xml:space="preserve"> 2018)</w:t>
      </w:r>
      <w:r w:rsidRPr="007D092D">
        <w:rPr>
          <w:rFonts w:ascii="ITC Franklin Gothic Std Book" w:eastAsiaTheme="minorHAnsi" w:hAnsi="ITC Franklin Gothic Std Book" w:cs="Georgia"/>
          <w:color w:val="000000"/>
          <w:sz w:val="22"/>
          <w:szCs w:val="22"/>
        </w:rPr>
        <w:t>:</w:t>
      </w:r>
    </w:p>
    <w:p w14:paraId="4CA06A5A" w14:textId="77777777" w:rsidR="000A3630" w:rsidRPr="007D092D" w:rsidRDefault="000A3630" w:rsidP="00AC0C98">
      <w:pPr>
        <w:pStyle w:val="ListParagraph"/>
        <w:numPr>
          <w:ilvl w:val="0"/>
          <w:numId w:val="2"/>
        </w:numPr>
        <w:autoSpaceDE w:val="0"/>
        <w:autoSpaceDN w:val="0"/>
        <w:adjustRightInd w:val="0"/>
        <w:rPr>
          <w:rFonts w:ascii="ITC Franklin Gothic Std Book" w:eastAsiaTheme="minorHAnsi" w:hAnsi="ITC Franklin Gothic Std Book" w:cs="Georgia"/>
          <w:color w:val="000000"/>
          <w:sz w:val="22"/>
          <w:szCs w:val="22"/>
        </w:rPr>
      </w:pPr>
      <w:r w:rsidRPr="007D092D">
        <w:rPr>
          <w:rFonts w:ascii="ITC Franklin Gothic Std Book" w:eastAsiaTheme="minorHAnsi" w:hAnsi="ITC Franklin Gothic Std Book" w:cs="Georgia"/>
          <w:color w:val="000000"/>
          <w:sz w:val="22"/>
          <w:szCs w:val="22"/>
        </w:rPr>
        <w:t>Respect for persons – treating people as autonomous and honoring their wishes</w:t>
      </w:r>
    </w:p>
    <w:p w14:paraId="411CCD85" w14:textId="0822AE52" w:rsidR="000A3630" w:rsidRPr="007D092D" w:rsidRDefault="000A3630" w:rsidP="00AC0C98">
      <w:pPr>
        <w:pStyle w:val="ListParagraph"/>
        <w:numPr>
          <w:ilvl w:val="0"/>
          <w:numId w:val="2"/>
        </w:numPr>
        <w:autoSpaceDE w:val="0"/>
        <w:autoSpaceDN w:val="0"/>
        <w:adjustRightInd w:val="0"/>
        <w:rPr>
          <w:rFonts w:ascii="ITC Franklin Gothic Std Book" w:eastAsiaTheme="minorHAnsi" w:hAnsi="ITC Franklin Gothic Std Book" w:cs="Georgia"/>
          <w:color w:val="000000"/>
          <w:sz w:val="22"/>
          <w:szCs w:val="22"/>
        </w:rPr>
      </w:pPr>
      <w:r w:rsidRPr="007D092D">
        <w:rPr>
          <w:rFonts w:ascii="ITC Franklin Gothic Std Book" w:eastAsiaTheme="minorHAnsi" w:hAnsi="ITC Franklin Gothic Std Book" w:cs="Georgia"/>
          <w:color w:val="000000"/>
          <w:sz w:val="22"/>
          <w:szCs w:val="22"/>
        </w:rPr>
        <w:t xml:space="preserve">Beneficence – understanding the risks and benefits of the study and weighing the balance between (1) do no harm and (2) maximize possible benefits and minimize possible harms. </w:t>
      </w:r>
    </w:p>
    <w:p w14:paraId="09054475" w14:textId="77777777" w:rsidR="000A3630" w:rsidRPr="007D092D" w:rsidRDefault="000A3630" w:rsidP="00AC0C98">
      <w:pPr>
        <w:pStyle w:val="ListParagraph"/>
        <w:numPr>
          <w:ilvl w:val="0"/>
          <w:numId w:val="2"/>
        </w:numPr>
        <w:autoSpaceDE w:val="0"/>
        <w:autoSpaceDN w:val="0"/>
        <w:adjustRightInd w:val="0"/>
        <w:rPr>
          <w:rFonts w:ascii="ITC Franklin Gothic Std Book" w:eastAsiaTheme="minorHAnsi" w:hAnsi="ITC Franklin Gothic Std Book" w:cs="Georgia"/>
          <w:color w:val="000000"/>
          <w:sz w:val="22"/>
          <w:szCs w:val="22"/>
        </w:rPr>
      </w:pPr>
      <w:r w:rsidRPr="007D092D">
        <w:rPr>
          <w:rFonts w:ascii="ITC Franklin Gothic Std Book" w:eastAsiaTheme="minorHAnsi" w:hAnsi="ITC Franklin Gothic Std Book" w:cs="Georgia"/>
          <w:color w:val="000000"/>
          <w:sz w:val="22"/>
          <w:szCs w:val="22"/>
        </w:rPr>
        <w:t>Justice – deciding if the risks and benefits of research are distributed fairly</w:t>
      </w:r>
    </w:p>
    <w:p w14:paraId="2A1FE784" w14:textId="77777777" w:rsidR="000A3630" w:rsidRPr="007D092D" w:rsidRDefault="000A3630" w:rsidP="00AC0C98">
      <w:pPr>
        <w:pStyle w:val="ListParagraph"/>
        <w:numPr>
          <w:ilvl w:val="0"/>
          <w:numId w:val="2"/>
        </w:numPr>
        <w:autoSpaceDE w:val="0"/>
        <w:autoSpaceDN w:val="0"/>
        <w:adjustRightInd w:val="0"/>
        <w:rPr>
          <w:rFonts w:ascii="ITC Franklin Gothic Std Book" w:eastAsiaTheme="minorHAnsi" w:hAnsi="ITC Franklin Gothic Std Book" w:cs="Georgia"/>
          <w:color w:val="000000"/>
          <w:sz w:val="22"/>
          <w:szCs w:val="22"/>
        </w:rPr>
      </w:pPr>
      <w:r w:rsidRPr="007D092D">
        <w:rPr>
          <w:rFonts w:ascii="ITC Franklin Gothic Std Book" w:eastAsiaTheme="minorHAnsi" w:hAnsi="ITC Franklin Gothic Std Book" w:cs="Georgia"/>
          <w:color w:val="000000"/>
          <w:sz w:val="22"/>
          <w:szCs w:val="22"/>
        </w:rPr>
        <w:t>Respect for Law and Public Interest – extends principle of beneficence to include all relevant stakeholders</w:t>
      </w:r>
    </w:p>
    <w:p w14:paraId="60AA82ED" w14:textId="77777777" w:rsidR="000A3630" w:rsidRPr="007D092D" w:rsidRDefault="000A3630" w:rsidP="00AC0C98">
      <w:pPr>
        <w:autoSpaceDE w:val="0"/>
        <w:autoSpaceDN w:val="0"/>
        <w:adjustRightInd w:val="0"/>
        <w:rPr>
          <w:rFonts w:ascii="ITC Franklin Gothic Std Book" w:eastAsiaTheme="minorHAnsi" w:hAnsi="ITC Franklin Gothic Std Book" w:cs="Georgia"/>
          <w:color w:val="000000"/>
          <w:sz w:val="22"/>
          <w:szCs w:val="22"/>
        </w:rPr>
      </w:pPr>
    </w:p>
    <w:p w14:paraId="0A79E3CE" w14:textId="7D61518C" w:rsidR="000A3630" w:rsidRPr="003F2FF8" w:rsidRDefault="000A3630" w:rsidP="0093004F">
      <w:pPr>
        <w:autoSpaceDE w:val="0"/>
        <w:autoSpaceDN w:val="0"/>
        <w:adjustRightInd w:val="0"/>
        <w:rPr>
          <w:rFonts w:ascii="ITC Franklin Gothic Std Book" w:eastAsiaTheme="minorHAnsi" w:hAnsi="ITC Franklin Gothic Std Book" w:cs="Georgia"/>
          <w:b/>
          <w:color w:val="000000"/>
          <w:sz w:val="22"/>
          <w:szCs w:val="22"/>
        </w:rPr>
      </w:pPr>
      <w:r w:rsidRPr="007D092D">
        <w:rPr>
          <w:rFonts w:ascii="ITC Franklin Gothic Std Book" w:eastAsiaTheme="minorHAnsi" w:hAnsi="ITC Franklin Gothic Std Book" w:cs="Georgia"/>
          <w:color w:val="000000"/>
          <w:sz w:val="22"/>
          <w:szCs w:val="22"/>
        </w:rPr>
        <w:t xml:space="preserve">These rules are based on two ethical frameworks (1) deontologists focus on means and (2) consequentialists focus on ends.  These two frameworks help to explain current thinking about challenges with respect to digital data. The principles allow researchers (with approval of their IRBs) to weigh tradeoffs. For example, there are some circumstances that obtaining informed consent could increase risks for participants, change behavior and thus jeopardize the scientific findings of the study, or is not possible, given the breadth and scope of the study, or because the participants are anonymous. </w:t>
      </w:r>
      <w:r w:rsidRPr="003F2FF8">
        <w:rPr>
          <w:rFonts w:ascii="ITC Franklin Gothic Std Book" w:eastAsiaTheme="minorHAnsi" w:hAnsi="ITC Franklin Gothic Std Book" w:cs="Georgia"/>
          <w:b/>
          <w:color w:val="000000"/>
          <w:sz w:val="22"/>
          <w:szCs w:val="22"/>
        </w:rPr>
        <w:t>Therefore, the rule is adapted to be “some form of consent for most things” (</w:t>
      </w:r>
      <w:proofErr w:type="spellStart"/>
      <w:r w:rsidRPr="003F2FF8">
        <w:rPr>
          <w:rFonts w:ascii="ITC Franklin Gothic Std Book" w:eastAsiaTheme="minorHAnsi" w:hAnsi="ITC Franklin Gothic Std Book" w:cs="Georgia"/>
          <w:b/>
          <w:color w:val="000000"/>
          <w:sz w:val="22"/>
          <w:szCs w:val="22"/>
        </w:rPr>
        <w:t>Salganik</w:t>
      </w:r>
      <w:proofErr w:type="spellEnd"/>
      <w:r w:rsidRPr="003F2FF8">
        <w:rPr>
          <w:rFonts w:ascii="ITC Franklin Gothic Std Book" w:eastAsiaTheme="minorHAnsi" w:hAnsi="ITC Franklin Gothic Std Book" w:cs="Georgia"/>
          <w:b/>
          <w:color w:val="000000"/>
          <w:sz w:val="22"/>
          <w:szCs w:val="22"/>
        </w:rPr>
        <w:t xml:space="preserve"> 2018, page 306), which is also consistent with IRB rules.</w:t>
      </w:r>
    </w:p>
    <w:p w14:paraId="19825602" w14:textId="382A3ECD" w:rsidR="000A3630" w:rsidRDefault="000A3630" w:rsidP="0093004F">
      <w:pPr>
        <w:autoSpaceDE w:val="0"/>
        <w:autoSpaceDN w:val="0"/>
        <w:adjustRightInd w:val="0"/>
        <w:rPr>
          <w:rFonts w:ascii="ITC Franklin Gothic Std Book" w:eastAsiaTheme="minorHAnsi" w:hAnsi="ITC Franklin Gothic Std Book" w:cs="Georgia"/>
          <w:color w:val="000000"/>
          <w:sz w:val="22"/>
          <w:szCs w:val="22"/>
        </w:rPr>
      </w:pPr>
    </w:p>
    <w:p w14:paraId="7DEB16D3" w14:textId="60BEA0F3" w:rsidR="000A3630" w:rsidRPr="007D092D" w:rsidRDefault="000A3630" w:rsidP="004E6E18">
      <w:pPr>
        <w:snapToGrid w:val="0"/>
        <w:rPr>
          <w:rFonts w:ascii="ITC Franklin Gothic Std Book" w:hAnsi="ITC Franklin Gothic Std Book"/>
          <w:color w:val="000000" w:themeColor="text1"/>
          <w:sz w:val="22"/>
          <w:szCs w:val="22"/>
        </w:rPr>
      </w:pPr>
      <w:r w:rsidRPr="003F2FF8">
        <w:rPr>
          <w:rFonts w:ascii="ITC Franklin Gothic Std Book" w:hAnsi="ITC Franklin Gothic Std Book"/>
          <w:b/>
          <w:color w:val="000000" w:themeColor="text1"/>
          <w:sz w:val="22"/>
          <w:szCs w:val="22"/>
        </w:rPr>
        <w:t>Thus, taking a binary approach to ethics polarizes discussions and stalls research. Instead, continuous thinking about ethics in the context of a research project using digital data encourages difficult discussions and proposes directions for the research that are made conscientiously to benefit society</w:t>
      </w:r>
      <w:r w:rsidRPr="007D092D">
        <w:rPr>
          <w:rFonts w:ascii="ITC Franklin Gothic Std Book" w:hAnsi="ITC Franklin Gothic Std Book"/>
          <w:color w:val="000000" w:themeColor="text1"/>
          <w:sz w:val="22"/>
          <w:szCs w:val="22"/>
        </w:rPr>
        <w:t xml:space="preserve"> (</w:t>
      </w:r>
      <w:proofErr w:type="spellStart"/>
      <w:r w:rsidRPr="007D092D">
        <w:rPr>
          <w:rFonts w:ascii="ITC Franklin Gothic Std Book" w:hAnsi="ITC Franklin Gothic Std Book"/>
          <w:color w:val="000000" w:themeColor="text1"/>
          <w:sz w:val="22"/>
          <w:szCs w:val="22"/>
        </w:rPr>
        <w:t>Salganik</w:t>
      </w:r>
      <w:proofErr w:type="spellEnd"/>
      <w:r w:rsidRPr="007D092D">
        <w:rPr>
          <w:rFonts w:ascii="ITC Franklin Gothic Std Book" w:hAnsi="ITC Franklin Gothic Std Book"/>
          <w:color w:val="000000" w:themeColor="text1"/>
          <w:sz w:val="22"/>
          <w:szCs w:val="22"/>
        </w:rPr>
        <w:t xml:space="preserve"> 2018, Erickson et al. 2018, </w:t>
      </w:r>
      <w:proofErr w:type="spellStart"/>
      <w:r w:rsidRPr="007D092D">
        <w:rPr>
          <w:rFonts w:ascii="ITC Franklin Gothic Std Book" w:hAnsi="ITC Franklin Gothic Std Book"/>
          <w:color w:val="000000" w:themeColor="text1"/>
          <w:sz w:val="22"/>
          <w:szCs w:val="22"/>
        </w:rPr>
        <w:t>Fritzler</w:t>
      </w:r>
      <w:proofErr w:type="spellEnd"/>
      <w:r w:rsidRPr="007D092D">
        <w:rPr>
          <w:rFonts w:ascii="ITC Franklin Gothic Std Book" w:hAnsi="ITC Franklin Gothic Std Book"/>
          <w:color w:val="000000" w:themeColor="text1"/>
          <w:sz w:val="22"/>
          <w:szCs w:val="22"/>
        </w:rPr>
        <w:t xml:space="preserve"> 2018). </w:t>
      </w:r>
    </w:p>
    <w:p w14:paraId="3ED7943D" w14:textId="77777777" w:rsidR="000A3630" w:rsidRPr="007D092D" w:rsidRDefault="000A3630" w:rsidP="004E6E18">
      <w:pPr>
        <w:autoSpaceDE w:val="0"/>
        <w:autoSpaceDN w:val="0"/>
        <w:adjustRightInd w:val="0"/>
        <w:rPr>
          <w:rFonts w:ascii="ITC Franklin Gothic Std Book" w:eastAsiaTheme="minorHAnsi" w:hAnsi="ITC Franklin Gothic Std Book" w:cs="Georgia"/>
          <w:iCs/>
          <w:color w:val="000000"/>
          <w:sz w:val="22"/>
          <w:szCs w:val="22"/>
        </w:rPr>
      </w:pPr>
    </w:p>
    <w:p w14:paraId="41818A06" w14:textId="1F560773" w:rsidR="000A3630" w:rsidRPr="00E75CA6" w:rsidRDefault="000A3630" w:rsidP="0093004F">
      <w:pPr>
        <w:autoSpaceDE w:val="0"/>
        <w:autoSpaceDN w:val="0"/>
        <w:adjustRightInd w:val="0"/>
        <w:rPr>
          <w:rFonts w:ascii="ITC Franklin Gothic Std Book" w:eastAsiaTheme="minorHAnsi" w:hAnsi="ITC Franklin Gothic Std Book" w:cs="Georgia"/>
          <w:b/>
          <w:color w:val="000000"/>
          <w:sz w:val="22"/>
          <w:szCs w:val="22"/>
        </w:rPr>
      </w:pPr>
      <w:proofErr w:type="spellStart"/>
      <w:r w:rsidRPr="007D092D">
        <w:rPr>
          <w:rFonts w:ascii="ITC Franklin Gothic Std Book" w:eastAsiaTheme="minorHAnsi" w:hAnsi="ITC Franklin Gothic Std Book" w:cs="Georgia"/>
          <w:color w:val="000000"/>
          <w:sz w:val="22"/>
          <w:szCs w:val="22"/>
        </w:rPr>
        <w:t>Salganik</w:t>
      </w:r>
      <w:proofErr w:type="spellEnd"/>
      <w:r w:rsidRPr="007D092D">
        <w:rPr>
          <w:rFonts w:ascii="ITC Franklin Gothic Std Book" w:eastAsiaTheme="minorHAnsi" w:hAnsi="ITC Franklin Gothic Std Book" w:cs="Georgia"/>
          <w:color w:val="000000"/>
          <w:sz w:val="22"/>
          <w:szCs w:val="22"/>
        </w:rPr>
        <w:t xml:space="preserve"> (2018) suggests that the </w:t>
      </w:r>
      <w:r w:rsidRPr="003F2FF8">
        <w:rPr>
          <w:rFonts w:ascii="ITC Franklin Gothic Std Book" w:eastAsiaTheme="minorHAnsi" w:hAnsi="ITC Franklin Gothic Std Book" w:cs="Georgia"/>
          <w:b/>
          <w:color w:val="000000"/>
          <w:sz w:val="22"/>
          <w:szCs w:val="22"/>
        </w:rPr>
        <w:t>IRB is a floor not a ceiling</w:t>
      </w:r>
      <w:r w:rsidRPr="007D092D">
        <w:rPr>
          <w:rFonts w:ascii="ITC Franklin Gothic Std Book" w:eastAsiaTheme="minorHAnsi" w:hAnsi="ITC Franklin Gothic Std Book" w:cs="Georgia"/>
          <w:color w:val="000000"/>
          <w:sz w:val="22"/>
          <w:szCs w:val="22"/>
        </w:rPr>
        <w:t xml:space="preserve"> (page 32) in that researchers are required to follow the IRB rules and complete their protocols. However IRB approval is not sufficient for addressing a researcher’s ethical responsibility in his/her research. </w:t>
      </w:r>
      <w:r w:rsidRPr="00E75CA6">
        <w:rPr>
          <w:rFonts w:ascii="ITC Franklin Gothic Std Book" w:eastAsiaTheme="minorHAnsi" w:hAnsi="ITC Franklin Gothic Std Book" w:cs="Georgia"/>
          <w:b/>
          <w:color w:val="000000"/>
          <w:sz w:val="22"/>
          <w:szCs w:val="22"/>
        </w:rPr>
        <w:t xml:space="preserve">A recommendation is to write an ethical appendix to a research paper at the beginning of the research to be transparent in what they think is right or wrong, they conduct their research based on what they have decided, and they are transparent in sharing the plan publicly. </w:t>
      </w:r>
    </w:p>
    <w:p w14:paraId="25629357" w14:textId="77777777" w:rsidR="000A3630" w:rsidRDefault="000A3630" w:rsidP="004E6E18">
      <w:pPr>
        <w:snapToGrid w:val="0"/>
        <w:rPr>
          <w:rFonts w:ascii="ITC Franklin Gothic Std Book" w:hAnsi="ITC Franklin Gothic Std Book"/>
          <w:color w:val="000000" w:themeColor="text1"/>
          <w:sz w:val="22"/>
          <w:szCs w:val="22"/>
        </w:rPr>
      </w:pPr>
    </w:p>
    <w:p w14:paraId="1DD1D61E" w14:textId="4AC3DF69" w:rsidR="000A3630" w:rsidRPr="007D092D" w:rsidRDefault="000A3630" w:rsidP="00AC0C98">
      <w:pPr>
        <w:autoSpaceDE w:val="0"/>
        <w:autoSpaceDN w:val="0"/>
        <w:adjustRightInd w:val="0"/>
        <w:rPr>
          <w:rFonts w:ascii="ITC Franklin Gothic Std Book" w:eastAsiaTheme="minorHAnsi" w:hAnsi="ITC Franklin Gothic Std Book" w:cs="Georgia"/>
          <w:color w:val="000000"/>
          <w:sz w:val="22"/>
          <w:szCs w:val="22"/>
        </w:rPr>
      </w:pPr>
      <w:r w:rsidRPr="007D092D">
        <w:rPr>
          <w:rFonts w:ascii="ITC Franklin Gothic Std Book" w:eastAsiaTheme="minorHAnsi" w:hAnsi="ITC Franklin Gothic Std Book" w:cs="Georgia"/>
          <w:color w:val="000000"/>
          <w:sz w:val="22"/>
          <w:szCs w:val="22"/>
        </w:rPr>
        <w:t xml:space="preserve">An </w:t>
      </w:r>
      <w:r w:rsidRPr="003F2FF8">
        <w:rPr>
          <w:rFonts w:ascii="ITC Franklin Gothic Std Book" w:eastAsiaTheme="minorHAnsi" w:hAnsi="ITC Franklin Gothic Std Book" w:cs="Georgia"/>
          <w:b/>
          <w:color w:val="000000"/>
          <w:sz w:val="22"/>
          <w:szCs w:val="22"/>
        </w:rPr>
        <w:t>ethical checklist</w:t>
      </w:r>
      <w:r w:rsidRPr="007D092D">
        <w:rPr>
          <w:rFonts w:ascii="ITC Franklin Gothic Std Book" w:eastAsiaTheme="minorHAnsi" w:hAnsi="ITC Franklin Gothic Std Book" w:cs="Georgia"/>
          <w:color w:val="000000"/>
          <w:sz w:val="22"/>
          <w:szCs w:val="22"/>
        </w:rPr>
        <w:t xml:space="preserve"> for data science is a series of questions that researchers ask themselves throughout the project (</w:t>
      </w:r>
      <w:proofErr w:type="spellStart"/>
      <w:r w:rsidRPr="007D092D">
        <w:rPr>
          <w:rFonts w:ascii="ITC Franklin Gothic Std Book" w:eastAsiaTheme="minorHAnsi" w:hAnsi="ITC Franklin Gothic Std Book" w:cs="Georgia"/>
          <w:color w:val="000000"/>
          <w:sz w:val="22"/>
          <w:szCs w:val="22"/>
        </w:rPr>
        <w:t>Fritzler</w:t>
      </w:r>
      <w:proofErr w:type="spellEnd"/>
      <w:r w:rsidRPr="007D092D">
        <w:rPr>
          <w:rFonts w:ascii="ITC Franklin Gothic Std Book" w:eastAsiaTheme="minorHAnsi" w:hAnsi="ITC Franklin Gothic Std Book" w:cs="Georgia"/>
          <w:color w:val="000000"/>
          <w:sz w:val="22"/>
          <w:szCs w:val="22"/>
        </w:rPr>
        <w:t xml:space="preserve"> 2018).</w:t>
      </w:r>
      <w:r w:rsidRPr="007D092D">
        <w:rPr>
          <w:rStyle w:val="FootnoteReference"/>
          <w:rFonts w:ascii="ITC Franklin Gothic Std Book" w:eastAsiaTheme="minorHAnsi" w:hAnsi="ITC Franklin Gothic Std Book" w:cs="Georgia"/>
          <w:color w:val="000000"/>
          <w:sz w:val="22"/>
          <w:szCs w:val="22"/>
        </w:rPr>
        <w:footnoteReference w:id="2"/>
      </w:r>
      <w:r w:rsidRPr="007D092D">
        <w:rPr>
          <w:rFonts w:ascii="ITC Franklin Gothic Std Book" w:eastAsiaTheme="minorHAnsi" w:hAnsi="ITC Franklin Gothic Std Book" w:cs="Georgia"/>
          <w:color w:val="000000"/>
          <w:sz w:val="22"/>
          <w:szCs w:val="22"/>
        </w:rPr>
        <w:t xml:space="preserve"> These questions cover topics such as </w:t>
      </w:r>
    </w:p>
    <w:p w14:paraId="72E25CA2" w14:textId="77777777" w:rsidR="003F2FF8" w:rsidRPr="003F2FF8" w:rsidRDefault="003F2FF8" w:rsidP="003F2FF8">
      <w:pPr>
        <w:autoSpaceDE w:val="0"/>
        <w:autoSpaceDN w:val="0"/>
        <w:adjustRightInd w:val="0"/>
        <w:rPr>
          <w:rFonts w:ascii="ITC Franklin Gothic Std Book" w:eastAsiaTheme="minorHAnsi" w:hAnsi="ITC Franklin Gothic Std Book" w:cs="Georgia"/>
          <w:color w:val="000000"/>
          <w:sz w:val="22"/>
          <w:szCs w:val="22"/>
        </w:rPr>
      </w:pPr>
      <w:r w:rsidRPr="003F2FF8">
        <w:rPr>
          <w:rFonts w:ascii="ITC Franklin Gothic Std Book" w:eastAsiaTheme="minorHAnsi" w:hAnsi="ITC Franklin Gothic Std Book" w:cs="Georgia"/>
          <w:color w:val="000000"/>
          <w:sz w:val="22"/>
          <w:szCs w:val="22"/>
        </w:rPr>
        <w:t>Create ethical checklist for each stage of research</w:t>
      </w:r>
    </w:p>
    <w:p w14:paraId="7108A3FE" w14:textId="77777777" w:rsidR="003F2FF8" w:rsidRPr="003F2FF8" w:rsidRDefault="003F2FF8" w:rsidP="003F2FF8">
      <w:pPr>
        <w:pStyle w:val="ListParagraph"/>
        <w:numPr>
          <w:ilvl w:val="0"/>
          <w:numId w:val="8"/>
        </w:numPr>
        <w:autoSpaceDE w:val="0"/>
        <w:autoSpaceDN w:val="0"/>
        <w:adjustRightInd w:val="0"/>
        <w:rPr>
          <w:rFonts w:ascii="ITC Franklin Gothic Std Book" w:eastAsiaTheme="minorHAnsi" w:hAnsi="ITC Franklin Gothic Std Book" w:cs="Georgia"/>
          <w:color w:val="000000"/>
          <w:sz w:val="22"/>
          <w:szCs w:val="22"/>
        </w:rPr>
      </w:pPr>
      <w:r w:rsidRPr="003F2FF8">
        <w:rPr>
          <w:rFonts w:ascii="ITC Franklin Gothic Std Book" w:eastAsiaTheme="minorHAnsi" w:hAnsi="ITC Franklin Gothic Std Book" w:cs="Georgia"/>
          <w:color w:val="000000"/>
          <w:sz w:val="22"/>
          <w:szCs w:val="22"/>
        </w:rPr>
        <w:t>Project selection and scoping, e.g., is the choice of this project a good use of resources?</w:t>
      </w:r>
    </w:p>
    <w:p w14:paraId="73882BE6" w14:textId="77777777" w:rsidR="003F2FF8" w:rsidRPr="003F2FF8" w:rsidRDefault="003F2FF8" w:rsidP="003F2FF8">
      <w:pPr>
        <w:pStyle w:val="ListParagraph"/>
        <w:numPr>
          <w:ilvl w:val="0"/>
          <w:numId w:val="8"/>
        </w:numPr>
        <w:autoSpaceDE w:val="0"/>
        <w:autoSpaceDN w:val="0"/>
        <w:adjustRightInd w:val="0"/>
        <w:rPr>
          <w:rFonts w:ascii="ITC Franklin Gothic Std Book" w:eastAsiaTheme="minorHAnsi" w:hAnsi="ITC Franklin Gothic Std Book" w:cs="Georgia"/>
          <w:color w:val="000000"/>
          <w:sz w:val="22"/>
          <w:szCs w:val="22"/>
        </w:rPr>
      </w:pPr>
      <w:r w:rsidRPr="003F2FF8">
        <w:rPr>
          <w:rFonts w:ascii="ITC Franklin Gothic Std Book" w:eastAsiaTheme="minorHAnsi" w:hAnsi="ITC Franklin Gothic Std Book" w:cs="Georgia"/>
          <w:color w:val="000000"/>
          <w:sz w:val="22"/>
          <w:szCs w:val="22"/>
        </w:rPr>
        <w:t>Building a team, e.g., does the team engage members from the target community? Are they given a voice to express their needs and culture?</w:t>
      </w:r>
    </w:p>
    <w:p w14:paraId="4A0914A9" w14:textId="77777777" w:rsidR="003F2FF8" w:rsidRPr="003F2FF8" w:rsidRDefault="003F2FF8" w:rsidP="003F2FF8">
      <w:pPr>
        <w:pStyle w:val="ListParagraph"/>
        <w:numPr>
          <w:ilvl w:val="0"/>
          <w:numId w:val="8"/>
        </w:numPr>
        <w:autoSpaceDE w:val="0"/>
        <w:autoSpaceDN w:val="0"/>
        <w:adjustRightInd w:val="0"/>
        <w:rPr>
          <w:rFonts w:ascii="ITC Franklin Gothic Std Book" w:eastAsiaTheme="minorHAnsi" w:hAnsi="ITC Franklin Gothic Std Book" w:cs="Georgia"/>
          <w:color w:val="000000"/>
          <w:sz w:val="22"/>
          <w:szCs w:val="22"/>
        </w:rPr>
      </w:pPr>
      <w:r w:rsidRPr="003F2FF8">
        <w:rPr>
          <w:rFonts w:ascii="ITC Franklin Gothic Std Book" w:eastAsiaTheme="minorHAnsi" w:hAnsi="ITC Franklin Gothic Std Book" w:cs="Georgia"/>
          <w:color w:val="000000"/>
          <w:sz w:val="22"/>
          <w:szCs w:val="22"/>
        </w:rPr>
        <w:t>Data acquisition, e.g., does collecting or acquiring data protect privacy? Are the data anonymized? Are they maintained securely to ensure privacy and confidentiality?</w:t>
      </w:r>
    </w:p>
    <w:p w14:paraId="596A65D8" w14:textId="77777777" w:rsidR="003F2FF8" w:rsidRPr="003F2FF8" w:rsidRDefault="003F2FF8" w:rsidP="003F2FF8">
      <w:pPr>
        <w:pStyle w:val="ListParagraph"/>
        <w:numPr>
          <w:ilvl w:val="0"/>
          <w:numId w:val="8"/>
        </w:numPr>
        <w:autoSpaceDE w:val="0"/>
        <w:autoSpaceDN w:val="0"/>
        <w:adjustRightInd w:val="0"/>
        <w:rPr>
          <w:rFonts w:ascii="ITC Franklin Gothic Std Book" w:eastAsiaTheme="minorHAnsi" w:hAnsi="ITC Franklin Gothic Std Book" w:cs="Georgia"/>
          <w:color w:val="000000"/>
          <w:sz w:val="22"/>
          <w:szCs w:val="22"/>
        </w:rPr>
      </w:pPr>
      <w:r w:rsidRPr="003F2FF8">
        <w:rPr>
          <w:rFonts w:ascii="ITC Franklin Gothic Std Book" w:eastAsiaTheme="minorHAnsi" w:hAnsi="ITC Franklin Gothic Std Book" w:cs="Georgia"/>
          <w:color w:val="000000"/>
          <w:sz w:val="22"/>
          <w:szCs w:val="22"/>
        </w:rPr>
        <w:t>Analysis, e.g. what biases do the researchers have? Are biases introduced in the study through the choice of variable selection, such as including male/female, but not other options? Are the right tools being used? Are methods and outputs transparent?</w:t>
      </w:r>
    </w:p>
    <w:p w14:paraId="3FD4485A" w14:textId="4DF5E19A" w:rsidR="003F2FF8" w:rsidRPr="003F2FF8" w:rsidRDefault="003F2FF8" w:rsidP="003F2FF8">
      <w:pPr>
        <w:pStyle w:val="ListParagraph"/>
        <w:numPr>
          <w:ilvl w:val="0"/>
          <w:numId w:val="8"/>
        </w:numPr>
        <w:autoSpaceDE w:val="0"/>
        <w:autoSpaceDN w:val="0"/>
        <w:adjustRightInd w:val="0"/>
        <w:rPr>
          <w:rFonts w:ascii="ITC Franklin Gothic Std Book" w:eastAsiaTheme="minorHAnsi" w:hAnsi="ITC Franklin Gothic Std Book" w:cs="Georgia"/>
          <w:color w:val="000000"/>
          <w:sz w:val="22"/>
          <w:szCs w:val="22"/>
        </w:rPr>
      </w:pPr>
      <w:r w:rsidRPr="003F2FF8">
        <w:rPr>
          <w:rFonts w:ascii="ITC Franklin Gothic Std Book" w:eastAsiaTheme="minorHAnsi" w:hAnsi="ITC Franklin Gothic Std Book" w:cs="Georgia"/>
          <w:color w:val="000000"/>
          <w:sz w:val="22"/>
          <w:szCs w:val="22"/>
        </w:rPr>
        <w:t>Implementation, e.g., are limitations of the research clearly presented? What are potential effects of false negatives? What are benefits and costs when implementing options that result from a predictive model or incomplete information?</w:t>
      </w:r>
    </w:p>
    <w:p w14:paraId="061F1FDA" w14:textId="77777777" w:rsidR="003F2FF8" w:rsidRDefault="003F2FF8" w:rsidP="003F2FF8">
      <w:pPr>
        <w:autoSpaceDE w:val="0"/>
        <w:autoSpaceDN w:val="0"/>
        <w:adjustRightInd w:val="0"/>
        <w:rPr>
          <w:rFonts w:ascii="ITC Franklin Gothic Std Book" w:eastAsiaTheme="minorHAnsi" w:hAnsi="ITC Franklin Gothic Std Book" w:cs="Georgia"/>
          <w:color w:val="000000"/>
          <w:sz w:val="22"/>
          <w:szCs w:val="22"/>
        </w:rPr>
      </w:pPr>
    </w:p>
    <w:p w14:paraId="43DA9A3C" w14:textId="56DB8D9B" w:rsidR="000A3630" w:rsidRPr="007D092D" w:rsidRDefault="000A3630" w:rsidP="00AC0C98">
      <w:pPr>
        <w:autoSpaceDE w:val="0"/>
        <w:autoSpaceDN w:val="0"/>
        <w:adjustRightInd w:val="0"/>
        <w:rPr>
          <w:rFonts w:ascii="ITC Franklin Gothic Std Book" w:eastAsiaTheme="minorHAnsi" w:hAnsi="ITC Franklin Gothic Std Book" w:cs="Georgia"/>
          <w:color w:val="000000"/>
          <w:sz w:val="22"/>
          <w:szCs w:val="22"/>
        </w:rPr>
      </w:pPr>
      <w:r w:rsidRPr="003F2FF8">
        <w:rPr>
          <w:rFonts w:ascii="ITC Franklin Gothic Std Book" w:eastAsiaTheme="minorHAnsi" w:hAnsi="ITC Franklin Gothic Std Book" w:cs="Georgia"/>
          <w:b/>
          <w:color w:val="000000"/>
          <w:sz w:val="22"/>
          <w:szCs w:val="22"/>
        </w:rPr>
        <w:t>Courses are also beginning to address ethical issues of using non-traditional data sources in research.</w:t>
      </w:r>
      <w:r w:rsidRPr="007D092D">
        <w:rPr>
          <w:rFonts w:ascii="ITC Franklin Gothic Std Book" w:eastAsiaTheme="minorHAnsi" w:hAnsi="ITC Franklin Gothic Std Book" w:cs="Georgia"/>
          <w:color w:val="000000"/>
          <w:sz w:val="22"/>
          <w:szCs w:val="22"/>
        </w:rPr>
        <w:t xml:space="preserve"> Margo </w:t>
      </w:r>
      <w:proofErr w:type="spellStart"/>
      <w:r w:rsidRPr="007D092D">
        <w:rPr>
          <w:rFonts w:ascii="ITC Franklin Gothic Std Book" w:eastAsiaTheme="minorHAnsi" w:hAnsi="ITC Franklin Gothic Std Book" w:cs="Georgia"/>
          <w:color w:val="000000"/>
          <w:sz w:val="22"/>
          <w:szCs w:val="22"/>
        </w:rPr>
        <w:t>Boenig-Liptsin</w:t>
      </w:r>
      <w:proofErr w:type="spellEnd"/>
      <w:r w:rsidRPr="007D092D">
        <w:rPr>
          <w:rFonts w:ascii="ITC Franklin Gothic Std Book" w:eastAsiaTheme="minorHAnsi" w:hAnsi="ITC Franklin Gothic Std Book" w:cs="Georgia"/>
          <w:color w:val="000000"/>
          <w:sz w:val="22"/>
          <w:szCs w:val="22"/>
        </w:rPr>
        <w:t>, co-instructor of UC Berkeley’s Human Contexts and Ethics of Data</w:t>
      </w:r>
      <w:r w:rsidRPr="007D092D">
        <w:rPr>
          <w:rStyle w:val="FootnoteReference"/>
          <w:rFonts w:ascii="ITC Franklin Gothic Std Book" w:eastAsiaTheme="minorHAnsi" w:hAnsi="ITC Franklin Gothic Std Book" w:cs="Georgia"/>
          <w:color w:val="000000"/>
          <w:sz w:val="22"/>
          <w:szCs w:val="22"/>
        </w:rPr>
        <w:footnoteReference w:id="3"/>
      </w:r>
      <w:r w:rsidRPr="007D092D">
        <w:rPr>
          <w:rFonts w:ascii="ITC Franklin Gothic Std Book" w:eastAsiaTheme="minorHAnsi" w:hAnsi="ITC Franklin Gothic Std Book" w:cs="Georgia"/>
          <w:color w:val="000000"/>
          <w:sz w:val="22"/>
          <w:szCs w:val="22"/>
        </w:rPr>
        <w:t xml:space="preserve"> course, notes “In this time of rapid social and technological change, concepts like </w:t>
      </w:r>
      <w:r w:rsidRPr="003F2FF8">
        <w:rPr>
          <w:rFonts w:ascii="ITC Franklin Gothic Std Book" w:eastAsiaTheme="minorHAnsi" w:hAnsi="ITC Franklin Gothic Std Book" w:cs="Georgia"/>
          <w:b/>
          <w:color w:val="000000"/>
          <w:sz w:val="22"/>
          <w:szCs w:val="22"/>
        </w:rPr>
        <w:t>‘privacy,’ ‘fairness,’ and ‘representation’</w:t>
      </w:r>
      <w:r w:rsidRPr="007D092D">
        <w:rPr>
          <w:rFonts w:ascii="ITC Franklin Gothic Std Book" w:eastAsiaTheme="minorHAnsi" w:hAnsi="ITC Franklin Gothic Std Book" w:cs="Georgia"/>
          <w:color w:val="000000"/>
          <w:sz w:val="22"/>
          <w:szCs w:val="22"/>
        </w:rPr>
        <w:t xml:space="preserve"> are reconstituted.”</w:t>
      </w:r>
      <w:r w:rsidRPr="007D092D">
        <w:rPr>
          <w:rStyle w:val="FootnoteReference"/>
          <w:rFonts w:ascii="ITC Franklin Gothic Std Book" w:eastAsiaTheme="minorHAnsi" w:hAnsi="ITC Franklin Gothic Std Book" w:cs="Georgia"/>
          <w:color w:val="000000"/>
          <w:sz w:val="22"/>
          <w:szCs w:val="22"/>
        </w:rPr>
        <w:footnoteReference w:id="4"/>
      </w:r>
      <w:r w:rsidRPr="007D092D">
        <w:rPr>
          <w:rFonts w:ascii="ITC Franklin Gothic Std Book" w:eastAsiaTheme="minorHAnsi" w:hAnsi="ITC Franklin Gothic Std Book" w:cs="Georgia"/>
          <w:color w:val="000000"/>
          <w:sz w:val="22"/>
          <w:szCs w:val="22"/>
        </w:rPr>
        <w:t xml:space="preserve">  </w:t>
      </w:r>
      <w:r w:rsidRPr="003F2FF8">
        <w:rPr>
          <w:rFonts w:ascii="ITC Franklin Gothic Std Book" w:eastAsiaTheme="minorHAnsi" w:hAnsi="ITC Franklin Gothic Std Book" w:cs="Georgia"/>
          <w:b/>
          <w:color w:val="000000"/>
          <w:sz w:val="22"/>
          <w:szCs w:val="22"/>
        </w:rPr>
        <w:t>One example of bias</w:t>
      </w:r>
      <w:r w:rsidRPr="007D092D">
        <w:rPr>
          <w:rFonts w:ascii="ITC Franklin Gothic Std Book" w:eastAsiaTheme="minorHAnsi" w:hAnsi="ITC Franklin Gothic Std Book" w:cs="Georgia"/>
          <w:color w:val="000000"/>
          <w:sz w:val="22"/>
          <w:szCs w:val="22"/>
        </w:rPr>
        <w:t xml:space="preserve"> is that </w:t>
      </w:r>
      <w:r w:rsidRPr="007D092D">
        <w:rPr>
          <w:rFonts w:ascii="ITC Franklin Gothic Std Book" w:eastAsiaTheme="minorHAnsi" w:hAnsi="ITC Franklin Gothic Std Book" w:cs="Georgia"/>
          <w:color w:val="000000"/>
          <w:sz w:val="22"/>
          <w:szCs w:val="22"/>
        </w:rPr>
        <w:lastRenderedPageBreak/>
        <w:t xml:space="preserve">current </w:t>
      </w:r>
      <w:r w:rsidRPr="007D092D">
        <w:rPr>
          <w:rFonts w:ascii="ITC Franklin Gothic Std Book" w:eastAsiaTheme="minorHAnsi" w:hAnsi="ITC Franklin Gothic Std Book" w:cs="Georgia"/>
          <w:bCs/>
          <w:color w:val="000000"/>
          <w:sz w:val="22"/>
          <w:szCs w:val="22"/>
        </w:rPr>
        <w:t>Artificial Intelligence algorithms and systems significantly do not correctly identify women and darker skinned individuals. MIT</w:t>
      </w:r>
      <w:r w:rsidRPr="007D092D">
        <w:rPr>
          <w:rFonts w:ascii="ITC Franklin Gothic Std Book" w:eastAsiaTheme="minorHAnsi" w:hAnsi="ITC Franklin Gothic Std Book" w:cs="Georgia"/>
          <w:b/>
          <w:bCs/>
          <w:color w:val="000000"/>
          <w:sz w:val="22"/>
          <w:szCs w:val="22"/>
        </w:rPr>
        <w:t xml:space="preserve"> </w:t>
      </w:r>
      <w:r w:rsidRPr="007D092D">
        <w:rPr>
          <w:rFonts w:ascii="ITC Franklin Gothic Std Book" w:eastAsiaTheme="minorHAnsi" w:hAnsi="ITC Franklin Gothic Std Book" w:cs="Georgia"/>
          <w:color w:val="000000"/>
          <w:sz w:val="22"/>
          <w:szCs w:val="22"/>
        </w:rPr>
        <w:t xml:space="preserve">researcher Joy </w:t>
      </w:r>
      <w:proofErr w:type="spellStart"/>
      <w:r w:rsidRPr="007D092D">
        <w:rPr>
          <w:rFonts w:ascii="ITC Franklin Gothic Std Book" w:eastAsiaTheme="minorHAnsi" w:hAnsi="ITC Franklin Gothic Std Book" w:cs="Georgia"/>
          <w:color w:val="000000"/>
          <w:sz w:val="22"/>
          <w:szCs w:val="22"/>
        </w:rPr>
        <w:t>Buolamwini</w:t>
      </w:r>
      <w:proofErr w:type="spellEnd"/>
      <w:r w:rsidRPr="007D092D">
        <w:rPr>
          <w:rFonts w:ascii="ITC Franklin Gothic Std Book" w:eastAsiaTheme="minorHAnsi" w:hAnsi="ITC Franklin Gothic Std Book" w:cs="Georgia"/>
          <w:color w:val="000000"/>
          <w:sz w:val="22"/>
          <w:szCs w:val="22"/>
        </w:rPr>
        <w:t xml:space="preserve"> systematically investigated AI technology and found that some systems did not detect her face and some labeled her face as male.</w:t>
      </w:r>
      <w:r w:rsidRPr="007D092D">
        <w:rPr>
          <w:rStyle w:val="FootnoteReference"/>
          <w:rFonts w:ascii="ITC Franklin Gothic Std Book" w:eastAsiaTheme="minorHAnsi" w:hAnsi="ITC Franklin Gothic Std Book" w:cs="Georgia"/>
          <w:color w:val="000000"/>
          <w:sz w:val="22"/>
          <w:szCs w:val="22"/>
        </w:rPr>
        <w:footnoteReference w:id="5"/>
      </w:r>
      <w:r w:rsidRPr="007D092D">
        <w:rPr>
          <w:rFonts w:ascii="ITC Franklin Gothic Std Book" w:eastAsiaTheme="minorHAnsi" w:hAnsi="ITC Franklin Gothic Std Book" w:cs="Georgia"/>
          <w:color w:val="000000"/>
          <w:sz w:val="22"/>
          <w:szCs w:val="22"/>
        </w:rPr>
        <w:t xml:space="preserve"> </w:t>
      </w:r>
      <w:proofErr w:type="spellStart"/>
      <w:r w:rsidRPr="007D092D">
        <w:rPr>
          <w:rFonts w:ascii="ITC Franklin Gothic Std Book" w:eastAsiaTheme="minorHAnsi" w:hAnsi="ITC Franklin Gothic Std Book" w:cs="Georgia"/>
          <w:color w:val="000000"/>
          <w:sz w:val="22"/>
          <w:szCs w:val="22"/>
        </w:rPr>
        <w:t>Buolamwini</w:t>
      </w:r>
      <w:proofErr w:type="spellEnd"/>
      <w:r w:rsidRPr="007D092D">
        <w:rPr>
          <w:rFonts w:ascii="ITC Franklin Gothic Std Book" w:eastAsiaTheme="minorHAnsi" w:hAnsi="ITC Franklin Gothic Std Book" w:cs="Georgia"/>
          <w:color w:val="000000"/>
          <w:sz w:val="22"/>
          <w:szCs w:val="22"/>
        </w:rPr>
        <w:t xml:space="preserve"> analyzed results on 1270 unique faces and uncovered gender and skin-type bias in how AI systems classify faces. Professional societies are also creating and refining their code of ethics in the context of the availability of massive amounts of new data sources.</w:t>
      </w:r>
      <w:r w:rsidRPr="007D092D">
        <w:rPr>
          <w:rStyle w:val="FootnoteReference"/>
          <w:rFonts w:ascii="ITC Franklin Gothic Std Book" w:eastAsiaTheme="minorHAnsi" w:hAnsi="ITC Franklin Gothic Std Book" w:cs="Georgia"/>
          <w:color w:val="000000"/>
          <w:sz w:val="22"/>
          <w:szCs w:val="22"/>
        </w:rPr>
        <w:footnoteReference w:id="6"/>
      </w:r>
    </w:p>
    <w:p w14:paraId="0A1705A1" w14:textId="77777777" w:rsidR="000A3630" w:rsidRPr="007D092D" w:rsidRDefault="000A3630" w:rsidP="00AC0C98">
      <w:pPr>
        <w:autoSpaceDE w:val="0"/>
        <w:autoSpaceDN w:val="0"/>
        <w:adjustRightInd w:val="0"/>
        <w:rPr>
          <w:rFonts w:ascii="ITC Franklin Gothic Std Book" w:eastAsiaTheme="minorHAnsi" w:hAnsi="ITC Franklin Gothic Std Book" w:cs="Georgia"/>
          <w:color w:val="000000"/>
          <w:sz w:val="22"/>
          <w:szCs w:val="22"/>
        </w:rPr>
      </w:pPr>
    </w:p>
    <w:p w14:paraId="2C7AB96B" w14:textId="6DFC463A" w:rsidR="000A3630" w:rsidRPr="007D092D" w:rsidRDefault="000A3630" w:rsidP="00791763">
      <w:pPr>
        <w:rPr>
          <w:rFonts w:ascii="ITC Franklin Gothic Std Book" w:hAnsi="ITC Franklin Gothic Std Book"/>
          <w:sz w:val="22"/>
          <w:szCs w:val="22"/>
        </w:rPr>
      </w:pPr>
      <w:r w:rsidRPr="007D092D">
        <w:rPr>
          <w:rFonts w:ascii="ITC Franklin Gothic Std Book" w:eastAsiaTheme="minorHAnsi" w:hAnsi="ITC Franklin Gothic Std Book" w:cs="Georgia"/>
          <w:color w:val="000000"/>
          <w:sz w:val="22"/>
          <w:szCs w:val="22"/>
        </w:rPr>
        <w:t>T</w:t>
      </w:r>
      <w:r w:rsidRPr="003F2FF8">
        <w:rPr>
          <w:rFonts w:ascii="ITC Franklin Gothic Std Book" w:eastAsiaTheme="minorHAnsi" w:hAnsi="ITC Franklin Gothic Std Book" w:cs="Georgia"/>
          <w:b/>
          <w:color w:val="000000"/>
          <w:sz w:val="22"/>
          <w:szCs w:val="22"/>
        </w:rPr>
        <w:t>he results of these ethical frameworks and principals are rules,</w:t>
      </w:r>
      <w:r w:rsidRPr="007D092D">
        <w:rPr>
          <w:rFonts w:ascii="ITC Franklin Gothic Std Book" w:eastAsiaTheme="minorHAnsi" w:hAnsi="ITC Franklin Gothic Std Book" w:cs="Georgia"/>
          <w:color w:val="000000"/>
          <w:sz w:val="22"/>
          <w:szCs w:val="22"/>
        </w:rPr>
        <w:t xml:space="preserve"> the most common followed in the United States is </w:t>
      </w:r>
      <w:r w:rsidRPr="003F2FF8">
        <w:rPr>
          <w:rFonts w:ascii="ITC Franklin Gothic Std Book" w:eastAsiaTheme="minorHAnsi" w:hAnsi="ITC Franklin Gothic Std Book" w:cs="Georgia"/>
          <w:b/>
          <w:color w:val="000000"/>
          <w:sz w:val="22"/>
          <w:szCs w:val="22"/>
        </w:rPr>
        <w:t>the Common Rule</w:t>
      </w:r>
      <w:r w:rsidRPr="007D092D">
        <w:rPr>
          <w:rFonts w:ascii="ITC Franklin Gothic Std Book" w:eastAsiaTheme="minorHAnsi" w:hAnsi="ITC Franklin Gothic Std Book" w:cs="Georgia"/>
          <w:color w:val="000000"/>
          <w:sz w:val="22"/>
          <w:szCs w:val="22"/>
        </w:rPr>
        <w:t xml:space="preserve"> (the set of regulations for most government funded research in the US).  The Common Rule was updated in 2017 to reflect changes in </w:t>
      </w:r>
      <w:r w:rsidRPr="007D092D">
        <w:rPr>
          <w:rFonts w:ascii="ITC Franklin Gothic Std Book" w:hAnsi="ITC Franklin Gothic Std Book"/>
          <w:sz w:val="22"/>
          <w:szCs w:val="22"/>
        </w:rPr>
        <w:t>how research is conducted.</w:t>
      </w:r>
      <w:r w:rsidRPr="007D092D">
        <w:rPr>
          <w:rStyle w:val="FootnoteReference"/>
          <w:rFonts w:ascii="ITC Franklin Gothic Std Book" w:hAnsi="ITC Franklin Gothic Std Book"/>
          <w:sz w:val="22"/>
          <w:szCs w:val="22"/>
        </w:rPr>
        <w:footnoteReference w:id="7"/>
      </w:r>
      <w:r w:rsidRPr="007D092D">
        <w:rPr>
          <w:rFonts w:ascii="ITC Franklin Gothic Std Book" w:hAnsi="ITC Franklin Gothic Std Book"/>
          <w:sz w:val="22"/>
          <w:szCs w:val="22"/>
        </w:rPr>
        <w:t xml:space="preserve"> The Federal Register Notice notes that “Evolving technologies—including imaging, mobile technologies, and the growth in computing power—have changed the scale and nature of information collected in many disciplines” (page 7151). The revisions, originally planned for implementation in January 2018, were implemented in January 2019.  </w:t>
      </w:r>
    </w:p>
    <w:p w14:paraId="12DEA2FB" w14:textId="77777777" w:rsidR="000A3630" w:rsidRPr="007D092D" w:rsidRDefault="000A3630" w:rsidP="00AC0C98">
      <w:pPr>
        <w:autoSpaceDE w:val="0"/>
        <w:autoSpaceDN w:val="0"/>
        <w:adjustRightInd w:val="0"/>
        <w:rPr>
          <w:rFonts w:ascii="ITC Franklin Gothic Std Book" w:eastAsiaTheme="minorHAnsi" w:hAnsi="ITC Franklin Gothic Std Book" w:cs="Georgia"/>
          <w:color w:val="000000"/>
          <w:sz w:val="22"/>
          <w:szCs w:val="22"/>
        </w:rPr>
      </w:pPr>
    </w:p>
    <w:p w14:paraId="39D640B1" w14:textId="6BB323DD" w:rsidR="000A3630" w:rsidRPr="007D092D" w:rsidRDefault="000A3630" w:rsidP="005C1FFC">
      <w:pPr>
        <w:autoSpaceDE w:val="0"/>
        <w:autoSpaceDN w:val="0"/>
        <w:adjustRightInd w:val="0"/>
        <w:rPr>
          <w:rFonts w:ascii="ITC Franklin Gothic Std Book" w:eastAsiaTheme="minorHAnsi" w:hAnsi="ITC Franklin Gothic Std Book" w:cs="Georgia"/>
          <w:color w:val="000000"/>
          <w:sz w:val="22"/>
          <w:szCs w:val="22"/>
        </w:rPr>
      </w:pPr>
      <w:r w:rsidRPr="007D092D">
        <w:rPr>
          <w:rFonts w:ascii="ITC Franklin Gothic Std Book" w:eastAsiaTheme="minorHAnsi" w:hAnsi="ITC Franklin Gothic Std Book" w:cs="Georgia"/>
          <w:color w:val="000000"/>
          <w:sz w:val="22"/>
          <w:szCs w:val="22"/>
        </w:rPr>
        <w:t>Another ethical framework is the European Union’s General Data Protection Regulation (GDPR).</w:t>
      </w:r>
      <w:r w:rsidRPr="007D092D">
        <w:rPr>
          <w:rStyle w:val="FootnoteReference"/>
          <w:rFonts w:ascii="ITC Franklin Gothic Std Book" w:eastAsiaTheme="minorHAnsi" w:hAnsi="ITC Franklin Gothic Std Book" w:cs="Georgia"/>
          <w:color w:val="000000"/>
          <w:sz w:val="22"/>
          <w:szCs w:val="22"/>
        </w:rPr>
        <w:footnoteReference w:id="8"/>
      </w:r>
      <w:r w:rsidRPr="007D092D">
        <w:rPr>
          <w:rFonts w:ascii="ITC Franklin Gothic Std Book" w:eastAsiaTheme="minorHAnsi" w:hAnsi="ITC Franklin Gothic Std Book" w:cs="Georgia"/>
          <w:color w:val="000000"/>
          <w:sz w:val="22"/>
          <w:szCs w:val="22"/>
        </w:rPr>
        <w:t xml:space="preserve"> Regulation (EU) 2016/679 regulates the processing by an </w:t>
      </w:r>
      <w:r w:rsidRPr="007D092D">
        <w:rPr>
          <w:rFonts w:ascii="ITC Franklin Gothic Std Book" w:eastAsiaTheme="minorHAnsi" w:hAnsi="ITC Franklin Gothic Std Book" w:cs="Georgia"/>
          <w:bCs/>
          <w:color w:val="000000"/>
          <w:sz w:val="22"/>
          <w:szCs w:val="22"/>
        </w:rPr>
        <w:t>individual, a company or an organization</w:t>
      </w:r>
      <w:r w:rsidRPr="007D092D">
        <w:rPr>
          <w:rFonts w:ascii="ITC Franklin Gothic Std Book" w:eastAsiaTheme="minorHAnsi" w:hAnsi="ITC Franklin Gothic Std Book" w:cs="Georgia"/>
          <w:color w:val="000000"/>
          <w:sz w:val="22"/>
          <w:szCs w:val="22"/>
        </w:rPr>
        <w:t xml:space="preserve"> of </w:t>
      </w:r>
      <w:r w:rsidRPr="007D092D">
        <w:rPr>
          <w:rFonts w:ascii="ITC Franklin Gothic Std Book" w:eastAsiaTheme="minorHAnsi" w:hAnsi="ITC Franklin Gothic Std Book" w:cs="Georgia"/>
          <w:bCs/>
          <w:color w:val="000000"/>
          <w:sz w:val="22"/>
          <w:szCs w:val="22"/>
        </w:rPr>
        <w:t>personal data</w:t>
      </w:r>
      <w:r w:rsidRPr="007D092D">
        <w:rPr>
          <w:rFonts w:ascii="ITC Franklin Gothic Std Book" w:eastAsiaTheme="minorHAnsi" w:hAnsi="ITC Franklin Gothic Std Book" w:cs="Georgia"/>
          <w:color w:val="000000"/>
          <w:sz w:val="22"/>
          <w:szCs w:val="22"/>
        </w:rPr>
        <w:t xml:space="preserve"> relating to </w:t>
      </w:r>
      <w:r w:rsidRPr="007D092D">
        <w:rPr>
          <w:rFonts w:ascii="ITC Franklin Gothic Std Book" w:eastAsiaTheme="minorHAnsi" w:hAnsi="ITC Franklin Gothic Std Book" w:cs="Georgia"/>
          <w:bCs/>
          <w:color w:val="000000"/>
          <w:sz w:val="22"/>
          <w:szCs w:val="22"/>
        </w:rPr>
        <w:t>individuals</w:t>
      </w:r>
      <w:r w:rsidRPr="007D092D">
        <w:rPr>
          <w:rFonts w:ascii="ITC Franklin Gothic Std Book" w:eastAsiaTheme="minorHAnsi" w:hAnsi="ITC Franklin Gothic Std Book" w:cs="Georgia"/>
          <w:color w:val="000000"/>
          <w:sz w:val="22"/>
          <w:szCs w:val="22"/>
        </w:rPr>
        <w:t xml:space="preserve"> in the EU. Passed in 2016 and implemented in May 2018, the regulation is expected to have worldwide impact.  The goals for the GDPR is to harmonize data privacy laws across Europe, to protect data privacy and provide choices to EU citizens, and to change the way organizations manage data privacy.</w:t>
      </w:r>
      <w:r w:rsidRPr="007D092D">
        <w:rPr>
          <w:rStyle w:val="FootnoteReference"/>
          <w:rFonts w:ascii="ITC Franklin Gothic Std Book" w:eastAsiaTheme="minorHAnsi" w:hAnsi="ITC Franklin Gothic Std Book" w:cs="Georgia"/>
          <w:color w:val="000000"/>
          <w:sz w:val="22"/>
          <w:szCs w:val="22"/>
        </w:rPr>
        <w:footnoteReference w:id="9"/>
      </w:r>
    </w:p>
    <w:p w14:paraId="7EFE3545" w14:textId="77777777" w:rsidR="000A3630" w:rsidRPr="007D092D" w:rsidRDefault="000A3630" w:rsidP="00AC0C98">
      <w:pPr>
        <w:rPr>
          <w:rStyle w:val="Hyperlink"/>
          <w:rFonts w:ascii="ITC Franklin Gothic Std Book" w:hAnsi="ITC Franklin Gothic Std Book"/>
          <w:sz w:val="22"/>
          <w:szCs w:val="22"/>
        </w:rPr>
      </w:pPr>
    </w:p>
    <w:p w14:paraId="0EC6E1BF" w14:textId="15FBCD40" w:rsidR="000A3630" w:rsidRPr="007D092D" w:rsidRDefault="000A3630" w:rsidP="00AC0C98">
      <w:pPr>
        <w:pStyle w:val="Heading5"/>
        <w:spacing w:before="0"/>
        <w:rPr>
          <w:rStyle w:val="Hyperlink"/>
          <w:color w:val="000000" w:themeColor="text1"/>
          <w:szCs w:val="22"/>
          <w:u w:val="none"/>
        </w:rPr>
      </w:pPr>
      <w:r w:rsidRPr="007D092D">
        <w:rPr>
          <w:rStyle w:val="Hyperlink"/>
          <w:color w:val="000000" w:themeColor="text1"/>
          <w:szCs w:val="22"/>
          <w:u w:val="none"/>
        </w:rPr>
        <w:t>Creating Ethical Standards for Researchers and Journals</w:t>
      </w:r>
    </w:p>
    <w:p w14:paraId="760A8F3A" w14:textId="6334B962" w:rsidR="000A3630" w:rsidRPr="007D092D" w:rsidRDefault="000A3630" w:rsidP="00AC0C98">
      <w:pPr>
        <w:rPr>
          <w:rFonts w:ascii="ITC Franklin Gothic Std Book" w:hAnsi="ITC Franklin Gothic Std Book"/>
          <w:sz w:val="22"/>
          <w:szCs w:val="22"/>
        </w:rPr>
      </w:pPr>
      <w:r w:rsidRPr="007D092D">
        <w:rPr>
          <w:rFonts w:ascii="ITC Franklin Gothic Std Book" w:hAnsi="ITC Franklin Gothic Std Book"/>
          <w:sz w:val="22"/>
          <w:szCs w:val="22"/>
        </w:rPr>
        <w:t xml:space="preserve">Several groups are defining </w:t>
      </w:r>
      <w:r w:rsidRPr="007D092D">
        <w:rPr>
          <w:rFonts w:ascii="ITC Franklin Gothic Std Book" w:hAnsi="ITC Franklin Gothic Std Book"/>
          <w:b/>
          <w:sz w:val="22"/>
          <w:szCs w:val="22"/>
        </w:rPr>
        <w:t>principles, standards, and norms</w:t>
      </w:r>
      <w:r w:rsidRPr="007D092D">
        <w:rPr>
          <w:rFonts w:ascii="ITC Franklin Gothic Std Book" w:hAnsi="ITC Franklin Gothic Std Book"/>
          <w:sz w:val="22"/>
          <w:szCs w:val="22"/>
        </w:rPr>
        <w:t xml:space="preserve"> around the uses of data, analysis, and interpretation, that is around the steps associated with implementing a data science framework. For example, the Community Principles on Ethical Data Sharing, formulated at a Bloomberg conference in 2017, is based on four principles – fairness, benefit, openness, and reliability. Each are defined on their website (CPED 2017)</w:t>
      </w:r>
      <w:r>
        <w:rPr>
          <w:rFonts w:ascii="ITC Franklin Gothic Std Book" w:hAnsi="ITC Franklin Gothic Std Book"/>
          <w:sz w:val="22"/>
          <w:szCs w:val="22"/>
        </w:rPr>
        <w:t>:</w:t>
      </w:r>
      <w:r w:rsidRPr="007D092D">
        <w:rPr>
          <w:rStyle w:val="FootnoteReference"/>
          <w:rFonts w:ascii="ITC Franklin Gothic Std Book" w:hAnsi="ITC Franklin Gothic Std Book"/>
          <w:sz w:val="22"/>
          <w:szCs w:val="22"/>
        </w:rPr>
        <w:footnoteReference w:id="10"/>
      </w:r>
      <w:r w:rsidRPr="007D092D">
        <w:rPr>
          <w:rFonts w:ascii="ITC Franklin Gothic Std Book" w:hAnsi="ITC Franklin Gothic Std Book"/>
          <w:sz w:val="22"/>
          <w:szCs w:val="22"/>
        </w:rPr>
        <w:t xml:space="preserve"> </w:t>
      </w:r>
    </w:p>
    <w:p w14:paraId="418FC9BA" w14:textId="41CB41BB" w:rsidR="000A3630" w:rsidRPr="007D092D" w:rsidRDefault="000A3630" w:rsidP="00AC0C98">
      <w:pPr>
        <w:ind w:left="720"/>
        <w:rPr>
          <w:rFonts w:ascii="ITC Franklin Gothic Std Book" w:hAnsi="ITC Franklin Gothic Std Book"/>
          <w:sz w:val="22"/>
          <w:szCs w:val="22"/>
        </w:rPr>
      </w:pPr>
      <w:r w:rsidRPr="007D092D">
        <w:rPr>
          <w:rFonts w:ascii="ITC Franklin Gothic Std Book" w:hAnsi="ITC Franklin Gothic Std Book"/>
          <w:b/>
          <w:sz w:val="22"/>
          <w:szCs w:val="22"/>
        </w:rPr>
        <w:t>Fairness</w:t>
      </w:r>
      <w:r w:rsidRPr="007D092D">
        <w:rPr>
          <w:rFonts w:ascii="ITC Franklin Gothic Std Book" w:hAnsi="ITC Franklin Gothic Std Book"/>
          <w:sz w:val="22"/>
          <w:szCs w:val="22"/>
        </w:rPr>
        <w:t xml:space="preserve"> - Understand, mitigate and communicate the presence of bias in both data practice and consumption.</w:t>
      </w:r>
    </w:p>
    <w:p w14:paraId="137DF9A7" w14:textId="1411C8F6" w:rsidR="000A3630" w:rsidRPr="007D092D" w:rsidRDefault="000A3630" w:rsidP="00AC0C98">
      <w:pPr>
        <w:ind w:left="720"/>
        <w:rPr>
          <w:rFonts w:ascii="ITC Franklin Gothic Std Book" w:hAnsi="ITC Franklin Gothic Std Book"/>
          <w:b/>
          <w:bCs/>
          <w:sz w:val="22"/>
          <w:szCs w:val="22"/>
        </w:rPr>
      </w:pPr>
      <w:r w:rsidRPr="007D092D">
        <w:rPr>
          <w:rFonts w:ascii="ITC Franklin Gothic Std Book" w:hAnsi="ITC Franklin Gothic Std Book"/>
          <w:b/>
          <w:bCs/>
          <w:sz w:val="22"/>
          <w:szCs w:val="22"/>
        </w:rPr>
        <w:t xml:space="preserve">Benefit - </w:t>
      </w:r>
      <w:r w:rsidRPr="007D092D">
        <w:rPr>
          <w:rFonts w:ascii="ITC Franklin Gothic Std Book" w:hAnsi="ITC Franklin Gothic Std Book"/>
          <w:sz w:val="22"/>
          <w:szCs w:val="22"/>
        </w:rPr>
        <w:t>Set people before data and be responsible for maximizing social benefit and minimizing harm.</w:t>
      </w:r>
    </w:p>
    <w:p w14:paraId="28C13D5D" w14:textId="05780D7C" w:rsidR="000A3630" w:rsidRPr="007D092D" w:rsidRDefault="000A3630" w:rsidP="00AC0C98">
      <w:pPr>
        <w:ind w:left="720"/>
        <w:rPr>
          <w:rFonts w:ascii="ITC Franklin Gothic Std Book" w:hAnsi="ITC Franklin Gothic Std Book"/>
          <w:b/>
          <w:bCs/>
          <w:sz w:val="22"/>
          <w:szCs w:val="22"/>
        </w:rPr>
      </w:pPr>
      <w:r w:rsidRPr="007D092D">
        <w:rPr>
          <w:rFonts w:ascii="ITC Franklin Gothic Std Book" w:hAnsi="ITC Franklin Gothic Std Book"/>
          <w:b/>
          <w:bCs/>
          <w:sz w:val="22"/>
          <w:szCs w:val="22"/>
        </w:rPr>
        <w:t xml:space="preserve">Openness - </w:t>
      </w:r>
      <w:r w:rsidRPr="007D092D">
        <w:rPr>
          <w:rFonts w:ascii="ITC Franklin Gothic Std Book" w:hAnsi="ITC Franklin Gothic Std Book"/>
          <w:sz w:val="22"/>
          <w:szCs w:val="22"/>
        </w:rPr>
        <w:t>Practice humility and openness. Transparent practices, community engagement, and responsible communications are an integral part of data ethics.</w:t>
      </w:r>
    </w:p>
    <w:p w14:paraId="17167CBA" w14:textId="583824A3" w:rsidR="000A3630" w:rsidRPr="007D092D" w:rsidRDefault="000A3630" w:rsidP="00AC0C98">
      <w:pPr>
        <w:ind w:left="720"/>
        <w:rPr>
          <w:rFonts w:ascii="ITC Franklin Gothic Std Book" w:hAnsi="ITC Franklin Gothic Std Book"/>
          <w:b/>
          <w:bCs/>
          <w:sz w:val="22"/>
          <w:szCs w:val="22"/>
        </w:rPr>
      </w:pPr>
      <w:r w:rsidRPr="007D092D">
        <w:rPr>
          <w:rFonts w:ascii="ITC Franklin Gothic Std Book" w:hAnsi="ITC Franklin Gothic Std Book"/>
          <w:b/>
          <w:bCs/>
          <w:sz w:val="22"/>
          <w:szCs w:val="22"/>
        </w:rPr>
        <w:lastRenderedPageBreak/>
        <w:t xml:space="preserve">Reliability - </w:t>
      </w:r>
      <w:r w:rsidRPr="007D092D">
        <w:rPr>
          <w:rFonts w:ascii="ITC Franklin Gothic Std Book" w:hAnsi="ITC Franklin Gothic Std Book"/>
          <w:sz w:val="22"/>
          <w:szCs w:val="22"/>
        </w:rPr>
        <w:t>Ensure that every effort is made to glean a complete understanding of what is contained within data, where it came from, and how it was created. Extend this effort for future users of all data and derivative data.</w:t>
      </w:r>
    </w:p>
    <w:p w14:paraId="5B408955" w14:textId="77777777" w:rsidR="000A3630" w:rsidRPr="007D092D" w:rsidRDefault="000A3630" w:rsidP="00AC0C98">
      <w:pPr>
        <w:rPr>
          <w:rFonts w:ascii="ITC Franklin Gothic Std Book" w:hAnsi="ITC Franklin Gothic Std Book"/>
          <w:b/>
          <w:bCs/>
          <w:sz w:val="22"/>
          <w:szCs w:val="22"/>
        </w:rPr>
      </w:pPr>
    </w:p>
    <w:p w14:paraId="227923BF" w14:textId="40A473AA" w:rsidR="000A3630" w:rsidRPr="007D092D" w:rsidRDefault="000A3630" w:rsidP="00AC0C98">
      <w:pPr>
        <w:rPr>
          <w:rFonts w:ascii="ITC Franklin Gothic Std Book" w:hAnsi="ITC Franklin Gothic Std Book"/>
          <w:bCs/>
          <w:sz w:val="22"/>
          <w:szCs w:val="22"/>
        </w:rPr>
      </w:pPr>
      <w:r w:rsidRPr="007D092D">
        <w:rPr>
          <w:rFonts w:ascii="ITC Franklin Gothic Std Book" w:hAnsi="ITC Franklin Gothic Std Book"/>
          <w:bCs/>
          <w:sz w:val="22"/>
          <w:szCs w:val="22"/>
        </w:rPr>
        <w:t xml:space="preserve">To implement these four principals, CPED recommends obtaining consent; maintaining data securely; ensuring anonymity of the data; providing sufficient documentation of practices to be transparent through the data lifecycle; acknowledging and addressing bias or potential bias; demonstrating an understanding of tensions across stakeholders (if they exist); and taking care to communicate carefully; all while “exercising ethical imagination in their work, including considering the implication of what came before and what may come after, and actively working to increase benefit and prevent harm to others.” (CPED 2017). </w:t>
      </w:r>
    </w:p>
    <w:p w14:paraId="068361B5" w14:textId="77777777" w:rsidR="000A3630" w:rsidRPr="007D092D" w:rsidRDefault="000A3630" w:rsidP="00AC0C98">
      <w:pPr>
        <w:rPr>
          <w:rFonts w:ascii="ITC Franklin Gothic Std Book" w:hAnsi="ITC Franklin Gothic Std Book"/>
          <w:sz w:val="22"/>
          <w:szCs w:val="22"/>
        </w:rPr>
      </w:pPr>
    </w:p>
    <w:p w14:paraId="70EF3A54" w14:textId="243CED43" w:rsidR="000A3630" w:rsidRPr="007D092D" w:rsidRDefault="000A3630" w:rsidP="00AC0C98">
      <w:pPr>
        <w:rPr>
          <w:rFonts w:ascii="ITC Franklin Gothic Std Book" w:hAnsi="ITC Franklin Gothic Std Book"/>
          <w:bCs/>
          <w:sz w:val="22"/>
          <w:szCs w:val="22"/>
        </w:rPr>
      </w:pPr>
      <w:r w:rsidRPr="003F2FF8">
        <w:rPr>
          <w:rFonts w:ascii="ITC Franklin Gothic Std Book" w:hAnsi="ITC Franklin Gothic Std Book"/>
          <w:b/>
          <w:bCs/>
          <w:sz w:val="22"/>
          <w:szCs w:val="22"/>
        </w:rPr>
        <w:t>One area of confusion can be the issue of consent. From an ethical perspective, for surveys, obtaining consent is almost always required</w:t>
      </w:r>
      <w:r w:rsidRPr="007D092D">
        <w:rPr>
          <w:rFonts w:ascii="ITC Franklin Gothic Std Book" w:hAnsi="ITC Franklin Gothic Std Book"/>
          <w:bCs/>
          <w:sz w:val="22"/>
          <w:szCs w:val="22"/>
        </w:rPr>
        <w:t xml:space="preserve">.  </w:t>
      </w:r>
      <w:r>
        <w:rPr>
          <w:rFonts w:ascii="ITC Franklin Gothic Std Book" w:hAnsi="ITC Franklin Gothic Std Book"/>
          <w:bCs/>
          <w:sz w:val="22"/>
          <w:szCs w:val="22"/>
        </w:rPr>
        <w:t>An ongoing discussion is needed to address such questions as whether consent is needed if collecting</w:t>
      </w:r>
      <w:r w:rsidRPr="007D092D">
        <w:rPr>
          <w:rFonts w:ascii="ITC Franklin Gothic Std Book" w:hAnsi="ITC Franklin Gothic Std Book"/>
          <w:bCs/>
          <w:sz w:val="22"/>
          <w:szCs w:val="22"/>
        </w:rPr>
        <w:t xml:space="preserve"> data through Amazon Mechanical Turk? What about using publicly available data that can link local property records, with permit data, and other data that may (or </w:t>
      </w:r>
      <w:r>
        <w:rPr>
          <w:rFonts w:ascii="ITC Franklin Gothic Std Book" w:hAnsi="ITC Franklin Gothic Std Book"/>
          <w:bCs/>
          <w:sz w:val="22"/>
          <w:szCs w:val="22"/>
        </w:rPr>
        <w:t xml:space="preserve">may </w:t>
      </w:r>
      <w:r w:rsidRPr="007D092D">
        <w:rPr>
          <w:rFonts w:ascii="ITC Franklin Gothic Std Book" w:hAnsi="ITC Franklin Gothic Std Book"/>
          <w:bCs/>
          <w:sz w:val="22"/>
          <w:szCs w:val="22"/>
        </w:rPr>
        <w:t xml:space="preserve">not) give the perception of identifying individuals. Are statements by researchers sufficient, for example, that all data are deidentified and no attempt to identify individuals will be made? </w:t>
      </w:r>
    </w:p>
    <w:p w14:paraId="249D905E" w14:textId="5066DE4F" w:rsidR="000A3630" w:rsidRDefault="000A3630" w:rsidP="00AC0C98">
      <w:pPr>
        <w:rPr>
          <w:rFonts w:ascii="ITC Franklin Gothic Std Book" w:hAnsi="ITC Franklin Gothic Std Book"/>
          <w:bCs/>
          <w:sz w:val="22"/>
          <w:szCs w:val="22"/>
        </w:rPr>
      </w:pPr>
    </w:p>
    <w:p w14:paraId="156B54AB" w14:textId="52F15D9F" w:rsidR="000A3630" w:rsidRPr="004E6E18" w:rsidRDefault="000A3630" w:rsidP="004E6E18">
      <w:pPr>
        <w:pStyle w:val="Heading5"/>
        <w:spacing w:before="0"/>
        <w:rPr>
          <w:rStyle w:val="Hyperlink"/>
          <w:color w:val="000000" w:themeColor="text1"/>
          <w:u w:val="none"/>
        </w:rPr>
      </w:pPr>
      <w:r w:rsidRPr="004E6E18">
        <w:rPr>
          <w:rStyle w:val="Hyperlink"/>
          <w:color w:val="000000" w:themeColor="text1"/>
          <w:u w:val="none"/>
        </w:rPr>
        <w:t>Ethical Challenges and Alignment of Incentives</w:t>
      </w:r>
    </w:p>
    <w:p w14:paraId="2E34ECAC" w14:textId="0FC14D35" w:rsidR="000A3630" w:rsidRPr="007D092D" w:rsidRDefault="000A3630" w:rsidP="00AC0C98">
      <w:pPr>
        <w:rPr>
          <w:rFonts w:ascii="ITC Franklin Gothic Std Book" w:hAnsi="ITC Franklin Gothic Std Book"/>
          <w:sz w:val="22"/>
          <w:szCs w:val="22"/>
        </w:rPr>
      </w:pPr>
      <w:r w:rsidRPr="004E6E18">
        <w:rPr>
          <w:rFonts w:ascii="ITC Franklin Gothic Std Book" w:hAnsi="ITC Franklin Gothic Std Book"/>
          <w:sz w:val="22"/>
          <w:szCs w:val="22"/>
        </w:rPr>
        <w:t>Ethical challenges arise when incentives focus on quantity and innovation rather than quality and reproducibility of science,</w:t>
      </w:r>
      <w:r w:rsidRPr="007D092D">
        <w:rPr>
          <w:rFonts w:ascii="ITC Franklin Gothic Std Book" w:hAnsi="ITC Franklin Gothic Std Book"/>
          <w:sz w:val="22"/>
          <w:szCs w:val="22"/>
        </w:rPr>
        <w:t xml:space="preserve"> and researchers are encouraged to ‘warehouse any negative findings’ (</w:t>
      </w:r>
      <w:proofErr w:type="spellStart"/>
      <w:r w:rsidRPr="007D092D">
        <w:rPr>
          <w:rFonts w:ascii="ITC Franklin Gothic Std Book" w:hAnsi="ITC Franklin Gothic Std Book"/>
          <w:sz w:val="22"/>
          <w:szCs w:val="22"/>
        </w:rPr>
        <w:t>Nosek</w:t>
      </w:r>
      <w:proofErr w:type="spellEnd"/>
      <w:r w:rsidRPr="007D092D">
        <w:rPr>
          <w:rFonts w:ascii="ITC Franklin Gothic Std Book" w:hAnsi="ITC Franklin Gothic Std Book"/>
          <w:sz w:val="22"/>
          <w:szCs w:val="22"/>
        </w:rPr>
        <w:t xml:space="preserve"> et al. 2012</w:t>
      </w:r>
      <w:r w:rsidRPr="007D092D">
        <w:rPr>
          <w:rStyle w:val="FootnoteReference"/>
          <w:rFonts w:ascii="ITC Franklin Gothic Std Book" w:hAnsi="ITC Franklin Gothic Std Book"/>
          <w:sz w:val="22"/>
          <w:szCs w:val="22"/>
        </w:rPr>
        <w:footnoteReference w:id="11"/>
      </w:r>
      <w:r w:rsidRPr="007D092D">
        <w:rPr>
          <w:rFonts w:ascii="ITC Franklin Gothic Std Book" w:hAnsi="ITC Franklin Gothic Std Book"/>
          <w:sz w:val="22"/>
          <w:szCs w:val="22"/>
        </w:rPr>
        <w:t xml:space="preserve"> in Alberts et al. 2015</w:t>
      </w:r>
      <w:r w:rsidRPr="007D092D">
        <w:rPr>
          <w:rStyle w:val="FootnoteReference"/>
          <w:rFonts w:ascii="ITC Franklin Gothic Std Book" w:hAnsi="ITC Franklin Gothic Std Book"/>
          <w:sz w:val="22"/>
          <w:szCs w:val="22"/>
        </w:rPr>
        <w:footnoteReference w:id="12"/>
      </w:r>
      <w:r w:rsidRPr="007D092D">
        <w:rPr>
          <w:rFonts w:ascii="ITC Franklin Gothic Std Book" w:hAnsi="ITC Franklin Gothic Std Book"/>
          <w:sz w:val="22"/>
          <w:szCs w:val="22"/>
        </w:rPr>
        <w:t xml:space="preserve">). Some authors propose that </w:t>
      </w:r>
      <w:r w:rsidRPr="003F2FF8">
        <w:rPr>
          <w:rFonts w:ascii="ITC Franklin Gothic Std Book" w:hAnsi="ITC Franklin Gothic Std Book"/>
          <w:b/>
          <w:sz w:val="22"/>
          <w:szCs w:val="22"/>
        </w:rPr>
        <w:t>open science that values transparency, openness, and reproducibility</w:t>
      </w:r>
      <w:r w:rsidRPr="007D092D">
        <w:rPr>
          <w:rFonts w:ascii="ITC Franklin Gothic Std Book" w:hAnsi="ITC Franklin Gothic Std Book"/>
          <w:sz w:val="22"/>
          <w:szCs w:val="22"/>
        </w:rPr>
        <w:t xml:space="preserve"> should include reporting on ‘null results’ as well as statistically significant results (</w:t>
      </w:r>
      <w:proofErr w:type="spellStart"/>
      <w:r w:rsidRPr="007D092D">
        <w:rPr>
          <w:rFonts w:ascii="ITC Franklin Gothic Std Book" w:hAnsi="ITC Franklin Gothic Std Book"/>
          <w:sz w:val="22"/>
          <w:szCs w:val="22"/>
        </w:rPr>
        <w:t>Nosek</w:t>
      </w:r>
      <w:proofErr w:type="spellEnd"/>
      <w:r w:rsidRPr="007D092D">
        <w:rPr>
          <w:rFonts w:ascii="ITC Franklin Gothic Std Book" w:hAnsi="ITC Franklin Gothic Std Book"/>
          <w:sz w:val="22"/>
          <w:szCs w:val="22"/>
        </w:rPr>
        <w:t xml:space="preserve"> et al. 2015)</w:t>
      </w:r>
      <w:r w:rsidRPr="007D092D">
        <w:rPr>
          <w:rStyle w:val="FootnoteReference"/>
          <w:rFonts w:ascii="ITC Franklin Gothic Std Book" w:hAnsi="ITC Franklin Gothic Std Book"/>
          <w:sz w:val="22"/>
          <w:szCs w:val="22"/>
        </w:rPr>
        <w:footnoteReference w:id="13"/>
      </w:r>
      <w:r w:rsidR="00D56C85">
        <w:rPr>
          <w:rFonts w:ascii="ITC Franklin Gothic Std Book" w:hAnsi="ITC Franklin Gothic Std Book"/>
          <w:sz w:val="22"/>
          <w:szCs w:val="22"/>
        </w:rPr>
        <w:t xml:space="preserve"> </w:t>
      </w:r>
    </w:p>
    <w:p w14:paraId="047EA733" w14:textId="77777777" w:rsidR="000A3630" w:rsidRPr="007D092D" w:rsidRDefault="000A3630" w:rsidP="00AC0C98">
      <w:pPr>
        <w:autoSpaceDE w:val="0"/>
        <w:autoSpaceDN w:val="0"/>
        <w:adjustRightInd w:val="0"/>
        <w:rPr>
          <w:rFonts w:ascii="ITC Franklin Gothic Std Book" w:hAnsi="ITC Franklin Gothic Std Book"/>
          <w:sz w:val="22"/>
          <w:szCs w:val="22"/>
        </w:rPr>
      </w:pPr>
    </w:p>
    <w:p w14:paraId="3C770158" w14:textId="5EC73A97" w:rsidR="000A3630" w:rsidRPr="007D092D" w:rsidRDefault="000A3630" w:rsidP="00AC0C98">
      <w:pPr>
        <w:autoSpaceDE w:val="0"/>
        <w:autoSpaceDN w:val="0"/>
        <w:adjustRightInd w:val="0"/>
        <w:rPr>
          <w:rFonts w:ascii="ITC Franklin Gothic Std Book" w:hAnsi="ITC Franklin Gothic Std Book"/>
          <w:sz w:val="22"/>
          <w:szCs w:val="22"/>
        </w:rPr>
      </w:pPr>
      <w:r w:rsidRPr="007D092D">
        <w:rPr>
          <w:rFonts w:ascii="ITC Franklin Gothic Std Book" w:hAnsi="ITC Franklin Gothic Std Book"/>
          <w:sz w:val="22"/>
          <w:szCs w:val="22"/>
        </w:rPr>
        <w:t>Science has many norms that most often ensure critique and correction of findings, but the process is not foolproof, and incentives can distort norms.  A group, organized by the National Academy of Sciences and the Annenberg Retreat met to discuss how to remove the disincentives to high quality science</w:t>
      </w:r>
      <w:r>
        <w:rPr>
          <w:rFonts w:ascii="ITC Franklin Gothic Std Book" w:hAnsi="ITC Franklin Gothic Std Book"/>
          <w:sz w:val="22"/>
          <w:szCs w:val="22"/>
        </w:rPr>
        <w:t xml:space="preserve"> </w:t>
      </w:r>
      <w:r w:rsidRPr="007D092D">
        <w:rPr>
          <w:rFonts w:ascii="ITC Franklin Gothic Std Book" w:hAnsi="ITC Franklin Gothic Std Book"/>
          <w:sz w:val="22"/>
          <w:szCs w:val="22"/>
        </w:rPr>
        <w:t>(Alberts et al. 2015), although this may be easier said than done. Their proposed actions are to:</w:t>
      </w:r>
    </w:p>
    <w:p w14:paraId="30EB6FD9" w14:textId="31774123" w:rsidR="000A3630" w:rsidRPr="007D092D" w:rsidRDefault="000A3630" w:rsidP="00AC0C98">
      <w:pPr>
        <w:pStyle w:val="ListParagraph"/>
        <w:numPr>
          <w:ilvl w:val="0"/>
          <w:numId w:val="5"/>
        </w:numPr>
        <w:autoSpaceDE w:val="0"/>
        <w:autoSpaceDN w:val="0"/>
        <w:adjustRightInd w:val="0"/>
        <w:rPr>
          <w:rFonts w:ascii="ITC Franklin Gothic Std Book" w:hAnsi="ITC Franklin Gothic Std Book"/>
          <w:sz w:val="22"/>
          <w:szCs w:val="22"/>
        </w:rPr>
      </w:pPr>
      <w:r w:rsidRPr="007D092D">
        <w:rPr>
          <w:rFonts w:ascii="ITC Franklin Gothic Std Book" w:hAnsi="ITC Franklin Gothic Std Book"/>
          <w:sz w:val="22"/>
          <w:szCs w:val="22"/>
        </w:rPr>
        <w:t>Reward scholars for “publishing well rather than often;”</w:t>
      </w:r>
    </w:p>
    <w:p w14:paraId="470AA811" w14:textId="7CCA69E5" w:rsidR="000A3630" w:rsidRPr="007D092D" w:rsidRDefault="000A3630" w:rsidP="00AC0C98">
      <w:pPr>
        <w:pStyle w:val="ListParagraph"/>
        <w:numPr>
          <w:ilvl w:val="0"/>
          <w:numId w:val="5"/>
        </w:numPr>
        <w:autoSpaceDE w:val="0"/>
        <w:autoSpaceDN w:val="0"/>
        <w:adjustRightInd w:val="0"/>
        <w:rPr>
          <w:rFonts w:ascii="ITC Franklin Gothic Std Book" w:hAnsi="ITC Franklin Gothic Std Book"/>
          <w:sz w:val="22"/>
          <w:szCs w:val="22"/>
        </w:rPr>
      </w:pPr>
      <w:r w:rsidRPr="007D092D">
        <w:rPr>
          <w:rFonts w:ascii="ITC Franklin Gothic Std Book" w:hAnsi="ITC Franklin Gothic Std Book"/>
          <w:sz w:val="22"/>
          <w:szCs w:val="22"/>
        </w:rPr>
        <w:t>Increase mentoring younger reviewers during the peer review process;</w:t>
      </w:r>
    </w:p>
    <w:p w14:paraId="7C4D8441" w14:textId="062FA8F9" w:rsidR="000A3630" w:rsidRPr="007D092D" w:rsidRDefault="000A3630" w:rsidP="00AC0C98">
      <w:pPr>
        <w:pStyle w:val="ListParagraph"/>
        <w:numPr>
          <w:ilvl w:val="0"/>
          <w:numId w:val="5"/>
        </w:numPr>
        <w:autoSpaceDE w:val="0"/>
        <w:autoSpaceDN w:val="0"/>
        <w:adjustRightInd w:val="0"/>
        <w:rPr>
          <w:rFonts w:ascii="ITC Franklin Gothic Std Book" w:hAnsi="ITC Franklin Gothic Std Book"/>
          <w:sz w:val="22"/>
          <w:szCs w:val="22"/>
        </w:rPr>
      </w:pPr>
      <w:r w:rsidRPr="007D092D">
        <w:rPr>
          <w:rFonts w:ascii="ITC Franklin Gothic Std Book" w:hAnsi="ITC Franklin Gothic Std Book"/>
          <w:sz w:val="22"/>
          <w:szCs w:val="22"/>
        </w:rPr>
        <w:lastRenderedPageBreak/>
        <w:t>Ensuring clarity and quality of editorial responses;</w:t>
      </w:r>
    </w:p>
    <w:p w14:paraId="6D721572" w14:textId="38A0A831" w:rsidR="000A3630" w:rsidRPr="007D092D" w:rsidRDefault="000A3630" w:rsidP="00AC0C98">
      <w:pPr>
        <w:pStyle w:val="ListParagraph"/>
        <w:numPr>
          <w:ilvl w:val="0"/>
          <w:numId w:val="5"/>
        </w:numPr>
        <w:autoSpaceDE w:val="0"/>
        <w:autoSpaceDN w:val="0"/>
        <w:adjustRightInd w:val="0"/>
        <w:rPr>
          <w:rFonts w:ascii="ITC Franklin Gothic Std Book" w:hAnsi="ITC Franklin Gothic Std Book"/>
          <w:sz w:val="22"/>
          <w:szCs w:val="22"/>
        </w:rPr>
      </w:pPr>
      <w:r w:rsidRPr="007D092D">
        <w:rPr>
          <w:rFonts w:ascii="ITC Franklin Gothic Std Book" w:hAnsi="ITC Franklin Gothic Std Book"/>
          <w:sz w:val="22"/>
          <w:szCs w:val="22"/>
        </w:rPr>
        <w:t>Uncovering reviewer biases for or against an article or other output.</w:t>
      </w:r>
    </w:p>
    <w:p w14:paraId="188738E0" w14:textId="77777777" w:rsidR="000A3630" w:rsidRPr="007D092D" w:rsidRDefault="000A3630" w:rsidP="00AC0C98">
      <w:pPr>
        <w:rPr>
          <w:rFonts w:ascii="ITC Franklin Gothic Std Book" w:hAnsi="ITC Franklin Gothic Std Book"/>
          <w:sz w:val="22"/>
          <w:szCs w:val="22"/>
        </w:rPr>
      </w:pPr>
    </w:p>
    <w:p w14:paraId="1A120F49" w14:textId="37D7AC17" w:rsidR="000A3630" w:rsidRPr="007D092D" w:rsidRDefault="000A3630" w:rsidP="00AC0C98">
      <w:pPr>
        <w:rPr>
          <w:rFonts w:ascii="ITC Franklin Gothic Std Book" w:hAnsi="ITC Franklin Gothic Std Book"/>
          <w:sz w:val="22"/>
          <w:szCs w:val="22"/>
        </w:rPr>
      </w:pPr>
      <w:r w:rsidRPr="007D092D">
        <w:rPr>
          <w:rFonts w:ascii="ITC Franklin Gothic Std Book" w:hAnsi="ITC Franklin Gothic Std Book"/>
          <w:sz w:val="22"/>
          <w:szCs w:val="22"/>
        </w:rPr>
        <w:t xml:space="preserve">A proposed way to do this is to allow reviewers to share their comments with each other and to collaborate on a response to the author.  </w:t>
      </w:r>
      <w:proofErr w:type="spellStart"/>
      <w:r w:rsidRPr="007D092D">
        <w:rPr>
          <w:rFonts w:ascii="ITC Franklin Gothic Std Book" w:hAnsi="ITC Franklin Gothic Std Book"/>
          <w:i/>
          <w:sz w:val="22"/>
          <w:szCs w:val="22"/>
        </w:rPr>
        <w:t>eLife</w:t>
      </w:r>
      <w:proofErr w:type="spellEnd"/>
      <w:r w:rsidRPr="007D092D">
        <w:rPr>
          <w:rFonts w:ascii="ITC Franklin Gothic Std Book" w:hAnsi="ITC Franklin Gothic Std Book"/>
          <w:sz w:val="22"/>
          <w:szCs w:val="22"/>
        </w:rPr>
        <w:t>,</w:t>
      </w:r>
      <w:r w:rsidRPr="007D092D">
        <w:rPr>
          <w:rStyle w:val="FootnoteReference"/>
          <w:rFonts w:ascii="ITC Franklin Gothic Std Book" w:hAnsi="ITC Franklin Gothic Std Book"/>
          <w:sz w:val="22"/>
          <w:szCs w:val="22"/>
        </w:rPr>
        <w:footnoteReference w:id="14"/>
      </w:r>
      <w:r w:rsidRPr="007D092D">
        <w:rPr>
          <w:rFonts w:ascii="ITC Franklin Gothic Std Book" w:hAnsi="ITC Franklin Gothic Std Book"/>
          <w:sz w:val="22"/>
          <w:szCs w:val="22"/>
        </w:rPr>
        <w:t xml:space="preserve"> an open access life and biomedical online journal and </w:t>
      </w:r>
      <w:r w:rsidRPr="007D092D">
        <w:rPr>
          <w:rFonts w:ascii="ITC Franklin Gothic Std Book" w:hAnsi="ITC Franklin Gothic Std Book"/>
          <w:i/>
          <w:sz w:val="22"/>
          <w:szCs w:val="22"/>
        </w:rPr>
        <w:t xml:space="preserve">Science </w:t>
      </w:r>
      <w:r w:rsidRPr="007D092D">
        <w:rPr>
          <w:rFonts w:ascii="ITC Franklin Gothic Std Book" w:hAnsi="ITC Franklin Gothic Std Book"/>
          <w:sz w:val="22"/>
          <w:szCs w:val="22"/>
        </w:rPr>
        <w:t xml:space="preserve">both follow this practice. </w:t>
      </w:r>
    </w:p>
    <w:p w14:paraId="7658427B" w14:textId="77777777" w:rsidR="000A3630" w:rsidRPr="007D092D" w:rsidRDefault="000A3630" w:rsidP="00AC0C98">
      <w:pPr>
        <w:rPr>
          <w:rFonts w:ascii="ITC Franklin Gothic Std Book" w:hAnsi="ITC Franklin Gothic Std Book"/>
          <w:sz w:val="22"/>
          <w:szCs w:val="22"/>
        </w:rPr>
      </w:pPr>
    </w:p>
    <w:p w14:paraId="169D95E3" w14:textId="41E12BC0" w:rsidR="000A3630" w:rsidRPr="007D092D" w:rsidRDefault="000A3630" w:rsidP="00AC0C98">
      <w:pPr>
        <w:rPr>
          <w:rFonts w:ascii="ITC Franklin Gothic Std Book" w:hAnsi="ITC Franklin Gothic Std Book"/>
          <w:sz w:val="22"/>
          <w:szCs w:val="22"/>
        </w:rPr>
      </w:pPr>
      <w:r w:rsidRPr="007D092D">
        <w:rPr>
          <w:rFonts w:ascii="ITC Franklin Gothic Std Book" w:hAnsi="ITC Franklin Gothic Std Book"/>
          <w:sz w:val="22"/>
          <w:szCs w:val="22"/>
        </w:rPr>
        <w:t xml:space="preserve">Underlying these principles for reporting on science and science findings are ethical practices in the laboratory ensuring that research is conducted ethically from the start, including </w:t>
      </w:r>
      <w:r w:rsidRPr="003F2FF8">
        <w:rPr>
          <w:rFonts w:ascii="ITC Franklin Gothic Std Book" w:hAnsi="ITC Franklin Gothic Std Book"/>
          <w:b/>
          <w:sz w:val="22"/>
          <w:szCs w:val="22"/>
        </w:rPr>
        <w:t>documentation, privacy, confidentiality, and transparency</w:t>
      </w:r>
      <w:r w:rsidRPr="007D092D">
        <w:rPr>
          <w:rFonts w:ascii="ITC Franklin Gothic Std Book" w:hAnsi="ITC Franklin Gothic Std Book"/>
          <w:sz w:val="22"/>
          <w:szCs w:val="22"/>
        </w:rPr>
        <w:t xml:space="preserve">. Constructive criticism and questioning is an integral part of science; overcoming one’s own biases and others through ongoing discussion is an integral part of the scientific process. </w:t>
      </w:r>
    </w:p>
    <w:p w14:paraId="582F855F" w14:textId="321C73DD" w:rsidR="000A3630" w:rsidRPr="007D092D" w:rsidRDefault="000A3630" w:rsidP="00AC0C98">
      <w:pPr>
        <w:rPr>
          <w:rFonts w:ascii="ITC Franklin Gothic Std Book" w:hAnsi="ITC Franklin Gothic Std Book"/>
          <w:sz w:val="22"/>
          <w:szCs w:val="22"/>
        </w:rPr>
      </w:pPr>
    </w:p>
    <w:p w14:paraId="3BADAD46" w14:textId="22377E14" w:rsidR="000A3630" w:rsidRPr="007D092D" w:rsidRDefault="000A3630" w:rsidP="00AC0C98">
      <w:pPr>
        <w:rPr>
          <w:rFonts w:ascii="ITC Franklin Gothic Std Book" w:hAnsi="ITC Franklin Gothic Std Book"/>
          <w:sz w:val="22"/>
          <w:szCs w:val="22"/>
        </w:rPr>
      </w:pPr>
      <w:r w:rsidRPr="003F2FF8">
        <w:rPr>
          <w:rFonts w:ascii="ITC Franklin Gothic Std Book" w:hAnsi="ITC Franklin Gothic Std Book"/>
          <w:b/>
          <w:sz w:val="22"/>
          <w:szCs w:val="22"/>
        </w:rPr>
        <w:t>The Transparency and Openness Promotion (TOP) committee</w:t>
      </w:r>
      <w:r w:rsidRPr="007D092D">
        <w:rPr>
          <w:rFonts w:ascii="ITC Franklin Gothic Std Book" w:hAnsi="ITC Franklin Gothic Std Book"/>
          <w:sz w:val="22"/>
          <w:szCs w:val="22"/>
        </w:rPr>
        <w:t xml:space="preserve"> also propose guidelines for procedures and publication policies in social and behavioral sciences journals with the goal to drive towards more openness. To do this, they propose modular standards across three levels, each level designed to allow for increasing adoption of the standards. The guidelines recognize challenges with implementing the first four standards (citation standards, data transparency, analysis methods (code) transparency, and research materials transparency) allowing exceptions to sharing for ethical reasons, intellectual property concerns, or availability of necessary resources.  The next four standards (design and analysis transparency, preregistration of studies, preregistration of analysis plans, and replication) define openness across the scientific process. </w:t>
      </w:r>
    </w:p>
    <w:p w14:paraId="0F1629D0" w14:textId="77777777" w:rsidR="000A3630" w:rsidRPr="007D092D" w:rsidRDefault="000A3630" w:rsidP="00AC0C98">
      <w:pPr>
        <w:rPr>
          <w:rFonts w:ascii="ITC Franklin Gothic Std Book" w:hAnsi="ITC Franklin Gothic Std Book"/>
          <w:sz w:val="22"/>
          <w:szCs w:val="22"/>
        </w:rPr>
      </w:pPr>
    </w:p>
    <w:p w14:paraId="1E99BFB8" w14:textId="710D7B9C" w:rsidR="000A3630" w:rsidRPr="007D092D" w:rsidRDefault="000A3630" w:rsidP="00AC0C98">
      <w:pPr>
        <w:rPr>
          <w:rFonts w:ascii="ITC Franklin Gothic Std Book" w:hAnsi="ITC Franklin Gothic Std Book"/>
          <w:sz w:val="22"/>
          <w:szCs w:val="22"/>
        </w:rPr>
      </w:pPr>
      <w:r w:rsidRPr="007D092D">
        <w:rPr>
          <w:rFonts w:ascii="ITC Franklin Gothic Std Book" w:hAnsi="ITC Franklin Gothic Std Book"/>
          <w:sz w:val="22"/>
          <w:szCs w:val="22"/>
        </w:rPr>
        <w:t xml:space="preserve">At the time of the article publication, 86 social and behavioral </w:t>
      </w:r>
      <w:r w:rsidR="00BF66EA" w:rsidRPr="007D092D">
        <w:rPr>
          <w:rFonts w:ascii="ITC Franklin Gothic Std Book" w:hAnsi="ITC Franklin Gothic Std Book"/>
          <w:sz w:val="22"/>
          <w:szCs w:val="22"/>
        </w:rPr>
        <w:t>journa</w:t>
      </w:r>
      <w:r w:rsidR="00BF66EA">
        <w:rPr>
          <w:rFonts w:ascii="ITC Franklin Gothic Std Book" w:hAnsi="ITC Franklin Gothic Std Book"/>
          <w:sz w:val="22"/>
          <w:szCs w:val="22"/>
        </w:rPr>
        <w:t>ls</w:t>
      </w:r>
      <w:r w:rsidRPr="007D092D">
        <w:rPr>
          <w:rFonts w:ascii="ITC Franklin Gothic Std Book" w:hAnsi="ITC Franklin Gothic Std Book"/>
          <w:sz w:val="22"/>
          <w:szCs w:val="22"/>
        </w:rPr>
        <w:t xml:space="preserve"> had agreed to follow the standards.  The Center for Open Science</w:t>
      </w:r>
      <w:r w:rsidRPr="007D092D">
        <w:rPr>
          <w:rStyle w:val="FootnoteReference"/>
          <w:rFonts w:ascii="ITC Franklin Gothic Std Book" w:hAnsi="ITC Franklin Gothic Std Book"/>
          <w:sz w:val="22"/>
          <w:szCs w:val="22"/>
        </w:rPr>
        <w:footnoteReference w:id="15"/>
      </w:r>
      <w:r w:rsidRPr="007D092D">
        <w:rPr>
          <w:rFonts w:ascii="ITC Franklin Gothic Std Book" w:hAnsi="ITC Franklin Gothic Std Book"/>
          <w:sz w:val="22"/>
          <w:szCs w:val="22"/>
        </w:rPr>
        <w:t xml:space="preserve"> at the University of Virginia provides an “information commons” and support to support journals in adopting the standards (</w:t>
      </w:r>
      <w:proofErr w:type="spellStart"/>
      <w:r w:rsidRPr="007D092D">
        <w:rPr>
          <w:rFonts w:ascii="ITC Franklin Gothic Std Book" w:hAnsi="ITC Franklin Gothic Std Book"/>
          <w:sz w:val="22"/>
          <w:szCs w:val="22"/>
        </w:rPr>
        <w:t>Nosek</w:t>
      </w:r>
      <w:proofErr w:type="spellEnd"/>
      <w:r w:rsidRPr="007D092D">
        <w:rPr>
          <w:rFonts w:ascii="ITC Franklin Gothic Std Book" w:hAnsi="ITC Franklin Gothic Std Book"/>
          <w:sz w:val="22"/>
          <w:szCs w:val="22"/>
        </w:rPr>
        <w:t xml:space="preserve"> et al. 2015). The Center also tracks adoption across journals. </w:t>
      </w:r>
    </w:p>
    <w:p w14:paraId="7DF2CD63" w14:textId="66BE55AF" w:rsidR="000A3630" w:rsidRPr="007D092D" w:rsidRDefault="000A3630" w:rsidP="00AC0C98">
      <w:pPr>
        <w:rPr>
          <w:rFonts w:ascii="ITC Franklin Gothic Std Book" w:hAnsi="ITC Franklin Gothic Std Book"/>
          <w:sz w:val="22"/>
          <w:szCs w:val="22"/>
        </w:rPr>
      </w:pPr>
    </w:p>
    <w:p w14:paraId="7E4C3EA6" w14:textId="660ADAC1" w:rsidR="000A3630" w:rsidRPr="007D092D" w:rsidRDefault="000A3630" w:rsidP="0051589A">
      <w:pPr>
        <w:pStyle w:val="Heading5"/>
        <w:spacing w:before="0"/>
        <w:rPr>
          <w:rStyle w:val="Hyperlink"/>
          <w:color w:val="000000" w:themeColor="text1"/>
          <w:szCs w:val="22"/>
          <w:u w:val="none"/>
        </w:rPr>
      </w:pPr>
      <w:r w:rsidRPr="007D092D">
        <w:rPr>
          <w:rStyle w:val="Hyperlink"/>
          <w:color w:val="000000" w:themeColor="text1"/>
          <w:szCs w:val="22"/>
          <w:u w:val="none"/>
        </w:rPr>
        <w:t>Creating Ethical Standards for Businesses</w:t>
      </w:r>
    </w:p>
    <w:p w14:paraId="63BC30DD" w14:textId="00BAEBF1" w:rsidR="000A3630" w:rsidRPr="007D092D" w:rsidRDefault="000A3630" w:rsidP="00AC0C98">
      <w:pPr>
        <w:rPr>
          <w:rFonts w:ascii="ITC Franklin Gothic Std Book" w:hAnsi="ITC Franklin Gothic Std Book"/>
          <w:sz w:val="22"/>
          <w:szCs w:val="22"/>
        </w:rPr>
      </w:pPr>
    </w:p>
    <w:p w14:paraId="064739FD" w14:textId="428B384D" w:rsidR="000A3630" w:rsidRPr="007D092D" w:rsidRDefault="000A3630" w:rsidP="0051589A">
      <w:pPr>
        <w:autoSpaceDE w:val="0"/>
        <w:autoSpaceDN w:val="0"/>
        <w:adjustRightInd w:val="0"/>
        <w:rPr>
          <w:rFonts w:ascii="ITC Franklin Gothic Std Book" w:eastAsiaTheme="minorHAnsi" w:hAnsi="ITC Franklin Gothic Std Book" w:cs="Georgia"/>
          <w:color w:val="000000"/>
          <w:sz w:val="22"/>
          <w:szCs w:val="22"/>
        </w:rPr>
      </w:pPr>
      <w:r w:rsidRPr="007D092D">
        <w:rPr>
          <w:rFonts w:ascii="ITC Franklin Gothic Std Book" w:eastAsiaTheme="minorHAnsi" w:hAnsi="ITC Franklin Gothic Std Book" w:cs="Georgia"/>
          <w:color w:val="000000"/>
          <w:sz w:val="22"/>
          <w:szCs w:val="22"/>
        </w:rPr>
        <w:t>An ethical framework that insists that businesses play an active role in ensuring privacy is the European Union’s General Data Protection Regulation (GDPR).</w:t>
      </w:r>
      <w:r w:rsidRPr="007D092D">
        <w:rPr>
          <w:rStyle w:val="FootnoteReference"/>
          <w:rFonts w:ascii="ITC Franklin Gothic Std Book" w:eastAsiaTheme="minorHAnsi" w:hAnsi="ITC Franklin Gothic Std Book" w:cs="Georgia"/>
          <w:color w:val="000000"/>
          <w:sz w:val="22"/>
          <w:szCs w:val="22"/>
        </w:rPr>
        <w:footnoteReference w:id="16"/>
      </w:r>
      <w:r w:rsidRPr="007D092D">
        <w:rPr>
          <w:rFonts w:ascii="ITC Franklin Gothic Std Book" w:eastAsiaTheme="minorHAnsi" w:hAnsi="ITC Franklin Gothic Std Book" w:cs="Georgia"/>
          <w:color w:val="000000"/>
          <w:sz w:val="22"/>
          <w:szCs w:val="22"/>
        </w:rPr>
        <w:t xml:space="preserve"> Regulation (EU) 2016/679 regulates the processing by an </w:t>
      </w:r>
      <w:r w:rsidRPr="007D092D">
        <w:rPr>
          <w:rFonts w:ascii="ITC Franklin Gothic Std Book" w:eastAsiaTheme="minorHAnsi" w:hAnsi="ITC Franklin Gothic Std Book" w:cs="Georgia"/>
          <w:bCs/>
          <w:color w:val="000000"/>
          <w:sz w:val="22"/>
          <w:szCs w:val="22"/>
        </w:rPr>
        <w:t>individual, a company or an organization</w:t>
      </w:r>
      <w:r w:rsidRPr="007D092D">
        <w:rPr>
          <w:rFonts w:ascii="ITC Franklin Gothic Std Book" w:eastAsiaTheme="minorHAnsi" w:hAnsi="ITC Franklin Gothic Std Book" w:cs="Georgia"/>
          <w:color w:val="000000"/>
          <w:sz w:val="22"/>
          <w:szCs w:val="22"/>
        </w:rPr>
        <w:t xml:space="preserve"> of </w:t>
      </w:r>
      <w:r w:rsidRPr="007D092D">
        <w:rPr>
          <w:rFonts w:ascii="ITC Franklin Gothic Std Book" w:eastAsiaTheme="minorHAnsi" w:hAnsi="ITC Franklin Gothic Std Book" w:cs="Georgia"/>
          <w:bCs/>
          <w:color w:val="000000"/>
          <w:sz w:val="22"/>
          <w:szCs w:val="22"/>
        </w:rPr>
        <w:t>personal data</w:t>
      </w:r>
      <w:r w:rsidRPr="007D092D">
        <w:rPr>
          <w:rFonts w:ascii="ITC Franklin Gothic Std Book" w:eastAsiaTheme="minorHAnsi" w:hAnsi="ITC Franklin Gothic Std Book" w:cs="Georgia"/>
          <w:color w:val="000000"/>
          <w:sz w:val="22"/>
          <w:szCs w:val="22"/>
        </w:rPr>
        <w:t xml:space="preserve"> relating to </w:t>
      </w:r>
      <w:r w:rsidRPr="007D092D">
        <w:rPr>
          <w:rFonts w:ascii="ITC Franklin Gothic Std Book" w:eastAsiaTheme="minorHAnsi" w:hAnsi="ITC Franklin Gothic Std Book" w:cs="Georgia"/>
          <w:bCs/>
          <w:color w:val="000000"/>
          <w:sz w:val="22"/>
          <w:szCs w:val="22"/>
        </w:rPr>
        <w:t>individuals</w:t>
      </w:r>
      <w:r w:rsidRPr="007D092D">
        <w:rPr>
          <w:rFonts w:ascii="ITC Franklin Gothic Std Book" w:eastAsiaTheme="minorHAnsi" w:hAnsi="ITC Franklin Gothic Std Book" w:cs="Georgia"/>
          <w:color w:val="000000"/>
          <w:sz w:val="22"/>
          <w:szCs w:val="22"/>
        </w:rPr>
        <w:t xml:space="preserve"> in the EU. Passed in 2016 and implemented in May 2018, the regulation is expected to have worldwide impact.  </w:t>
      </w:r>
    </w:p>
    <w:p w14:paraId="71FBBFDB" w14:textId="61FC2540" w:rsidR="000A3630" w:rsidRPr="007D092D" w:rsidRDefault="000A3630" w:rsidP="0051589A">
      <w:pPr>
        <w:autoSpaceDE w:val="0"/>
        <w:autoSpaceDN w:val="0"/>
        <w:adjustRightInd w:val="0"/>
        <w:rPr>
          <w:rFonts w:ascii="ITC Franklin Gothic Std Book" w:eastAsiaTheme="minorHAnsi" w:hAnsi="ITC Franklin Gothic Std Book" w:cs="Georgia"/>
          <w:color w:val="000000"/>
          <w:sz w:val="22"/>
          <w:szCs w:val="22"/>
        </w:rPr>
      </w:pPr>
    </w:p>
    <w:p w14:paraId="0C75EC60" w14:textId="77777777" w:rsidR="003F2FF8" w:rsidRDefault="000A3630" w:rsidP="005045A8">
      <w:pPr>
        <w:rPr>
          <w:rFonts w:ascii="ITC Franklin Gothic Std Book" w:hAnsi="ITC Franklin Gothic Std Book"/>
          <w:color w:val="292E36"/>
          <w:sz w:val="22"/>
          <w:szCs w:val="22"/>
          <w:shd w:val="clear" w:color="auto" w:fill="FEFEFE"/>
        </w:rPr>
      </w:pPr>
      <w:r w:rsidRPr="007D092D">
        <w:rPr>
          <w:rFonts w:ascii="ITC Franklin Gothic Std Book" w:eastAsiaTheme="minorHAnsi" w:hAnsi="ITC Franklin Gothic Std Book" w:cs="Georgia"/>
          <w:color w:val="000000"/>
          <w:sz w:val="22"/>
          <w:szCs w:val="22"/>
        </w:rPr>
        <w:t xml:space="preserve">The GDPR applies to all companies processing personal data of people living in the European Union, regardless of the company’s location. </w:t>
      </w:r>
      <w:r w:rsidRPr="007D092D">
        <w:rPr>
          <w:rFonts w:ascii="ITC Franklin Gothic Std Book" w:hAnsi="ITC Franklin Gothic Std Book"/>
          <w:color w:val="292E36"/>
          <w:sz w:val="22"/>
          <w:szCs w:val="22"/>
          <w:shd w:val="clear" w:color="auto" w:fill="FEFEFE"/>
        </w:rPr>
        <w:t xml:space="preserve">Non-EU businesses that process data </w:t>
      </w:r>
      <w:r>
        <w:rPr>
          <w:rFonts w:ascii="ITC Franklin Gothic Std Book" w:hAnsi="ITC Franklin Gothic Std Book"/>
          <w:color w:val="292E36"/>
          <w:sz w:val="22"/>
          <w:szCs w:val="22"/>
          <w:shd w:val="clear" w:color="auto" w:fill="FEFEFE"/>
        </w:rPr>
        <w:t>about</w:t>
      </w:r>
      <w:r w:rsidRPr="007D092D">
        <w:rPr>
          <w:rFonts w:ascii="ITC Franklin Gothic Std Book" w:hAnsi="ITC Franklin Gothic Std Book"/>
          <w:color w:val="292E36"/>
          <w:sz w:val="22"/>
          <w:szCs w:val="22"/>
          <w:shd w:val="clear" w:color="auto" w:fill="FEFEFE"/>
        </w:rPr>
        <w:t xml:space="preserve"> EU citizens also have to appoint a representative in the EU. Organizations that do not meet GDPR requirements can be fined</w:t>
      </w:r>
      <w:r>
        <w:rPr>
          <w:rFonts w:ascii="ITC Franklin Gothic Std Book" w:hAnsi="ITC Franklin Gothic Std Book"/>
          <w:color w:val="292E36"/>
          <w:sz w:val="22"/>
          <w:szCs w:val="22"/>
          <w:shd w:val="clear" w:color="auto" w:fill="FEFEFE"/>
        </w:rPr>
        <w:t>, f</w:t>
      </w:r>
      <w:r w:rsidRPr="007D092D">
        <w:rPr>
          <w:rFonts w:ascii="ITC Franklin Gothic Std Book" w:hAnsi="ITC Franklin Gothic Std Book"/>
          <w:color w:val="292E36"/>
          <w:sz w:val="22"/>
          <w:szCs w:val="22"/>
          <w:shd w:val="clear" w:color="auto" w:fill="FEFEFE"/>
        </w:rPr>
        <w:t xml:space="preserve">or example, for not having customer consent to process data or violating the </w:t>
      </w:r>
      <w:r>
        <w:rPr>
          <w:rFonts w:ascii="ITC Franklin Gothic Std Book" w:hAnsi="ITC Franklin Gothic Std Book"/>
          <w:i/>
          <w:color w:val="292E36"/>
          <w:sz w:val="22"/>
          <w:szCs w:val="22"/>
          <w:shd w:val="clear" w:color="auto" w:fill="FEFEFE"/>
        </w:rPr>
        <w:t>p</w:t>
      </w:r>
      <w:r w:rsidRPr="009B12F0">
        <w:rPr>
          <w:rFonts w:ascii="ITC Franklin Gothic Std Book" w:hAnsi="ITC Franklin Gothic Std Book"/>
          <w:i/>
          <w:color w:val="292E36"/>
          <w:sz w:val="22"/>
          <w:szCs w:val="22"/>
          <w:shd w:val="clear" w:color="auto" w:fill="FEFEFE"/>
        </w:rPr>
        <w:t>rivacy</w:t>
      </w:r>
      <w:r>
        <w:rPr>
          <w:rFonts w:ascii="ITC Franklin Gothic Std Book" w:hAnsi="ITC Franklin Gothic Std Book"/>
          <w:i/>
          <w:color w:val="292E36"/>
          <w:sz w:val="22"/>
          <w:szCs w:val="22"/>
          <w:shd w:val="clear" w:color="auto" w:fill="FEFEFE"/>
        </w:rPr>
        <w:t>-</w:t>
      </w:r>
      <w:r w:rsidRPr="009B12F0">
        <w:rPr>
          <w:rFonts w:ascii="ITC Franklin Gothic Std Book" w:hAnsi="ITC Franklin Gothic Std Book"/>
          <w:i/>
          <w:color w:val="292E36"/>
          <w:sz w:val="22"/>
          <w:szCs w:val="22"/>
          <w:shd w:val="clear" w:color="auto" w:fill="FEFEFE"/>
        </w:rPr>
        <w:t>by</w:t>
      </w:r>
      <w:r>
        <w:rPr>
          <w:rFonts w:ascii="ITC Franklin Gothic Std Book" w:hAnsi="ITC Franklin Gothic Std Book"/>
          <w:i/>
          <w:color w:val="292E36"/>
          <w:sz w:val="22"/>
          <w:szCs w:val="22"/>
          <w:shd w:val="clear" w:color="auto" w:fill="FEFEFE"/>
        </w:rPr>
        <w:t>-d</w:t>
      </w:r>
      <w:r w:rsidRPr="009B12F0">
        <w:rPr>
          <w:rFonts w:ascii="ITC Franklin Gothic Std Book" w:hAnsi="ITC Franklin Gothic Std Book"/>
          <w:i/>
          <w:color w:val="292E36"/>
          <w:sz w:val="22"/>
          <w:szCs w:val="22"/>
          <w:shd w:val="clear" w:color="auto" w:fill="FEFEFE"/>
        </w:rPr>
        <w:t>esign</w:t>
      </w:r>
      <w:r w:rsidRPr="007D092D">
        <w:rPr>
          <w:rFonts w:ascii="ITC Franklin Gothic Std Book" w:hAnsi="ITC Franklin Gothic Std Book"/>
          <w:color w:val="292E36"/>
          <w:sz w:val="22"/>
          <w:szCs w:val="22"/>
          <w:shd w:val="clear" w:color="auto" w:fill="FEFEFE"/>
        </w:rPr>
        <w:t xml:space="preserve"> concepts. All companies involved in processing data about EU citizens are subject to fines. </w:t>
      </w:r>
    </w:p>
    <w:p w14:paraId="64470108" w14:textId="77777777" w:rsidR="003F2FF8" w:rsidRDefault="003F2FF8" w:rsidP="005045A8">
      <w:pPr>
        <w:rPr>
          <w:rFonts w:ascii="ITC Franklin Gothic Std Book" w:hAnsi="ITC Franklin Gothic Std Book"/>
          <w:color w:val="292E36"/>
          <w:sz w:val="22"/>
          <w:szCs w:val="22"/>
          <w:shd w:val="clear" w:color="auto" w:fill="FEFEFE"/>
        </w:rPr>
      </w:pPr>
    </w:p>
    <w:p w14:paraId="6C99A9C5" w14:textId="77777777" w:rsidR="003F2FF8" w:rsidRDefault="000A3630" w:rsidP="005045A8">
      <w:pPr>
        <w:rPr>
          <w:rFonts w:ascii="ITC Franklin Gothic Std Book" w:hAnsi="ITC Franklin Gothic Std Book"/>
          <w:color w:val="292E36"/>
          <w:sz w:val="22"/>
          <w:szCs w:val="22"/>
          <w:shd w:val="clear" w:color="auto" w:fill="FEFEFE"/>
        </w:rPr>
      </w:pPr>
      <w:r w:rsidRPr="007D092D">
        <w:rPr>
          <w:rFonts w:ascii="ITC Franklin Gothic Std Book" w:hAnsi="ITC Franklin Gothic Std Book"/>
          <w:color w:val="292E36"/>
          <w:sz w:val="22"/>
          <w:szCs w:val="22"/>
          <w:shd w:val="clear" w:color="auto" w:fill="FEFEFE"/>
        </w:rPr>
        <w:t xml:space="preserve">The </w:t>
      </w:r>
      <w:r>
        <w:rPr>
          <w:rFonts w:ascii="ITC Franklin Gothic Std Book" w:hAnsi="ITC Franklin Gothic Std Book"/>
          <w:color w:val="292E36"/>
          <w:sz w:val="22"/>
          <w:szCs w:val="22"/>
          <w:shd w:val="clear" w:color="auto" w:fill="FEFEFE"/>
        </w:rPr>
        <w:t xml:space="preserve">GDPR requires </w:t>
      </w:r>
      <w:r w:rsidRPr="007D092D">
        <w:rPr>
          <w:rFonts w:ascii="ITC Franklin Gothic Std Book" w:hAnsi="ITC Franklin Gothic Std Book"/>
          <w:color w:val="292E36"/>
          <w:sz w:val="22"/>
          <w:szCs w:val="22"/>
          <w:shd w:val="clear" w:color="auto" w:fill="FEFEFE"/>
        </w:rPr>
        <w:t xml:space="preserve">clearly written consent guidelines and ease to give or withdraw consent by citizens. </w:t>
      </w:r>
      <w:r w:rsidRPr="007D092D">
        <w:rPr>
          <w:rFonts w:ascii="ITC Franklin Gothic Std Book" w:hAnsi="ITC Franklin Gothic Std Book"/>
          <w:i/>
          <w:color w:val="292E36"/>
          <w:sz w:val="22"/>
          <w:szCs w:val="22"/>
          <w:shd w:val="clear" w:color="auto" w:fill="FEFEFE"/>
        </w:rPr>
        <w:t>Data breach notifications</w:t>
      </w:r>
      <w:r w:rsidRPr="007D092D">
        <w:rPr>
          <w:rFonts w:ascii="ITC Franklin Gothic Std Book" w:hAnsi="ITC Franklin Gothic Std Book"/>
          <w:color w:val="292E36"/>
          <w:sz w:val="22"/>
          <w:szCs w:val="22"/>
          <w:shd w:val="clear" w:color="auto" w:fill="FEFEFE"/>
        </w:rPr>
        <w:t xml:space="preserve"> are required within 72 hours of the incident. EU citizens have the </w:t>
      </w:r>
      <w:r w:rsidRPr="007D092D">
        <w:rPr>
          <w:rFonts w:ascii="ITC Franklin Gothic Std Book" w:hAnsi="ITC Franklin Gothic Std Book"/>
          <w:i/>
          <w:color w:val="292E36"/>
          <w:sz w:val="22"/>
          <w:szCs w:val="22"/>
          <w:shd w:val="clear" w:color="auto" w:fill="FEFEFE"/>
        </w:rPr>
        <w:t>right to access</w:t>
      </w:r>
      <w:r w:rsidRPr="007D092D">
        <w:rPr>
          <w:rFonts w:ascii="ITC Franklin Gothic Std Book" w:hAnsi="ITC Franklin Gothic Std Book"/>
          <w:color w:val="292E36"/>
          <w:sz w:val="22"/>
          <w:szCs w:val="22"/>
          <w:shd w:val="clear" w:color="auto" w:fill="FEFEFE"/>
        </w:rPr>
        <w:t xml:space="preserve"> their data without charge and also the </w:t>
      </w:r>
      <w:r w:rsidRPr="007D092D">
        <w:rPr>
          <w:rFonts w:ascii="ITC Franklin Gothic Std Book" w:hAnsi="ITC Franklin Gothic Std Book"/>
          <w:i/>
          <w:color w:val="292E36"/>
          <w:sz w:val="22"/>
          <w:szCs w:val="22"/>
          <w:shd w:val="clear" w:color="auto" w:fill="FEFEFE"/>
        </w:rPr>
        <w:t xml:space="preserve">right to be </w:t>
      </w:r>
      <w:proofErr w:type="spellStart"/>
      <w:r w:rsidRPr="007D092D">
        <w:rPr>
          <w:rFonts w:ascii="ITC Franklin Gothic Std Book" w:hAnsi="ITC Franklin Gothic Std Book"/>
          <w:i/>
          <w:color w:val="292E36"/>
          <w:sz w:val="22"/>
          <w:szCs w:val="22"/>
          <w:shd w:val="clear" w:color="auto" w:fill="FEFEFE"/>
        </w:rPr>
        <w:t>forgotton</w:t>
      </w:r>
      <w:proofErr w:type="spellEnd"/>
      <w:r w:rsidRPr="007D092D">
        <w:rPr>
          <w:rFonts w:ascii="ITC Franklin Gothic Std Book" w:hAnsi="ITC Franklin Gothic Std Book"/>
          <w:color w:val="292E36"/>
          <w:sz w:val="22"/>
          <w:szCs w:val="22"/>
          <w:shd w:val="clear" w:color="auto" w:fill="FEFEFE"/>
        </w:rPr>
        <w:t xml:space="preserve">. </w:t>
      </w:r>
      <w:r w:rsidRPr="007D092D">
        <w:rPr>
          <w:rFonts w:ascii="ITC Franklin Gothic Std Book" w:hAnsi="ITC Franklin Gothic Std Book"/>
          <w:i/>
          <w:color w:val="292E36"/>
          <w:sz w:val="22"/>
          <w:szCs w:val="22"/>
          <w:shd w:val="clear" w:color="auto" w:fill="FEFEFE"/>
        </w:rPr>
        <w:t>Privacy by design</w:t>
      </w:r>
      <w:r w:rsidRPr="007D092D">
        <w:rPr>
          <w:rFonts w:ascii="ITC Franklin Gothic Std Book" w:hAnsi="ITC Franklin Gothic Std Book"/>
          <w:color w:val="292E36"/>
          <w:sz w:val="22"/>
          <w:szCs w:val="22"/>
          <w:shd w:val="clear" w:color="auto" w:fill="FEFEFE"/>
        </w:rPr>
        <w:t xml:space="preserve"> requires the inclusion of data protection as an integral part of building systems, not as an add on.  </w:t>
      </w:r>
    </w:p>
    <w:p w14:paraId="15864799" w14:textId="77777777" w:rsidR="003F2FF8" w:rsidRDefault="003F2FF8" w:rsidP="005045A8">
      <w:pPr>
        <w:rPr>
          <w:rFonts w:ascii="ITC Franklin Gothic Std Book" w:hAnsi="ITC Franklin Gothic Std Book"/>
          <w:color w:val="292E36"/>
          <w:sz w:val="22"/>
          <w:szCs w:val="22"/>
          <w:shd w:val="clear" w:color="auto" w:fill="FEFEFE"/>
        </w:rPr>
      </w:pPr>
    </w:p>
    <w:p w14:paraId="12087588" w14:textId="5E12E273" w:rsidR="000A3630" w:rsidRPr="007D092D" w:rsidRDefault="000A3630" w:rsidP="005045A8">
      <w:pPr>
        <w:rPr>
          <w:rFonts w:ascii="ITC Franklin Gothic Std Book" w:hAnsi="ITC Franklin Gothic Std Book"/>
          <w:sz w:val="22"/>
          <w:szCs w:val="22"/>
        </w:rPr>
      </w:pPr>
      <w:r w:rsidRPr="007D092D">
        <w:rPr>
          <w:rFonts w:ascii="ITC Franklin Gothic Std Book" w:hAnsi="ITC Franklin Gothic Std Book"/>
          <w:color w:val="292E36"/>
          <w:sz w:val="22"/>
          <w:szCs w:val="22"/>
          <w:shd w:val="clear" w:color="auto" w:fill="FEFEFE"/>
        </w:rPr>
        <w:t>Article 23 requires companies to process only the data necessary for completing their work (data minimization). Finally there are requirements related to Data Protection Officers, which are “mandatory only for those controllers and processors whose core activities consist of processing operations which require regular and systematic monitoring of data subjects on a large scale or of special categories of data or data relating to criminal convictions and offences.”</w:t>
      </w:r>
    </w:p>
    <w:p w14:paraId="202F60D8" w14:textId="77777777" w:rsidR="000A3630" w:rsidRPr="007D092D" w:rsidRDefault="000A3630" w:rsidP="00AC0C98">
      <w:pPr>
        <w:rPr>
          <w:rFonts w:ascii="ITC Franklin Gothic Std Book" w:hAnsi="ITC Franklin Gothic Std Book"/>
          <w:sz w:val="22"/>
          <w:szCs w:val="22"/>
        </w:rPr>
      </w:pPr>
    </w:p>
    <w:p w14:paraId="45AB74DD" w14:textId="3B115FDA" w:rsidR="000A3630" w:rsidRPr="007D092D" w:rsidRDefault="000A3630" w:rsidP="003E40A5">
      <w:pPr>
        <w:pStyle w:val="Heading5"/>
        <w:spacing w:before="0"/>
        <w:rPr>
          <w:rStyle w:val="Hyperlink"/>
          <w:color w:val="000000" w:themeColor="text1"/>
          <w:szCs w:val="22"/>
          <w:u w:val="none"/>
        </w:rPr>
      </w:pPr>
      <w:r w:rsidRPr="007D092D">
        <w:rPr>
          <w:rStyle w:val="Hyperlink"/>
          <w:color w:val="000000" w:themeColor="text1"/>
          <w:szCs w:val="22"/>
          <w:u w:val="none"/>
        </w:rPr>
        <w:t>Privacy (Maybe should come before ethics or could be a Text Box as part of the ethics discussion)</w:t>
      </w:r>
    </w:p>
    <w:p w14:paraId="4BA4401A" w14:textId="34F924D7" w:rsidR="003F2FF8" w:rsidRDefault="003F2FF8" w:rsidP="00495F14">
      <w:pPr>
        <w:autoSpaceDE w:val="0"/>
        <w:autoSpaceDN w:val="0"/>
        <w:adjustRightInd w:val="0"/>
        <w:rPr>
          <w:rFonts w:ascii="ITC Franklin Gothic Std Book" w:eastAsiaTheme="minorHAnsi" w:hAnsi="ITC Franklin Gothic Std Book" w:cs="Georgia"/>
          <w:color w:val="000000"/>
          <w:sz w:val="22"/>
          <w:szCs w:val="22"/>
        </w:rPr>
      </w:pPr>
    </w:p>
    <w:p w14:paraId="423DF2F1" w14:textId="50C5B457" w:rsidR="003F2FF8" w:rsidRDefault="000A3630" w:rsidP="00495F14">
      <w:pPr>
        <w:autoSpaceDE w:val="0"/>
        <w:autoSpaceDN w:val="0"/>
        <w:adjustRightInd w:val="0"/>
        <w:rPr>
          <w:rFonts w:ascii="ITC Franklin Gothic Std Book" w:eastAsiaTheme="minorHAnsi" w:hAnsi="ITC Franklin Gothic Std Book"/>
          <w:sz w:val="22"/>
          <w:szCs w:val="22"/>
        </w:rPr>
      </w:pPr>
      <w:r w:rsidRPr="003F2FF8">
        <w:rPr>
          <w:rFonts w:ascii="ITC Franklin Gothic Std Book" w:eastAsiaTheme="minorHAnsi" w:hAnsi="ITC Franklin Gothic Std Book" w:cs="Georgia"/>
          <w:b/>
          <w:color w:val="000000"/>
          <w:sz w:val="22"/>
          <w:szCs w:val="22"/>
        </w:rPr>
        <w:t>Privacy</w:t>
      </w:r>
      <w:r w:rsidRPr="007D092D">
        <w:rPr>
          <w:rFonts w:ascii="ITC Franklin Gothic Std Book" w:eastAsiaTheme="minorHAnsi" w:hAnsi="ITC Franklin Gothic Std Book" w:cs="Georgia"/>
          <w:color w:val="000000"/>
          <w:sz w:val="22"/>
          <w:szCs w:val="22"/>
        </w:rPr>
        <w:t xml:space="preserve"> is intimately integrated in the discussion of ethics</w:t>
      </w:r>
      <w:r>
        <w:rPr>
          <w:rFonts w:ascii="ITC Franklin Gothic Std Book" w:eastAsiaTheme="minorHAnsi" w:hAnsi="ITC Franklin Gothic Std Book" w:cs="Georgia"/>
          <w:color w:val="000000"/>
          <w:sz w:val="22"/>
          <w:szCs w:val="22"/>
        </w:rPr>
        <w:t xml:space="preserve">. </w:t>
      </w:r>
      <w:r w:rsidRPr="007D092D">
        <w:rPr>
          <w:rFonts w:ascii="ITC Franklin Gothic Std Book" w:eastAsiaTheme="minorHAnsi" w:hAnsi="ITC Franklin Gothic Std Book"/>
          <w:sz w:val="22"/>
          <w:szCs w:val="22"/>
        </w:rPr>
        <w:t>Privacy is defined as the amount of personal information individuals allow others to access about themselves</w:t>
      </w:r>
      <w:r>
        <w:rPr>
          <w:rFonts w:ascii="ITC Franklin Gothic Std Book" w:eastAsiaTheme="minorHAnsi" w:hAnsi="ITC Franklin Gothic Std Book"/>
          <w:sz w:val="22"/>
          <w:szCs w:val="22"/>
        </w:rPr>
        <w:t xml:space="preserve"> (NRC 2007)</w:t>
      </w:r>
      <w:r w:rsidRPr="007D092D">
        <w:rPr>
          <w:rFonts w:ascii="ITC Franklin Gothic Std Book" w:eastAsiaTheme="minorHAnsi" w:hAnsi="ITC Franklin Gothic Std Book"/>
          <w:sz w:val="22"/>
          <w:szCs w:val="22"/>
        </w:rPr>
        <w:t xml:space="preserve">. The EU GDPR explicitly allows individuals to explicitly determine the amount of information they are willing companies to keep. </w:t>
      </w:r>
    </w:p>
    <w:p w14:paraId="0BD6F6C6" w14:textId="77777777" w:rsidR="003F2FF8" w:rsidRDefault="003F2FF8" w:rsidP="00495F14">
      <w:pPr>
        <w:autoSpaceDE w:val="0"/>
        <w:autoSpaceDN w:val="0"/>
        <w:adjustRightInd w:val="0"/>
        <w:rPr>
          <w:rFonts w:ascii="ITC Franklin Gothic Std Book" w:eastAsiaTheme="minorHAnsi" w:hAnsi="ITC Franklin Gothic Std Book"/>
          <w:sz w:val="22"/>
          <w:szCs w:val="22"/>
        </w:rPr>
      </w:pPr>
    </w:p>
    <w:p w14:paraId="7A32310B" w14:textId="5D9DDA92" w:rsidR="000A3630" w:rsidRDefault="000A3630" w:rsidP="00495F14">
      <w:pPr>
        <w:autoSpaceDE w:val="0"/>
        <w:autoSpaceDN w:val="0"/>
        <w:adjustRightInd w:val="0"/>
        <w:rPr>
          <w:rFonts w:ascii="ITC Franklin Gothic Std Book" w:eastAsiaTheme="minorHAnsi" w:hAnsi="ITC Franklin Gothic Std Book"/>
          <w:sz w:val="22"/>
          <w:szCs w:val="22"/>
        </w:rPr>
      </w:pPr>
      <w:r w:rsidRPr="003F2FF8">
        <w:rPr>
          <w:rFonts w:ascii="ITC Franklin Gothic Std Book" w:eastAsiaTheme="minorHAnsi" w:hAnsi="ITC Franklin Gothic Std Book"/>
          <w:b/>
          <w:sz w:val="22"/>
          <w:szCs w:val="22"/>
        </w:rPr>
        <w:t>Confidentiality</w:t>
      </w:r>
      <w:r w:rsidRPr="007D092D">
        <w:rPr>
          <w:rFonts w:ascii="ITC Franklin Gothic Std Book" w:eastAsiaTheme="minorHAnsi" w:hAnsi="ITC Franklin Gothic Std Book"/>
          <w:sz w:val="22"/>
          <w:szCs w:val="22"/>
        </w:rPr>
        <w:t xml:space="preserve"> is the process that data producers and researchers follow to keep data about individuals private</w:t>
      </w:r>
      <w:r>
        <w:rPr>
          <w:rFonts w:ascii="ITC Franklin Gothic Std Book" w:eastAsiaTheme="minorHAnsi" w:hAnsi="ITC Franklin Gothic Std Book"/>
          <w:sz w:val="22"/>
          <w:szCs w:val="22"/>
        </w:rPr>
        <w:t xml:space="preserve"> (NRC 2007)</w:t>
      </w:r>
      <w:r w:rsidRPr="007D092D">
        <w:rPr>
          <w:rFonts w:ascii="ITC Franklin Gothic Std Book" w:eastAsiaTheme="minorHAnsi" w:hAnsi="ITC Franklin Gothic Std Book"/>
          <w:sz w:val="22"/>
          <w:szCs w:val="22"/>
        </w:rPr>
        <w:t xml:space="preserve">. The availability of massive amounts of data and the ability to find associations across many data sources may make it impossible to achieve complete assurances of confidentiality if the data are to still be useful for research. </w:t>
      </w:r>
    </w:p>
    <w:p w14:paraId="2827D9BA" w14:textId="77777777" w:rsidR="000A3630" w:rsidRDefault="000A3630" w:rsidP="00495F14">
      <w:pPr>
        <w:autoSpaceDE w:val="0"/>
        <w:autoSpaceDN w:val="0"/>
        <w:adjustRightInd w:val="0"/>
        <w:rPr>
          <w:rFonts w:ascii="ITC Franklin Gothic Std Book" w:eastAsiaTheme="minorHAnsi" w:hAnsi="ITC Franklin Gothic Std Book"/>
          <w:sz w:val="22"/>
          <w:szCs w:val="22"/>
        </w:rPr>
      </w:pPr>
    </w:p>
    <w:p w14:paraId="7C42BAEF" w14:textId="4DD58540" w:rsidR="00717FFA" w:rsidRPr="003F2FF8" w:rsidRDefault="000A3630" w:rsidP="00495F14">
      <w:pPr>
        <w:autoSpaceDE w:val="0"/>
        <w:autoSpaceDN w:val="0"/>
        <w:adjustRightInd w:val="0"/>
        <w:rPr>
          <w:rFonts w:ascii="ITC Franklin Gothic Std Book" w:eastAsiaTheme="minorHAnsi" w:hAnsi="ITC Franklin Gothic Std Book"/>
          <w:b/>
          <w:i/>
          <w:sz w:val="22"/>
          <w:szCs w:val="22"/>
        </w:rPr>
      </w:pPr>
      <w:r w:rsidRPr="007D092D">
        <w:rPr>
          <w:rFonts w:ascii="ITC Franklin Gothic Std Book" w:eastAsiaTheme="minorHAnsi" w:hAnsi="ITC Franklin Gothic Std Book"/>
          <w:sz w:val="22"/>
          <w:szCs w:val="22"/>
        </w:rPr>
        <w:t xml:space="preserve">The digital age is changing the focus of the privacy discussion from camouflaging and suppressing data </w:t>
      </w:r>
      <w:r>
        <w:rPr>
          <w:rFonts w:ascii="ITC Franklin Gothic Std Book" w:eastAsiaTheme="minorHAnsi" w:hAnsi="ITC Franklin Gothic Std Book"/>
          <w:sz w:val="22"/>
          <w:szCs w:val="22"/>
        </w:rPr>
        <w:t>for</w:t>
      </w:r>
      <w:r w:rsidRPr="007D092D">
        <w:rPr>
          <w:rFonts w:ascii="ITC Franklin Gothic Std Book" w:eastAsiaTheme="minorHAnsi" w:hAnsi="ITC Franklin Gothic Std Book"/>
          <w:sz w:val="22"/>
          <w:szCs w:val="22"/>
        </w:rPr>
        <w:t xml:space="preserve"> maintain</w:t>
      </w:r>
      <w:r>
        <w:rPr>
          <w:rFonts w:ascii="ITC Franklin Gothic Std Book" w:eastAsiaTheme="minorHAnsi" w:hAnsi="ITC Franklin Gothic Std Book"/>
          <w:sz w:val="22"/>
          <w:szCs w:val="22"/>
        </w:rPr>
        <w:t>ing</w:t>
      </w:r>
      <w:r w:rsidRPr="007D092D">
        <w:rPr>
          <w:rFonts w:ascii="ITC Franklin Gothic Std Book" w:eastAsiaTheme="minorHAnsi" w:hAnsi="ITC Franklin Gothic Std Book"/>
          <w:sz w:val="22"/>
          <w:szCs w:val="22"/>
        </w:rPr>
        <w:t xml:space="preserve"> confidentiality, to trust, policy, and governance (Keller et al. 2016). A trust-but-verify approach, balancing trade-offs of privacy with societal gains from the use of the data, will require not only cultural changes but legislative changes (Keller et al. 2016</w:t>
      </w:r>
      <w:r w:rsidRPr="007D092D">
        <w:rPr>
          <w:rStyle w:val="FootnoteReference"/>
          <w:rFonts w:ascii="ITC Franklin Gothic Std Book" w:eastAsiaTheme="minorHAnsi" w:hAnsi="ITC Franklin Gothic Std Book"/>
          <w:sz w:val="22"/>
          <w:szCs w:val="22"/>
        </w:rPr>
        <w:footnoteReference w:id="17"/>
      </w:r>
      <w:r w:rsidRPr="007D092D">
        <w:rPr>
          <w:rFonts w:ascii="ITC Franklin Gothic Std Book" w:eastAsiaTheme="minorHAnsi" w:hAnsi="ITC Franklin Gothic Std Book"/>
          <w:sz w:val="22"/>
          <w:szCs w:val="22"/>
        </w:rPr>
        <w:t xml:space="preserve">, </w:t>
      </w:r>
      <w:proofErr w:type="spellStart"/>
      <w:r w:rsidRPr="007D092D">
        <w:rPr>
          <w:rFonts w:ascii="ITC Franklin Gothic Std Book" w:eastAsiaTheme="minorHAnsi" w:hAnsi="ITC Franklin Gothic Std Book"/>
          <w:sz w:val="22"/>
          <w:szCs w:val="22"/>
        </w:rPr>
        <w:t>Erlich</w:t>
      </w:r>
      <w:proofErr w:type="spellEnd"/>
      <w:r w:rsidRPr="007D092D">
        <w:rPr>
          <w:rFonts w:ascii="ITC Franklin Gothic Std Book" w:eastAsiaTheme="minorHAnsi" w:hAnsi="ITC Franklin Gothic Std Book"/>
          <w:sz w:val="22"/>
          <w:szCs w:val="22"/>
        </w:rPr>
        <w:t xml:space="preserve"> et al. 2014</w:t>
      </w:r>
      <w:r w:rsidRPr="007D092D">
        <w:rPr>
          <w:rStyle w:val="FootnoteReference"/>
          <w:rFonts w:ascii="ITC Franklin Gothic Std Book" w:eastAsiaTheme="minorHAnsi" w:hAnsi="ITC Franklin Gothic Std Book"/>
          <w:sz w:val="22"/>
          <w:szCs w:val="22"/>
        </w:rPr>
        <w:footnoteReference w:id="18"/>
      </w:r>
      <w:r w:rsidRPr="007D092D">
        <w:rPr>
          <w:rFonts w:ascii="ITC Franklin Gothic Std Book" w:eastAsiaTheme="minorHAnsi" w:hAnsi="ITC Franklin Gothic Std Book"/>
          <w:sz w:val="22"/>
          <w:szCs w:val="22"/>
        </w:rPr>
        <w:t>)</w:t>
      </w:r>
      <w:r w:rsidR="00495F14" w:rsidRPr="007D092D">
        <w:rPr>
          <w:rFonts w:ascii="ITC Franklin Gothic Std Book" w:eastAsiaTheme="minorHAnsi" w:hAnsi="ITC Franklin Gothic Std Book"/>
          <w:sz w:val="22"/>
          <w:szCs w:val="22"/>
        </w:rPr>
        <w:t xml:space="preserve">. </w:t>
      </w:r>
      <w:r w:rsidR="00670748" w:rsidRPr="003F2FF8">
        <w:rPr>
          <w:rFonts w:ascii="ITC Franklin Gothic Std Book" w:eastAsiaTheme="minorHAnsi" w:hAnsi="ITC Franklin Gothic Std Book"/>
          <w:b/>
          <w:i/>
          <w:sz w:val="22"/>
          <w:szCs w:val="22"/>
        </w:rPr>
        <w:t xml:space="preserve">This will be challenging as the </w:t>
      </w:r>
      <w:r w:rsidR="00495F14" w:rsidRPr="003F2FF8">
        <w:rPr>
          <w:rFonts w:ascii="ITC Franklin Gothic Std Book" w:eastAsiaTheme="minorHAnsi" w:hAnsi="ITC Franklin Gothic Std Book"/>
          <w:b/>
          <w:i/>
          <w:sz w:val="22"/>
          <w:szCs w:val="22"/>
        </w:rPr>
        <w:t xml:space="preserve">existing </w:t>
      </w:r>
      <w:r w:rsidR="00670748" w:rsidRPr="003F2FF8">
        <w:rPr>
          <w:rFonts w:ascii="ITC Franklin Gothic Std Book" w:eastAsiaTheme="minorHAnsi" w:hAnsi="ITC Franklin Gothic Std Book"/>
          <w:b/>
          <w:i/>
          <w:sz w:val="22"/>
          <w:szCs w:val="22"/>
        </w:rPr>
        <w:t xml:space="preserve">U.S. </w:t>
      </w:r>
      <w:r w:rsidR="00495F14" w:rsidRPr="003F2FF8">
        <w:rPr>
          <w:rFonts w:ascii="ITC Franklin Gothic Std Book" w:eastAsiaTheme="minorHAnsi" w:hAnsi="ITC Franklin Gothic Std Book"/>
          <w:b/>
          <w:i/>
          <w:sz w:val="22"/>
          <w:szCs w:val="22"/>
        </w:rPr>
        <w:t xml:space="preserve">legislation </w:t>
      </w:r>
      <w:r w:rsidR="00670748" w:rsidRPr="003F2FF8">
        <w:rPr>
          <w:rFonts w:ascii="ITC Franklin Gothic Std Book" w:eastAsiaTheme="minorHAnsi" w:hAnsi="ITC Franklin Gothic Std Book"/>
          <w:b/>
          <w:i/>
          <w:sz w:val="22"/>
          <w:szCs w:val="22"/>
        </w:rPr>
        <w:t xml:space="preserve">and practice is premised </w:t>
      </w:r>
      <w:r w:rsidR="003E40A5" w:rsidRPr="003F2FF8">
        <w:rPr>
          <w:rFonts w:ascii="ITC Franklin Gothic Std Book" w:eastAsiaTheme="minorHAnsi" w:hAnsi="ITC Franklin Gothic Std Book"/>
          <w:b/>
          <w:i/>
          <w:sz w:val="22"/>
          <w:szCs w:val="22"/>
        </w:rPr>
        <w:t>on the unacceptability of</w:t>
      </w:r>
      <w:r w:rsidR="00495F14" w:rsidRPr="003F2FF8">
        <w:rPr>
          <w:rFonts w:ascii="ITC Franklin Gothic Std Book" w:eastAsiaTheme="minorHAnsi" w:hAnsi="ITC Franklin Gothic Std Book"/>
          <w:b/>
          <w:i/>
          <w:sz w:val="22"/>
          <w:szCs w:val="22"/>
        </w:rPr>
        <w:t xml:space="preserve"> any potential disclosure risk.</w:t>
      </w:r>
    </w:p>
    <w:p w14:paraId="1A98A087" w14:textId="6C5308D2" w:rsidR="009B12F0" w:rsidRDefault="009B12F0" w:rsidP="00717FFA">
      <w:pPr>
        <w:pStyle w:val="BodyText2"/>
        <w:rPr>
          <w:rFonts w:ascii="ITC Franklin Gothic Std Book" w:hAnsi="ITC Franklin Gothic Std Book"/>
          <w:b/>
          <w:bCs/>
          <w:sz w:val="22"/>
          <w:szCs w:val="22"/>
        </w:rPr>
      </w:pPr>
    </w:p>
    <w:p w14:paraId="48865FD1" w14:textId="7910CD7C" w:rsidR="009B12F0" w:rsidRDefault="00C26737" w:rsidP="00717FFA">
      <w:pPr>
        <w:pStyle w:val="BodyText2"/>
        <w:rPr>
          <w:rFonts w:ascii="ITC Franklin Gothic Std Book" w:hAnsi="ITC Franklin Gothic Std Book"/>
          <w:b/>
          <w:bCs/>
          <w:sz w:val="22"/>
          <w:szCs w:val="22"/>
        </w:rPr>
      </w:pPr>
      <w:r>
        <w:rPr>
          <w:rFonts w:ascii="ITC Franklin Gothic Std Book" w:hAnsi="ITC Franklin Gothic Std Book"/>
          <w:b/>
          <w:bCs/>
          <w:sz w:val="22"/>
          <w:szCs w:val="22"/>
        </w:rPr>
        <w:t>Food for thought</w:t>
      </w:r>
    </w:p>
    <w:p w14:paraId="15FF07CE" w14:textId="37C4E438" w:rsidR="00717FFA" w:rsidRPr="007D092D" w:rsidRDefault="00717FFA" w:rsidP="00717FFA">
      <w:pPr>
        <w:pStyle w:val="BodyText2"/>
        <w:rPr>
          <w:rFonts w:ascii="ITC Franklin Gothic Std Book" w:hAnsi="ITC Franklin Gothic Std Book"/>
          <w:b/>
          <w:bCs/>
          <w:iCs/>
          <w:sz w:val="22"/>
          <w:szCs w:val="22"/>
        </w:rPr>
      </w:pPr>
      <w:r w:rsidRPr="007D092D">
        <w:rPr>
          <w:rFonts w:ascii="ITC Franklin Gothic Std Book" w:hAnsi="ITC Franklin Gothic Std Book"/>
          <w:b/>
          <w:bCs/>
          <w:sz w:val="22"/>
          <w:szCs w:val="22"/>
        </w:rPr>
        <w:t>Does the Census Bureau need to address inferential harm?</w:t>
      </w:r>
      <w:r w:rsidR="0071255B" w:rsidRPr="007D092D">
        <w:rPr>
          <w:rFonts w:ascii="ITC Franklin Gothic Std Book" w:hAnsi="ITC Franklin Gothic Std Book"/>
          <w:b/>
          <w:bCs/>
          <w:sz w:val="22"/>
          <w:szCs w:val="22"/>
        </w:rPr>
        <w:t xml:space="preserve"> (Vince’s </w:t>
      </w:r>
      <w:proofErr w:type="spellStart"/>
      <w:r w:rsidR="009B12F0">
        <w:rPr>
          <w:rFonts w:ascii="ITC Franklin Gothic Std Book" w:hAnsi="ITC Franklin Gothic Std Book"/>
          <w:b/>
          <w:bCs/>
          <w:sz w:val="22"/>
          <w:szCs w:val="22"/>
        </w:rPr>
        <w:t>Barabba’s</w:t>
      </w:r>
      <w:proofErr w:type="spellEnd"/>
      <w:r w:rsidR="009B12F0">
        <w:rPr>
          <w:rFonts w:ascii="ITC Franklin Gothic Std Book" w:hAnsi="ITC Franklin Gothic Std Book"/>
          <w:b/>
          <w:bCs/>
          <w:sz w:val="22"/>
          <w:szCs w:val="22"/>
        </w:rPr>
        <w:t xml:space="preserve"> </w:t>
      </w:r>
      <w:r w:rsidR="00C5523D">
        <w:rPr>
          <w:rFonts w:ascii="ITC Franklin Gothic Std Book" w:hAnsi="ITC Franklin Gothic Std Book"/>
          <w:b/>
          <w:bCs/>
          <w:sz w:val="22"/>
          <w:szCs w:val="22"/>
        </w:rPr>
        <w:t xml:space="preserve">2005 </w:t>
      </w:r>
      <w:r w:rsidR="0071255B" w:rsidRPr="007D092D">
        <w:rPr>
          <w:rFonts w:ascii="ITC Franklin Gothic Std Book" w:hAnsi="ITC Franklin Gothic Std Book"/>
          <w:b/>
          <w:bCs/>
          <w:sz w:val="22"/>
          <w:szCs w:val="22"/>
        </w:rPr>
        <w:t>PDU report)</w:t>
      </w:r>
    </w:p>
    <w:p w14:paraId="73DB34FC" w14:textId="2D0F3DFF" w:rsidR="00717FFA" w:rsidRPr="007D092D" w:rsidRDefault="000A3630" w:rsidP="00717FFA">
      <w:pPr>
        <w:rPr>
          <w:rFonts w:ascii="ITC Franklin Gothic Std Book" w:hAnsi="ITC Franklin Gothic Std Book"/>
          <w:sz w:val="22"/>
          <w:szCs w:val="22"/>
        </w:rPr>
      </w:pPr>
      <w:r>
        <w:rPr>
          <w:rFonts w:ascii="ITC Franklin Gothic Std Book" w:hAnsi="ITC Franklin Gothic Std Book"/>
          <w:sz w:val="22"/>
          <w:szCs w:val="22"/>
        </w:rPr>
        <w:t>“</w:t>
      </w:r>
      <w:r w:rsidR="00717FFA" w:rsidRPr="007D092D">
        <w:rPr>
          <w:rFonts w:ascii="ITC Franklin Gothic Std Book" w:hAnsi="ITC Franklin Gothic Std Book"/>
          <w:sz w:val="22"/>
          <w:szCs w:val="22"/>
        </w:rPr>
        <w:t>Inferential harm occurs when an individual is identified with a group of other individuals (either by type or within a specific geography) and someone or some organization takes action against that group which is seen as harmful by both the group and the individuals within the group.  The Census Bureau uses every possible means to ensure that no single individual is identified, although the aggregate information could result in harm to groups (and hence the individuals in those groups).  Alternatively, the same practices are used when actions are taken that are beneficial to the same individuals that make up the specific group.</w:t>
      </w:r>
      <w:r>
        <w:rPr>
          <w:rFonts w:ascii="ITC Franklin Gothic Std Book" w:hAnsi="ITC Franklin Gothic Std Book"/>
          <w:sz w:val="22"/>
          <w:szCs w:val="22"/>
        </w:rPr>
        <w:t>”</w:t>
      </w:r>
    </w:p>
    <w:p w14:paraId="551B4E90" w14:textId="13A1DA8F" w:rsidR="00717FFA" w:rsidRPr="007D092D" w:rsidRDefault="00717FFA" w:rsidP="00AC0C98">
      <w:pPr>
        <w:autoSpaceDE w:val="0"/>
        <w:autoSpaceDN w:val="0"/>
        <w:adjustRightInd w:val="0"/>
        <w:rPr>
          <w:rFonts w:ascii="ITC Franklin Gothic Std Book" w:eastAsiaTheme="minorHAnsi" w:hAnsi="ITC Franklin Gothic Std Book" w:cs="Georgia"/>
          <w:color w:val="000000"/>
          <w:sz w:val="22"/>
          <w:szCs w:val="22"/>
          <w:highlight w:val="yellow"/>
        </w:rPr>
      </w:pPr>
    </w:p>
    <w:p w14:paraId="434A572C" w14:textId="77777777" w:rsidR="00717FFA" w:rsidRPr="007D092D" w:rsidRDefault="00717FFA" w:rsidP="00AC0C98">
      <w:pPr>
        <w:autoSpaceDE w:val="0"/>
        <w:autoSpaceDN w:val="0"/>
        <w:adjustRightInd w:val="0"/>
        <w:rPr>
          <w:rFonts w:ascii="ITC Franklin Gothic Std Book" w:eastAsiaTheme="minorHAnsi" w:hAnsi="ITC Franklin Gothic Std Book" w:cs="Georgia"/>
          <w:color w:val="000000"/>
          <w:sz w:val="22"/>
          <w:szCs w:val="22"/>
          <w:highlight w:val="yellow"/>
        </w:rPr>
      </w:pPr>
    </w:p>
    <w:p w14:paraId="019B27E8" w14:textId="77777777" w:rsidR="003F2FF8" w:rsidRPr="00C26737" w:rsidRDefault="003F2FF8" w:rsidP="003F2FF8">
      <w:r w:rsidRPr="00C26737">
        <w:lastRenderedPageBreak/>
        <w:t>What are the questions that I should ask myself?  Stage of research</w:t>
      </w:r>
    </w:p>
    <w:p w14:paraId="38569BF0" w14:textId="77777777" w:rsidR="003F2FF8" w:rsidRPr="00C26737" w:rsidRDefault="003F2FF8" w:rsidP="003F2FF8"/>
    <w:p w14:paraId="6DA929EA" w14:textId="70E5FC52" w:rsidR="003F2FF8" w:rsidRPr="00C26737" w:rsidRDefault="003F2FF8" w:rsidP="003F2FF8">
      <w:r w:rsidRPr="00C26737">
        <w:t xml:space="preserve">Context of research is critical to level of data literacy, ethics, etc. </w:t>
      </w:r>
    </w:p>
    <w:p w14:paraId="420DCE80" w14:textId="77777777" w:rsidR="003F2FF8" w:rsidRPr="00C26737" w:rsidRDefault="003F2FF8" w:rsidP="003F2FF8"/>
    <w:p w14:paraId="0DB9F89C" w14:textId="77777777" w:rsidR="003F2FF8" w:rsidRPr="00C26737" w:rsidRDefault="003F2FF8" w:rsidP="003F2FF8">
      <w:r w:rsidRPr="00C26737">
        <w:t>Does it satisfy those 4 criteria? Crosse by stages of research or VV.</w:t>
      </w:r>
    </w:p>
    <w:p w14:paraId="3283433A" w14:textId="2C806E2E" w:rsidR="003F2FF8" w:rsidRDefault="003F2FF8" w:rsidP="003F2FF8"/>
    <w:p w14:paraId="560F953B" w14:textId="2EDCCCF4" w:rsidR="00C26737" w:rsidRDefault="00C26737" w:rsidP="003F2FF8"/>
    <w:p w14:paraId="67AF8248" w14:textId="77777777" w:rsidR="00C26737" w:rsidRDefault="00C26737" w:rsidP="003F2FF8"/>
    <w:p w14:paraId="2EEA0B31" w14:textId="65449033" w:rsidR="00AC0C98" w:rsidRPr="00C26737" w:rsidRDefault="00C26737" w:rsidP="00AC0C98">
      <w:pPr>
        <w:rPr>
          <w:rFonts w:ascii="ITC Franklin Gothic Std Book" w:hAnsi="ITC Franklin Gothic Std Book"/>
          <w:i/>
          <w:sz w:val="22"/>
          <w:szCs w:val="22"/>
        </w:rPr>
      </w:pPr>
      <w:r w:rsidRPr="00C26737">
        <w:rPr>
          <w:rFonts w:ascii="ITC Franklin Gothic Std Book" w:hAnsi="ITC Franklin Gothic Std Book"/>
          <w:i/>
          <w:sz w:val="22"/>
          <w:szCs w:val="22"/>
        </w:rPr>
        <w:t xml:space="preserve">Prepared by Stephanie Shipp </w:t>
      </w:r>
      <w:bookmarkStart w:id="0" w:name="_GoBack"/>
      <w:r w:rsidRPr="00C26737">
        <w:rPr>
          <w:rFonts w:ascii="ITC Franklin Gothic Std Book" w:hAnsi="ITC Franklin Gothic Std Book"/>
          <w:i/>
          <w:sz w:val="22"/>
          <w:szCs w:val="22"/>
        </w:rPr>
        <w:t>and Sallie Keller</w:t>
      </w:r>
      <w:bookmarkEnd w:id="0"/>
    </w:p>
    <w:sectPr w:rsidR="00AC0C98" w:rsidRPr="00C26737" w:rsidSect="000A045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1BAFD" w14:textId="77777777" w:rsidR="00324482" w:rsidRDefault="00324482" w:rsidP="008177D6">
      <w:r>
        <w:separator/>
      </w:r>
    </w:p>
  </w:endnote>
  <w:endnote w:type="continuationSeparator" w:id="0">
    <w:p w14:paraId="6536DF04" w14:textId="77777777" w:rsidR="00324482" w:rsidRDefault="00324482" w:rsidP="00817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TC Franklin Gothic Std Book">
    <w:panose1 w:val="020B0604020202020204"/>
    <w:charset w:val="00"/>
    <w:family w:val="swiss"/>
    <w:notTrueType/>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1019303"/>
      <w:docPartObj>
        <w:docPartGallery w:val="Page Numbers (Bottom of Page)"/>
        <w:docPartUnique/>
      </w:docPartObj>
    </w:sdtPr>
    <w:sdtEndPr>
      <w:rPr>
        <w:rStyle w:val="PageNumber"/>
      </w:rPr>
    </w:sdtEndPr>
    <w:sdtContent>
      <w:p w14:paraId="37897638" w14:textId="3875BAFB" w:rsidR="007D092D" w:rsidRDefault="007D092D" w:rsidP="00867D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4447F5" w14:textId="77777777" w:rsidR="007D092D" w:rsidRDefault="007D092D" w:rsidP="007D09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8680998"/>
      <w:docPartObj>
        <w:docPartGallery w:val="Page Numbers (Bottom of Page)"/>
        <w:docPartUnique/>
      </w:docPartObj>
    </w:sdtPr>
    <w:sdtEndPr>
      <w:rPr>
        <w:rStyle w:val="PageNumber"/>
      </w:rPr>
    </w:sdtEndPr>
    <w:sdtContent>
      <w:p w14:paraId="051FE2E1" w14:textId="6120A797" w:rsidR="007D092D" w:rsidRDefault="007D092D" w:rsidP="00867DD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9CB6DC" w14:textId="77777777" w:rsidR="007D092D" w:rsidRDefault="007D092D" w:rsidP="007D092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8E188" w14:textId="77777777" w:rsidR="00324482" w:rsidRDefault="00324482" w:rsidP="008177D6">
      <w:r>
        <w:separator/>
      </w:r>
    </w:p>
  </w:footnote>
  <w:footnote w:type="continuationSeparator" w:id="0">
    <w:p w14:paraId="72A70ECE" w14:textId="77777777" w:rsidR="00324482" w:rsidRDefault="00324482" w:rsidP="008177D6">
      <w:r>
        <w:continuationSeparator/>
      </w:r>
    </w:p>
  </w:footnote>
  <w:footnote w:id="1">
    <w:p w14:paraId="258F402A" w14:textId="3D12A946" w:rsidR="000A3630" w:rsidRPr="000A3630" w:rsidRDefault="000A3630" w:rsidP="0021453F">
      <w:pPr>
        <w:pStyle w:val="FootnoteText"/>
        <w:rPr>
          <w:rFonts w:ascii="ITC Franklin Gothic Std Book" w:hAnsi="ITC Franklin Gothic Std Book"/>
          <w:sz w:val="21"/>
          <w:szCs w:val="21"/>
        </w:rPr>
      </w:pPr>
      <w:r w:rsidRPr="000A3630">
        <w:rPr>
          <w:rStyle w:val="FootnoteReference"/>
          <w:rFonts w:ascii="ITC Franklin Gothic Std Book" w:hAnsi="ITC Franklin Gothic Std Book"/>
          <w:sz w:val="21"/>
          <w:szCs w:val="21"/>
        </w:rPr>
        <w:footnoteRef/>
      </w:r>
      <w:r w:rsidRPr="000A3630">
        <w:rPr>
          <w:rFonts w:ascii="ITC Franklin Gothic Std Book" w:hAnsi="ITC Franklin Gothic Std Book"/>
          <w:sz w:val="21"/>
          <w:szCs w:val="21"/>
        </w:rPr>
        <w:t xml:space="preserve"> Berman, F., </w:t>
      </w:r>
      <w:proofErr w:type="spellStart"/>
      <w:r w:rsidRPr="000A3630">
        <w:rPr>
          <w:rFonts w:ascii="ITC Franklin Gothic Std Book" w:hAnsi="ITC Franklin Gothic Std Book"/>
          <w:sz w:val="21"/>
          <w:szCs w:val="21"/>
        </w:rPr>
        <w:t>Rutenbar</w:t>
      </w:r>
      <w:proofErr w:type="spellEnd"/>
      <w:r w:rsidRPr="000A3630">
        <w:rPr>
          <w:rFonts w:ascii="ITC Franklin Gothic Std Book" w:hAnsi="ITC Franklin Gothic Std Book"/>
          <w:sz w:val="21"/>
          <w:szCs w:val="21"/>
        </w:rPr>
        <w:t xml:space="preserve">, R. </w:t>
      </w:r>
      <w:proofErr w:type="spellStart"/>
      <w:r w:rsidRPr="000A3630">
        <w:rPr>
          <w:rFonts w:ascii="ITC Franklin Gothic Std Book" w:hAnsi="ITC Franklin Gothic Std Book"/>
          <w:sz w:val="21"/>
          <w:szCs w:val="21"/>
        </w:rPr>
        <w:t>Hailpern,B</w:t>
      </w:r>
      <w:proofErr w:type="spellEnd"/>
      <w:r w:rsidRPr="000A3630">
        <w:rPr>
          <w:rFonts w:ascii="ITC Franklin Gothic Std Book" w:hAnsi="ITC Franklin Gothic Std Book"/>
          <w:sz w:val="21"/>
          <w:szCs w:val="21"/>
        </w:rPr>
        <w:t xml:space="preserve">., </w:t>
      </w:r>
      <w:proofErr w:type="spellStart"/>
      <w:r w:rsidRPr="000A3630">
        <w:rPr>
          <w:rFonts w:ascii="ITC Franklin Gothic Std Book" w:hAnsi="ITC Franklin Gothic Std Book"/>
          <w:sz w:val="21"/>
          <w:szCs w:val="21"/>
        </w:rPr>
        <w:t>Ristensen</w:t>
      </w:r>
      <w:proofErr w:type="spellEnd"/>
      <w:r w:rsidRPr="000A3630">
        <w:rPr>
          <w:rFonts w:ascii="ITC Franklin Gothic Std Book" w:hAnsi="ITC Franklin Gothic Std Book"/>
          <w:sz w:val="21"/>
          <w:szCs w:val="21"/>
        </w:rPr>
        <w:t xml:space="preserve">, H., Davidson, S., Estrin, D., Franklin, M., </w:t>
      </w:r>
      <w:proofErr w:type="spellStart"/>
      <w:r w:rsidRPr="000A3630">
        <w:rPr>
          <w:rFonts w:ascii="ITC Franklin Gothic Std Book" w:hAnsi="ITC Franklin Gothic Std Book"/>
          <w:sz w:val="21"/>
          <w:szCs w:val="21"/>
        </w:rPr>
        <w:t>Martonosi</w:t>
      </w:r>
      <w:proofErr w:type="spellEnd"/>
      <w:r w:rsidRPr="000A3630">
        <w:rPr>
          <w:rFonts w:ascii="ITC Franklin Gothic Std Book" w:hAnsi="ITC Franklin Gothic Std Book"/>
          <w:sz w:val="21"/>
          <w:szCs w:val="21"/>
        </w:rPr>
        <w:t xml:space="preserve">, M., Raghavan, P.,  </w:t>
      </w:r>
      <w:proofErr w:type="spellStart"/>
      <w:r w:rsidRPr="000A3630">
        <w:rPr>
          <w:rFonts w:ascii="ITC Franklin Gothic Std Book" w:hAnsi="ITC Franklin Gothic Std Book"/>
          <w:sz w:val="21"/>
          <w:szCs w:val="21"/>
        </w:rPr>
        <w:t>Stodden</w:t>
      </w:r>
      <w:proofErr w:type="spellEnd"/>
      <w:r w:rsidRPr="000A3630">
        <w:rPr>
          <w:rFonts w:ascii="ITC Franklin Gothic Std Book" w:hAnsi="ITC Franklin Gothic Std Book"/>
          <w:sz w:val="21"/>
          <w:szCs w:val="21"/>
        </w:rPr>
        <w:t xml:space="preserve">, V, and </w:t>
      </w:r>
      <w:proofErr w:type="spellStart"/>
      <w:r w:rsidRPr="000A3630">
        <w:rPr>
          <w:rFonts w:ascii="ITC Franklin Gothic Std Book" w:hAnsi="ITC Franklin Gothic Std Book"/>
          <w:sz w:val="21"/>
          <w:szCs w:val="21"/>
        </w:rPr>
        <w:t>Szalay</w:t>
      </w:r>
      <w:proofErr w:type="spellEnd"/>
      <w:r w:rsidRPr="000A3630">
        <w:rPr>
          <w:rFonts w:ascii="ITC Franklin Gothic Std Book" w:hAnsi="ITC Franklin Gothic Std Book"/>
          <w:sz w:val="21"/>
          <w:szCs w:val="21"/>
        </w:rPr>
        <w:t>, A. (2018) Realizing the Potential of Data Science. Communications of the ACM. April. Vol. 81. No. 4.</w:t>
      </w:r>
    </w:p>
  </w:footnote>
  <w:footnote w:id="2">
    <w:p w14:paraId="52C9B137" w14:textId="074BE429" w:rsidR="000A3630" w:rsidRPr="000A3630" w:rsidRDefault="000A3630">
      <w:pPr>
        <w:pStyle w:val="FootnoteText"/>
        <w:rPr>
          <w:rFonts w:ascii="ITC Franklin Gothic Std Book" w:hAnsi="ITC Franklin Gothic Std Book"/>
          <w:sz w:val="21"/>
          <w:szCs w:val="21"/>
        </w:rPr>
      </w:pPr>
      <w:r w:rsidRPr="000A3630">
        <w:rPr>
          <w:rStyle w:val="FootnoteReference"/>
          <w:rFonts w:ascii="ITC Franklin Gothic Std Book" w:hAnsi="ITC Franklin Gothic Std Book"/>
          <w:sz w:val="21"/>
          <w:szCs w:val="21"/>
        </w:rPr>
        <w:footnoteRef/>
      </w:r>
      <w:r w:rsidRPr="000A3630">
        <w:rPr>
          <w:rFonts w:ascii="ITC Franklin Gothic Std Book" w:hAnsi="ITC Franklin Gothic Std Book"/>
          <w:sz w:val="21"/>
          <w:szCs w:val="21"/>
        </w:rPr>
        <w:t xml:space="preserve"> </w:t>
      </w:r>
      <w:proofErr w:type="spellStart"/>
      <w:r w:rsidRPr="000A3630">
        <w:rPr>
          <w:rFonts w:ascii="ITC Franklin Gothic Std Book" w:hAnsi="ITC Franklin Gothic Std Book"/>
          <w:sz w:val="21"/>
          <w:szCs w:val="21"/>
        </w:rPr>
        <w:t>Fritzler</w:t>
      </w:r>
      <w:proofErr w:type="spellEnd"/>
      <w:r w:rsidRPr="000A3630">
        <w:rPr>
          <w:rFonts w:ascii="ITC Franklin Gothic Std Book" w:hAnsi="ITC Franklin Gothic Std Book"/>
          <w:sz w:val="21"/>
          <w:szCs w:val="21"/>
        </w:rPr>
        <w:t xml:space="preserve">, Alan (2018. An Ethical Checklist for Data Science, Data Science for the Social Good. University of Chicago, </w:t>
      </w:r>
      <w:hyperlink r:id="rId1" w:history="1">
        <w:r w:rsidRPr="000A3630">
          <w:rPr>
            <w:rStyle w:val="Hyperlink"/>
            <w:rFonts w:ascii="ITC Franklin Gothic Std Book" w:hAnsi="ITC Franklin Gothic Std Book"/>
            <w:sz w:val="21"/>
            <w:szCs w:val="21"/>
          </w:rPr>
          <w:t>https://dssg.uchicago.edu/2015/09/18/an-ethical-checklist-for-data-science/</w:t>
        </w:r>
      </w:hyperlink>
      <w:r w:rsidRPr="000A3630">
        <w:rPr>
          <w:rFonts w:ascii="ITC Franklin Gothic Std Book" w:hAnsi="ITC Franklin Gothic Std Book"/>
          <w:sz w:val="21"/>
          <w:szCs w:val="21"/>
        </w:rPr>
        <w:t xml:space="preserve"> </w:t>
      </w:r>
    </w:p>
  </w:footnote>
  <w:footnote w:id="3">
    <w:p w14:paraId="3B4FE4CA" w14:textId="3FAA5BAB" w:rsidR="000A3630" w:rsidRPr="000A3630" w:rsidRDefault="000A3630">
      <w:pPr>
        <w:pStyle w:val="FootnoteText"/>
        <w:rPr>
          <w:rFonts w:ascii="ITC Franklin Gothic Std Book" w:hAnsi="ITC Franklin Gothic Std Book"/>
          <w:sz w:val="21"/>
          <w:szCs w:val="21"/>
        </w:rPr>
      </w:pPr>
      <w:r w:rsidRPr="000A3630">
        <w:rPr>
          <w:rStyle w:val="FootnoteReference"/>
          <w:rFonts w:ascii="ITC Franklin Gothic Std Book" w:hAnsi="ITC Franklin Gothic Std Book"/>
          <w:sz w:val="21"/>
          <w:szCs w:val="21"/>
        </w:rPr>
        <w:footnoteRef/>
      </w:r>
      <w:r w:rsidRPr="000A3630">
        <w:rPr>
          <w:rFonts w:ascii="ITC Franklin Gothic Std Book" w:hAnsi="ITC Franklin Gothic Std Book"/>
          <w:sz w:val="21"/>
          <w:szCs w:val="21"/>
        </w:rPr>
        <w:t xml:space="preserve"> </w:t>
      </w:r>
      <w:r w:rsidRPr="000A3630">
        <w:rPr>
          <w:rFonts w:ascii="ITC Franklin Gothic Std Book" w:hAnsi="ITC Franklin Gothic Std Book"/>
          <w:bCs/>
          <w:sz w:val="21"/>
          <w:szCs w:val="21"/>
        </w:rPr>
        <w:t>Human Contexts &amp; Ethics of Data course at University of California, Berkeley</w:t>
      </w:r>
      <w:r w:rsidRPr="000A3630">
        <w:rPr>
          <w:rFonts w:ascii="ITC Franklin Gothic Std Book" w:hAnsi="ITC Franklin Gothic Std Book"/>
          <w:b/>
          <w:bCs/>
          <w:sz w:val="21"/>
          <w:szCs w:val="21"/>
        </w:rPr>
        <w:t xml:space="preserve">, </w:t>
      </w:r>
      <w:hyperlink r:id="rId2" w:history="1">
        <w:r w:rsidRPr="000A3630">
          <w:rPr>
            <w:rStyle w:val="Hyperlink"/>
            <w:rFonts w:ascii="ITC Franklin Gothic Std Book" w:hAnsi="ITC Franklin Gothic Std Book"/>
            <w:sz w:val="21"/>
            <w:szCs w:val="21"/>
          </w:rPr>
          <w:t>http://hce-sts.org/</w:t>
        </w:r>
      </w:hyperlink>
      <w:r w:rsidRPr="000A3630">
        <w:rPr>
          <w:rFonts w:ascii="ITC Franklin Gothic Std Book" w:hAnsi="ITC Franklin Gothic Std Book"/>
          <w:sz w:val="21"/>
          <w:szCs w:val="21"/>
        </w:rPr>
        <w:t xml:space="preserve"> </w:t>
      </w:r>
    </w:p>
  </w:footnote>
  <w:footnote w:id="4">
    <w:p w14:paraId="3F33FBFB" w14:textId="77777777" w:rsidR="000A3630" w:rsidRPr="000A3630" w:rsidRDefault="000A3630" w:rsidP="004B264A">
      <w:pPr>
        <w:pStyle w:val="FootnoteText"/>
        <w:rPr>
          <w:rFonts w:ascii="ITC Franklin Gothic Std Book" w:hAnsi="ITC Franklin Gothic Std Book"/>
          <w:sz w:val="21"/>
          <w:szCs w:val="21"/>
        </w:rPr>
      </w:pPr>
      <w:r w:rsidRPr="000A3630">
        <w:rPr>
          <w:rStyle w:val="FootnoteReference"/>
          <w:rFonts w:ascii="ITC Franklin Gothic Std Book" w:hAnsi="ITC Franklin Gothic Std Book"/>
          <w:sz w:val="21"/>
          <w:szCs w:val="21"/>
        </w:rPr>
        <w:footnoteRef/>
      </w:r>
      <w:r w:rsidRPr="000A3630">
        <w:rPr>
          <w:rFonts w:ascii="ITC Franklin Gothic Std Book" w:hAnsi="ITC Franklin Gothic Std Book"/>
          <w:sz w:val="21"/>
          <w:szCs w:val="21"/>
        </w:rPr>
        <w:t xml:space="preserve"> Erickson, L.C., Harris, N.E., and Lee, M.M. (2018) It’s Time to Talk About Data Ethics, Posted on March 26, 2018. </w:t>
      </w:r>
      <w:hyperlink r:id="rId3" w:history="1">
        <w:r w:rsidRPr="000A3630">
          <w:rPr>
            <w:rStyle w:val="Hyperlink"/>
            <w:rFonts w:ascii="ITC Franklin Gothic Std Book" w:hAnsi="ITC Franklin Gothic Std Book"/>
            <w:sz w:val="21"/>
            <w:szCs w:val="21"/>
          </w:rPr>
          <w:t>https://www.techatbloomberg.com/blog/time-data-ethics-conversations-dinner-table/?utm_source=dsorg</w:t>
        </w:r>
      </w:hyperlink>
      <w:r w:rsidRPr="000A3630">
        <w:rPr>
          <w:rFonts w:ascii="ITC Franklin Gothic Std Book" w:hAnsi="ITC Franklin Gothic Std Book"/>
          <w:sz w:val="21"/>
          <w:szCs w:val="21"/>
        </w:rPr>
        <w:t xml:space="preserve"> </w:t>
      </w:r>
    </w:p>
  </w:footnote>
  <w:footnote w:id="5">
    <w:p w14:paraId="62F6EFEE" w14:textId="76A301B2" w:rsidR="000A3630" w:rsidRPr="000A3630" w:rsidRDefault="000A3630">
      <w:pPr>
        <w:pStyle w:val="FootnoteText"/>
        <w:rPr>
          <w:rFonts w:ascii="ITC Franklin Gothic Std Book" w:hAnsi="ITC Franklin Gothic Std Book"/>
          <w:sz w:val="21"/>
          <w:szCs w:val="21"/>
        </w:rPr>
      </w:pPr>
      <w:r w:rsidRPr="000A3630">
        <w:rPr>
          <w:rStyle w:val="FootnoteReference"/>
          <w:rFonts w:ascii="ITC Franklin Gothic Std Book" w:hAnsi="ITC Franklin Gothic Std Book"/>
          <w:sz w:val="21"/>
          <w:szCs w:val="21"/>
        </w:rPr>
        <w:footnoteRef/>
      </w:r>
      <w:r w:rsidRPr="000A3630">
        <w:rPr>
          <w:rFonts w:ascii="ITC Franklin Gothic Std Book" w:hAnsi="ITC Franklin Gothic Std Book"/>
          <w:sz w:val="21"/>
          <w:szCs w:val="21"/>
        </w:rPr>
        <w:t xml:space="preserve"> </w:t>
      </w:r>
      <w:proofErr w:type="spellStart"/>
      <w:r w:rsidRPr="000A3630">
        <w:rPr>
          <w:rFonts w:ascii="ITC Franklin Gothic Std Book" w:eastAsiaTheme="minorHAnsi" w:hAnsi="ITC Franklin Gothic Std Book" w:cs="Georgia"/>
          <w:color w:val="000000"/>
          <w:sz w:val="21"/>
          <w:szCs w:val="21"/>
        </w:rPr>
        <w:t>Buolamwini</w:t>
      </w:r>
      <w:proofErr w:type="spellEnd"/>
      <w:r w:rsidRPr="000A3630">
        <w:rPr>
          <w:rFonts w:ascii="ITC Franklin Gothic Std Book" w:eastAsiaTheme="minorHAnsi" w:hAnsi="ITC Franklin Gothic Std Book" w:cs="Georgia"/>
          <w:color w:val="000000"/>
          <w:sz w:val="21"/>
          <w:szCs w:val="21"/>
        </w:rPr>
        <w:t xml:space="preserve">, J., Gender Shades project. MIT Media Lab. </w:t>
      </w:r>
      <w:hyperlink r:id="rId4" w:history="1">
        <w:r w:rsidRPr="000A3630">
          <w:rPr>
            <w:rStyle w:val="Hyperlink"/>
            <w:rFonts w:ascii="ITC Franklin Gothic Std Book" w:eastAsiaTheme="minorHAnsi" w:hAnsi="ITC Franklin Gothic Std Book" w:cs="Georgia"/>
            <w:sz w:val="21"/>
            <w:szCs w:val="21"/>
          </w:rPr>
          <w:t>https://www.media.mit.edu/people/joyab/projects/</w:t>
        </w:r>
      </w:hyperlink>
      <w:r w:rsidRPr="000A3630">
        <w:rPr>
          <w:rFonts w:ascii="ITC Franklin Gothic Std Book" w:eastAsiaTheme="minorHAnsi" w:hAnsi="ITC Franklin Gothic Std Book" w:cs="Georgia"/>
          <w:color w:val="000000"/>
          <w:sz w:val="21"/>
          <w:szCs w:val="21"/>
        </w:rPr>
        <w:t xml:space="preserve"> </w:t>
      </w:r>
    </w:p>
  </w:footnote>
  <w:footnote w:id="6">
    <w:p w14:paraId="15960027" w14:textId="54923461" w:rsidR="000A3630" w:rsidRPr="000A3630" w:rsidRDefault="000A3630">
      <w:pPr>
        <w:pStyle w:val="FootnoteText"/>
        <w:rPr>
          <w:rFonts w:ascii="ITC Franklin Gothic Std Book" w:hAnsi="ITC Franklin Gothic Std Book"/>
          <w:sz w:val="21"/>
          <w:szCs w:val="21"/>
        </w:rPr>
      </w:pPr>
      <w:r w:rsidRPr="000A3630">
        <w:rPr>
          <w:rStyle w:val="FootnoteReference"/>
          <w:rFonts w:ascii="ITC Franklin Gothic Std Book" w:hAnsi="ITC Franklin Gothic Std Book"/>
          <w:sz w:val="21"/>
          <w:szCs w:val="21"/>
        </w:rPr>
        <w:footnoteRef/>
      </w:r>
      <w:r w:rsidRPr="000A3630">
        <w:rPr>
          <w:rFonts w:ascii="ITC Franklin Gothic Std Book" w:hAnsi="ITC Franklin Gothic Std Book"/>
          <w:sz w:val="21"/>
          <w:szCs w:val="21"/>
        </w:rPr>
        <w:t xml:space="preserve"> For example, see the American Statistical Association (</w:t>
      </w:r>
      <w:hyperlink r:id="rId5" w:history="1">
        <w:r w:rsidRPr="000A3630">
          <w:rPr>
            <w:rStyle w:val="Hyperlink"/>
            <w:rFonts w:ascii="ITC Franklin Gothic Std Book" w:hAnsi="ITC Franklin Gothic Std Book"/>
            <w:sz w:val="21"/>
            <w:szCs w:val="21"/>
          </w:rPr>
          <w:t>https://www.amstat.org/ASA/Your-Career/Ethical-Guidelines-for-Statistical-Practice.aspx</w:t>
        </w:r>
      </w:hyperlink>
      <w:r w:rsidRPr="000A3630">
        <w:rPr>
          <w:rFonts w:ascii="ITC Franklin Gothic Std Book" w:hAnsi="ITC Franklin Gothic Std Book"/>
          <w:sz w:val="21"/>
          <w:szCs w:val="21"/>
        </w:rPr>
        <w:t>) and Association for Computing Machinery (</w:t>
      </w:r>
      <w:hyperlink r:id="rId6" w:history="1">
        <w:r w:rsidRPr="000A3630">
          <w:rPr>
            <w:rStyle w:val="Hyperlink"/>
            <w:rFonts w:ascii="ITC Franklin Gothic Std Book" w:hAnsi="ITC Franklin Gothic Std Book"/>
            <w:sz w:val="21"/>
            <w:szCs w:val="21"/>
          </w:rPr>
          <w:t>https://www.acm.org/code-of-ethics</w:t>
        </w:r>
      </w:hyperlink>
      <w:r w:rsidRPr="000A3630">
        <w:rPr>
          <w:rFonts w:ascii="ITC Franklin Gothic Std Book" w:hAnsi="ITC Franklin Gothic Std Book"/>
          <w:sz w:val="21"/>
          <w:szCs w:val="21"/>
        </w:rPr>
        <w:t>) codes of ethics</w:t>
      </w:r>
    </w:p>
  </w:footnote>
  <w:footnote w:id="7">
    <w:p w14:paraId="2F4C328E" w14:textId="04DF041F" w:rsidR="000A3630" w:rsidRPr="000A3630" w:rsidRDefault="000A3630" w:rsidP="00B1643C">
      <w:pPr>
        <w:rPr>
          <w:rFonts w:ascii="ITC Franklin Gothic Std Book" w:hAnsi="ITC Franklin Gothic Std Book"/>
          <w:sz w:val="21"/>
          <w:szCs w:val="21"/>
        </w:rPr>
      </w:pPr>
      <w:r w:rsidRPr="000A3630">
        <w:rPr>
          <w:rStyle w:val="FootnoteReference"/>
          <w:rFonts w:ascii="ITC Franklin Gothic Std Book" w:hAnsi="ITC Franklin Gothic Std Book"/>
          <w:sz w:val="21"/>
          <w:szCs w:val="21"/>
        </w:rPr>
        <w:footnoteRef/>
      </w:r>
      <w:r w:rsidRPr="000A3630">
        <w:rPr>
          <w:rFonts w:ascii="ITC Franklin Gothic Std Book" w:hAnsi="ITC Franklin Gothic Std Book"/>
          <w:sz w:val="21"/>
          <w:szCs w:val="21"/>
        </w:rPr>
        <w:t xml:space="preserve"> Federal Registrar Notice, Federal Policy for the Protection of Human Subjects. Federal Register, Vol. 82, No. 12, January 19, 2017, Rules and Regulations </w:t>
      </w:r>
    </w:p>
    <w:p w14:paraId="38FD8E44" w14:textId="37E754A0" w:rsidR="000A3630" w:rsidRPr="000A3630" w:rsidRDefault="00324482">
      <w:pPr>
        <w:pStyle w:val="FootnoteText"/>
        <w:rPr>
          <w:rFonts w:ascii="ITC Franklin Gothic Std Book" w:hAnsi="ITC Franklin Gothic Std Book"/>
          <w:sz w:val="21"/>
          <w:szCs w:val="21"/>
        </w:rPr>
      </w:pPr>
      <w:hyperlink r:id="rId7" w:history="1">
        <w:r w:rsidR="000A3630" w:rsidRPr="000A3630">
          <w:rPr>
            <w:rStyle w:val="Hyperlink"/>
            <w:rFonts w:ascii="ITC Franklin Gothic Std Book" w:hAnsi="ITC Franklin Gothic Std Book"/>
            <w:sz w:val="21"/>
            <w:szCs w:val="21"/>
          </w:rPr>
          <w:t>https://www.govinfo.gov/content/pkg/FR-2017-01-19/pdf/2017-01058.pdf</w:t>
        </w:r>
      </w:hyperlink>
      <w:r w:rsidR="000A3630" w:rsidRPr="000A3630">
        <w:rPr>
          <w:rFonts w:ascii="ITC Franklin Gothic Std Book" w:hAnsi="ITC Franklin Gothic Std Book"/>
          <w:sz w:val="21"/>
          <w:szCs w:val="21"/>
        </w:rPr>
        <w:t xml:space="preserve"> </w:t>
      </w:r>
    </w:p>
  </w:footnote>
  <w:footnote w:id="8">
    <w:p w14:paraId="433E4D0A" w14:textId="350AC1D2" w:rsidR="000A3630" w:rsidRPr="000A3630" w:rsidRDefault="000A3630">
      <w:pPr>
        <w:pStyle w:val="FootnoteText"/>
        <w:rPr>
          <w:rFonts w:ascii="ITC Franklin Gothic Std Book" w:hAnsi="ITC Franklin Gothic Std Book"/>
          <w:sz w:val="21"/>
          <w:szCs w:val="21"/>
        </w:rPr>
      </w:pPr>
      <w:r w:rsidRPr="000A3630">
        <w:rPr>
          <w:rStyle w:val="FootnoteReference"/>
          <w:rFonts w:ascii="ITC Franklin Gothic Std Book" w:hAnsi="ITC Franklin Gothic Std Book"/>
          <w:sz w:val="21"/>
          <w:szCs w:val="21"/>
        </w:rPr>
        <w:footnoteRef/>
      </w:r>
      <w:r w:rsidRPr="000A3630">
        <w:rPr>
          <w:rFonts w:ascii="ITC Franklin Gothic Std Book" w:hAnsi="ITC Franklin Gothic Std Book"/>
          <w:sz w:val="21"/>
          <w:szCs w:val="21"/>
        </w:rPr>
        <w:t xml:space="preserve"> </w:t>
      </w:r>
      <w:r w:rsidRPr="000A3630">
        <w:rPr>
          <w:rFonts w:ascii="ITC Franklin Gothic Std Book" w:eastAsiaTheme="minorHAnsi" w:hAnsi="ITC Franklin Gothic Std Book" w:cs="Georgia"/>
          <w:color w:val="000000"/>
          <w:sz w:val="21"/>
          <w:szCs w:val="21"/>
        </w:rPr>
        <w:t>European Union.</w:t>
      </w:r>
      <w:r w:rsidRPr="000A3630">
        <w:rPr>
          <w:rFonts w:ascii="ITC Franklin Gothic Std Book" w:hAnsi="ITC Franklin Gothic Std Book"/>
          <w:sz w:val="21"/>
          <w:szCs w:val="21"/>
        </w:rPr>
        <w:t xml:space="preserve"> </w:t>
      </w:r>
      <w:r w:rsidRPr="000A3630">
        <w:rPr>
          <w:rFonts w:ascii="ITC Franklin Gothic Std Book" w:eastAsiaTheme="minorHAnsi" w:hAnsi="ITC Franklin Gothic Std Book" w:cs="Georgia"/>
          <w:color w:val="000000"/>
          <w:sz w:val="21"/>
          <w:szCs w:val="21"/>
        </w:rPr>
        <w:t xml:space="preserve">What does the General Data Protection Regulation (GDPR) govern? </w:t>
      </w:r>
      <w:hyperlink r:id="rId8" w:history="1">
        <w:r w:rsidRPr="000A3630">
          <w:rPr>
            <w:rStyle w:val="Hyperlink"/>
            <w:rFonts w:ascii="ITC Franklin Gothic Std Book" w:eastAsiaTheme="minorHAnsi" w:hAnsi="ITC Franklin Gothic Std Book" w:cs="Georgia"/>
            <w:sz w:val="21"/>
            <w:szCs w:val="21"/>
          </w:rPr>
          <w:t>https://ec.europa.eu/info/law/law-topic/data-protection/reform/what-does-general-data-protection-regulation-gdpr-govern_en</w:t>
        </w:r>
      </w:hyperlink>
      <w:r w:rsidRPr="000A3630">
        <w:rPr>
          <w:rFonts w:ascii="ITC Franklin Gothic Std Book" w:eastAsiaTheme="minorHAnsi" w:hAnsi="ITC Franklin Gothic Std Book" w:cs="Georgia"/>
          <w:color w:val="000000"/>
          <w:sz w:val="21"/>
          <w:szCs w:val="21"/>
        </w:rPr>
        <w:t xml:space="preserve"> </w:t>
      </w:r>
    </w:p>
  </w:footnote>
  <w:footnote w:id="9">
    <w:p w14:paraId="5273D004" w14:textId="6DDD63FD" w:rsidR="000A3630" w:rsidRPr="000A3630" w:rsidRDefault="000A3630">
      <w:pPr>
        <w:pStyle w:val="FootnoteText"/>
        <w:rPr>
          <w:rFonts w:ascii="ITC Franklin Gothic Std Book" w:hAnsi="ITC Franklin Gothic Std Book"/>
          <w:sz w:val="21"/>
          <w:szCs w:val="21"/>
        </w:rPr>
      </w:pPr>
      <w:r w:rsidRPr="000A3630">
        <w:rPr>
          <w:rStyle w:val="FootnoteReference"/>
          <w:rFonts w:ascii="ITC Franklin Gothic Std Book" w:hAnsi="ITC Franklin Gothic Std Book"/>
          <w:sz w:val="21"/>
          <w:szCs w:val="21"/>
        </w:rPr>
        <w:footnoteRef/>
      </w:r>
      <w:r w:rsidRPr="000A3630">
        <w:rPr>
          <w:rFonts w:ascii="ITC Franklin Gothic Std Book" w:hAnsi="ITC Franklin Gothic Std Book"/>
          <w:sz w:val="21"/>
          <w:szCs w:val="21"/>
        </w:rPr>
        <w:t xml:space="preserve">  See </w:t>
      </w:r>
      <w:hyperlink r:id="rId9" w:history="1">
        <w:r w:rsidRPr="000A3630">
          <w:rPr>
            <w:rStyle w:val="Hyperlink"/>
            <w:rFonts w:ascii="ITC Franklin Gothic Std Book" w:hAnsi="ITC Franklin Gothic Std Book"/>
            <w:sz w:val="21"/>
            <w:szCs w:val="21"/>
          </w:rPr>
          <w:t>https://eugdpr.org/</w:t>
        </w:r>
      </w:hyperlink>
      <w:r w:rsidRPr="000A3630">
        <w:rPr>
          <w:rFonts w:ascii="ITC Franklin Gothic Std Book" w:hAnsi="ITC Franklin Gothic Std Book"/>
          <w:sz w:val="21"/>
          <w:szCs w:val="21"/>
        </w:rPr>
        <w:t xml:space="preserve"> </w:t>
      </w:r>
    </w:p>
  </w:footnote>
  <w:footnote w:id="10">
    <w:p w14:paraId="30977CC3" w14:textId="5A2F9896" w:rsidR="000A3630" w:rsidRPr="000A3630" w:rsidRDefault="000A3630">
      <w:pPr>
        <w:pStyle w:val="FootnoteText"/>
        <w:rPr>
          <w:rFonts w:ascii="ITC Franklin Gothic Std Book" w:hAnsi="ITC Franklin Gothic Std Book"/>
          <w:sz w:val="21"/>
          <w:szCs w:val="21"/>
        </w:rPr>
      </w:pPr>
      <w:r w:rsidRPr="000A3630">
        <w:rPr>
          <w:rStyle w:val="FootnoteReference"/>
          <w:rFonts w:ascii="ITC Franklin Gothic Std Book" w:hAnsi="ITC Franklin Gothic Std Book"/>
          <w:sz w:val="21"/>
          <w:szCs w:val="21"/>
        </w:rPr>
        <w:footnoteRef/>
      </w:r>
      <w:r w:rsidRPr="000A3630">
        <w:rPr>
          <w:rFonts w:ascii="ITC Franklin Gothic Std Book" w:hAnsi="ITC Franklin Gothic Std Book"/>
          <w:sz w:val="21"/>
          <w:szCs w:val="21"/>
        </w:rPr>
        <w:t xml:space="preserve"> https://datapractices.org/community-principles-on-ethical-data-sharing/</w:t>
      </w:r>
    </w:p>
  </w:footnote>
  <w:footnote w:id="11">
    <w:p w14:paraId="1CA8C7E5" w14:textId="599267FF" w:rsidR="000A3630" w:rsidRPr="000A3630" w:rsidRDefault="000A3630" w:rsidP="00ED4855">
      <w:pPr>
        <w:tabs>
          <w:tab w:val="left" w:pos="3330"/>
        </w:tabs>
        <w:autoSpaceDE w:val="0"/>
        <w:autoSpaceDN w:val="0"/>
        <w:adjustRightInd w:val="0"/>
        <w:rPr>
          <w:rFonts w:ascii="ITC Franklin Gothic Std Book" w:eastAsiaTheme="minorHAnsi" w:hAnsi="ITC Franklin Gothic Std Book"/>
          <w:color w:val="262626"/>
          <w:sz w:val="21"/>
          <w:szCs w:val="21"/>
        </w:rPr>
      </w:pPr>
      <w:r w:rsidRPr="000A3630">
        <w:rPr>
          <w:rStyle w:val="FootnoteReference"/>
          <w:rFonts w:ascii="ITC Franklin Gothic Std Book" w:hAnsi="ITC Franklin Gothic Std Book"/>
          <w:sz w:val="21"/>
          <w:szCs w:val="21"/>
        </w:rPr>
        <w:footnoteRef/>
      </w:r>
      <w:r w:rsidRPr="000A3630">
        <w:rPr>
          <w:rFonts w:ascii="ITC Franklin Gothic Std Book" w:hAnsi="ITC Franklin Gothic Std Book"/>
          <w:sz w:val="21"/>
          <w:szCs w:val="21"/>
        </w:rPr>
        <w:t xml:space="preserve"> </w:t>
      </w:r>
      <w:proofErr w:type="spellStart"/>
      <w:r w:rsidRPr="000A3630">
        <w:rPr>
          <w:rFonts w:ascii="ITC Franklin Gothic Std Book" w:hAnsi="ITC Franklin Gothic Std Book" w:cs="Arial"/>
          <w:color w:val="222222"/>
          <w:sz w:val="21"/>
          <w:szCs w:val="21"/>
          <w:shd w:val="clear" w:color="auto" w:fill="FFFFFF"/>
        </w:rPr>
        <w:t>Nosek</w:t>
      </w:r>
      <w:proofErr w:type="spellEnd"/>
      <w:r w:rsidRPr="000A3630">
        <w:rPr>
          <w:rFonts w:ascii="ITC Franklin Gothic Std Book" w:hAnsi="ITC Franklin Gothic Std Book" w:cs="Arial"/>
          <w:color w:val="222222"/>
          <w:sz w:val="21"/>
          <w:szCs w:val="21"/>
          <w:shd w:val="clear" w:color="auto" w:fill="FFFFFF"/>
        </w:rPr>
        <w:t xml:space="preserve">, B. A., Spies, J. R., &amp; </w:t>
      </w:r>
      <w:proofErr w:type="spellStart"/>
      <w:r w:rsidRPr="000A3630">
        <w:rPr>
          <w:rFonts w:ascii="ITC Franklin Gothic Std Book" w:hAnsi="ITC Franklin Gothic Std Book" w:cs="Arial"/>
          <w:color w:val="222222"/>
          <w:sz w:val="21"/>
          <w:szCs w:val="21"/>
          <w:shd w:val="clear" w:color="auto" w:fill="FFFFFF"/>
        </w:rPr>
        <w:t>Motyl</w:t>
      </w:r>
      <w:proofErr w:type="spellEnd"/>
      <w:r w:rsidRPr="000A3630">
        <w:rPr>
          <w:rFonts w:ascii="ITC Franklin Gothic Std Book" w:hAnsi="ITC Franklin Gothic Std Book" w:cs="Arial"/>
          <w:color w:val="222222"/>
          <w:sz w:val="21"/>
          <w:szCs w:val="21"/>
          <w:shd w:val="clear" w:color="auto" w:fill="FFFFFF"/>
        </w:rPr>
        <w:t>, M. (2012). Scientific utopia: II. Restructuring incentives and practices to promote truth over publishability. </w:t>
      </w:r>
      <w:r w:rsidRPr="000A3630">
        <w:rPr>
          <w:rFonts w:ascii="ITC Franklin Gothic Std Book" w:hAnsi="ITC Franklin Gothic Std Book" w:cs="Arial"/>
          <w:i/>
          <w:iCs/>
          <w:color w:val="222222"/>
          <w:sz w:val="21"/>
          <w:szCs w:val="21"/>
          <w:shd w:val="clear" w:color="auto" w:fill="FFFFFF"/>
        </w:rPr>
        <w:t>Perspectives on Psychological Science</w:t>
      </w:r>
      <w:r w:rsidRPr="000A3630">
        <w:rPr>
          <w:rFonts w:ascii="ITC Franklin Gothic Std Book" w:hAnsi="ITC Franklin Gothic Std Book" w:cs="Arial"/>
          <w:color w:val="222222"/>
          <w:sz w:val="21"/>
          <w:szCs w:val="21"/>
          <w:shd w:val="clear" w:color="auto" w:fill="FFFFFF"/>
        </w:rPr>
        <w:t>, </w:t>
      </w:r>
      <w:r w:rsidRPr="000A3630">
        <w:rPr>
          <w:rFonts w:ascii="ITC Franklin Gothic Std Book" w:hAnsi="ITC Franklin Gothic Std Book" w:cs="Arial"/>
          <w:i/>
          <w:iCs/>
          <w:color w:val="222222"/>
          <w:sz w:val="21"/>
          <w:szCs w:val="21"/>
          <w:shd w:val="clear" w:color="auto" w:fill="FFFFFF"/>
        </w:rPr>
        <w:t>7</w:t>
      </w:r>
      <w:r w:rsidRPr="000A3630">
        <w:rPr>
          <w:rFonts w:ascii="ITC Franklin Gothic Std Book" w:hAnsi="ITC Franklin Gothic Std Book" w:cs="Arial"/>
          <w:color w:val="222222"/>
          <w:sz w:val="21"/>
          <w:szCs w:val="21"/>
          <w:shd w:val="clear" w:color="auto" w:fill="FFFFFF"/>
        </w:rPr>
        <w:t xml:space="preserve">(6), 615-631. </w:t>
      </w:r>
    </w:p>
  </w:footnote>
  <w:footnote w:id="12">
    <w:p w14:paraId="2B62C82B" w14:textId="19F402A1" w:rsidR="000A3630" w:rsidRPr="000A3630" w:rsidRDefault="000A3630" w:rsidP="00ED4855">
      <w:pPr>
        <w:rPr>
          <w:rFonts w:ascii="ITC Franklin Gothic Std Book" w:hAnsi="ITC Franklin Gothic Std Book" w:cs="Arial"/>
          <w:color w:val="222222"/>
          <w:sz w:val="21"/>
          <w:szCs w:val="21"/>
          <w:shd w:val="clear" w:color="auto" w:fill="FFFFFF"/>
        </w:rPr>
      </w:pPr>
      <w:r w:rsidRPr="000A3630">
        <w:rPr>
          <w:rStyle w:val="FootnoteReference"/>
          <w:rFonts w:ascii="ITC Franklin Gothic Std Book" w:hAnsi="ITC Franklin Gothic Std Book"/>
          <w:sz w:val="21"/>
          <w:szCs w:val="21"/>
        </w:rPr>
        <w:footnoteRef/>
      </w:r>
      <w:r w:rsidRPr="000A3630">
        <w:rPr>
          <w:rFonts w:ascii="ITC Franklin Gothic Std Book" w:hAnsi="ITC Franklin Gothic Std Book"/>
          <w:sz w:val="21"/>
          <w:szCs w:val="21"/>
        </w:rPr>
        <w:t xml:space="preserve"> </w:t>
      </w:r>
      <w:r w:rsidRPr="000A3630">
        <w:rPr>
          <w:rFonts w:ascii="ITC Franklin Gothic Std Book" w:hAnsi="ITC Franklin Gothic Std Book" w:cs="Arial"/>
          <w:color w:val="222222"/>
          <w:sz w:val="21"/>
          <w:szCs w:val="21"/>
          <w:shd w:val="clear" w:color="auto" w:fill="FFFFFF"/>
        </w:rPr>
        <w:t xml:space="preserve">Alberts, B., Cicerone, R. J., Fienberg, S. E., </w:t>
      </w:r>
      <w:proofErr w:type="spellStart"/>
      <w:r w:rsidRPr="000A3630">
        <w:rPr>
          <w:rFonts w:ascii="ITC Franklin Gothic Std Book" w:hAnsi="ITC Franklin Gothic Std Book" w:cs="Arial"/>
          <w:color w:val="222222"/>
          <w:sz w:val="21"/>
          <w:szCs w:val="21"/>
          <w:shd w:val="clear" w:color="auto" w:fill="FFFFFF"/>
        </w:rPr>
        <w:t>Kamb</w:t>
      </w:r>
      <w:proofErr w:type="spellEnd"/>
      <w:r w:rsidRPr="000A3630">
        <w:rPr>
          <w:rFonts w:ascii="ITC Franklin Gothic Std Book" w:hAnsi="ITC Franklin Gothic Std Book" w:cs="Arial"/>
          <w:color w:val="222222"/>
          <w:sz w:val="21"/>
          <w:szCs w:val="21"/>
          <w:shd w:val="clear" w:color="auto" w:fill="FFFFFF"/>
        </w:rPr>
        <w:t xml:space="preserve">, A., McNutt, M., </w:t>
      </w:r>
      <w:proofErr w:type="spellStart"/>
      <w:r w:rsidRPr="000A3630">
        <w:rPr>
          <w:rFonts w:ascii="ITC Franklin Gothic Std Book" w:hAnsi="ITC Franklin Gothic Std Book" w:cs="Arial"/>
          <w:color w:val="222222"/>
          <w:sz w:val="21"/>
          <w:szCs w:val="21"/>
          <w:shd w:val="clear" w:color="auto" w:fill="FFFFFF"/>
        </w:rPr>
        <w:t>Nerem</w:t>
      </w:r>
      <w:proofErr w:type="spellEnd"/>
      <w:r w:rsidRPr="000A3630">
        <w:rPr>
          <w:rFonts w:ascii="ITC Franklin Gothic Std Book" w:hAnsi="ITC Franklin Gothic Std Book" w:cs="Arial"/>
          <w:color w:val="222222"/>
          <w:sz w:val="21"/>
          <w:szCs w:val="21"/>
          <w:shd w:val="clear" w:color="auto" w:fill="FFFFFF"/>
        </w:rPr>
        <w:t>, R. M., ... &amp; Zuber, M. T. (2015). Self-correction in science at work. </w:t>
      </w:r>
      <w:r w:rsidRPr="000A3630">
        <w:rPr>
          <w:rFonts w:ascii="ITC Franklin Gothic Std Book" w:hAnsi="ITC Franklin Gothic Std Book" w:cs="Arial"/>
          <w:i/>
          <w:iCs/>
          <w:color w:val="222222"/>
          <w:sz w:val="21"/>
          <w:szCs w:val="21"/>
          <w:shd w:val="clear" w:color="auto" w:fill="FFFFFF"/>
        </w:rPr>
        <w:t>Science</w:t>
      </w:r>
      <w:r w:rsidRPr="000A3630">
        <w:rPr>
          <w:rFonts w:ascii="ITC Franklin Gothic Std Book" w:hAnsi="ITC Franklin Gothic Std Book" w:cs="Arial"/>
          <w:color w:val="222222"/>
          <w:sz w:val="21"/>
          <w:szCs w:val="21"/>
          <w:shd w:val="clear" w:color="auto" w:fill="FFFFFF"/>
        </w:rPr>
        <w:t>, </w:t>
      </w:r>
      <w:r w:rsidRPr="000A3630">
        <w:rPr>
          <w:rFonts w:ascii="ITC Franklin Gothic Std Book" w:hAnsi="ITC Franklin Gothic Std Book" w:cs="Arial"/>
          <w:i/>
          <w:iCs/>
          <w:color w:val="222222"/>
          <w:sz w:val="21"/>
          <w:szCs w:val="21"/>
          <w:shd w:val="clear" w:color="auto" w:fill="FFFFFF"/>
        </w:rPr>
        <w:t>348</w:t>
      </w:r>
      <w:r w:rsidRPr="000A3630">
        <w:rPr>
          <w:rFonts w:ascii="ITC Franklin Gothic Std Book" w:hAnsi="ITC Franklin Gothic Std Book" w:cs="Arial"/>
          <w:color w:val="222222"/>
          <w:sz w:val="21"/>
          <w:szCs w:val="21"/>
          <w:shd w:val="clear" w:color="auto" w:fill="FFFFFF"/>
        </w:rPr>
        <w:t xml:space="preserve">(6242), 1420-1422. </w:t>
      </w:r>
      <w:r w:rsidRPr="000A3630">
        <w:rPr>
          <w:rFonts w:ascii="ITC Franklin Gothic Std Book" w:hAnsi="ITC Franklin Gothic Std Book" w:cs="Arial"/>
          <w:i/>
          <w:color w:val="222222"/>
          <w:sz w:val="21"/>
          <w:szCs w:val="21"/>
          <w:shd w:val="clear" w:color="auto" w:fill="FFFFFF"/>
        </w:rPr>
        <w:t xml:space="preserve">(all authors – will clean up if this part stays in paper - Bruce Alberts,1 Ralph J. Cicerone,2m Stephen E. Fienberg, 3 Alexander </w:t>
      </w:r>
      <w:proofErr w:type="spellStart"/>
      <w:r w:rsidRPr="000A3630">
        <w:rPr>
          <w:rFonts w:ascii="ITC Franklin Gothic Std Book" w:hAnsi="ITC Franklin Gothic Std Book" w:cs="Arial"/>
          <w:i/>
          <w:color w:val="222222"/>
          <w:sz w:val="21"/>
          <w:szCs w:val="21"/>
          <w:shd w:val="clear" w:color="auto" w:fill="FFFFFF"/>
        </w:rPr>
        <w:t>Kamb</w:t>
      </w:r>
      <w:proofErr w:type="spellEnd"/>
      <w:r w:rsidRPr="000A3630">
        <w:rPr>
          <w:rFonts w:ascii="ITC Franklin Gothic Std Book" w:hAnsi="ITC Franklin Gothic Std Book" w:cs="Arial"/>
          <w:i/>
          <w:color w:val="222222"/>
          <w:sz w:val="21"/>
          <w:szCs w:val="21"/>
          <w:shd w:val="clear" w:color="auto" w:fill="FFFFFF"/>
        </w:rPr>
        <w:t xml:space="preserve">, Marcia McNutt,5 * Robert M. </w:t>
      </w:r>
      <w:proofErr w:type="spellStart"/>
      <w:r w:rsidRPr="000A3630">
        <w:rPr>
          <w:rFonts w:ascii="ITC Franklin Gothic Std Book" w:hAnsi="ITC Franklin Gothic Std Book" w:cs="Arial"/>
          <w:i/>
          <w:color w:val="222222"/>
          <w:sz w:val="21"/>
          <w:szCs w:val="21"/>
          <w:shd w:val="clear" w:color="auto" w:fill="FFFFFF"/>
        </w:rPr>
        <w:t>Nerem</w:t>
      </w:r>
      <w:proofErr w:type="spellEnd"/>
      <w:r w:rsidRPr="000A3630">
        <w:rPr>
          <w:rFonts w:ascii="ITC Franklin Gothic Std Book" w:hAnsi="ITC Franklin Gothic Std Book" w:cs="Arial"/>
          <w:i/>
          <w:color w:val="222222"/>
          <w:sz w:val="21"/>
          <w:szCs w:val="21"/>
          <w:shd w:val="clear" w:color="auto" w:fill="FFFFFF"/>
        </w:rPr>
        <w:t xml:space="preserve">, Randy </w:t>
      </w:r>
      <w:proofErr w:type="spellStart"/>
      <w:r w:rsidRPr="000A3630">
        <w:rPr>
          <w:rFonts w:ascii="ITC Franklin Gothic Std Book" w:hAnsi="ITC Franklin Gothic Std Book" w:cs="Arial"/>
          <w:i/>
          <w:color w:val="222222"/>
          <w:sz w:val="21"/>
          <w:szCs w:val="21"/>
          <w:shd w:val="clear" w:color="auto" w:fill="FFFFFF"/>
        </w:rPr>
        <w:t>Schekman</w:t>
      </w:r>
      <w:proofErr w:type="spellEnd"/>
      <w:r w:rsidRPr="000A3630">
        <w:rPr>
          <w:rFonts w:ascii="ITC Franklin Gothic Std Book" w:hAnsi="ITC Franklin Gothic Std Book" w:cs="Arial"/>
          <w:i/>
          <w:color w:val="222222"/>
          <w:sz w:val="21"/>
          <w:szCs w:val="21"/>
          <w:shd w:val="clear" w:color="auto" w:fill="FFFFFF"/>
        </w:rPr>
        <w:t xml:space="preserve"> ,7 Richard Shiffrin, 8Victoria Stodden,9 Subra Suresh,10 Maria T. Zuber ,11 Barbara Kline Pope, 12 Kathleen Hall Jamieson13, 14)</w:t>
      </w:r>
    </w:p>
  </w:footnote>
  <w:footnote w:id="13">
    <w:p w14:paraId="1F044C59" w14:textId="14A81884" w:rsidR="000A3630" w:rsidRPr="000A3630" w:rsidRDefault="000A3630" w:rsidP="004D57C3">
      <w:pPr>
        <w:rPr>
          <w:rFonts w:ascii="ITC Franklin Gothic Std Book" w:hAnsi="ITC Franklin Gothic Std Book"/>
          <w:sz w:val="21"/>
          <w:szCs w:val="21"/>
        </w:rPr>
      </w:pPr>
      <w:r w:rsidRPr="000A3630">
        <w:rPr>
          <w:rStyle w:val="FootnoteReference"/>
          <w:rFonts w:ascii="ITC Franklin Gothic Std Book" w:hAnsi="ITC Franklin Gothic Std Book"/>
          <w:sz w:val="21"/>
          <w:szCs w:val="21"/>
        </w:rPr>
        <w:footnoteRef/>
      </w:r>
      <w:r w:rsidRPr="000A3630">
        <w:rPr>
          <w:rFonts w:ascii="ITC Franklin Gothic Std Book" w:hAnsi="ITC Franklin Gothic Std Book"/>
          <w:sz w:val="21"/>
          <w:szCs w:val="21"/>
        </w:rPr>
        <w:t xml:space="preserve"> </w:t>
      </w:r>
      <w:proofErr w:type="spellStart"/>
      <w:r w:rsidRPr="000A3630">
        <w:rPr>
          <w:rFonts w:ascii="ITC Franklin Gothic Std Book" w:hAnsi="ITC Franklin Gothic Std Book"/>
          <w:sz w:val="21"/>
          <w:szCs w:val="21"/>
        </w:rPr>
        <w:t>N</w:t>
      </w:r>
      <w:r w:rsidRPr="000A3630">
        <w:rPr>
          <w:rFonts w:ascii="ITC Franklin Gothic Std Book" w:hAnsi="ITC Franklin Gothic Std Book" w:cs="Arial"/>
          <w:color w:val="222222"/>
          <w:sz w:val="21"/>
          <w:szCs w:val="21"/>
          <w:shd w:val="clear" w:color="auto" w:fill="FFFFFF"/>
        </w:rPr>
        <w:t>osek</w:t>
      </w:r>
      <w:proofErr w:type="spellEnd"/>
      <w:r w:rsidRPr="000A3630">
        <w:rPr>
          <w:rFonts w:ascii="ITC Franklin Gothic Std Book" w:hAnsi="ITC Franklin Gothic Std Book" w:cs="Arial"/>
          <w:color w:val="222222"/>
          <w:sz w:val="21"/>
          <w:szCs w:val="21"/>
          <w:shd w:val="clear" w:color="auto" w:fill="FFFFFF"/>
        </w:rPr>
        <w:t xml:space="preserve">, B. A., Alter, G., Banks, G. C., </w:t>
      </w:r>
      <w:proofErr w:type="spellStart"/>
      <w:r w:rsidRPr="000A3630">
        <w:rPr>
          <w:rFonts w:ascii="ITC Franklin Gothic Std Book" w:hAnsi="ITC Franklin Gothic Std Book" w:cs="Arial"/>
          <w:color w:val="222222"/>
          <w:sz w:val="21"/>
          <w:szCs w:val="21"/>
          <w:shd w:val="clear" w:color="auto" w:fill="FFFFFF"/>
        </w:rPr>
        <w:t>Borsboom</w:t>
      </w:r>
      <w:proofErr w:type="spellEnd"/>
      <w:r w:rsidRPr="000A3630">
        <w:rPr>
          <w:rFonts w:ascii="ITC Franklin Gothic Std Book" w:hAnsi="ITC Franklin Gothic Std Book" w:cs="Arial"/>
          <w:color w:val="222222"/>
          <w:sz w:val="21"/>
          <w:szCs w:val="21"/>
          <w:shd w:val="clear" w:color="auto" w:fill="FFFFFF"/>
        </w:rPr>
        <w:t xml:space="preserve">, D., Bowman, S. D., </w:t>
      </w:r>
      <w:proofErr w:type="spellStart"/>
      <w:r w:rsidRPr="000A3630">
        <w:rPr>
          <w:rFonts w:ascii="ITC Franklin Gothic Std Book" w:hAnsi="ITC Franklin Gothic Std Book" w:cs="Arial"/>
          <w:color w:val="222222"/>
          <w:sz w:val="21"/>
          <w:szCs w:val="21"/>
          <w:shd w:val="clear" w:color="auto" w:fill="FFFFFF"/>
        </w:rPr>
        <w:t>Breckler</w:t>
      </w:r>
      <w:proofErr w:type="spellEnd"/>
      <w:r w:rsidRPr="000A3630">
        <w:rPr>
          <w:rFonts w:ascii="ITC Franklin Gothic Std Book" w:hAnsi="ITC Franklin Gothic Std Book" w:cs="Arial"/>
          <w:color w:val="222222"/>
          <w:sz w:val="21"/>
          <w:szCs w:val="21"/>
          <w:shd w:val="clear" w:color="auto" w:fill="FFFFFF"/>
        </w:rPr>
        <w:t xml:space="preserve">, S. J., ... &amp; </w:t>
      </w:r>
      <w:proofErr w:type="spellStart"/>
      <w:r w:rsidRPr="000A3630">
        <w:rPr>
          <w:rFonts w:ascii="ITC Franklin Gothic Std Book" w:hAnsi="ITC Franklin Gothic Std Book" w:cs="Arial"/>
          <w:color w:val="222222"/>
          <w:sz w:val="21"/>
          <w:szCs w:val="21"/>
          <w:shd w:val="clear" w:color="auto" w:fill="FFFFFF"/>
        </w:rPr>
        <w:t>Contestabile</w:t>
      </w:r>
      <w:proofErr w:type="spellEnd"/>
      <w:r w:rsidRPr="000A3630">
        <w:rPr>
          <w:rFonts w:ascii="ITC Franklin Gothic Std Book" w:hAnsi="ITC Franklin Gothic Std Book" w:cs="Arial"/>
          <w:color w:val="222222"/>
          <w:sz w:val="21"/>
          <w:szCs w:val="21"/>
          <w:shd w:val="clear" w:color="auto" w:fill="FFFFFF"/>
        </w:rPr>
        <w:t>, M. (2015). Promoting an open research culture. </w:t>
      </w:r>
      <w:r w:rsidRPr="000A3630">
        <w:rPr>
          <w:rFonts w:ascii="ITC Franklin Gothic Std Book" w:hAnsi="ITC Franklin Gothic Std Book" w:cs="Arial"/>
          <w:i/>
          <w:iCs/>
          <w:color w:val="222222"/>
          <w:sz w:val="21"/>
          <w:szCs w:val="21"/>
          <w:shd w:val="clear" w:color="auto" w:fill="FFFFFF"/>
        </w:rPr>
        <w:t>Science</w:t>
      </w:r>
      <w:r w:rsidRPr="000A3630">
        <w:rPr>
          <w:rFonts w:ascii="ITC Franklin Gothic Std Book" w:hAnsi="ITC Franklin Gothic Std Book" w:cs="Arial"/>
          <w:color w:val="222222"/>
          <w:sz w:val="21"/>
          <w:szCs w:val="21"/>
          <w:shd w:val="clear" w:color="auto" w:fill="FFFFFF"/>
        </w:rPr>
        <w:t>, </w:t>
      </w:r>
      <w:r w:rsidRPr="000A3630">
        <w:rPr>
          <w:rFonts w:ascii="ITC Franklin Gothic Std Book" w:hAnsi="ITC Franklin Gothic Std Book" w:cs="Arial"/>
          <w:i/>
          <w:iCs/>
          <w:color w:val="222222"/>
          <w:sz w:val="21"/>
          <w:szCs w:val="21"/>
          <w:shd w:val="clear" w:color="auto" w:fill="FFFFFF"/>
        </w:rPr>
        <w:t>348</w:t>
      </w:r>
      <w:r w:rsidRPr="000A3630">
        <w:rPr>
          <w:rFonts w:ascii="ITC Franklin Gothic Std Book" w:hAnsi="ITC Franklin Gothic Std Book" w:cs="Arial"/>
          <w:color w:val="222222"/>
          <w:sz w:val="21"/>
          <w:szCs w:val="21"/>
          <w:shd w:val="clear" w:color="auto" w:fill="FFFFFF"/>
        </w:rPr>
        <w:t xml:space="preserve">(6242), 1422-1425. </w:t>
      </w:r>
      <w:r w:rsidRPr="003F2FF8">
        <w:rPr>
          <w:rFonts w:ascii="ITC Franklin Gothic Std Book" w:eastAsiaTheme="minorHAnsi" w:hAnsi="ITC Franklin Gothic Std Book"/>
          <w:color w:val="262626"/>
          <w:sz w:val="21"/>
          <w:szCs w:val="21"/>
        </w:rPr>
        <w:t xml:space="preserve">B. A. </w:t>
      </w:r>
      <w:proofErr w:type="spellStart"/>
      <w:r w:rsidRPr="003F2FF8">
        <w:rPr>
          <w:rFonts w:ascii="ITC Franklin Gothic Std Book" w:eastAsiaTheme="minorHAnsi" w:hAnsi="ITC Franklin Gothic Std Book"/>
          <w:color w:val="262626"/>
          <w:sz w:val="21"/>
          <w:szCs w:val="21"/>
        </w:rPr>
        <w:t>Nosek</w:t>
      </w:r>
      <w:proofErr w:type="spellEnd"/>
      <w:r w:rsidRPr="003F2FF8">
        <w:rPr>
          <w:rFonts w:ascii="ITC Franklin Gothic Std Book" w:eastAsiaTheme="minorHAnsi" w:hAnsi="ITC Franklin Gothic Std Book"/>
          <w:color w:val="262626"/>
          <w:sz w:val="21"/>
          <w:szCs w:val="21"/>
        </w:rPr>
        <w:t xml:space="preserve"> ,* G. Alter, G. C. Banks, D. </w:t>
      </w:r>
      <w:proofErr w:type="spellStart"/>
      <w:r w:rsidRPr="003F2FF8">
        <w:rPr>
          <w:rFonts w:ascii="ITC Franklin Gothic Std Book" w:eastAsiaTheme="minorHAnsi" w:hAnsi="ITC Franklin Gothic Std Book"/>
          <w:color w:val="262626"/>
          <w:sz w:val="21"/>
          <w:szCs w:val="21"/>
        </w:rPr>
        <w:t>Borsboom</w:t>
      </w:r>
      <w:proofErr w:type="spellEnd"/>
      <w:r w:rsidRPr="003F2FF8">
        <w:rPr>
          <w:rFonts w:ascii="ITC Franklin Gothic Std Book" w:eastAsiaTheme="minorHAnsi" w:hAnsi="ITC Franklin Gothic Std Book"/>
          <w:color w:val="262626"/>
          <w:sz w:val="21"/>
          <w:szCs w:val="21"/>
        </w:rPr>
        <w:t xml:space="preserve">, S. D. Bowman, S. J. </w:t>
      </w:r>
      <w:proofErr w:type="spellStart"/>
      <w:r w:rsidRPr="003F2FF8">
        <w:rPr>
          <w:rFonts w:ascii="ITC Franklin Gothic Std Book" w:eastAsiaTheme="minorHAnsi" w:hAnsi="ITC Franklin Gothic Std Book"/>
          <w:color w:val="262626"/>
          <w:sz w:val="21"/>
          <w:szCs w:val="21"/>
        </w:rPr>
        <w:t>Breckler</w:t>
      </w:r>
      <w:proofErr w:type="spellEnd"/>
      <w:r w:rsidRPr="003F2FF8">
        <w:rPr>
          <w:rFonts w:ascii="ITC Franklin Gothic Std Book" w:eastAsiaTheme="minorHAnsi" w:hAnsi="ITC Franklin Gothic Std Book"/>
          <w:color w:val="262626"/>
          <w:sz w:val="21"/>
          <w:szCs w:val="21"/>
        </w:rPr>
        <w:t xml:space="preserve">, S. Buck, C. D. Chambers, G. Chin, G. Christensen, M. </w:t>
      </w:r>
      <w:proofErr w:type="spellStart"/>
      <w:r w:rsidRPr="003F2FF8">
        <w:rPr>
          <w:rFonts w:ascii="ITC Franklin Gothic Std Book" w:eastAsiaTheme="minorHAnsi" w:hAnsi="ITC Franklin Gothic Std Book"/>
          <w:color w:val="262626"/>
          <w:sz w:val="21"/>
          <w:szCs w:val="21"/>
        </w:rPr>
        <w:t>Contestabile</w:t>
      </w:r>
      <w:proofErr w:type="spellEnd"/>
      <w:r w:rsidRPr="003F2FF8">
        <w:rPr>
          <w:rFonts w:ascii="ITC Franklin Gothic Std Book" w:eastAsiaTheme="minorHAnsi" w:hAnsi="ITC Franklin Gothic Std Book"/>
          <w:color w:val="262626"/>
          <w:sz w:val="21"/>
          <w:szCs w:val="21"/>
        </w:rPr>
        <w:t xml:space="preserve">, A. Dafoe, E. </w:t>
      </w:r>
      <w:proofErr w:type="spellStart"/>
      <w:r w:rsidRPr="003F2FF8">
        <w:rPr>
          <w:rFonts w:ascii="ITC Franklin Gothic Std Book" w:eastAsiaTheme="minorHAnsi" w:hAnsi="ITC Franklin Gothic Std Book"/>
          <w:color w:val="262626"/>
          <w:sz w:val="21"/>
          <w:szCs w:val="21"/>
        </w:rPr>
        <w:t>Eich</w:t>
      </w:r>
      <w:proofErr w:type="spellEnd"/>
      <w:r w:rsidRPr="003F2FF8">
        <w:rPr>
          <w:rFonts w:ascii="ITC Franklin Gothic Std Book" w:eastAsiaTheme="minorHAnsi" w:hAnsi="ITC Franklin Gothic Std Book"/>
          <w:color w:val="262626"/>
          <w:sz w:val="21"/>
          <w:szCs w:val="21"/>
        </w:rPr>
        <w:t xml:space="preserve">, J. Freese, R. </w:t>
      </w:r>
      <w:proofErr w:type="spellStart"/>
      <w:r w:rsidRPr="003F2FF8">
        <w:rPr>
          <w:rFonts w:ascii="ITC Franklin Gothic Std Book" w:eastAsiaTheme="minorHAnsi" w:hAnsi="ITC Franklin Gothic Std Book"/>
          <w:color w:val="262626"/>
          <w:sz w:val="21"/>
          <w:szCs w:val="21"/>
        </w:rPr>
        <w:t>Glennerster</w:t>
      </w:r>
      <w:proofErr w:type="spellEnd"/>
      <w:r w:rsidRPr="003F2FF8">
        <w:rPr>
          <w:rFonts w:ascii="ITC Franklin Gothic Std Book" w:eastAsiaTheme="minorHAnsi" w:hAnsi="ITC Franklin Gothic Std Book"/>
          <w:color w:val="262626"/>
          <w:sz w:val="21"/>
          <w:szCs w:val="21"/>
        </w:rPr>
        <w:t xml:space="preserve">, D. </w:t>
      </w:r>
      <w:proofErr w:type="spellStart"/>
      <w:r w:rsidRPr="003F2FF8">
        <w:rPr>
          <w:rFonts w:ascii="ITC Franklin Gothic Std Book" w:eastAsiaTheme="minorHAnsi" w:hAnsi="ITC Franklin Gothic Std Book"/>
          <w:color w:val="262626"/>
          <w:sz w:val="21"/>
          <w:szCs w:val="21"/>
        </w:rPr>
        <w:t>Goroff</w:t>
      </w:r>
      <w:proofErr w:type="spellEnd"/>
      <w:r w:rsidRPr="003F2FF8">
        <w:rPr>
          <w:rFonts w:ascii="ITC Franklin Gothic Std Book" w:eastAsiaTheme="minorHAnsi" w:hAnsi="ITC Franklin Gothic Std Book"/>
          <w:color w:val="262626"/>
          <w:sz w:val="21"/>
          <w:szCs w:val="21"/>
        </w:rPr>
        <w:t xml:space="preserve">, D. P. Green, B. Hesse, M. Humphreys, J. Ishiyama, D. </w:t>
      </w:r>
      <w:proofErr w:type="spellStart"/>
      <w:r w:rsidRPr="003F2FF8">
        <w:rPr>
          <w:rFonts w:ascii="ITC Franklin Gothic Std Book" w:eastAsiaTheme="minorHAnsi" w:hAnsi="ITC Franklin Gothic Std Book"/>
          <w:color w:val="262626"/>
          <w:sz w:val="21"/>
          <w:szCs w:val="21"/>
        </w:rPr>
        <w:t>Karlan</w:t>
      </w:r>
      <w:proofErr w:type="spellEnd"/>
      <w:r w:rsidRPr="003F2FF8">
        <w:rPr>
          <w:rFonts w:ascii="ITC Franklin Gothic Std Book" w:eastAsiaTheme="minorHAnsi" w:hAnsi="ITC Franklin Gothic Std Book"/>
          <w:color w:val="262626"/>
          <w:sz w:val="21"/>
          <w:szCs w:val="21"/>
        </w:rPr>
        <w:t xml:space="preserve">, A. Kraut, A. </w:t>
      </w:r>
      <w:proofErr w:type="spellStart"/>
      <w:r w:rsidRPr="003F2FF8">
        <w:rPr>
          <w:rFonts w:ascii="ITC Franklin Gothic Std Book" w:eastAsiaTheme="minorHAnsi" w:hAnsi="ITC Franklin Gothic Std Book"/>
          <w:color w:val="262626"/>
          <w:sz w:val="21"/>
          <w:szCs w:val="21"/>
        </w:rPr>
        <w:t>Lupia</w:t>
      </w:r>
      <w:proofErr w:type="spellEnd"/>
      <w:r w:rsidRPr="003F2FF8">
        <w:rPr>
          <w:rFonts w:ascii="ITC Franklin Gothic Std Book" w:eastAsiaTheme="minorHAnsi" w:hAnsi="ITC Franklin Gothic Std Book"/>
          <w:color w:val="262626"/>
          <w:sz w:val="21"/>
          <w:szCs w:val="21"/>
        </w:rPr>
        <w:t xml:space="preserve">, P. Mabry, T. A. </w:t>
      </w:r>
      <w:proofErr w:type="spellStart"/>
      <w:r w:rsidRPr="003F2FF8">
        <w:rPr>
          <w:rFonts w:ascii="ITC Franklin Gothic Std Book" w:eastAsiaTheme="minorHAnsi" w:hAnsi="ITC Franklin Gothic Std Book"/>
          <w:color w:val="262626"/>
          <w:sz w:val="21"/>
          <w:szCs w:val="21"/>
        </w:rPr>
        <w:t>Madon</w:t>
      </w:r>
      <w:proofErr w:type="spellEnd"/>
      <w:r w:rsidRPr="003F2FF8">
        <w:rPr>
          <w:rFonts w:ascii="ITC Franklin Gothic Std Book" w:eastAsiaTheme="minorHAnsi" w:hAnsi="ITC Franklin Gothic Std Book"/>
          <w:color w:val="262626"/>
          <w:sz w:val="21"/>
          <w:szCs w:val="21"/>
        </w:rPr>
        <w:t xml:space="preserve">, N. Malhotra, E. Mayo-Wilson, M. McNutt, E. Miguel, E. Levy </w:t>
      </w:r>
      <w:proofErr w:type="spellStart"/>
      <w:r w:rsidRPr="003F2FF8">
        <w:rPr>
          <w:rFonts w:ascii="ITC Franklin Gothic Std Book" w:eastAsiaTheme="minorHAnsi" w:hAnsi="ITC Franklin Gothic Std Book"/>
          <w:color w:val="262626"/>
          <w:sz w:val="21"/>
          <w:szCs w:val="21"/>
        </w:rPr>
        <w:t>Paluck</w:t>
      </w:r>
      <w:proofErr w:type="spellEnd"/>
      <w:r w:rsidRPr="003F2FF8">
        <w:rPr>
          <w:rFonts w:ascii="ITC Franklin Gothic Std Book" w:eastAsiaTheme="minorHAnsi" w:hAnsi="ITC Franklin Gothic Std Book"/>
          <w:color w:val="262626"/>
          <w:sz w:val="21"/>
          <w:szCs w:val="21"/>
        </w:rPr>
        <w:t xml:space="preserve">, U. </w:t>
      </w:r>
      <w:proofErr w:type="spellStart"/>
      <w:r w:rsidRPr="003F2FF8">
        <w:rPr>
          <w:rFonts w:ascii="ITC Franklin Gothic Std Book" w:eastAsiaTheme="minorHAnsi" w:hAnsi="ITC Franklin Gothic Std Book"/>
          <w:color w:val="262626"/>
          <w:sz w:val="21"/>
          <w:szCs w:val="21"/>
        </w:rPr>
        <w:t>Simonsohn</w:t>
      </w:r>
      <w:proofErr w:type="spellEnd"/>
      <w:r w:rsidRPr="003F2FF8">
        <w:rPr>
          <w:rFonts w:ascii="ITC Franklin Gothic Std Book" w:eastAsiaTheme="minorHAnsi" w:hAnsi="ITC Franklin Gothic Std Book"/>
          <w:color w:val="262626"/>
          <w:sz w:val="21"/>
          <w:szCs w:val="21"/>
        </w:rPr>
        <w:t xml:space="preserve">, C. Soderberg, B. A. Spellman, J. </w:t>
      </w:r>
      <w:proofErr w:type="spellStart"/>
      <w:r w:rsidRPr="003F2FF8">
        <w:rPr>
          <w:rFonts w:ascii="ITC Franklin Gothic Std Book" w:eastAsiaTheme="minorHAnsi" w:hAnsi="ITC Franklin Gothic Std Book"/>
          <w:color w:val="262626"/>
          <w:sz w:val="21"/>
          <w:szCs w:val="21"/>
        </w:rPr>
        <w:t>Turitto</w:t>
      </w:r>
      <w:proofErr w:type="spellEnd"/>
      <w:r w:rsidRPr="003F2FF8">
        <w:rPr>
          <w:rFonts w:ascii="ITC Franklin Gothic Std Book" w:eastAsiaTheme="minorHAnsi" w:hAnsi="ITC Franklin Gothic Std Book"/>
          <w:color w:val="262626"/>
          <w:sz w:val="21"/>
          <w:szCs w:val="21"/>
        </w:rPr>
        <w:t xml:space="preserve">, G. </w:t>
      </w:r>
      <w:proofErr w:type="spellStart"/>
      <w:r w:rsidRPr="003F2FF8">
        <w:rPr>
          <w:rFonts w:ascii="ITC Franklin Gothic Std Book" w:eastAsiaTheme="minorHAnsi" w:hAnsi="ITC Franklin Gothic Std Book"/>
          <w:color w:val="262626"/>
          <w:sz w:val="21"/>
          <w:szCs w:val="21"/>
        </w:rPr>
        <w:t>VandenBos</w:t>
      </w:r>
      <w:proofErr w:type="spellEnd"/>
      <w:r w:rsidRPr="003F2FF8">
        <w:rPr>
          <w:rFonts w:ascii="ITC Franklin Gothic Std Book" w:eastAsiaTheme="minorHAnsi" w:hAnsi="ITC Franklin Gothic Std Book"/>
          <w:color w:val="262626"/>
          <w:sz w:val="21"/>
          <w:szCs w:val="21"/>
        </w:rPr>
        <w:t xml:space="preserve">, S. </w:t>
      </w:r>
      <w:proofErr w:type="spellStart"/>
      <w:r w:rsidRPr="003F2FF8">
        <w:rPr>
          <w:rFonts w:ascii="ITC Franklin Gothic Std Book" w:eastAsiaTheme="minorHAnsi" w:hAnsi="ITC Franklin Gothic Std Book"/>
          <w:color w:val="262626"/>
          <w:sz w:val="21"/>
          <w:szCs w:val="21"/>
        </w:rPr>
        <w:t>Vazire</w:t>
      </w:r>
      <w:proofErr w:type="spellEnd"/>
      <w:r w:rsidRPr="003F2FF8">
        <w:rPr>
          <w:rFonts w:ascii="ITC Franklin Gothic Std Book" w:eastAsiaTheme="minorHAnsi" w:hAnsi="ITC Franklin Gothic Std Book"/>
          <w:color w:val="262626"/>
          <w:sz w:val="21"/>
          <w:szCs w:val="21"/>
        </w:rPr>
        <w:t xml:space="preserve">, E. J. </w:t>
      </w:r>
      <w:proofErr w:type="spellStart"/>
      <w:r w:rsidRPr="003F2FF8">
        <w:rPr>
          <w:rFonts w:ascii="ITC Franklin Gothic Std Book" w:eastAsiaTheme="minorHAnsi" w:hAnsi="ITC Franklin Gothic Std Book"/>
          <w:color w:val="262626"/>
          <w:sz w:val="21"/>
          <w:szCs w:val="21"/>
        </w:rPr>
        <w:t>Wagenmakers</w:t>
      </w:r>
      <w:proofErr w:type="spellEnd"/>
      <w:r w:rsidRPr="003F2FF8">
        <w:rPr>
          <w:rFonts w:ascii="ITC Franklin Gothic Std Book" w:eastAsiaTheme="minorHAnsi" w:hAnsi="ITC Franklin Gothic Std Book"/>
          <w:color w:val="262626"/>
          <w:sz w:val="21"/>
          <w:szCs w:val="21"/>
        </w:rPr>
        <w:t xml:space="preserve">, R. Wilson, T. </w:t>
      </w:r>
      <w:proofErr w:type="spellStart"/>
      <w:r w:rsidRPr="003F2FF8">
        <w:rPr>
          <w:rFonts w:ascii="ITC Franklin Gothic Std Book" w:eastAsiaTheme="minorHAnsi" w:hAnsi="ITC Franklin Gothic Std Book"/>
          <w:color w:val="262626"/>
          <w:sz w:val="21"/>
          <w:szCs w:val="21"/>
        </w:rPr>
        <w:t>Yarkoni</w:t>
      </w:r>
      <w:proofErr w:type="spellEnd"/>
    </w:p>
  </w:footnote>
  <w:footnote w:id="14">
    <w:p w14:paraId="7A8F7D47" w14:textId="566044C0" w:rsidR="000A3630" w:rsidRPr="000A3630" w:rsidRDefault="000A3630">
      <w:pPr>
        <w:pStyle w:val="FootnoteText"/>
        <w:rPr>
          <w:rFonts w:ascii="ITC Franklin Gothic Std Book" w:hAnsi="ITC Franklin Gothic Std Book"/>
          <w:sz w:val="21"/>
          <w:szCs w:val="21"/>
        </w:rPr>
      </w:pPr>
      <w:r w:rsidRPr="000A3630">
        <w:rPr>
          <w:rStyle w:val="FootnoteReference"/>
          <w:rFonts w:ascii="ITC Franklin Gothic Std Book" w:hAnsi="ITC Franklin Gothic Std Book"/>
          <w:sz w:val="21"/>
          <w:szCs w:val="21"/>
        </w:rPr>
        <w:footnoteRef/>
      </w:r>
      <w:r w:rsidRPr="000A3630">
        <w:rPr>
          <w:rFonts w:ascii="ITC Franklin Gothic Std Book" w:hAnsi="ITC Franklin Gothic Std Book"/>
          <w:sz w:val="21"/>
          <w:szCs w:val="21"/>
        </w:rPr>
        <w:t xml:space="preserve"> </w:t>
      </w:r>
      <w:hyperlink r:id="rId10" w:history="1">
        <w:r w:rsidRPr="000A3630">
          <w:rPr>
            <w:rStyle w:val="Hyperlink"/>
            <w:rFonts w:ascii="ITC Franklin Gothic Std Book" w:hAnsi="ITC Franklin Gothic Std Book"/>
            <w:sz w:val="21"/>
            <w:szCs w:val="21"/>
          </w:rPr>
          <w:t>https://elifesciences.org/</w:t>
        </w:r>
      </w:hyperlink>
      <w:r w:rsidRPr="000A3630">
        <w:rPr>
          <w:rFonts w:ascii="ITC Franklin Gothic Std Book" w:hAnsi="ITC Franklin Gothic Std Book"/>
          <w:sz w:val="21"/>
          <w:szCs w:val="21"/>
        </w:rPr>
        <w:t xml:space="preserve"> </w:t>
      </w:r>
    </w:p>
  </w:footnote>
  <w:footnote w:id="15">
    <w:p w14:paraId="5AF8D60E" w14:textId="78EB8D69" w:rsidR="000A3630" w:rsidRPr="000A3630" w:rsidRDefault="000A3630">
      <w:pPr>
        <w:pStyle w:val="FootnoteText"/>
        <w:rPr>
          <w:rFonts w:ascii="ITC Franklin Gothic Std Book" w:hAnsi="ITC Franklin Gothic Std Book"/>
          <w:sz w:val="21"/>
          <w:szCs w:val="21"/>
        </w:rPr>
      </w:pPr>
      <w:r w:rsidRPr="000A3630">
        <w:rPr>
          <w:rStyle w:val="FootnoteReference"/>
          <w:rFonts w:ascii="ITC Franklin Gothic Std Book" w:hAnsi="ITC Franklin Gothic Std Book"/>
          <w:sz w:val="21"/>
          <w:szCs w:val="21"/>
        </w:rPr>
        <w:footnoteRef/>
      </w:r>
      <w:r w:rsidRPr="000A3630">
        <w:rPr>
          <w:rFonts w:ascii="ITC Franklin Gothic Std Book" w:hAnsi="ITC Franklin Gothic Std Book"/>
          <w:sz w:val="21"/>
          <w:szCs w:val="21"/>
        </w:rPr>
        <w:t xml:space="preserve"> </w:t>
      </w:r>
      <w:hyperlink r:id="rId11" w:history="1">
        <w:r w:rsidRPr="000A3630">
          <w:rPr>
            <w:rStyle w:val="Hyperlink"/>
            <w:rFonts w:ascii="ITC Franklin Gothic Std Book" w:hAnsi="ITC Franklin Gothic Std Book"/>
            <w:sz w:val="21"/>
            <w:szCs w:val="21"/>
          </w:rPr>
          <w:t>https://cos.io/</w:t>
        </w:r>
      </w:hyperlink>
      <w:r w:rsidRPr="000A3630">
        <w:rPr>
          <w:rFonts w:ascii="ITC Franklin Gothic Std Book" w:hAnsi="ITC Franklin Gothic Std Book"/>
          <w:sz w:val="21"/>
          <w:szCs w:val="21"/>
        </w:rPr>
        <w:t xml:space="preserve"> </w:t>
      </w:r>
    </w:p>
  </w:footnote>
  <w:footnote w:id="16">
    <w:p w14:paraId="7588517C" w14:textId="77777777" w:rsidR="000A3630" w:rsidRPr="000A3630" w:rsidRDefault="000A3630" w:rsidP="0051589A">
      <w:pPr>
        <w:pStyle w:val="FootnoteText"/>
        <w:rPr>
          <w:rFonts w:ascii="ITC Franklin Gothic Std Book" w:hAnsi="ITC Franklin Gothic Std Book"/>
          <w:sz w:val="21"/>
          <w:szCs w:val="21"/>
        </w:rPr>
      </w:pPr>
      <w:r w:rsidRPr="000A3630">
        <w:rPr>
          <w:rStyle w:val="FootnoteReference"/>
          <w:rFonts w:ascii="ITC Franklin Gothic Std Book" w:hAnsi="ITC Franklin Gothic Std Book"/>
          <w:sz w:val="21"/>
          <w:szCs w:val="21"/>
        </w:rPr>
        <w:footnoteRef/>
      </w:r>
      <w:r w:rsidRPr="000A3630">
        <w:rPr>
          <w:rFonts w:ascii="ITC Franklin Gothic Std Book" w:hAnsi="ITC Franklin Gothic Std Book"/>
          <w:sz w:val="21"/>
          <w:szCs w:val="21"/>
        </w:rPr>
        <w:t xml:space="preserve"> </w:t>
      </w:r>
      <w:r w:rsidRPr="000A3630">
        <w:rPr>
          <w:rFonts w:ascii="ITC Franklin Gothic Std Book" w:eastAsiaTheme="minorHAnsi" w:hAnsi="ITC Franklin Gothic Std Book" w:cs="Georgia"/>
          <w:color w:val="000000"/>
          <w:sz w:val="21"/>
          <w:szCs w:val="21"/>
        </w:rPr>
        <w:t>European Union.</w:t>
      </w:r>
      <w:r w:rsidRPr="000A3630">
        <w:rPr>
          <w:rFonts w:ascii="ITC Franklin Gothic Std Book" w:hAnsi="ITC Franklin Gothic Std Book"/>
          <w:sz w:val="21"/>
          <w:szCs w:val="21"/>
        </w:rPr>
        <w:t xml:space="preserve"> </w:t>
      </w:r>
      <w:r w:rsidRPr="000A3630">
        <w:rPr>
          <w:rFonts w:ascii="ITC Franklin Gothic Std Book" w:eastAsiaTheme="minorHAnsi" w:hAnsi="ITC Franklin Gothic Std Book" w:cs="Georgia"/>
          <w:color w:val="000000"/>
          <w:sz w:val="21"/>
          <w:szCs w:val="21"/>
        </w:rPr>
        <w:t xml:space="preserve">What does the General Data Protection Regulation (GDPR) govern? </w:t>
      </w:r>
      <w:hyperlink r:id="rId12" w:history="1">
        <w:r w:rsidRPr="000A3630">
          <w:rPr>
            <w:rStyle w:val="Hyperlink"/>
            <w:rFonts w:ascii="ITC Franklin Gothic Std Book" w:eastAsiaTheme="minorHAnsi" w:hAnsi="ITC Franklin Gothic Std Book" w:cs="Georgia"/>
            <w:sz w:val="21"/>
            <w:szCs w:val="21"/>
          </w:rPr>
          <w:t>https://ec.europa.eu/info/law/law-topic/data-protection/reform/what-does-general-data-protection-regulation-gdpr-govern_en</w:t>
        </w:r>
      </w:hyperlink>
      <w:r w:rsidRPr="000A3630">
        <w:rPr>
          <w:rFonts w:ascii="ITC Franklin Gothic Std Book" w:eastAsiaTheme="minorHAnsi" w:hAnsi="ITC Franklin Gothic Std Book" w:cs="Georgia"/>
          <w:color w:val="000000"/>
          <w:sz w:val="21"/>
          <w:szCs w:val="21"/>
        </w:rPr>
        <w:t xml:space="preserve"> </w:t>
      </w:r>
    </w:p>
  </w:footnote>
  <w:footnote w:id="17">
    <w:p w14:paraId="26187617" w14:textId="578B068A" w:rsidR="000A3630" w:rsidRPr="000A3630" w:rsidRDefault="000A3630" w:rsidP="003E40A5">
      <w:pPr>
        <w:rPr>
          <w:rFonts w:ascii="ITC Franklin Gothic Std Book" w:hAnsi="ITC Franklin Gothic Std Book"/>
          <w:sz w:val="21"/>
          <w:szCs w:val="21"/>
        </w:rPr>
      </w:pPr>
      <w:r w:rsidRPr="000A3630">
        <w:rPr>
          <w:rStyle w:val="FootnoteReference"/>
          <w:rFonts w:ascii="ITC Franklin Gothic Std Book" w:hAnsi="ITC Franklin Gothic Std Book"/>
          <w:sz w:val="21"/>
          <w:szCs w:val="21"/>
        </w:rPr>
        <w:footnoteRef/>
      </w:r>
      <w:r w:rsidRPr="000A3630">
        <w:rPr>
          <w:rFonts w:ascii="ITC Franklin Gothic Std Book" w:hAnsi="ITC Franklin Gothic Std Book"/>
          <w:sz w:val="21"/>
          <w:szCs w:val="21"/>
        </w:rPr>
        <w:t xml:space="preserve"> </w:t>
      </w:r>
      <w:r w:rsidRPr="000A3630">
        <w:rPr>
          <w:rFonts w:ascii="ITC Franklin Gothic Std Book" w:hAnsi="ITC Franklin Gothic Std Book" w:cs="Arial"/>
          <w:color w:val="222222"/>
          <w:sz w:val="21"/>
          <w:szCs w:val="21"/>
          <w:shd w:val="clear" w:color="auto" w:fill="FFFFFF"/>
        </w:rPr>
        <w:t>Keller, S. A., Shipp, S., &amp; Schroeder, A. (2016). Does big data change the privacy landscape? a review of the issues. </w:t>
      </w:r>
      <w:r w:rsidRPr="000A3630">
        <w:rPr>
          <w:rFonts w:ascii="ITC Franklin Gothic Std Book" w:hAnsi="ITC Franklin Gothic Std Book" w:cs="Arial"/>
          <w:i/>
          <w:iCs/>
          <w:color w:val="222222"/>
          <w:sz w:val="21"/>
          <w:szCs w:val="21"/>
          <w:shd w:val="clear" w:color="auto" w:fill="FFFFFF"/>
        </w:rPr>
        <w:t>Annual Review of Statistics and Its Application</w:t>
      </w:r>
      <w:r w:rsidRPr="000A3630">
        <w:rPr>
          <w:rFonts w:ascii="ITC Franklin Gothic Std Book" w:hAnsi="ITC Franklin Gothic Std Book" w:cs="Arial"/>
          <w:color w:val="222222"/>
          <w:sz w:val="21"/>
          <w:szCs w:val="21"/>
          <w:shd w:val="clear" w:color="auto" w:fill="FFFFFF"/>
        </w:rPr>
        <w:t>, </w:t>
      </w:r>
      <w:r w:rsidRPr="000A3630">
        <w:rPr>
          <w:rFonts w:ascii="ITC Franklin Gothic Std Book" w:hAnsi="ITC Franklin Gothic Std Book" w:cs="Arial"/>
          <w:i/>
          <w:iCs/>
          <w:color w:val="222222"/>
          <w:sz w:val="21"/>
          <w:szCs w:val="21"/>
          <w:shd w:val="clear" w:color="auto" w:fill="FFFFFF"/>
        </w:rPr>
        <w:t>3</w:t>
      </w:r>
      <w:r w:rsidRPr="000A3630">
        <w:rPr>
          <w:rFonts w:ascii="ITC Franklin Gothic Std Book" w:hAnsi="ITC Franklin Gothic Std Book" w:cs="Arial"/>
          <w:color w:val="222222"/>
          <w:sz w:val="21"/>
          <w:szCs w:val="21"/>
          <w:shd w:val="clear" w:color="auto" w:fill="FFFFFF"/>
        </w:rPr>
        <w:t>, 161-180.</w:t>
      </w:r>
    </w:p>
  </w:footnote>
  <w:footnote w:id="18">
    <w:p w14:paraId="7DD48DD6" w14:textId="19437E7D" w:rsidR="000A3630" w:rsidRPr="000A3630" w:rsidRDefault="000A3630" w:rsidP="003E40A5">
      <w:pPr>
        <w:autoSpaceDE w:val="0"/>
        <w:autoSpaceDN w:val="0"/>
        <w:adjustRightInd w:val="0"/>
        <w:rPr>
          <w:rFonts w:ascii="ITC Franklin Gothic Std Book" w:eastAsiaTheme="minorHAnsi" w:hAnsi="ITC Franklin Gothic Std Book"/>
          <w:sz w:val="21"/>
          <w:szCs w:val="21"/>
        </w:rPr>
      </w:pPr>
      <w:r w:rsidRPr="000A3630">
        <w:rPr>
          <w:rStyle w:val="FootnoteReference"/>
          <w:rFonts w:ascii="ITC Franklin Gothic Std Book" w:hAnsi="ITC Franklin Gothic Std Book"/>
          <w:sz w:val="21"/>
          <w:szCs w:val="21"/>
        </w:rPr>
        <w:footnoteRef/>
      </w:r>
      <w:r w:rsidRPr="000A3630">
        <w:rPr>
          <w:rFonts w:ascii="ITC Franklin Gothic Std Book" w:hAnsi="ITC Franklin Gothic Std Book"/>
          <w:sz w:val="21"/>
          <w:szCs w:val="21"/>
        </w:rPr>
        <w:t xml:space="preserve"> </w:t>
      </w:r>
      <w:proofErr w:type="spellStart"/>
      <w:r w:rsidRPr="000A3630">
        <w:rPr>
          <w:rFonts w:ascii="ITC Franklin Gothic Std Book" w:eastAsiaTheme="minorHAnsi" w:hAnsi="ITC Franklin Gothic Std Book"/>
          <w:sz w:val="21"/>
          <w:szCs w:val="21"/>
        </w:rPr>
        <w:t>Erlich</w:t>
      </w:r>
      <w:proofErr w:type="spellEnd"/>
      <w:r w:rsidRPr="000A3630">
        <w:rPr>
          <w:rFonts w:ascii="ITC Franklin Gothic Std Book" w:eastAsiaTheme="minorHAnsi" w:hAnsi="ITC Franklin Gothic Std Book"/>
          <w:sz w:val="21"/>
          <w:szCs w:val="21"/>
        </w:rPr>
        <w:t xml:space="preserve"> Y, Williams JB, Glazer D, Yocum K, </w:t>
      </w:r>
      <w:proofErr w:type="spellStart"/>
      <w:r w:rsidRPr="000A3630">
        <w:rPr>
          <w:rFonts w:ascii="ITC Franklin Gothic Std Book" w:eastAsiaTheme="minorHAnsi" w:hAnsi="ITC Franklin Gothic Std Book"/>
          <w:sz w:val="21"/>
          <w:szCs w:val="21"/>
        </w:rPr>
        <w:t>Farahany</w:t>
      </w:r>
      <w:proofErr w:type="spellEnd"/>
      <w:r w:rsidRPr="000A3630">
        <w:rPr>
          <w:rFonts w:ascii="ITC Franklin Gothic Std Book" w:eastAsiaTheme="minorHAnsi" w:hAnsi="ITC Franklin Gothic Std Book"/>
          <w:sz w:val="21"/>
          <w:szCs w:val="21"/>
        </w:rPr>
        <w:t xml:space="preserve"> N, et al. 2014. Redefining genomic privacy: trust and empowerment. PLOS Biol. 12(11):e1001983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15C1F"/>
    <w:multiLevelType w:val="hybridMultilevel"/>
    <w:tmpl w:val="D904F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34D24"/>
    <w:multiLevelType w:val="multilevel"/>
    <w:tmpl w:val="5CA4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423A3"/>
    <w:multiLevelType w:val="hybridMultilevel"/>
    <w:tmpl w:val="34C4932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1D0CA5"/>
    <w:multiLevelType w:val="multilevel"/>
    <w:tmpl w:val="AA5AA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AE3ADE"/>
    <w:multiLevelType w:val="multilevel"/>
    <w:tmpl w:val="18BC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141F94"/>
    <w:multiLevelType w:val="hybridMultilevel"/>
    <w:tmpl w:val="4F0C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3317A7"/>
    <w:multiLevelType w:val="hybridMultilevel"/>
    <w:tmpl w:val="DDDC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102F0C"/>
    <w:multiLevelType w:val="hybridMultilevel"/>
    <w:tmpl w:val="49AA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0"/>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D6"/>
    <w:rsid w:val="00042D69"/>
    <w:rsid w:val="00086D95"/>
    <w:rsid w:val="000A0456"/>
    <w:rsid w:val="000A3630"/>
    <w:rsid w:val="001D5CF5"/>
    <w:rsid w:val="0021453F"/>
    <w:rsid w:val="00222045"/>
    <w:rsid w:val="00304C6D"/>
    <w:rsid w:val="00323306"/>
    <w:rsid w:val="00324482"/>
    <w:rsid w:val="00335D95"/>
    <w:rsid w:val="00377F46"/>
    <w:rsid w:val="00395702"/>
    <w:rsid w:val="003E40A5"/>
    <w:rsid w:val="003F2FF8"/>
    <w:rsid w:val="0044688E"/>
    <w:rsid w:val="004710FE"/>
    <w:rsid w:val="0049095E"/>
    <w:rsid w:val="00495F14"/>
    <w:rsid w:val="004B264A"/>
    <w:rsid w:val="004C1605"/>
    <w:rsid w:val="004D57C3"/>
    <w:rsid w:val="004E6E18"/>
    <w:rsid w:val="005045A8"/>
    <w:rsid w:val="0051589A"/>
    <w:rsid w:val="00531CD3"/>
    <w:rsid w:val="00584F9C"/>
    <w:rsid w:val="005C1FFC"/>
    <w:rsid w:val="00646058"/>
    <w:rsid w:val="00670748"/>
    <w:rsid w:val="006A67D2"/>
    <w:rsid w:val="006F2CE7"/>
    <w:rsid w:val="00702658"/>
    <w:rsid w:val="0071255B"/>
    <w:rsid w:val="00717FFA"/>
    <w:rsid w:val="00791763"/>
    <w:rsid w:val="007B2C6F"/>
    <w:rsid w:val="007D092D"/>
    <w:rsid w:val="007F15A3"/>
    <w:rsid w:val="008177D6"/>
    <w:rsid w:val="00863810"/>
    <w:rsid w:val="00874EC4"/>
    <w:rsid w:val="008C38C6"/>
    <w:rsid w:val="0093004F"/>
    <w:rsid w:val="009310AE"/>
    <w:rsid w:val="009436AB"/>
    <w:rsid w:val="009A5666"/>
    <w:rsid w:val="009B12F0"/>
    <w:rsid w:val="009E52E7"/>
    <w:rsid w:val="009E7FAA"/>
    <w:rsid w:val="00A153D6"/>
    <w:rsid w:val="00A40F64"/>
    <w:rsid w:val="00A613A2"/>
    <w:rsid w:val="00AC0C98"/>
    <w:rsid w:val="00AE6363"/>
    <w:rsid w:val="00B1643C"/>
    <w:rsid w:val="00B622B6"/>
    <w:rsid w:val="00B67EAE"/>
    <w:rsid w:val="00B80D21"/>
    <w:rsid w:val="00BF66EA"/>
    <w:rsid w:val="00C26737"/>
    <w:rsid w:val="00C35C97"/>
    <w:rsid w:val="00C5523D"/>
    <w:rsid w:val="00CC0DCD"/>
    <w:rsid w:val="00CF46DD"/>
    <w:rsid w:val="00D02506"/>
    <w:rsid w:val="00D56C85"/>
    <w:rsid w:val="00DD7A54"/>
    <w:rsid w:val="00E174AA"/>
    <w:rsid w:val="00E418E9"/>
    <w:rsid w:val="00E41FCA"/>
    <w:rsid w:val="00E51BAA"/>
    <w:rsid w:val="00E600CC"/>
    <w:rsid w:val="00E62CA9"/>
    <w:rsid w:val="00E67F8E"/>
    <w:rsid w:val="00E75CA6"/>
    <w:rsid w:val="00EA586F"/>
    <w:rsid w:val="00EC6B5A"/>
    <w:rsid w:val="00ED2255"/>
    <w:rsid w:val="00ED4855"/>
    <w:rsid w:val="00FE1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4161B"/>
  <w15:chartTrackingRefBased/>
  <w15:docId w15:val="{C49AC4CA-DA1C-5540-A958-86BBD12C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589A"/>
    <w:rPr>
      <w:rFonts w:ascii="Times New Roman" w:eastAsia="Times New Roman" w:hAnsi="Times New Roman" w:cs="Times New Roman"/>
    </w:rPr>
  </w:style>
  <w:style w:type="paragraph" w:styleId="Heading3">
    <w:name w:val="heading 3"/>
    <w:basedOn w:val="Normal"/>
    <w:next w:val="Normal"/>
    <w:link w:val="Heading3Char"/>
    <w:autoRedefine/>
    <w:uiPriority w:val="9"/>
    <w:unhideWhenUsed/>
    <w:qFormat/>
    <w:rsid w:val="004710FE"/>
    <w:pPr>
      <w:keepNext/>
      <w:keepLines/>
      <w:snapToGrid w:val="0"/>
      <w:outlineLvl w:val="2"/>
    </w:pPr>
    <w:rPr>
      <w:rFonts w:ascii="ITC Franklin Gothic Std Book" w:eastAsiaTheme="majorEastAsia" w:hAnsi="ITC Franklin Gothic Std Book" w:cstheme="majorBidi"/>
      <w:b/>
      <w:color w:val="000000" w:themeColor="text1"/>
      <w:sz w:val="22"/>
      <w:szCs w:val="22"/>
    </w:rPr>
  </w:style>
  <w:style w:type="paragraph" w:styleId="Heading4">
    <w:name w:val="heading 4"/>
    <w:basedOn w:val="Normal"/>
    <w:next w:val="Normal"/>
    <w:link w:val="Heading4Char"/>
    <w:autoRedefine/>
    <w:uiPriority w:val="9"/>
    <w:unhideWhenUsed/>
    <w:qFormat/>
    <w:rsid w:val="004710FE"/>
    <w:pPr>
      <w:keepNext/>
      <w:keepLines/>
      <w:spacing w:before="40"/>
      <w:outlineLvl w:val="3"/>
    </w:pPr>
    <w:rPr>
      <w:rFonts w:ascii="ITC Franklin Gothic Std Book" w:eastAsiaTheme="majorEastAsia" w:hAnsi="ITC Franklin Gothic Std Book" w:cstheme="majorBidi"/>
      <w:b/>
      <w:i/>
      <w:iCs/>
      <w:color w:val="000000" w:themeColor="text1"/>
      <w:sz w:val="22"/>
    </w:rPr>
  </w:style>
  <w:style w:type="paragraph" w:styleId="Heading5">
    <w:name w:val="heading 5"/>
    <w:basedOn w:val="Normal"/>
    <w:next w:val="Normal"/>
    <w:link w:val="Heading5Char"/>
    <w:autoRedefine/>
    <w:uiPriority w:val="9"/>
    <w:unhideWhenUsed/>
    <w:qFormat/>
    <w:rsid w:val="004D57C3"/>
    <w:pPr>
      <w:keepNext/>
      <w:keepLines/>
      <w:spacing w:before="40"/>
      <w:outlineLvl w:val="4"/>
    </w:pPr>
    <w:rPr>
      <w:rFonts w:ascii="ITC Franklin Gothic Std Book" w:eastAsiaTheme="majorEastAsia" w:hAnsi="ITC Franklin Gothic Std Book" w:cstheme="majorBidi"/>
      <w:b/>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10FE"/>
    <w:rPr>
      <w:rFonts w:ascii="ITC Franklin Gothic Std Book" w:eastAsiaTheme="majorEastAsia" w:hAnsi="ITC Franklin Gothic Std Book" w:cstheme="majorBidi"/>
      <w:b/>
      <w:color w:val="000000" w:themeColor="text1"/>
      <w:sz w:val="22"/>
      <w:szCs w:val="22"/>
    </w:rPr>
  </w:style>
  <w:style w:type="character" w:customStyle="1" w:styleId="Heading4Char">
    <w:name w:val="Heading 4 Char"/>
    <w:basedOn w:val="DefaultParagraphFont"/>
    <w:link w:val="Heading4"/>
    <w:uiPriority w:val="9"/>
    <w:rsid w:val="004710FE"/>
    <w:rPr>
      <w:rFonts w:ascii="ITC Franklin Gothic Std Book" w:eastAsiaTheme="majorEastAsia" w:hAnsi="ITC Franklin Gothic Std Book" w:cstheme="majorBidi"/>
      <w:b/>
      <w:i/>
      <w:iCs/>
      <w:color w:val="000000" w:themeColor="text1"/>
      <w:sz w:val="22"/>
    </w:rPr>
  </w:style>
  <w:style w:type="paragraph" w:styleId="ListParagraph">
    <w:name w:val="List Paragraph"/>
    <w:basedOn w:val="Normal"/>
    <w:uiPriority w:val="34"/>
    <w:qFormat/>
    <w:rsid w:val="008177D6"/>
    <w:pPr>
      <w:ind w:left="720"/>
      <w:contextualSpacing/>
    </w:pPr>
  </w:style>
  <w:style w:type="character" w:styleId="Hyperlink">
    <w:name w:val="Hyperlink"/>
    <w:basedOn w:val="DefaultParagraphFont"/>
    <w:uiPriority w:val="99"/>
    <w:unhideWhenUsed/>
    <w:rsid w:val="008177D6"/>
    <w:rPr>
      <w:color w:val="0563C1" w:themeColor="hyperlink"/>
      <w:u w:val="single"/>
    </w:rPr>
  </w:style>
  <w:style w:type="paragraph" w:styleId="FootnoteText">
    <w:name w:val="footnote text"/>
    <w:basedOn w:val="Normal"/>
    <w:link w:val="FootnoteTextChar"/>
    <w:unhideWhenUsed/>
    <w:rsid w:val="008177D6"/>
    <w:rPr>
      <w:sz w:val="20"/>
      <w:szCs w:val="20"/>
    </w:rPr>
  </w:style>
  <w:style w:type="character" w:customStyle="1" w:styleId="FootnoteTextChar">
    <w:name w:val="Footnote Text Char"/>
    <w:basedOn w:val="DefaultParagraphFont"/>
    <w:link w:val="FootnoteText"/>
    <w:rsid w:val="008177D6"/>
    <w:rPr>
      <w:rFonts w:ascii="Times New Roman" w:eastAsia="Times New Roman" w:hAnsi="Times New Roman" w:cs="Times New Roman"/>
      <w:sz w:val="20"/>
      <w:szCs w:val="20"/>
    </w:rPr>
  </w:style>
  <w:style w:type="character" w:styleId="FootnoteReference">
    <w:name w:val="footnote reference"/>
    <w:basedOn w:val="DefaultParagraphFont"/>
    <w:unhideWhenUsed/>
    <w:qFormat/>
    <w:rsid w:val="008177D6"/>
    <w:rPr>
      <w:vertAlign w:val="superscript"/>
    </w:rPr>
  </w:style>
  <w:style w:type="character" w:styleId="FollowedHyperlink">
    <w:name w:val="FollowedHyperlink"/>
    <w:basedOn w:val="DefaultParagraphFont"/>
    <w:uiPriority w:val="99"/>
    <w:semiHidden/>
    <w:unhideWhenUsed/>
    <w:rsid w:val="0049095E"/>
    <w:rPr>
      <w:color w:val="954F72" w:themeColor="followedHyperlink"/>
      <w:u w:val="single"/>
    </w:rPr>
  </w:style>
  <w:style w:type="character" w:customStyle="1" w:styleId="Heading5Char">
    <w:name w:val="Heading 5 Char"/>
    <w:basedOn w:val="DefaultParagraphFont"/>
    <w:link w:val="Heading5"/>
    <w:uiPriority w:val="9"/>
    <w:rsid w:val="004D57C3"/>
    <w:rPr>
      <w:rFonts w:ascii="ITC Franklin Gothic Std Book" w:eastAsiaTheme="majorEastAsia" w:hAnsi="ITC Franklin Gothic Std Book" w:cstheme="majorBidi"/>
      <w:b/>
      <w:color w:val="000000" w:themeColor="text1"/>
      <w:sz w:val="22"/>
    </w:rPr>
  </w:style>
  <w:style w:type="paragraph" w:styleId="NormalWeb">
    <w:name w:val="Normal (Web)"/>
    <w:basedOn w:val="Normal"/>
    <w:uiPriority w:val="99"/>
    <w:semiHidden/>
    <w:unhideWhenUsed/>
    <w:rsid w:val="0049095E"/>
    <w:pPr>
      <w:spacing w:before="100" w:beforeAutospacing="1" w:after="100" w:afterAutospacing="1"/>
    </w:pPr>
  </w:style>
  <w:style w:type="character" w:styleId="UnresolvedMention">
    <w:name w:val="Unresolved Mention"/>
    <w:basedOn w:val="DefaultParagraphFont"/>
    <w:uiPriority w:val="99"/>
    <w:semiHidden/>
    <w:unhideWhenUsed/>
    <w:rsid w:val="00863810"/>
    <w:rPr>
      <w:color w:val="605E5C"/>
      <w:shd w:val="clear" w:color="auto" w:fill="E1DFDD"/>
    </w:rPr>
  </w:style>
  <w:style w:type="paragraph" w:styleId="BodyText2">
    <w:name w:val="Body Text 2"/>
    <w:basedOn w:val="Normal"/>
    <w:link w:val="BodyText2Char"/>
    <w:rsid w:val="00717FFA"/>
    <w:rPr>
      <w:i/>
    </w:rPr>
  </w:style>
  <w:style w:type="character" w:customStyle="1" w:styleId="BodyText2Char">
    <w:name w:val="Body Text 2 Char"/>
    <w:basedOn w:val="DefaultParagraphFont"/>
    <w:link w:val="BodyText2"/>
    <w:rsid w:val="00717FFA"/>
    <w:rPr>
      <w:rFonts w:ascii="Times New Roman" w:eastAsia="Times New Roman" w:hAnsi="Times New Roman" w:cs="Times New Roman"/>
      <w:i/>
    </w:rPr>
  </w:style>
  <w:style w:type="paragraph" w:styleId="Footer">
    <w:name w:val="footer"/>
    <w:basedOn w:val="Normal"/>
    <w:link w:val="FooterChar"/>
    <w:uiPriority w:val="99"/>
    <w:unhideWhenUsed/>
    <w:rsid w:val="007D092D"/>
    <w:pPr>
      <w:tabs>
        <w:tab w:val="center" w:pos="4680"/>
        <w:tab w:val="right" w:pos="9360"/>
      </w:tabs>
    </w:pPr>
  </w:style>
  <w:style w:type="character" w:customStyle="1" w:styleId="FooterChar">
    <w:name w:val="Footer Char"/>
    <w:basedOn w:val="DefaultParagraphFont"/>
    <w:link w:val="Footer"/>
    <w:uiPriority w:val="99"/>
    <w:rsid w:val="007D092D"/>
    <w:rPr>
      <w:rFonts w:ascii="Times New Roman" w:eastAsia="Times New Roman" w:hAnsi="Times New Roman" w:cs="Times New Roman"/>
    </w:rPr>
  </w:style>
  <w:style w:type="character" w:styleId="PageNumber">
    <w:name w:val="page number"/>
    <w:basedOn w:val="DefaultParagraphFont"/>
    <w:uiPriority w:val="99"/>
    <w:semiHidden/>
    <w:unhideWhenUsed/>
    <w:rsid w:val="007D092D"/>
  </w:style>
  <w:style w:type="paragraph" w:styleId="EndnoteText">
    <w:name w:val="endnote text"/>
    <w:basedOn w:val="Normal"/>
    <w:link w:val="EndnoteTextChar"/>
    <w:uiPriority w:val="99"/>
    <w:semiHidden/>
    <w:unhideWhenUsed/>
    <w:rsid w:val="000A3630"/>
    <w:rPr>
      <w:sz w:val="20"/>
      <w:szCs w:val="20"/>
    </w:rPr>
  </w:style>
  <w:style w:type="character" w:customStyle="1" w:styleId="EndnoteTextChar">
    <w:name w:val="Endnote Text Char"/>
    <w:basedOn w:val="DefaultParagraphFont"/>
    <w:link w:val="EndnoteText"/>
    <w:uiPriority w:val="99"/>
    <w:semiHidden/>
    <w:rsid w:val="000A3630"/>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0A36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3896">
      <w:bodyDiv w:val="1"/>
      <w:marLeft w:val="0"/>
      <w:marRight w:val="0"/>
      <w:marTop w:val="0"/>
      <w:marBottom w:val="0"/>
      <w:divBdr>
        <w:top w:val="none" w:sz="0" w:space="0" w:color="auto"/>
        <w:left w:val="none" w:sz="0" w:space="0" w:color="auto"/>
        <w:bottom w:val="none" w:sz="0" w:space="0" w:color="auto"/>
        <w:right w:val="none" w:sz="0" w:space="0" w:color="auto"/>
      </w:divBdr>
    </w:div>
    <w:div w:id="41564034">
      <w:bodyDiv w:val="1"/>
      <w:marLeft w:val="0"/>
      <w:marRight w:val="0"/>
      <w:marTop w:val="0"/>
      <w:marBottom w:val="0"/>
      <w:divBdr>
        <w:top w:val="none" w:sz="0" w:space="0" w:color="auto"/>
        <w:left w:val="none" w:sz="0" w:space="0" w:color="auto"/>
        <w:bottom w:val="none" w:sz="0" w:space="0" w:color="auto"/>
        <w:right w:val="none" w:sz="0" w:space="0" w:color="auto"/>
      </w:divBdr>
    </w:div>
    <w:div w:id="113184345">
      <w:bodyDiv w:val="1"/>
      <w:marLeft w:val="0"/>
      <w:marRight w:val="0"/>
      <w:marTop w:val="0"/>
      <w:marBottom w:val="0"/>
      <w:divBdr>
        <w:top w:val="none" w:sz="0" w:space="0" w:color="auto"/>
        <w:left w:val="none" w:sz="0" w:space="0" w:color="auto"/>
        <w:bottom w:val="none" w:sz="0" w:space="0" w:color="auto"/>
        <w:right w:val="none" w:sz="0" w:space="0" w:color="auto"/>
      </w:divBdr>
    </w:div>
    <w:div w:id="283854780">
      <w:bodyDiv w:val="1"/>
      <w:marLeft w:val="0"/>
      <w:marRight w:val="0"/>
      <w:marTop w:val="0"/>
      <w:marBottom w:val="0"/>
      <w:divBdr>
        <w:top w:val="none" w:sz="0" w:space="0" w:color="auto"/>
        <w:left w:val="none" w:sz="0" w:space="0" w:color="auto"/>
        <w:bottom w:val="none" w:sz="0" w:space="0" w:color="auto"/>
        <w:right w:val="none" w:sz="0" w:space="0" w:color="auto"/>
      </w:divBdr>
    </w:div>
    <w:div w:id="305471949">
      <w:bodyDiv w:val="1"/>
      <w:marLeft w:val="0"/>
      <w:marRight w:val="0"/>
      <w:marTop w:val="0"/>
      <w:marBottom w:val="0"/>
      <w:divBdr>
        <w:top w:val="none" w:sz="0" w:space="0" w:color="auto"/>
        <w:left w:val="none" w:sz="0" w:space="0" w:color="auto"/>
        <w:bottom w:val="none" w:sz="0" w:space="0" w:color="auto"/>
        <w:right w:val="none" w:sz="0" w:space="0" w:color="auto"/>
      </w:divBdr>
    </w:div>
    <w:div w:id="307831361">
      <w:bodyDiv w:val="1"/>
      <w:marLeft w:val="0"/>
      <w:marRight w:val="0"/>
      <w:marTop w:val="0"/>
      <w:marBottom w:val="0"/>
      <w:divBdr>
        <w:top w:val="none" w:sz="0" w:space="0" w:color="auto"/>
        <w:left w:val="none" w:sz="0" w:space="0" w:color="auto"/>
        <w:bottom w:val="none" w:sz="0" w:space="0" w:color="auto"/>
        <w:right w:val="none" w:sz="0" w:space="0" w:color="auto"/>
      </w:divBdr>
    </w:div>
    <w:div w:id="557135239">
      <w:bodyDiv w:val="1"/>
      <w:marLeft w:val="0"/>
      <w:marRight w:val="0"/>
      <w:marTop w:val="0"/>
      <w:marBottom w:val="0"/>
      <w:divBdr>
        <w:top w:val="none" w:sz="0" w:space="0" w:color="auto"/>
        <w:left w:val="none" w:sz="0" w:space="0" w:color="auto"/>
        <w:bottom w:val="none" w:sz="0" w:space="0" w:color="auto"/>
        <w:right w:val="none" w:sz="0" w:space="0" w:color="auto"/>
      </w:divBdr>
    </w:div>
    <w:div w:id="724762762">
      <w:bodyDiv w:val="1"/>
      <w:marLeft w:val="0"/>
      <w:marRight w:val="0"/>
      <w:marTop w:val="0"/>
      <w:marBottom w:val="0"/>
      <w:divBdr>
        <w:top w:val="none" w:sz="0" w:space="0" w:color="auto"/>
        <w:left w:val="none" w:sz="0" w:space="0" w:color="auto"/>
        <w:bottom w:val="none" w:sz="0" w:space="0" w:color="auto"/>
        <w:right w:val="none" w:sz="0" w:space="0" w:color="auto"/>
      </w:divBdr>
      <w:divsChild>
        <w:div w:id="1511748741">
          <w:marLeft w:val="0"/>
          <w:marRight w:val="0"/>
          <w:marTop w:val="0"/>
          <w:marBottom w:val="0"/>
          <w:divBdr>
            <w:top w:val="none" w:sz="0" w:space="0" w:color="auto"/>
            <w:left w:val="none" w:sz="0" w:space="0" w:color="auto"/>
            <w:bottom w:val="none" w:sz="0" w:space="0" w:color="auto"/>
            <w:right w:val="none" w:sz="0" w:space="0" w:color="auto"/>
          </w:divBdr>
          <w:divsChild>
            <w:div w:id="517623285">
              <w:marLeft w:val="0"/>
              <w:marRight w:val="0"/>
              <w:marTop w:val="0"/>
              <w:marBottom w:val="0"/>
              <w:divBdr>
                <w:top w:val="none" w:sz="0" w:space="0" w:color="auto"/>
                <w:left w:val="none" w:sz="0" w:space="0" w:color="auto"/>
                <w:bottom w:val="none" w:sz="0" w:space="0" w:color="auto"/>
                <w:right w:val="none" w:sz="0" w:space="0" w:color="auto"/>
              </w:divBdr>
              <w:divsChild>
                <w:div w:id="2098357399">
                  <w:marLeft w:val="0"/>
                  <w:marRight w:val="0"/>
                  <w:marTop w:val="0"/>
                  <w:marBottom w:val="0"/>
                  <w:divBdr>
                    <w:top w:val="none" w:sz="0" w:space="0" w:color="auto"/>
                    <w:left w:val="none" w:sz="0" w:space="0" w:color="auto"/>
                    <w:bottom w:val="none" w:sz="0" w:space="0" w:color="auto"/>
                    <w:right w:val="none" w:sz="0" w:space="0" w:color="auto"/>
                  </w:divBdr>
                </w:div>
                <w:div w:id="674846442">
                  <w:marLeft w:val="0"/>
                  <w:marRight w:val="0"/>
                  <w:marTop w:val="0"/>
                  <w:marBottom w:val="0"/>
                  <w:divBdr>
                    <w:top w:val="none" w:sz="0" w:space="0" w:color="auto"/>
                    <w:left w:val="none" w:sz="0" w:space="0" w:color="auto"/>
                    <w:bottom w:val="none" w:sz="0" w:space="0" w:color="auto"/>
                    <w:right w:val="none" w:sz="0" w:space="0" w:color="auto"/>
                  </w:divBdr>
                </w:div>
                <w:div w:id="20627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7314">
          <w:marLeft w:val="0"/>
          <w:marRight w:val="0"/>
          <w:marTop w:val="0"/>
          <w:marBottom w:val="0"/>
          <w:divBdr>
            <w:top w:val="none" w:sz="0" w:space="0" w:color="auto"/>
            <w:left w:val="none" w:sz="0" w:space="0" w:color="auto"/>
            <w:bottom w:val="none" w:sz="0" w:space="0" w:color="auto"/>
            <w:right w:val="none" w:sz="0" w:space="0" w:color="auto"/>
          </w:divBdr>
        </w:div>
      </w:divsChild>
    </w:div>
    <w:div w:id="779645716">
      <w:bodyDiv w:val="1"/>
      <w:marLeft w:val="0"/>
      <w:marRight w:val="0"/>
      <w:marTop w:val="0"/>
      <w:marBottom w:val="0"/>
      <w:divBdr>
        <w:top w:val="none" w:sz="0" w:space="0" w:color="auto"/>
        <w:left w:val="none" w:sz="0" w:space="0" w:color="auto"/>
        <w:bottom w:val="none" w:sz="0" w:space="0" w:color="auto"/>
        <w:right w:val="none" w:sz="0" w:space="0" w:color="auto"/>
      </w:divBdr>
    </w:div>
    <w:div w:id="1042053972">
      <w:bodyDiv w:val="1"/>
      <w:marLeft w:val="0"/>
      <w:marRight w:val="0"/>
      <w:marTop w:val="0"/>
      <w:marBottom w:val="0"/>
      <w:divBdr>
        <w:top w:val="none" w:sz="0" w:space="0" w:color="auto"/>
        <w:left w:val="none" w:sz="0" w:space="0" w:color="auto"/>
        <w:bottom w:val="none" w:sz="0" w:space="0" w:color="auto"/>
        <w:right w:val="none" w:sz="0" w:space="0" w:color="auto"/>
      </w:divBdr>
    </w:div>
    <w:div w:id="1226834446">
      <w:bodyDiv w:val="1"/>
      <w:marLeft w:val="0"/>
      <w:marRight w:val="0"/>
      <w:marTop w:val="0"/>
      <w:marBottom w:val="0"/>
      <w:divBdr>
        <w:top w:val="none" w:sz="0" w:space="0" w:color="auto"/>
        <w:left w:val="none" w:sz="0" w:space="0" w:color="auto"/>
        <w:bottom w:val="none" w:sz="0" w:space="0" w:color="auto"/>
        <w:right w:val="none" w:sz="0" w:space="0" w:color="auto"/>
      </w:divBdr>
    </w:div>
    <w:div w:id="1306013256">
      <w:bodyDiv w:val="1"/>
      <w:marLeft w:val="0"/>
      <w:marRight w:val="0"/>
      <w:marTop w:val="0"/>
      <w:marBottom w:val="0"/>
      <w:divBdr>
        <w:top w:val="none" w:sz="0" w:space="0" w:color="auto"/>
        <w:left w:val="none" w:sz="0" w:space="0" w:color="auto"/>
        <w:bottom w:val="none" w:sz="0" w:space="0" w:color="auto"/>
        <w:right w:val="none" w:sz="0" w:space="0" w:color="auto"/>
      </w:divBdr>
    </w:div>
    <w:div w:id="1397313383">
      <w:bodyDiv w:val="1"/>
      <w:marLeft w:val="0"/>
      <w:marRight w:val="0"/>
      <w:marTop w:val="0"/>
      <w:marBottom w:val="0"/>
      <w:divBdr>
        <w:top w:val="none" w:sz="0" w:space="0" w:color="auto"/>
        <w:left w:val="none" w:sz="0" w:space="0" w:color="auto"/>
        <w:bottom w:val="none" w:sz="0" w:space="0" w:color="auto"/>
        <w:right w:val="none" w:sz="0" w:space="0" w:color="auto"/>
      </w:divBdr>
    </w:div>
    <w:div w:id="1467047186">
      <w:bodyDiv w:val="1"/>
      <w:marLeft w:val="0"/>
      <w:marRight w:val="0"/>
      <w:marTop w:val="0"/>
      <w:marBottom w:val="0"/>
      <w:divBdr>
        <w:top w:val="none" w:sz="0" w:space="0" w:color="auto"/>
        <w:left w:val="none" w:sz="0" w:space="0" w:color="auto"/>
        <w:bottom w:val="none" w:sz="0" w:space="0" w:color="auto"/>
        <w:right w:val="none" w:sz="0" w:space="0" w:color="auto"/>
      </w:divBdr>
    </w:div>
    <w:div w:id="1497308790">
      <w:bodyDiv w:val="1"/>
      <w:marLeft w:val="0"/>
      <w:marRight w:val="0"/>
      <w:marTop w:val="0"/>
      <w:marBottom w:val="0"/>
      <w:divBdr>
        <w:top w:val="none" w:sz="0" w:space="0" w:color="auto"/>
        <w:left w:val="none" w:sz="0" w:space="0" w:color="auto"/>
        <w:bottom w:val="none" w:sz="0" w:space="0" w:color="auto"/>
        <w:right w:val="none" w:sz="0" w:space="0" w:color="auto"/>
      </w:divBdr>
    </w:div>
    <w:div w:id="1529443819">
      <w:bodyDiv w:val="1"/>
      <w:marLeft w:val="0"/>
      <w:marRight w:val="0"/>
      <w:marTop w:val="0"/>
      <w:marBottom w:val="0"/>
      <w:divBdr>
        <w:top w:val="none" w:sz="0" w:space="0" w:color="auto"/>
        <w:left w:val="none" w:sz="0" w:space="0" w:color="auto"/>
        <w:bottom w:val="none" w:sz="0" w:space="0" w:color="auto"/>
        <w:right w:val="none" w:sz="0" w:space="0" w:color="auto"/>
      </w:divBdr>
    </w:div>
    <w:div w:id="1554852336">
      <w:bodyDiv w:val="1"/>
      <w:marLeft w:val="0"/>
      <w:marRight w:val="0"/>
      <w:marTop w:val="0"/>
      <w:marBottom w:val="0"/>
      <w:divBdr>
        <w:top w:val="none" w:sz="0" w:space="0" w:color="auto"/>
        <w:left w:val="none" w:sz="0" w:space="0" w:color="auto"/>
        <w:bottom w:val="none" w:sz="0" w:space="0" w:color="auto"/>
        <w:right w:val="none" w:sz="0" w:space="0" w:color="auto"/>
      </w:divBdr>
    </w:div>
    <w:div w:id="1630356568">
      <w:bodyDiv w:val="1"/>
      <w:marLeft w:val="0"/>
      <w:marRight w:val="0"/>
      <w:marTop w:val="0"/>
      <w:marBottom w:val="0"/>
      <w:divBdr>
        <w:top w:val="none" w:sz="0" w:space="0" w:color="auto"/>
        <w:left w:val="none" w:sz="0" w:space="0" w:color="auto"/>
        <w:bottom w:val="none" w:sz="0" w:space="0" w:color="auto"/>
        <w:right w:val="none" w:sz="0" w:space="0" w:color="auto"/>
      </w:divBdr>
    </w:div>
    <w:div w:id="2018920718">
      <w:bodyDiv w:val="1"/>
      <w:marLeft w:val="0"/>
      <w:marRight w:val="0"/>
      <w:marTop w:val="0"/>
      <w:marBottom w:val="0"/>
      <w:divBdr>
        <w:top w:val="none" w:sz="0" w:space="0" w:color="auto"/>
        <w:left w:val="none" w:sz="0" w:space="0" w:color="auto"/>
        <w:bottom w:val="none" w:sz="0" w:space="0" w:color="auto"/>
        <w:right w:val="none" w:sz="0" w:space="0" w:color="auto"/>
      </w:divBdr>
    </w:div>
    <w:div w:id="212260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c.europa.eu/info/law/law-topic/data-protection/reform/what-does-general-data-protection-regulation-gdpr-govern_en" TargetMode="External"/><Relationship Id="rId3" Type="http://schemas.openxmlformats.org/officeDocument/2006/relationships/hyperlink" Target="https://www.techatbloomberg.com/blog/time-data-ethics-conversations-dinner-table/?utm_source=dsorg" TargetMode="External"/><Relationship Id="rId7" Type="http://schemas.openxmlformats.org/officeDocument/2006/relationships/hyperlink" Target="https://www.govinfo.gov/content/pkg/FR-2017-01-19/pdf/2017-01058.pdf" TargetMode="External"/><Relationship Id="rId12" Type="http://schemas.openxmlformats.org/officeDocument/2006/relationships/hyperlink" Target="https://ec.europa.eu/info/law/law-topic/data-protection/reform/what-does-general-data-protection-regulation-gdpr-govern_en" TargetMode="External"/><Relationship Id="rId2" Type="http://schemas.openxmlformats.org/officeDocument/2006/relationships/hyperlink" Target="http://hce-sts.org/" TargetMode="External"/><Relationship Id="rId1" Type="http://schemas.openxmlformats.org/officeDocument/2006/relationships/hyperlink" Target="https://dssg.uchicago.edu/2015/09/18/an-ethical-checklist-for-data-science/" TargetMode="External"/><Relationship Id="rId6" Type="http://schemas.openxmlformats.org/officeDocument/2006/relationships/hyperlink" Target="https://www.acm.org/code-of-ethics" TargetMode="External"/><Relationship Id="rId11" Type="http://schemas.openxmlformats.org/officeDocument/2006/relationships/hyperlink" Target="https://cos.io/" TargetMode="External"/><Relationship Id="rId5" Type="http://schemas.openxmlformats.org/officeDocument/2006/relationships/hyperlink" Target="https://www.amstat.org/ASA/Your-Career/Ethical-Guidelines-for-Statistical-Practice.aspx" TargetMode="External"/><Relationship Id="rId10" Type="http://schemas.openxmlformats.org/officeDocument/2006/relationships/hyperlink" Target="https://elifesciences.org/" TargetMode="External"/><Relationship Id="rId4" Type="http://schemas.openxmlformats.org/officeDocument/2006/relationships/hyperlink" Target="https://www.media.mit.edu/people/joyab/projects/" TargetMode="External"/><Relationship Id="rId9" Type="http://schemas.openxmlformats.org/officeDocument/2006/relationships/hyperlink" Target="https://eugdp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2565</Words>
  <Characters>14625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SDAD, BII, UVA</Company>
  <LinksUpToDate>false</LinksUpToDate>
  <CharactersWithSpaces>17156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 Shipp</dc:creator>
  <cp:keywords/>
  <dc:description/>
  <cp:lastModifiedBy>Stephanie S. Shipp</cp:lastModifiedBy>
  <cp:revision>4</cp:revision>
  <dcterms:created xsi:type="dcterms:W3CDTF">2019-01-28T10:13:00Z</dcterms:created>
  <dcterms:modified xsi:type="dcterms:W3CDTF">2019-06-06T09:01:00Z</dcterms:modified>
</cp:coreProperties>
</file>