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AI-Powered Survey Platform</w:t>
      </w:r>
    </w:p>
    <w:p>
      <w:pPr>
        <w:jc w:val="center"/>
      </w:pPr>
      <w:r>
        <w:rPr>
          <w:color w:val="555555"/>
          <w:sz w:val="32"/>
        </w:rPr>
        <w:t>Technical Architecture, Data Model &amp; Workflows</w:t>
      </w:r>
    </w:p>
    <w:p>
      <w:pPr>
        <w:jc w:val="center"/>
      </w:pPr>
      <w:r>
        <w:rPr>
          <w:color w:val="555555"/>
          <w:sz w:val="20"/>
        </w:rPr>
        <w:t>Prepared for: Durgesh   |   June 23,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5B6"/>
        </w:rPr>
        <w:t>1. Tech Stack &amp; Rationale</w:t>
      </w:r>
    </w:p>
    <w:p>
      <w:pPr>
        <w:pStyle w:val="ListBullet"/>
      </w:pPr>
      <w:r>
        <w:rPr>
          <w:b/>
        </w:rPr>
        <w:t xml:space="preserve">Frontend &amp; API: </w:t>
      </w:r>
      <w:r>
        <w:t>Next.js (React) — single codebase for the survey builder, respondent UI, and API routes; deploys free on Vercel's hobby tier.</w:t>
      </w:r>
    </w:p>
    <w:p>
      <w:pPr>
        <w:pStyle w:val="ListBullet"/>
      </w:pPr>
      <w:r>
        <w:rPr>
          <w:b/>
        </w:rPr>
        <w:t xml:space="preserve">Database, Auth, Storage: </w:t>
      </w:r>
      <w:r>
        <w:t>Supabase — managed Postgres, built-in authentication, and file storage, all on a free tier sufficient for a showcase.</w:t>
      </w:r>
    </w:p>
    <w:p>
      <w:pPr>
        <w:pStyle w:val="ListBullet"/>
      </w:pPr>
      <w:r>
        <w:rPr>
          <w:b/>
        </w:rPr>
        <w:t xml:space="preserve">AI layer: </w:t>
      </w:r>
      <w:r>
        <w:t>Claude API called from a server-side orchestrator for survey generation, sentiment/theme analysis, conversational follow-ups, and verdict reports. This is the one component with real per-use cost — kept low during the showcase phase by capping usage.</w:t>
      </w:r>
    </w:p>
    <w:p>
      <w:pPr>
        <w:pStyle w:val="ListBullet"/>
      </w:pPr>
      <w:r>
        <w:rPr>
          <w:b/>
        </w:rPr>
        <w:t xml:space="preserve">Hosting: </w:t>
      </w:r>
      <w:r>
        <w:t>Vercel (frontend/API) + Supabase (data) — both free tier, both upgradeable without a re-platform when this becomes a paid product.</w:t>
      </w:r>
    </w:p>
    <w:p>
      <w:pPr>
        <w:pStyle w:val="Heading1"/>
      </w:pPr>
      <w:r>
        <w:rPr>
          <w:rFonts w:ascii="Calibri" w:hAnsi="Calibri"/>
          <w:color w:val="2E75B6"/>
        </w:rPr>
        <w:t>2. System Architecture</w:t>
      </w:r>
    </w:p>
    <w:p>
      <w:pPr>
        <w:spacing w:after="160"/>
      </w:pPr>
      <w:r>
        <w:rPr>
          <w:b w:val="0"/>
          <w:i w:val="0"/>
          <w:sz w:val="22"/>
        </w:rPr>
        <w:t>Three layers: client apps (builder + respondent-facing survey), an application layer handling business logic and AI orchestration, and a data layer for storage, auth, and files. The AI orchestrator is the only component that talks to the external LLM API, keeping API keys and prompt logic server-side.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3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 — System architecture</w:t>
      </w:r>
    </w:p>
    <w:p>
      <w:pPr>
        <w:spacing w:after="160"/>
      </w:pPr>
      <w:r>
        <w:rPr>
          <w:b w:val="0"/>
          <w:i/>
          <w:color w:val="555555"/>
          <w:sz w:val="20"/>
        </w:rPr>
        <w:t>AI feature flag: every AI-related UI element and API route is gated behind a single server-side environment-variable flag (e.g. AI_FEATURES_ENABLED), read at the server layer only. When unset/false, AI tabs, buttons, and modals do not render — they are conditionally excluded server-side (Next.js server components / route handlers), not merely hidden with CSS — and the corresponding API routes return 404 rather than a disabled state. Nothing in the shipped client bundle reveals that AI capability exists. Flipping the flag (on request only) and redeploying is the entire reveal mechanism — no in-app toggle is exposed in this phase.</w:t>
      </w:r>
    </w:p>
    <w:p>
      <w:pPr>
        <w:pStyle w:val="Heading1"/>
      </w:pPr>
      <w:r>
        <w:rPr>
          <w:rFonts w:ascii="Calibri" w:hAnsi="Calibri"/>
          <w:color w:val="2E75B6"/>
        </w:rPr>
        <w:t>3. Data Model (Simplified ERD)</w:t>
      </w:r>
    </w:p>
    <w:p>
      <w:pPr>
        <w:spacing w:after="160"/>
      </w:pPr>
      <w:r>
        <w:rPr>
          <w:b w:val="0"/>
          <w:i w:val="0"/>
          <w:sz w:val="22"/>
        </w:rPr>
        <w:t>Core entities for the showcase scope. Multi-tenant from day one (organizations → users) so the later move to paid SaaS doesn't require a schema migration.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06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6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2 — Entity relationships</w:t>
      </w:r>
    </w:p>
    <w:p>
      <w:pPr>
        <w:spacing w:after="160"/>
      </w:pPr>
      <w:r>
        <w:rPr>
          <w:b w:val="0"/>
          <w:i/>
          <w:color w:val="555555"/>
          <w:sz w:val="20"/>
        </w:rPr>
        <w:t>ai_jobs tracks every AI generation/analysis task (status, type, result reference) so usage can be metered per organization later for billing. insight_reports stores the AI-generated verdict separately from raw dashboard stats so it can be exported or shared on its own.</w:t>
      </w:r>
    </w:p>
    <w:p>
      <w:pPr>
        <w:pStyle w:val="Heading1"/>
      </w:pPr>
      <w:r>
        <w:rPr>
          <w:rFonts w:ascii="Calibri" w:hAnsi="Calibri"/>
          <w:color w:val="2E75B6"/>
        </w:rPr>
        <w:t>4. Accounts &amp; Roles</w:t>
      </w:r>
    </w:p>
    <w:p>
      <w:pPr>
        <w:spacing w:after="160"/>
      </w:pPr>
      <w:r>
        <w:rPr>
          <w:b w:val="0"/>
          <w:i w:val="0"/>
          <w:sz w:val="22"/>
        </w:rPr>
        <w:t>Showcase scope uses four roles. Single organization per user account for now — the schema (org_id on the users table) can move to multi-org later via an additive join-table migration without a rebuild, if/when that's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30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87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Survey Build/Edit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Publish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View Results &amp; Reports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Manage Team/Billing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Owner/Admin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Editor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Viewer/Analyst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Respondent (no account)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160"/>
      </w:pPr>
      <w:r>
        <w:rPr>
          <w:b w:val="0"/>
          <w:i/>
          <w:color w:val="555555"/>
          <w:sz w:val="20"/>
        </w:rPr>
        <w:t>Permission checks are role-driven, not feature-hardcoded, so a 5th role (e.g. an Editor scoped to specific surveys only) can be added later as a new permission set rather than a code change.</w:t>
      </w:r>
    </w:p>
    <w:p>
      <w:pPr>
        <w:pStyle w:val="Heading2"/>
      </w:pPr>
      <w:r>
        <w:rPr>
          <w:rFonts w:ascii="Calibri" w:hAnsi="Calibri"/>
          <w:color w:val="1F2937"/>
        </w:rPr>
        <w:t>4.1 Signup &amp; Onboarding Journey</w:t>
      </w:r>
    </w:p>
    <w:p>
      <w:pPr>
        <w:spacing w:after="160"/>
      </w:pPr>
      <w:r>
        <w:rPr>
          <w:b w:val="0"/>
          <w:i w:val="0"/>
          <w:sz w:val="22"/>
        </w:rPr>
        <w:t>First-time signup auto-creates an organization with the signing-up user as Owner. Onboarding branches based on how much direction the user already has — mirroring the three survey-creation entry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235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nboar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7 — Signup &amp; onboarding journey</w:t>
      </w:r>
    </w:p>
    <w:p>
      <w:pPr>
        <w:pStyle w:val="Heading2"/>
      </w:pPr>
      <w:r>
        <w:rPr>
          <w:rFonts w:ascii="Calibri" w:hAnsi="Calibri"/>
          <w:color w:val="1F2937"/>
        </w:rPr>
        <w:t>4.2 Team Invite &amp; Role Assignment</w:t>
      </w:r>
    </w:p>
    <w:p>
      <w:pPr>
        <w:spacing w:after="160"/>
      </w:pPr>
      <w:r>
        <w:rPr>
          <w:b w:val="0"/>
          <w:i w:val="0"/>
          <w:sz w:val="22"/>
        </w:rPr>
        <w:t>Owner invites teammates by email and assigns a role at invite time. The invited person joins the same organization (no separate org creation) and gets access scoped to that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0196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team_inv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8 — Team invite &amp; role assignment</w:t>
      </w:r>
    </w:p>
    <w:p>
      <w:pPr>
        <w:pStyle w:val="Heading1"/>
      </w:pPr>
      <w:r>
        <w:rPr>
          <w:rFonts w:ascii="Calibri" w:hAnsi="Calibri"/>
          <w:color w:val="2E75B6"/>
        </w:rPr>
        <w:t>5. Core Workflows</w:t>
      </w:r>
    </w:p>
    <w:p>
      <w:pPr>
        <w:pStyle w:val="Heading2"/>
      </w:pPr>
      <w:r>
        <w:rPr>
          <w:rFonts w:ascii="Calibri" w:hAnsi="Calibri"/>
          <w:color w:val="1F2937"/>
        </w:rPr>
        <w:t>5.1 Survey Creation Flow</w:t>
      </w:r>
    </w:p>
    <w:p>
      <w:pPr>
        <w:spacing w:after="160"/>
      </w:pPr>
      <w:r>
        <w:rPr>
          <w:b w:val="0"/>
          <w:i w:val="0"/>
          <w:sz w:val="22"/>
        </w:rPr>
        <w:t>Covers all three entry points: manual building, single-prompt AI generation, and the full Goal-to-Insight intake for users with no survey-design experience.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5201" cy="758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201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3 — Survey creation flow</w:t>
      </w:r>
    </w:p>
    <w:p>
      <w:pPr>
        <w:spacing w:after="160"/>
      </w:pPr>
      <w:r>
        <w:rPr>
          <w:b w:val="0"/>
          <w:i/>
          <w:color w:val="555555"/>
          <w:sz w:val="20"/>
        </w:rPr>
        <w:t>Once a survey exists, the builder organizes work into seven tabs: Overview (response/completion stats), Build (the 3-pane question editor with inline AI Actions per question), Logic (Skip Logic, Compound Logic with named variables, Show/Hide Questions, Show/Hide Options), Configuration (quality settings and survey controls), Share (distribution), Insights (live analytics once responses arrive), and Expert Review (AI scan for bias/length/structure issues before publish). All seven tabs exist for every survey regardless of creation entry point.</w:t>
      </w:r>
    </w:p>
    <w:p>
      <w:pPr>
        <w:pStyle w:val="Heading2"/>
      </w:pPr>
      <w:r>
        <w:rPr>
          <w:rFonts w:ascii="Calibri" w:hAnsi="Calibri"/>
          <w:color w:val="1F2937"/>
        </w:rPr>
        <w:t>5.2 Respondent Flow (Conversational Mode)</w:t>
      </w:r>
    </w:p>
    <w:p>
      <w:pPr>
        <w:spacing w:after="160"/>
      </w:pPr>
      <w:r>
        <w:rPr>
          <w:b w:val="0"/>
          <w:i w:val="0"/>
          <w:sz w:val="22"/>
        </w:rPr>
        <w:t>The classic, all-questions form is the default respondent experience for every survey. Conversational (chat-style) delivery is an opt-in mode the creator switches on per survey from the Build tab — once enabled, the respondent instead gets one question at a time, and every open-text answer is evaluated by AI before deciding whether a contextual follow-up question is worth inserting.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0731" cy="758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spond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731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4 — Respondent flow</w:t>
      </w:r>
    </w:p>
    <w:p>
      <w:pPr>
        <w:pStyle w:val="Heading2"/>
      </w:pPr>
      <w:r>
        <w:rPr>
          <w:rFonts w:ascii="Calibri" w:hAnsi="Calibri"/>
          <w:color w:val="1F2937"/>
        </w:rPr>
        <w:t>5.3 AI Analysis Pipeline</w:t>
      </w:r>
    </w:p>
    <w:p>
      <w:pPr>
        <w:spacing w:after="160"/>
      </w:pPr>
      <w:r>
        <w:rPr>
          <w:b w:val="0"/>
          <w:i w:val="0"/>
          <w:sz w:val="22"/>
        </w:rPr>
        <w:t>Runs after responses are collected, either triggered manually or automatically once a target sample size is hit. Response-quality filtering happens before sentiment/theme analysis so low-quality responses don't skew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229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22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5 — AI analysis pipeline</w:t>
      </w:r>
    </w:p>
    <w:p>
      <w:pPr>
        <w:pStyle w:val="Heading2"/>
      </w:pPr>
      <w:r>
        <w:rPr>
          <w:rFonts w:ascii="Calibri" w:hAnsi="Calibri"/>
          <w:color w:val="1F2937"/>
        </w:rPr>
        <w:t>5.4 Goal-to-Insight: End-to-End Flow</w:t>
      </w:r>
    </w:p>
    <w:p>
      <w:pPr>
        <w:spacing w:after="160"/>
      </w:pPr>
      <w:r>
        <w:rPr>
          <w:b w:val="0"/>
          <w:i w:val="0"/>
          <w:sz w:val="22"/>
        </w:rPr>
        <w:t>The flagship flow for users with “no idea where to start.” The user states a business question; AI handles method selection, survey construction, distribution monitoring, and ends with a verdict report that directly answers the original question rather than just presenting charts.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3952" cy="758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goal_to_ins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3952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6 — Goal-to-Insight flow</w:t>
      </w:r>
    </w:p>
    <w:p>
      <w:pPr>
        <w:pStyle w:val="Heading1"/>
      </w:pPr>
      <w:r>
        <w:rPr>
          <w:rFonts w:ascii="Calibri" w:hAnsi="Calibri"/>
          <w:color w:val="2E75B6"/>
        </w:rPr>
        <w:t>6. Showcase Build Scope</w:t>
      </w:r>
    </w:p>
    <w:p>
      <w:pPr>
        <w:spacing w:after="160"/>
      </w:pPr>
      <w:r>
        <w:rPr>
          <w:b w:val="0"/>
          <w:i w:val="0"/>
          <w:sz w:val="22"/>
        </w:rPr>
        <w:t>Per our discussion, the showcase prioritizes depth on a few standout capabilities over breadth across the full feature matrix:</w:t>
      </w:r>
    </w:p>
    <w:p>
      <w:pPr>
        <w:pStyle w:val="ListBullet"/>
      </w:pPr>
      <w:r>
        <w:t>Core manual survey builder (essential question types, basic logic)</w:t>
      </w:r>
    </w:p>
    <w:p>
      <w:pPr>
        <w:pStyle w:val="ListBullet"/>
      </w:pPr>
      <w:r>
        <w:t>AI prompt-to-survey generation</w:t>
      </w:r>
    </w:p>
    <w:p>
      <w:pPr>
        <w:pStyle w:val="ListBullet"/>
      </w:pPr>
      <w:r>
        <w:t>Conversational respondent delivery mode</w:t>
      </w:r>
    </w:p>
    <w:p>
      <w:pPr>
        <w:pStyle w:val="ListBullet"/>
      </w:pPr>
      <w:r>
        <w:t>AI response analysis (sentiment + theming + dashboard)</w:t>
      </w:r>
    </w:p>
    <w:p>
      <w:pPr>
        <w:pStyle w:val="ListBullet"/>
      </w:pPr>
      <w:r>
        <w:t>A working teaser of Goal-to-Insight (single demo scenario, e.g. a concept test)</w:t>
      </w:r>
    </w:p>
    <w:p>
      <w:pPr>
        <w:spacing w:after="160"/>
      </w:pPr>
      <w:r>
        <w:rPr>
          <w:b w:val="0"/>
          <w:i/>
          <w:color w:val="555555"/>
          <w:sz w:val="22"/>
        </w:rPr>
        <w:t>Everything else in the original MVP feature spec (multi-channel distribution, integrations, synthetic audiences, multi-language sentiment, etc.) remains on the documented roadmap for after the showcase validates interest.</w:t>
      </w:r>
    </w:p>
    <w:p>
      <w:pPr>
        <w:pStyle w:val="Heading1"/>
      </w:pPr>
      <w:r>
        <w:rPr>
          <w:rFonts w:ascii="Calibri" w:hAnsi="Calibri"/>
          <w:color w:val="2E75B6"/>
        </w:rPr>
        <w:t>7. Next Steps</w:t>
      </w:r>
    </w:p>
    <w:p>
      <w:pPr>
        <w:pStyle w:val="ListBullet"/>
      </w:pPr>
      <w:r>
        <w:rPr>
          <w:b/>
        </w:rPr>
        <w:t xml:space="preserve">Prototyping: </w:t>
      </w:r>
      <w:r>
        <w:t>build clickable HTML/React prototypes of the builder, respondent chat UI, and analysis dashboard for review before writing production code.</w:t>
      </w:r>
    </w:p>
    <w:p>
      <w:pPr>
        <w:pStyle w:val="ListBullet"/>
      </w:pPr>
      <w:r>
        <w:rPr>
          <w:b/>
        </w:rPr>
        <w:t xml:space="preserve">Development: </w:t>
      </w:r>
      <w:r>
        <w:t>implement against this architecture and data model in Next.js + Supabase.</w:t>
      </w:r>
    </w:p>
    <w:p>
      <w:pPr>
        <w:pStyle w:val="ListBullet"/>
      </w:pPr>
      <w:r>
        <w:rPr>
          <w:b/>
        </w:rPr>
        <w:t xml:space="preserve">Deployment: </w:t>
      </w:r>
      <w:r>
        <w:t>free-tier Vercel + Supabase, with a usage cap on AI calls to keep costs near zero during the showcase.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