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CF95" w14:textId="6CDB7CAE" w:rsidR="007376E4" w:rsidRDefault="007376E4" w:rsidP="007376E4">
      <w:pPr>
        <w:pStyle w:val="PlainText"/>
        <w:shd w:val="clear" w:color="auto" w:fill="FBE4D5" w:themeFill="accent2" w:themeFillTint="33"/>
        <w:rPr>
          <w:b/>
        </w:rPr>
      </w:pPr>
      <w:r w:rsidRPr="0017016D">
        <w:rPr>
          <w:b/>
        </w:rPr>
        <w:t xml:space="preserve">Use case </w:t>
      </w:r>
      <w:r w:rsidR="00252701">
        <w:rPr>
          <w:b/>
        </w:rPr>
        <w:t>3</w:t>
      </w:r>
      <w:r w:rsidR="000147E7">
        <w:rPr>
          <w:b/>
        </w:rPr>
        <w:t>:</w:t>
      </w:r>
      <w:r w:rsidRPr="0017016D">
        <w:rPr>
          <w:b/>
        </w:rPr>
        <w:t xml:space="preserve"> </w:t>
      </w:r>
      <w:r w:rsidR="00EB11B4">
        <w:rPr>
          <w:b/>
        </w:rPr>
        <w:t>Can we grow</w:t>
      </w:r>
      <w:r w:rsidR="00252701">
        <w:rPr>
          <w:b/>
        </w:rPr>
        <w:t xml:space="preserve"> </w:t>
      </w:r>
      <w:proofErr w:type="spellStart"/>
      <w:r w:rsidR="0061777E">
        <w:rPr>
          <w:b/>
        </w:rPr>
        <w:t>teff</w:t>
      </w:r>
      <w:proofErr w:type="spellEnd"/>
      <w:r w:rsidR="00252701">
        <w:rPr>
          <w:b/>
        </w:rPr>
        <w:t xml:space="preserve"> in </w:t>
      </w:r>
      <w:r w:rsidR="0061777E">
        <w:rPr>
          <w:b/>
        </w:rPr>
        <w:t xml:space="preserve">the maize-growing regions of </w:t>
      </w:r>
      <w:r w:rsidR="00252701">
        <w:rPr>
          <w:b/>
        </w:rPr>
        <w:t>Ethiopia</w:t>
      </w:r>
      <w:r w:rsidR="000147E7">
        <w:rPr>
          <w:b/>
        </w:rPr>
        <w:t>?</w:t>
      </w:r>
    </w:p>
    <w:p w14:paraId="291D85BE" w14:textId="60615D80" w:rsidR="0055231C" w:rsidRDefault="0055231C" w:rsidP="0055231C">
      <w:pPr>
        <w:pStyle w:val="PlainText"/>
        <w:rPr>
          <w:b/>
        </w:rPr>
      </w:pPr>
    </w:p>
    <w:p w14:paraId="1AB336AE" w14:textId="0C5FFADA" w:rsidR="00755FC8" w:rsidRDefault="00755FC8" w:rsidP="0055231C">
      <w:pPr>
        <w:pStyle w:val="PlainText"/>
      </w:pPr>
      <w:r>
        <w:t xml:space="preserve">A </w:t>
      </w:r>
      <w:r w:rsidR="009F4033">
        <w:t>general</w:t>
      </w:r>
      <w:r>
        <w:t xml:space="preserve"> modeler, </w:t>
      </w:r>
      <w:r w:rsidR="009F4033">
        <w:t>Ava</w:t>
      </w:r>
      <w:r>
        <w:t>, wants to use DSSAT-</w:t>
      </w:r>
      <w:proofErr w:type="spellStart"/>
      <w:r>
        <w:t>pythia</w:t>
      </w:r>
      <w:proofErr w:type="spellEnd"/>
      <w:r>
        <w:t xml:space="preserve"> to </w:t>
      </w:r>
      <w:r w:rsidR="009F4033">
        <w:t xml:space="preserve">determine if </w:t>
      </w:r>
      <w:proofErr w:type="spellStart"/>
      <w:r w:rsidR="009F4033">
        <w:t>teff</w:t>
      </w:r>
      <w:proofErr w:type="spellEnd"/>
      <w:r w:rsidR="009F4033">
        <w:t xml:space="preserve"> production can be expanded into the maize-growing regions of Ethiopia. </w:t>
      </w:r>
      <w:r w:rsidR="002C2648">
        <w:t>An</w:t>
      </w:r>
      <w:r w:rsidR="009F4033">
        <w:t xml:space="preserve"> expert modeler has already produced data layers for </w:t>
      </w:r>
      <w:proofErr w:type="spellStart"/>
      <w:r w:rsidR="009F4033">
        <w:t>teff</w:t>
      </w:r>
      <w:proofErr w:type="spellEnd"/>
      <w:r w:rsidR="009F4033">
        <w:t>, including planting dates and other management information. A calibrated cultivar is also available for use with DSSAT.</w:t>
      </w:r>
      <w:bookmarkStart w:id="0" w:name="_GoBack"/>
      <w:bookmarkEnd w:id="0"/>
    </w:p>
    <w:p w14:paraId="21958D28" w14:textId="01550649" w:rsidR="009F4033" w:rsidRDefault="009F4033" w:rsidP="0055231C">
      <w:pPr>
        <w:pStyle w:val="PlainText"/>
      </w:pPr>
    </w:p>
    <w:p w14:paraId="35DECE53" w14:textId="2AA5DFF7" w:rsidR="009F4033" w:rsidRDefault="009F4033" w:rsidP="0055231C">
      <w:pPr>
        <w:pStyle w:val="PlainText"/>
      </w:pPr>
      <w:r>
        <w:t>Ava selects the crop suitability option for DSSAT-</w:t>
      </w:r>
      <w:proofErr w:type="spellStart"/>
      <w:r>
        <w:t>pythia</w:t>
      </w:r>
      <w:proofErr w:type="spellEnd"/>
      <w:proofErr w:type="gramStart"/>
      <w:r w:rsidR="002C2648">
        <w:t xml:space="preserve">. </w:t>
      </w:r>
      <w:proofErr w:type="gramEnd"/>
      <w:r w:rsidR="002C2648">
        <w:t>This option allows only two selections, the base crop (maize) and the hypothetical crop (</w:t>
      </w:r>
      <w:proofErr w:type="spellStart"/>
      <w:r w:rsidR="002C2648">
        <w:t>teff</w:t>
      </w:r>
      <w:proofErr w:type="spellEnd"/>
      <w:r w:rsidR="002C2648">
        <w:t>)</w:t>
      </w:r>
      <w:proofErr w:type="gramStart"/>
      <w:r w:rsidR="002C2648">
        <w:t xml:space="preserve">. </w:t>
      </w:r>
      <w:proofErr w:type="gramEnd"/>
      <w:r w:rsidR="002C2648">
        <w:t xml:space="preserve">This will trigger </w:t>
      </w:r>
      <w:proofErr w:type="spellStart"/>
      <w:r>
        <w:t>teff</w:t>
      </w:r>
      <w:proofErr w:type="spellEnd"/>
      <w:r>
        <w:t xml:space="preserve"> simulations which use the maize area distribution maps. She understands that this is a hypothetical simulation, but </w:t>
      </w:r>
      <w:r w:rsidR="002C2648">
        <w:t xml:space="preserve">that it </w:t>
      </w:r>
      <w:r>
        <w:t xml:space="preserve">might reveal areas where </w:t>
      </w:r>
      <w:proofErr w:type="spellStart"/>
      <w:r>
        <w:t>teff</w:t>
      </w:r>
      <w:proofErr w:type="spellEnd"/>
      <w:r>
        <w:t xml:space="preserve"> production could be expanded.</w:t>
      </w:r>
      <w:r w:rsidR="002C2648">
        <w:t xml:space="preserve"> All historical weather years are used in the simulation to give an estimate of the variability due to weather.</w:t>
      </w:r>
    </w:p>
    <w:p w14:paraId="5E72CD4D" w14:textId="753ADAA3" w:rsidR="001E2CC9" w:rsidRDefault="001E2CC9" w:rsidP="0055231C">
      <w:pPr>
        <w:pStyle w:val="PlainText"/>
      </w:pPr>
    </w:p>
    <w:p w14:paraId="5DD5BEB6" w14:textId="77777777" w:rsidR="007C64BA" w:rsidRDefault="007C64BA" w:rsidP="007C64BA">
      <w:pPr>
        <w:pStyle w:val="PlainText"/>
      </w:pPr>
    </w:p>
    <w:p w14:paraId="3B7D739F" w14:textId="3DACA99B" w:rsidR="009D62F3" w:rsidRDefault="00354426" w:rsidP="007376E4">
      <w:pPr>
        <w:pStyle w:val="PlainText"/>
      </w:pPr>
      <w:r w:rsidRPr="00354426">
        <w:rPr>
          <w:b/>
        </w:rPr>
        <w:t>Processing workflow</w:t>
      </w:r>
    </w:p>
    <w:p w14:paraId="396346E8" w14:textId="77777777" w:rsidR="00354426" w:rsidRDefault="00354426" w:rsidP="007376E4">
      <w:pPr>
        <w:pStyle w:val="PlainText"/>
        <w:rPr>
          <w:b/>
        </w:rPr>
      </w:pPr>
    </w:p>
    <w:p w14:paraId="525E4F3E" w14:textId="3B3E5B75" w:rsidR="009D62F3" w:rsidRDefault="009D62F3" w:rsidP="0008643E">
      <w:pPr>
        <w:pStyle w:val="PlainText"/>
        <w:numPr>
          <w:ilvl w:val="1"/>
          <w:numId w:val="7"/>
        </w:numPr>
        <w:ind w:left="720"/>
      </w:pPr>
      <w:proofErr w:type="spellStart"/>
      <w:r w:rsidRPr="00495814">
        <w:rPr>
          <w:b/>
        </w:rPr>
        <w:t>SuperMaas</w:t>
      </w:r>
      <w:proofErr w:type="spellEnd"/>
      <w:r w:rsidRPr="00495814">
        <w:rPr>
          <w:b/>
        </w:rPr>
        <w:t xml:space="preserve"> pre-processor:</w:t>
      </w:r>
      <w:r w:rsidR="00495814" w:rsidRPr="00495814">
        <w:rPr>
          <w:b/>
        </w:rPr>
        <w:t xml:space="preserve"> </w:t>
      </w:r>
      <w:r>
        <w:t xml:space="preserve">Modify the </w:t>
      </w:r>
      <w:proofErr w:type="spellStart"/>
      <w:r>
        <w:t>pythia</w:t>
      </w:r>
      <w:proofErr w:type="spellEnd"/>
      <w:r>
        <w:t xml:space="preserve"> config file to</w:t>
      </w:r>
      <w:r w:rsidR="009F4033">
        <w:t xml:space="preserve"> </w:t>
      </w:r>
      <w:r w:rsidR="002C2648">
        <w:t>conduct</w:t>
      </w:r>
      <w:r w:rsidR="009F4033">
        <w:t xml:space="preserve"> </w:t>
      </w:r>
      <w:proofErr w:type="spellStart"/>
      <w:r w:rsidR="009F4033">
        <w:t>teff</w:t>
      </w:r>
      <w:proofErr w:type="spellEnd"/>
      <w:r w:rsidR="009F4033">
        <w:t xml:space="preserve"> simulations using maize harvested area data layers</w:t>
      </w:r>
      <w:r w:rsidR="00495814">
        <w:t>.</w:t>
      </w:r>
      <w:r w:rsidR="00495814">
        <w:br/>
      </w:r>
    </w:p>
    <w:p w14:paraId="46A34F96" w14:textId="0C6C1990" w:rsidR="007376E4" w:rsidRDefault="009D62F3" w:rsidP="006D29A2">
      <w:pPr>
        <w:pStyle w:val="PlainText"/>
        <w:numPr>
          <w:ilvl w:val="1"/>
          <w:numId w:val="7"/>
        </w:numPr>
        <w:ind w:left="720"/>
      </w:pPr>
      <w:r w:rsidRPr="00495814">
        <w:rPr>
          <w:b/>
        </w:rPr>
        <w:t>DSSAT-</w:t>
      </w:r>
      <w:proofErr w:type="spellStart"/>
      <w:r w:rsidRPr="00495814">
        <w:rPr>
          <w:b/>
        </w:rPr>
        <w:t>pythia</w:t>
      </w:r>
      <w:proofErr w:type="spellEnd"/>
      <w:r w:rsidRPr="00495814">
        <w:rPr>
          <w:b/>
        </w:rPr>
        <w:t xml:space="preserve"> container</w:t>
      </w:r>
      <w:r w:rsidR="007376E4" w:rsidRPr="00495814">
        <w:rPr>
          <w:b/>
        </w:rPr>
        <w:t>:</w:t>
      </w:r>
      <w:r w:rsidR="00495814" w:rsidRPr="00495814">
        <w:rPr>
          <w:b/>
        </w:rPr>
        <w:t xml:space="preserve"> </w:t>
      </w:r>
      <w:r w:rsidR="007376E4">
        <w:t xml:space="preserve">Run the model using </w:t>
      </w:r>
      <w:r w:rsidR="0055231C">
        <w:t xml:space="preserve">modified </w:t>
      </w:r>
      <w:proofErr w:type="spellStart"/>
      <w:r w:rsidR="007376E4">
        <w:t>pythia</w:t>
      </w:r>
      <w:proofErr w:type="spellEnd"/>
      <w:r w:rsidR="007376E4">
        <w:t xml:space="preserve"> config file</w:t>
      </w:r>
      <w:r w:rsidR="002C2648">
        <w:t xml:space="preserve">. Data layers for both maize and </w:t>
      </w:r>
      <w:proofErr w:type="spellStart"/>
      <w:r w:rsidR="002C2648">
        <w:t>teff</w:t>
      </w:r>
      <w:proofErr w:type="spellEnd"/>
      <w:r w:rsidR="002C2648">
        <w:t xml:space="preserve"> are needed.</w:t>
      </w:r>
    </w:p>
    <w:p w14:paraId="0C18C51F" w14:textId="2D4EDB94" w:rsidR="00BC1013" w:rsidRDefault="00BC1013" w:rsidP="00BC1013">
      <w:pPr>
        <w:pStyle w:val="PlainText"/>
      </w:pPr>
    </w:p>
    <w:p w14:paraId="0230F50E" w14:textId="01F74723" w:rsidR="007376E4" w:rsidRPr="00495814" w:rsidRDefault="00BC1013" w:rsidP="00F534A1">
      <w:pPr>
        <w:pStyle w:val="PlainText"/>
        <w:numPr>
          <w:ilvl w:val="1"/>
          <w:numId w:val="7"/>
        </w:numPr>
        <w:ind w:left="720"/>
        <w:rPr>
          <w:color w:val="767171" w:themeColor="background2" w:themeShade="80"/>
        </w:rPr>
      </w:pPr>
      <w:proofErr w:type="spellStart"/>
      <w:r w:rsidRPr="00495814">
        <w:rPr>
          <w:b/>
        </w:rPr>
        <w:t>SuperMaaS</w:t>
      </w:r>
      <w:proofErr w:type="spellEnd"/>
      <w:r w:rsidRPr="00495814">
        <w:rPr>
          <w:b/>
        </w:rPr>
        <w:t xml:space="preserve"> post-processor</w:t>
      </w:r>
      <w:r w:rsidR="00354426" w:rsidRPr="00495814">
        <w:rPr>
          <w:b/>
        </w:rPr>
        <w:t>:</w:t>
      </w:r>
      <w:r w:rsidR="00495814" w:rsidRPr="00495814">
        <w:rPr>
          <w:b/>
        </w:rPr>
        <w:t xml:space="preserve"> </w:t>
      </w:r>
    </w:p>
    <w:p w14:paraId="2B35B91C" w14:textId="0EBDE9D0" w:rsidR="007376E4" w:rsidRPr="00ED1594" w:rsidRDefault="007376E4" w:rsidP="00ED1594">
      <w:pPr>
        <w:pStyle w:val="PlainText"/>
        <w:ind w:left="720"/>
        <w:rPr>
          <w:color w:val="5B9BD5" w:themeColor="accent5"/>
        </w:rPr>
      </w:pPr>
    </w:p>
    <w:p w14:paraId="3A8099AA" w14:textId="36D9C441" w:rsidR="00495814" w:rsidRDefault="00ED1594" w:rsidP="00495814">
      <w:pPr>
        <w:pStyle w:val="PlainText"/>
      </w:pPr>
      <w:r>
        <w:tab/>
      </w:r>
      <w:r w:rsidR="00BA2905">
        <w:t>Post-processer o</w:t>
      </w:r>
      <w:r>
        <w:t>utputs</w:t>
      </w:r>
      <w:r w:rsidR="00BA2905">
        <w:t xml:space="preserve"> for this use case</w:t>
      </w:r>
      <w:r>
        <w:t>:</w:t>
      </w:r>
    </w:p>
    <w:p w14:paraId="12F1A01A" w14:textId="3062C1F4" w:rsidR="00495814" w:rsidRDefault="00495814" w:rsidP="00495814">
      <w:pPr>
        <w:pStyle w:val="PlainText"/>
        <w:numPr>
          <w:ilvl w:val="1"/>
          <w:numId w:val="1"/>
        </w:numPr>
      </w:pPr>
      <w:r>
        <w:t>DSSAT-</w:t>
      </w:r>
      <w:proofErr w:type="spellStart"/>
      <w:r>
        <w:t>pythia</w:t>
      </w:r>
      <w:proofErr w:type="spellEnd"/>
      <w:r>
        <w:t xml:space="preserve"> per pixel outputs</w:t>
      </w:r>
      <w:r w:rsidR="00916074">
        <w:t xml:space="preserve"> – no post-processing</w:t>
      </w:r>
    </w:p>
    <w:p w14:paraId="0B9DB064" w14:textId="0E000DD3" w:rsidR="00495814" w:rsidRDefault="002C2648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Yield maps for </w:t>
      </w:r>
      <w:proofErr w:type="spellStart"/>
      <w:r>
        <w:rPr>
          <w:color w:val="4472C4" w:themeColor="accent1"/>
        </w:rPr>
        <w:t>teff</w:t>
      </w:r>
      <w:proofErr w:type="spellEnd"/>
      <w:r>
        <w:rPr>
          <w:color w:val="4472C4" w:themeColor="accent1"/>
        </w:rPr>
        <w:t xml:space="preserve"> for all four management categories, plus the weighted average for all managements</w:t>
      </w:r>
      <w:r w:rsidR="00495814" w:rsidRPr="00F57202">
        <w:rPr>
          <w:color w:val="4472C4" w:themeColor="accent1"/>
        </w:rPr>
        <w:t xml:space="preserve">. </w:t>
      </w:r>
    </w:p>
    <w:p w14:paraId="418FCC38" w14:textId="5AA47243" w:rsidR="002C2648" w:rsidRDefault="002C2648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Aggregated total production estimates by region.</w:t>
      </w:r>
    </w:p>
    <w:p w14:paraId="2E0A8FE5" w14:textId="1F7F847B" w:rsidR="002C2648" w:rsidRPr="00F57202" w:rsidRDefault="002C2648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>
        <w:rPr>
          <w:color w:val="4472C4" w:themeColor="accent1"/>
        </w:rPr>
        <w:t>Estimates of interannual variability of crop yields and crop production (e.g., standard deviation).</w:t>
      </w:r>
    </w:p>
    <w:sectPr w:rsidR="002C2648" w:rsidRPr="00F5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5AD"/>
    <w:multiLevelType w:val="hybridMultilevel"/>
    <w:tmpl w:val="F5F6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2610"/>
    <w:multiLevelType w:val="hybridMultilevel"/>
    <w:tmpl w:val="D8C4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6707"/>
    <w:multiLevelType w:val="multilevel"/>
    <w:tmpl w:val="BE2061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B37091"/>
    <w:multiLevelType w:val="hybridMultilevel"/>
    <w:tmpl w:val="5308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CC1"/>
    <w:multiLevelType w:val="hybridMultilevel"/>
    <w:tmpl w:val="887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245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E2F76C6"/>
    <w:multiLevelType w:val="hybridMultilevel"/>
    <w:tmpl w:val="625246A2"/>
    <w:lvl w:ilvl="0" w:tplc="0C2A1F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957C5"/>
    <w:multiLevelType w:val="multilevel"/>
    <w:tmpl w:val="BE2061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B4005A"/>
    <w:multiLevelType w:val="hybridMultilevel"/>
    <w:tmpl w:val="89E81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E4"/>
    <w:rsid w:val="000147E7"/>
    <w:rsid w:val="001E2CC9"/>
    <w:rsid w:val="001F5D57"/>
    <w:rsid w:val="00252701"/>
    <w:rsid w:val="002C2648"/>
    <w:rsid w:val="002F0125"/>
    <w:rsid w:val="00334984"/>
    <w:rsid w:val="00354426"/>
    <w:rsid w:val="003B4547"/>
    <w:rsid w:val="003B7836"/>
    <w:rsid w:val="003C6C4C"/>
    <w:rsid w:val="00495814"/>
    <w:rsid w:val="004B53E2"/>
    <w:rsid w:val="0055231C"/>
    <w:rsid w:val="0061777E"/>
    <w:rsid w:val="00650A6D"/>
    <w:rsid w:val="007332D1"/>
    <w:rsid w:val="007376E4"/>
    <w:rsid w:val="00755FC8"/>
    <w:rsid w:val="007C64BA"/>
    <w:rsid w:val="007E7AF5"/>
    <w:rsid w:val="0080307D"/>
    <w:rsid w:val="008A0E9D"/>
    <w:rsid w:val="00916074"/>
    <w:rsid w:val="009D62F3"/>
    <w:rsid w:val="009E0B8D"/>
    <w:rsid w:val="009F4033"/>
    <w:rsid w:val="00A820B7"/>
    <w:rsid w:val="00BA2905"/>
    <w:rsid w:val="00BC1013"/>
    <w:rsid w:val="00D02A37"/>
    <w:rsid w:val="00D82A59"/>
    <w:rsid w:val="00DC0EC8"/>
    <w:rsid w:val="00EB11B4"/>
    <w:rsid w:val="00ED1594"/>
    <w:rsid w:val="00EE0D2C"/>
    <w:rsid w:val="00F5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A69E"/>
  <w15:chartTrackingRefBased/>
  <w15:docId w15:val="{2DEF4E81-D9F5-4CB0-8F63-6DBD58F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6E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376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2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Cheryl H</dc:creator>
  <cp:keywords/>
  <dc:description/>
  <cp:lastModifiedBy>Porter, Cheryl H</cp:lastModifiedBy>
  <cp:revision>8</cp:revision>
  <dcterms:created xsi:type="dcterms:W3CDTF">2020-07-16T16:28:00Z</dcterms:created>
  <dcterms:modified xsi:type="dcterms:W3CDTF">2020-07-16T19:42:00Z</dcterms:modified>
</cp:coreProperties>
</file>