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CBCB6" w14:textId="5B231694" w:rsidR="00096CB2" w:rsidRPr="00E812A2" w:rsidRDefault="00876A76">
      <w:pPr>
        <w:pStyle w:val="Title"/>
      </w:pPr>
      <w:r w:rsidRPr="00E812A2">
        <w:t xml:space="preserve">NYSE </w:t>
      </w:r>
      <w:r w:rsidR="00E812A2">
        <w:t>Analysis With</w:t>
      </w:r>
      <w:r w:rsidR="00922C72">
        <w:t xml:space="preserve"> </w:t>
      </w:r>
      <w:r w:rsidRPr="00E812A2">
        <w:t>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22F9AF15"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Abstract</w:t>
      </w:r>
      <w:r w:rsidR="005E4E46">
        <w:rPr>
          <w:rFonts w:ascii="Times New Roman" w:hAnsi="Times New Roman"/>
          <w:b/>
          <w:sz w:val="24"/>
          <w:szCs w:val="24"/>
        </w:rPr>
        <w:t>:</w:t>
      </w:r>
      <w:r w:rsidRPr="00971BBA">
        <w:rPr>
          <w:rFonts w:ascii="Times New Roman" w:hAnsi="Times New Roman"/>
          <w:b/>
          <w:sz w:val="24"/>
          <w:szCs w:val="24"/>
        </w:rPr>
        <w:t xml:space="preserve">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5FB0F6D2" w:rsidR="00096CB2" w:rsidRDefault="00971BBA" w:rsidP="00626FF8">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5E4E46">
        <w:rPr>
          <w:rFonts w:ascii="Times New Roman" w:hAnsi="Times New Roman"/>
          <w:b/>
          <w:noProof w:val="0"/>
          <w:sz w:val="24"/>
          <w:szCs w:val="24"/>
        </w:rPr>
        <w:t>:</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525A7DA0"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3. Data and Database construction</w:t>
      </w:r>
      <w:r w:rsidR="005E4E46">
        <w:rPr>
          <w:rFonts w:ascii="Times New Roman" w:hAnsi="Times New Roman"/>
          <w:b/>
          <w:noProof w:val="0"/>
          <w:sz w:val="24"/>
          <w:szCs w:val="24"/>
        </w:rPr>
        <w:t>:</w:t>
      </w:r>
      <w:r>
        <w:rPr>
          <w:rFonts w:ascii="Times New Roman" w:hAnsi="Times New Roman"/>
          <w:noProof w:val="0"/>
          <w:sz w:val="20"/>
        </w:rPr>
        <w:t xml:space="preserve">  The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20607266"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2F116735" w14:textId="1158805D" w:rsidR="00922C72" w:rsidRDefault="00922C72" w:rsidP="00922C72">
      <w:pPr>
        <w:jc w:val="both"/>
        <w:rPr>
          <w:rFonts w:ascii="Times New Roman" w:hAnsi="Times New Roman"/>
          <w:sz w:val="20"/>
        </w:rPr>
      </w:pPr>
      <w:r>
        <w:rPr>
          <w:rFonts w:ascii="Times New Roman" w:hAnsi="Times New Roman"/>
          <w:sz w:val="20"/>
        </w:rPr>
        <w:t xml:space="preserve">The Data on all four files totals 103.6 MB and was run on the Bluemix server and a windows 10 machine with  a dual core 2.5GHz I7 processor and 6.00 GB of RAM with not issues.  </w:t>
      </w:r>
    </w:p>
    <w:p w14:paraId="0B4135EC" w14:textId="77777777" w:rsidR="00922C72" w:rsidRPr="00922C72" w:rsidRDefault="00922C72" w:rsidP="00922C72">
      <w:pPr>
        <w:jc w:val="both"/>
        <w:rPr>
          <w:rFonts w:ascii="Times New Roman" w:hAnsi="Times New Roman"/>
          <w:sz w:val="20"/>
        </w:rPr>
      </w:pPr>
    </w:p>
    <w:p w14:paraId="1C82946B" w14:textId="4A038847" w:rsidR="00E4245D"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922C72">
        <w:rPr>
          <w:rFonts w:ascii="Times New Roman" w:hAnsi="Times New Roman"/>
          <w:sz w:val="20"/>
        </w:rPr>
        <w:t xml:space="preserve"> </w:t>
      </w:r>
    </w:p>
    <w:p w14:paraId="048FE1BD" w14:textId="1ED3D040" w:rsidR="00922C72" w:rsidRDefault="00922C72" w:rsidP="003A7639">
      <w:pPr>
        <w:jc w:val="both"/>
        <w:rPr>
          <w:rFonts w:ascii="Times New Roman" w:hAnsi="Times New Roman"/>
          <w:sz w:val="20"/>
        </w:rPr>
      </w:pPr>
    </w:p>
    <w:p w14:paraId="3EE8F0C1" w14:textId="1D2BC9C0" w:rsidR="00922C72" w:rsidRPr="009D428A" w:rsidRDefault="00922C72" w:rsidP="003A7639">
      <w:pPr>
        <w:jc w:val="both"/>
        <w:rPr>
          <w:rFonts w:ascii="Times New Roman" w:hAnsi="Times New Roman"/>
          <w:sz w:val="20"/>
        </w:rPr>
      </w:pPr>
      <w:r>
        <w:rPr>
          <w:rFonts w:ascii="Times New Roman" w:hAnsi="Times New Roman"/>
          <w:sz w:val="20"/>
        </w:rPr>
        <w:t>The Database was put into a relational database with the “Symbol” variable used as the primary key for each table.</w:t>
      </w:r>
    </w:p>
    <w:p w14:paraId="012DA7FC" w14:textId="6587FBD7"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2CD55B78" w14:textId="2E5F51ED" w:rsidR="00922C72" w:rsidRDefault="00922C72" w:rsidP="003A7639">
      <w:pPr>
        <w:jc w:val="center"/>
        <w:rPr>
          <w:rFonts w:ascii="Times New Roman" w:hAnsi="Times New Roman"/>
          <w:noProof w:val="0"/>
          <w:sz w:val="20"/>
        </w:rPr>
      </w:pPr>
      <w:r>
        <w:rPr>
          <w:rFonts w:ascii="Times New Roman" w:hAnsi="Times New Roman"/>
          <w:noProof w:val="0"/>
          <w:sz w:val="20"/>
        </w:rPr>
        <w:t>Fig 1</w:t>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626FF8">
      <w:pPr>
        <w:ind w:firstLine="720"/>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443FD3E6" w:rsidR="00180DFF" w:rsidRDefault="00E4245D" w:rsidP="00626FF8">
      <w:pPr>
        <w:ind w:firstLine="720"/>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5E4E46">
        <w:rPr>
          <w:rFonts w:ascii="Times New Roman" w:hAnsi="Times New Roman"/>
          <w:b/>
          <w:noProof w:val="0"/>
          <w:sz w:val="22"/>
          <w:szCs w:val="22"/>
        </w:rPr>
        <w:t>:</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19D6B68F"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4C09533E">
            <wp:extent cx="3060065" cy="2149748"/>
            <wp:effectExtent l="25400" t="25400" r="13335" b="34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49748"/>
                    </a:xfrm>
                    <a:prstGeom prst="rect">
                      <a:avLst/>
                    </a:prstGeom>
                    <a:ln>
                      <a:solidFill>
                        <a:schemeClr val="tx1"/>
                      </a:solidFill>
                    </a:ln>
                  </pic:spPr>
                </pic:pic>
              </a:graphicData>
            </a:graphic>
          </wp:inline>
        </w:drawing>
      </w:r>
    </w:p>
    <w:p w14:paraId="5D264E09" w14:textId="4124A5F2" w:rsidR="00922C72" w:rsidRDefault="00922C72" w:rsidP="008B69E4">
      <w:pPr>
        <w:jc w:val="both"/>
        <w:rPr>
          <w:rFonts w:ascii="Times New Roman" w:hAnsi="Times New Roman"/>
          <w:sz w:val="20"/>
        </w:rPr>
      </w:pPr>
      <w:r>
        <w:rPr>
          <w:rFonts w:ascii="Times New Roman" w:hAnsi="Times New Roman"/>
          <w:sz w:val="20"/>
        </w:rPr>
        <w:t xml:space="preserve">                                           Fig 2</w:t>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366C4C0A" w14:textId="77777777" w:rsidR="00626FF8" w:rsidRDefault="00AF6F1A" w:rsidP="00AF6F1A">
      <w:pPr>
        <w:jc w:val="both"/>
        <w:rPr>
          <w:rFonts w:ascii="Courier" w:hAnsi="Courier"/>
          <w:sz w:val="20"/>
        </w:rPr>
      </w:pPr>
      <w:r w:rsidRPr="00AF6F1A">
        <w:rPr>
          <w:rFonts w:ascii="Courier" w:hAnsi="Courier"/>
          <w:sz w:val="20"/>
        </w:rPr>
        <w:t xml:space="preserve">SELECT symbol, stddev(high) as SD, </w:t>
      </w:r>
    </w:p>
    <w:p w14:paraId="68B5663B" w14:textId="3807754D" w:rsidR="00AF6F1A" w:rsidRPr="00AF6F1A" w:rsidRDefault="00626FF8" w:rsidP="00AF6F1A">
      <w:pPr>
        <w:jc w:val="both"/>
        <w:rPr>
          <w:rFonts w:ascii="Courier" w:hAnsi="Courier"/>
          <w:sz w:val="20"/>
        </w:rPr>
      </w:pPr>
      <w:r>
        <w:rPr>
          <w:rFonts w:ascii="Courier" w:hAnsi="Courier"/>
          <w:sz w:val="20"/>
        </w:rPr>
        <w:tab/>
        <w:t xml:space="preserve"> </w:t>
      </w:r>
      <w:r w:rsidR="00AF6F1A" w:rsidRPr="00AF6F1A">
        <w:rPr>
          <w:rFonts w:ascii="Courier" w:hAnsi="Courier"/>
          <w:sz w:val="20"/>
        </w:rPr>
        <w:t xml:space="preserve">max(high) - min(low) as growth </w:t>
      </w:r>
    </w:p>
    <w:p w14:paraId="121FD993" w14:textId="39B0E237" w:rsidR="00AF6F1A" w:rsidRPr="00AF6F1A" w:rsidRDefault="00AF6F1A" w:rsidP="00AF6F1A">
      <w:pPr>
        <w:jc w:val="both"/>
        <w:rPr>
          <w:rFonts w:ascii="Courier" w:hAnsi="Courier"/>
          <w:sz w:val="20"/>
        </w:rPr>
      </w:pPr>
      <w:r w:rsidRPr="00AF6F1A">
        <w:rPr>
          <w:rFonts w:ascii="Courier" w:hAnsi="Courier"/>
          <w:sz w:val="20"/>
        </w:rPr>
        <w:t xml:space="preserve">FROM prices_split </w:t>
      </w:r>
    </w:p>
    <w:p w14:paraId="6AEAA4B5" w14:textId="51E32F92" w:rsidR="00AF6F1A" w:rsidRPr="00AF6F1A" w:rsidRDefault="00AF6F1A" w:rsidP="00AF6F1A">
      <w:pPr>
        <w:jc w:val="both"/>
        <w:rPr>
          <w:rFonts w:ascii="Courier" w:hAnsi="Courier"/>
          <w:sz w:val="20"/>
        </w:rPr>
      </w:pPr>
      <w:r w:rsidRPr="00AF6F1A">
        <w:rPr>
          <w:rFonts w:ascii="Courier" w:hAnsi="Courier"/>
          <w:sz w:val="20"/>
        </w:rPr>
        <w:t xml:space="preserve">GROUP BY symbol </w:t>
      </w:r>
    </w:p>
    <w:p w14:paraId="0893DF2F" w14:textId="33E79F1F" w:rsidR="00971BBA" w:rsidRDefault="00AF6F1A" w:rsidP="00AF6F1A">
      <w:pPr>
        <w:jc w:val="both"/>
        <w:rPr>
          <w:rFonts w:ascii="Courier" w:hAnsi="Courier"/>
          <w:sz w:val="20"/>
        </w:rPr>
      </w:pPr>
      <w:r w:rsidRPr="00AF6F1A">
        <w:rPr>
          <w:rFonts w:ascii="Courier" w:hAnsi="Courier"/>
          <w:sz w:val="20"/>
        </w:rPr>
        <w:t>ORDER BY SD DESC LIMIT 10;</w:t>
      </w:r>
    </w:p>
    <w:p w14:paraId="57D02FF8" w14:textId="68CD1069" w:rsidR="00922C72" w:rsidRDefault="00922C72" w:rsidP="00AF6F1A">
      <w:pPr>
        <w:jc w:val="both"/>
        <w:rPr>
          <w:rFonts w:ascii="Courier" w:hAnsi="Courier"/>
          <w:sz w:val="20"/>
        </w:rPr>
      </w:pPr>
    </w:p>
    <w:p w14:paraId="1DFB8BC0" w14:textId="40E4C5F3" w:rsidR="00922C72" w:rsidRPr="008B69E4" w:rsidRDefault="00922C72" w:rsidP="00AF6F1A">
      <w:pPr>
        <w:jc w:val="both"/>
        <w:rPr>
          <w:rFonts w:ascii="Times New Roman" w:hAnsi="Times New Roman"/>
          <w:sz w:val="20"/>
        </w:rPr>
      </w:pPr>
      <w:r>
        <w:rPr>
          <w:rFonts w:ascii="Courier" w:hAnsi="Courier"/>
          <w:sz w:val="20"/>
        </w:rPr>
        <w:t>We can see in fig 2 there  is a linear correlation between  the voliatility of a stock and the growth.</w:t>
      </w:r>
    </w:p>
    <w:p w14:paraId="7C72B659" w14:textId="2E497000" w:rsidR="00E949AC" w:rsidRDefault="00E4245D" w:rsidP="00626FF8">
      <w:pPr>
        <w:ind w:firstLine="720"/>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5E4E46">
        <w:rPr>
          <w:rFonts w:ascii="Times New Roman" w:hAnsi="Times New Roman"/>
          <w:b/>
          <w:noProof w:val="0"/>
          <w:sz w:val="22"/>
          <w:szCs w:val="22"/>
        </w:rPr>
        <w:t>:</w:t>
      </w:r>
      <w:r w:rsidR="00CD4914">
        <w:rPr>
          <w:rFonts w:ascii="Times New Roman" w:hAnsi="Times New Roman"/>
          <w:b/>
          <w:noProof w:val="0"/>
          <w:sz w:val="22"/>
          <w:szCs w:val="22"/>
        </w:rPr>
        <w:t xml:space="preserve"> </w:t>
      </w:r>
      <w:r w:rsidR="00922C72">
        <w:rPr>
          <w:rFonts w:ascii="Times New Roman" w:hAnsi="Times New Roman"/>
          <w:noProof w:val="0"/>
          <w:sz w:val="20"/>
        </w:rPr>
        <w:t>Using the knowledge gained</w:t>
      </w:r>
      <w:r w:rsidR="00AA11D3">
        <w:rPr>
          <w:rFonts w:ascii="Times New Roman" w:hAnsi="Times New Roman"/>
          <w:noProof w:val="0"/>
          <w:sz w:val="20"/>
        </w:rPr>
        <w:t xml:space="preserve"> in insight 1 we are looking for a way to determine the actual growth and votility.  We do this by </w:t>
      </w:r>
      <w:r w:rsidR="00922C72">
        <w:rPr>
          <w:rFonts w:ascii="Times New Roman" w:hAnsi="Times New Roman"/>
          <w:noProof w:val="0"/>
          <w:sz w:val="20"/>
        </w:rPr>
        <w:t>c</w:t>
      </w:r>
      <w:r w:rsidR="00AA5A86" w:rsidRPr="00AA5A86">
        <w:rPr>
          <w:rFonts w:ascii="Times New Roman" w:hAnsi="Times New Roman"/>
          <w:noProof w:val="0"/>
          <w:sz w:val="20"/>
        </w:rPr>
        <w:t>omparing the highest growth stock to the lowest group stock using SQL subqueries</w:t>
      </w:r>
      <w:r w:rsidR="00E73A2A">
        <w:rPr>
          <w:rFonts w:ascii="Times New Roman" w:hAnsi="Times New Roman"/>
          <w:noProof w:val="0"/>
          <w:sz w:val="20"/>
        </w:rPr>
        <w:t xml:space="preserve"> </w:t>
      </w:r>
      <w:r w:rsidR="00E73A2A">
        <w:rPr>
          <w:rFonts w:ascii="Times New Roman" w:hAnsi="Times New Roman"/>
          <w:noProof w:val="0"/>
          <w:sz w:val="20"/>
        </w:rPr>
        <w:lastRenderedPageBreak/>
        <w:t xml:space="preserve">provides insight. </w:t>
      </w:r>
      <w:r w:rsidR="00AA11D3">
        <w:rPr>
          <w:rFonts w:ascii="Times New Roman" w:hAnsi="Times New Roman"/>
          <w:noProof w:val="0"/>
          <w:sz w:val="20"/>
        </w:rPr>
        <w:t xml:space="preserve">We use plot the difference instead of use numbers to highlight the actual difference in a more relatable format.  </w:t>
      </w:r>
      <w:r w:rsidR="00E73A2A">
        <w:rPr>
          <w:rFonts w:ascii="Times New Roman" w:hAnsi="Times New Roman"/>
          <w:noProof w:val="0"/>
          <w:sz w:val="20"/>
        </w:rPr>
        <w:t>From</w:t>
      </w:r>
      <w:r w:rsidR="00E369EC">
        <w:rPr>
          <w:rFonts w:ascii="Times New Roman" w:hAnsi="Times New Roman"/>
          <w:noProof w:val="0"/>
          <w:sz w:val="20"/>
        </w:rPr>
        <w:t xml:space="preserve"> insight</w:t>
      </w:r>
      <w:r w:rsidR="00E73A2A">
        <w:rPr>
          <w:rFonts w:ascii="Times New Roman" w:hAnsi="Times New Roman"/>
          <w:noProof w:val="0"/>
          <w:sz w:val="20"/>
        </w:rPr>
        <w:t xml:space="preserve"> 1,</w:t>
      </w:r>
      <w:r w:rsidR="00E369EC">
        <w:rPr>
          <w:rFonts w:ascii="Times New Roman" w:hAnsi="Times New Roman"/>
          <w:noProof w:val="0"/>
          <w:sz w:val="20"/>
        </w:rPr>
        <w:t xml:space="preserve"> the highest growth stock has the symbol “</w:t>
      </w:r>
      <w:r w:rsidR="000A64DF">
        <w:rPr>
          <w:rFonts w:ascii="Times New Roman" w:hAnsi="Times New Roman"/>
          <w:noProof w:val="0"/>
          <w:sz w:val="20"/>
        </w:rPr>
        <w:t>PCLN</w:t>
      </w:r>
      <w:r w:rsidR="00E369EC">
        <w:rPr>
          <w:rFonts w:ascii="Times New Roman" w:hAnsi="Times New Roman"/>
          <w:noProof w:val="0"/>
          <w:sz w:val="20"/>
        </w:rPr>
        <w:t>”.</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3CFA6D43" w:rsidR="00E949AC" w:rsidRPr="00E949AC" w:rsidRDefault="00626FF8" w:rsidP="00E949AC">
      <w:pPr>
        <w:jc w:val="both"/>
        <w:rPr>
          <w:rFonts w:ascii="Courier" w:hAnsi="Courier"/>
          <w:noProof w:val="0"/>
          <w:sz w:val="20"/>
        </w:rPr>
      </w:pPr>
      <w:r>
        <w:rPr>
          <w:rFonts w:ascii="Courier" w:hAnsi="Courier"/>
          <w:noProof w:val="0"/>
          <w:sz w:val="20"/>
        </w:rPr>
        <w:tab/>
      </w:r>
      <w:r w:rsidR="00E949AC" w:rsidRPr="00E949AC">
        <w:rPr>
          <w:rFonts w:ascii="Courier" w:hAnsi="Courier"/>
          <w:noProof w:val="0"/>
          <w:sz w:val="20"/>
        </w:rPr>
        <w:t>(</w:t>
      </w:r>
    </w:p>
    <w:p w14:paraId="3466E9C1" w14:textId="6C2A5857" w:rsidR="00E949AC" w:rsidRPr="00E949AC" w:rsidRDefault="00626FF8" w:rsidP="00E949AC">
      <w:pPr>
        <w:jc w:val="both"/>
        <w:rPr>
          <w:rFonts w:ascii="Courier" w:hAnsi="Courier"/>
          <w:noProof w:val="0"/>
          <w:sz w:val="20"/>
        </w:rPr>
      </w:pPr>
      <w:r>
        <w:rPr>
          <w:rFonts w:ascii="Courier" w:hAnsi="Courier"/>
          <w:noProof w:val="0"/>
          <w:sz w:val="20"/>
        </w:rPr>
        <w:tab/>
      </w:r>
      <w:r>
        <w:rPr>
          <w:rFonts w:ascii="Courier" w:hAnsi="Courier"/>
          <w:noProof w:val="0"/>
          <w:sz w:val="20"/>
        </w:rPr>
        <w:tab/>
      </w:r>
      <w:r w:rsidR="00E949AC" w:rsidRPr="00E949AC">
        <w:rPr>
          <w:rFonts w:ascii="Courier" w:hAnsi="Courier"/>
          <w:noProof w:val="0"/>
          <w:sz w:val="20"/>
        </w:rPr>
        <w:t>SELECT symbol, max(high)-min(low) AS growth FROM prices_split</w:t>
      </w:r>
    </w:p>
    <w:p w14:paraId="6B226C13" w14:textId="417CEECC" w:rsidR="00E949AC" w:rsidRPr="00E949AC" w:rsidRDefault="00626FF8" w:rsidP="00E949AC">
      <w:pPr>
        <w:jc w:val="both"/>
        <w:rPr>
          <w:rFonts w:ascii="Courier" w:hAnsi="Courier"/>
          <w:noProof w:val="0"/>
          <w:sz w:val="20"/>
        </w:rPr>
      </w:pPr>
      <w:r>
        <w:rPr>
          <w:rFonts w:ascii="Courier" w:hAnsi="Courier"/>
          <w:noProof w:val="0"/>
          <w:sz w:val="20"/>
        </w:rPr>
        <w:tab/>
      </w:r>
      <w:r>
        <w:rPr>
          <w:rFonts w:ascii="Courier" w:hAnsi="Courier"/>
          <w:noProof w:val="0"/>
          <w:sz w:val="20"/>
        </w:rPr>
        <w:tab/>
      </w:r>
      <w:r w:rsidR="00E949AC" w:rsidRPr="00E949AC">
        <w:rPr>
          <w:rFonts w:ascii="Courier" w:hAnsi="Courier"/>
          <w:noProof w:val="0"/>
          <w:sz w:val="20"/>
        </w:rPr>
        <w:t>GROUP BY symbol</w:t>
      </w:r>
    </w:p>
    <w:p w14:paraId="22990260" w14:textId="25D0EB80" w:rsidR="00E949AC" w:rsidRDefault="00626FF8" w:rsidP="00E949AC">
      <w:pPr>
        <w:jc w:val="both"/>
        <w:rPr>
          <w:rFonts w:ascii="Courier" w:hAnsi="Courier"/>
          <w:noProof w:val="0"/>
          <w:sz w:val="20"/>
        </w:rPr>
      </w:pPr>
      <w:r>
        <w:rPr>
          <w:rFonts w:ascii="Courier" w:hAnsi="Courier"/>
          <w:noProof w:val="0"/>
          <w:sz w:val="20"/>
        </w:rPr>
        <w:tab/>
      </w:r>
      <w:r w:rsidR="00E949AC" w:rsidRPr="00E949AC">
        <w:rPr>
          <w:rFonts w:ascii="Courier" w:hAnsi="Courier"/>
          <w:noProof w:val="0"/>
          <w:sz w:val="20"/>
        </w:rPr>
        <w:t>) AS subTable ORDER BY growth ASC LIMIT 1;</w:t>
      </w:r>
    </w:p>
    <w:p w14:paraId="603CE83A" w14:textId="621C1DC2" w:rsidR="00403BDB" w:rsidRDefault="00403BDB" w:rsidP="00E949AC">
      <w:pPr>
        <w:jc w:val="both"/>
        <w:rPr>
          <w:rFonts w:ascii="Times New Roman" w:hAnsi="Times New Roman"/>
          <w:noProof w:val="0"/>
          <w:sz w:val="20"/>
        </w:rPr>
      </w:pPr>
      <w:r>
        <w:rPr>
          <w:rFonts w:ascii="Times New Roman" w:hAnsi="Times New Roman"/>
          <w:noProof w:val="0"/>
          <w:sz w:val="20"/>
        </w:rPr>
        <w:t xml:space="preserve">The high growth data is provided by, </w:t>
      </w:r>
      <w:r>
        <w:rPr>
          <w:rFonts w:ascii="Courier" w:hAnsi="Courier"/>
          <w:noProof w:val="0"/>
          <w:sz w:val="20"/>
        </w:rPr>
        <w:t>SELECT</w:t>
      </w:r>
      <w:r w:rsidRPr="00403BDB">
        <w:rPr>
          <w:rFonts w:ascii="Courier" w:hAnsi="Courier"/>
          <w:noProof w:val="0"/>
          <w:sz w:val="20"/>
        </w:rPr>
        <w:t xml:space="preserve"> * FROM prices_split WHERE symbol = 'PCLN';</w:t>
      </w:r>
    </w:p>
    <w:p w14:paraId="12E491AC" w14:textId="577A5C16"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w:t>
      </w:r>
      <w:r w:rsidR="002D4BA6">
        <w:rPr>
          <w:rFonts w:ascii="Times New Roman" w:hAnsi="Times New Roman"/>
          <w:noProof w:val="0"/>
          <w:sz w:val="20"/>
        </w:rPr>
        <w:t xml:space="preserve"> growth stocks shows large differentials in stock performance</w:t>
      </w:r>
      <w:r w:rsidRPr="00E949AC">
        <w:rPr>
          <w:rFonts w:ascii="Times New Roman" w:hAnsi="Times New Roman"/>
          <w:noProof w:val="0"/>
          <w:sz w:val="20"/>
        </w:rPr>
        <w:t>.</w:t>
      </w:r>
    </w:p>
    <w:p w14:paraId="254DB578" w14:textId="768B6869" w:rsid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7B50DE24">
            <wp:extent cx="2717876" cy="19293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a:extLst>
                        <a:ext uri="{28A0092B-C50C-407E-A947-70E740481C1C}">
                          <a14:useLocalDpi xmlns:a14="http://schemas.microsoft.com/office/drawing/2010/main" val="0"/>
                        </a:ext>
                      </a:extLst>
                    </a:blip>
                    <a:stretch>
                      <a:fillRect/>
                    </a:stretch>
                  </pic:blipFill>
                  <pic:spPr>
                    <a:xfrm>
                      <a:off x="0" y="0"/>
                      <a:ext cx="2717876" cy="1929394"/>
                    </a:xfrm>
                    <a:prstGeom prst="rect">
                      <a:avLst/>
                    </a:prstGeom>
                  </pic:spPr>
                </pic:pic>
              </a:graphicData>
            </a:graphic>
          </wp:inline>
        </w:drawing>
      </w:r>
    </w:p>
    <w:p w14:paraId="03BF0AF6" w14:textId="17DA6AEE" w:rsidR="00AA11D3" w:rsidRPr="00E949AC" w:rsidRDefault="00AA11D3" w:rsidP="00E949AC">
      <w:pPr>
        <w:jc w:val="both"/>
        <w:rPr>
          <w:rFonts w:ascii="Courier" w:hAnsi="Courier"/>
          <w:noProof w:val="0"/>
          <w:sz w:val="20"/>
        </w:rPr>
      </w:pPr>
      <w:r>
        <w:rPr>
          <w:rFonts w:ascii="Courier" w:hAnsi="Courier"/>
          <w:noProof w:val="0"/>
          <w:sz w:val="20"/>
        </w:rPr>
        <w:t xml:space="preserve">                                         Fig 3</w:t>
      </w:r>
    </w:p>
    <w:p w14:paraId="2BE5C599" w14:textId="2BB1AB62" w:rsidR="00971BBA" w:rsidRPr="00E949AC" w:rsidRDefault="00971BBA" w:rsidP="00CD4914">
      <w:pPr>
        <w:jc w:val="both"/>
        <w:rPr>
          <w:rFonts w:ascii="Courier" w:hAnsi="Courier"/>
          <w:noProof w:val="0"/>
          <w:sz w:val="20"/>
        </w:rPr>
      </w:pPr>
    </w:p>
    <w:p w14:paraId="742473BA" w14:textId="3EC46E6E" w:rsidR="002617FB" w:rsidRDefault="002617FB" w:rsidP="004229F0">
      <w:pPr>
        <w:ind w:firstLine="720"/>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005E4E46">
        <w:rPr>
          <w:rFonts w:ascii="Times New Roman" w:hAnsi="Times New Roman"/>
          <w:b/>
          <w:sz w:val="22"/>
          <w:szCs w:val="22"/>
        </w:rPr>
        <w:t>:</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1F18A98A"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w:t>
      </w:r>
      <w:r w:rsidR="00AA11D3">
        <w:rPr>
          <w:rFonts w:ascii="Times New Roman" w:hAnsi="Times New Roman"/>
          <w:sz w:val="20"/>
        </w:rPr>
        <w:t>e</w:t>
      </w:r>
      <w:r>
        <w:rPr>
          <w:rFonts w:ascii="Times New Roman" w:hAnsi="Times New Roman"/>
          <w:sz w:val="20"/>
        </w:rPr>
        <w:t xml:space="preserve"> the comparision of the top five and bottom 5 records is a better metrics used for this paper</w:t>
      </w:r>
      <w:r w:rsidR="00AA11D3">
        <w:rPr>
          <w:rFonts w:ascii="Times New Roman" w:hAnsi="Times New Roman"/>
          <w:sz w:val="20"/>
        </w:rPr>
        <w:t>,macking the infomration more manable</w:t>
      </w:r>
      <w:r>
        <w:rPr>
          <w:rFonts w:ascii="Times New Roman" w:hAnsi="Times New Roman"/>
          <w:sz w:val="20"/>
        </w:rPr>
        <w:t>.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02CCB8F" w14:textId="2189D7CF" w:rsidR="00AA11D3" w:rsidRDefault="00AA11D3" w:rsidP="002617FB">
      <w:pPr>
        <w:jc w:val="both"/>
        <w:rPr>
          <w:rFonts w:ascii="Times New Roman" w:hAnsi="Times New Roman"/>
          <w:sz w:val="20"/>
        </w:rPr>
      </w:pPr>
    </w:p>
    <w:p w14:paraId="4028F624" w14:textId="7E77AA07" w:rsidR="00AA11D3" w:rsidRDefault="00AA11D3" w:rsidP="002617FB">
      <w:pPr>
        <w:jc w:val="both"/>
        <w:rPr>
          <w:rFonts w:ascii="Times New Roman" w:hAnsi="Times New Roman"/>
          <w:sz w:val="20"/>
        </w:rPr>
      </w:pPr>
    </w:p>
    <w:p w14:paraId="4FC2BE69" w14:textId="7D0FA353" w:rsidR="00AA11D3" w:rsidRDefault="00AA11D3" w:rsidP="002617FB">
      <w:pPr>
        <w:jc w:val="both"/>
        <w:rPr>
          <w:rFonts w:ascii="Times New Roman" w:hAnsi="Times New Roman"/>
          <w:sz w:val="20"/>
        </w:rPr>
      </w:pPr>
    </w:p>
    <w:p w14:paraId="5BF9978B" w14:textId="77777777" w:rsidR="00AA11D3" w:rsidRDefault="00AA11D3" w:rsidP="002617FB">
      <w:pPr>
        <w:jc w:val="both"/>
        <w:rPr>
          <w:rFonts w:ascii="Times New Roman" w:hAnsi="Times New Roman"/>
          <w:sz w:val="20"/>
        </w:rPr>
      </w:pPr>
    </w:p>
    <w:p w14:paraId="1A886D14" w14:textId="6382D26E" w:rsidR="002617FB" w:rsidRPr="00626FF8" w:rsidRDefault="00626FF8" w:rsidP="00626FF8">
      <w:pPr>
        <w:pStyle w:val="Heading3"/>
        <w:jc w:val="center"/>
        <w:rPr>
          <w:rFonts w:ascii="Cordia New" w:hAnsi="Cordia New"/>
          <w:sz w:val="28"/>
        </w:rPr>
      </w:pPr>
      <w:bookmarkStart w:id="0" w:name="_Hlk489992845"/>
      <w:r>
        <w:t xml:space="preserve">Top </w:t>
      </w:r>
      <w:r w:rsidRPr="002617FB">
        <w:t>5</w:t>
      </w:r>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2B99F3DE" w14:textId="43F7799F" w:rsidR="00AA11D3" w:rsidRPr="00AA11D3" w:rsidRDefault="00AA11D3" w:rsidP="00626FF8">
      <w:pPr>
        <w:pStyle w:val="Heading3"/>
        <w:jc w:val="center"/>
        <w:rPr>
          <w:b w:val="0"/>
          <w:sz w:val="20"/>
        </w:rPr>
      </w:pPr>
      <w:r w:rsidRPr="00AA11D3">
        <w:rPr>
          <w:b w:val="0"/>
          <w:sz w:val="20"/>
        </w:rPr>
        <w:t>Table 1</w:t>
      </w:r>
    </w:p>
    <w:p w14:paraId="012BA5A9" w14:textId="77777777" w:rsidR="00AA11D3" w:rsidRDefault="00AA11D3" w:rsidP="00626FF8">
      <w:pPr>
        <w:pStyle w:val="Heading3"/>
        <w:jc w:val="center"/>
      </w:pPr>
    </w:p>
    <w:p w14:paraId="1C0A7BFD" w14:textId="4C2D4E8F" w:rsidR="00E44656" w:rsidRPr="00626FF8" w:rsidRDefault="00626FF8" w:rsidP="00626FF8">
      <w:pPr>
        <w:pStyle w:val="Heading3"/>
        <w:jc w:val="center"/>
        <w:rPr>
          <w:rFonts w:ascii="Cordia New" w:hAnsi="Cordia New"/>
          <w:sz w:val="28"/>
        </w:rPr>
      </w:pPr>
      <w:r>
        <w:t>Bottom</w:t>
      </w:r>
      <w:r w:rsidR="00E44656">
        <w:t xml:space="preserve"> </w:t>
      </w:r>
      <w:r w:rsidR="002617FB" w:rsidRPr="002617FB">
        <w:t>5</w:t>
      </w:r>
      <w:bookmarkEnd w:id="0"/>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2BECDD1F" w14:textId="301E4374" w:rsidR="00AA11D3" w:rsidRPr="00AA11D3" w:rsidRDefault="00AA11D3" w:rsidP="00AA11D3">
      <w:pPr>
        <w:ind w:firstLine="720"/>
        <w:jc w:val="center"/>
        <w:rPr>
          <w:rFonts w:ascii="Times New Roman" w:hAnsi="Times New Roman"/>
          <w:noProof w:val="0"/>
          <w:sz w:val="20"/>
        </w:rPr>
      </w:pPr>
      <w:r w:rsidRPr="00AA11D3">
        <w:rPr>
          <w:rFonts w:ascii="Times New Roman" w:hAnsi="Times New Roman"/>
          <w:noProof w:val="0"/>
          <w:sz w:val="20"/>
        </w:rPr>
        <w:t>Table 2</w:t>
      </w:r>
    </w:p>
    <w:p w14:paraId="48516027" w14:textId="77777777" w:rsidR="00AA11D3" w:rsidRDefault="00AA11D3" w:rsidP="004229F0">
      <w:pPr>
        <w:ind w:firstLine="720"/>
        <w:jc w:val="both"/>
        <w:rPr>
          <w:rFonts w:ascii="Times New Roman" w:hAnsi="Times New Roman"/>
          <w:b/>
          <w:noProof w:val="0"/>
          <w:sz w:val="22"/>
          <w:szCs w:val="22"/>
        </w:rPr>
      </w:pPr>
    </w:p>
    <w:p w14:paraId="7DD47BBC" w14:textId="10CD47D5" w:rsidR="00971BBA" w:rsidRDefault="00E4245D" w:rsidP="004229F0">
      <w:pPr>
        <w:ind w:firstLine="720"/>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E4E46">
        <w:rPr>
          <w:rFonts w:ascii="Times New Roman" w:hAnsi="Times New Roman"/>
          <w:b/>
          <w:noProof w:val="0"/>
          <w:sz w:val="22"/>
          <w:szCs w:val="22"/>
        </w:rPr>
        <w:t>:</w:t>
      </w:r>
      <w:r w:rsidR="005F793F">
        <w:rPr>
          <w:rFonts w:ascii="Times New Roman" w:hAnsi="Times New Roman"/>
          <w:b/>
          <w:noProof w:val="0"/>
          <w:sz w:val="22"/>
          <w:szCs w:val="22"/>
        </w:rPr>
        <w:t xml:space="preserve"> </w:t>
      </w:r>
      <w:r w:rsidR="00AA11D3">
        <w:rPr>
          <w:rFonts w:ascii="Times New Roman" w:hAnsi="Times New Roman"/>
          <w:noProof w:val="0"/>
          <w:sz w:val="20"/>
        </w:rPr>
        <w:t xml:space="preserve">We are looking in to different metrics of stocks. </w:t>
      </w:r>
      <w:r w:rsidR="005F793F" w:rsidRPr="005F793F">
        <w:rPr>
          <w:rFonts w:ascii="Times New Roman" w:hAnsi="Times New Roman"/>
          <w:noProof w:val="0"/>
          <w:sz w:val="20"/>
        </w:rPr>
        <w:t xml:space="preserve"> By joining </w:t>
      </w:r>
      <w:r w:rsidR="00C72213">
        <w:rPr>
          <w:rFonts w:ascii="Times New Roman" w:hAnsi="Times New Roman"/>
          <w:noProof w:val="0"/>
          <w:sz w:val="20"/>
        </w:rPr>
        <w:t>split_</w:t>
      </w:r>
      <w:r w:rsidR="005F793F" w:rsidRPr="005F793F">
        <w:rPr>
          <w:rFonts w:ascii="Times New Roman" w:hAnsi="Times New Roman"/>
          <w:noProof w:val="0"/>
          <w:sz w:val="20"/>
        </w:rPr>
        <w:t>prices and fundamentals</w:t>
      </w:r>
      <w:r w:rsidR="00C72213">
        <w:rPr>
          <w:rFonts w:ascii="Times New Roman" w:hAnsi="Times New Roman"/>
          <w:noProof w:val="0"/>
          <w:sz w:val="20"/>
        </w:rPr>
        <w:t xml:space="preserve">, there are </w:t>
      </w:r>
      <w:r w:rsidR="00AA11D3">
        <w:rPr>
          <w:rFonts w:ascii="Times New Roman" w:hAnsi="Times New Roman"/>
          <w:noProof w:val="0"/>
          <w:sz w:val="20"/>
        </w:rPr>
        <w:t>a large</w:t>
      </w:r>
      <w:r w:rsidR="0092150C">
        <w:rPr>
          <w:rFonts w:ascii="Times New Roman" w:hAnsi="Times New Roman"/>
          <w:noProof w:val="0"/>
          <w:sz w:val="20"/>
        </w:rPr>
        <w:t xml:space="preserv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12"/>
        <w:gridCol w:w="1429"/>
        <w:gridCol w:w="957"/>
        <w:gridCol w:w="1511"/>
      </w:tblGrid>
      <w:tr w:rsidR="00B85853" w:rsidRPr="00750D58" w14:paraId="693E3C66" w14:textId="77777777" w:rsidTr="00B85853">
        <w:trPr>
          <w:trHeight w:val="320"/>
        </w:trPr>
        <w:tc>
          <w:tcPr>
            <w:tcW w:w="827" w:type="dxa"/>
            <w:noWrap/>
            <w:vAlign w:val="center"/>
            <w:hideMark/>
          </w:tcPr>
          <w:p w14:paraId="5B6CE9F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growth</w:t>
            </w:r>
          </w:p>
        </w:tc>
        <w:tc>
          <w:tcPr>
            <w:tcW w:w="1299" w:type="dxa"/>
            <w:noWrap/>
            <w:vAlign w:val="center"/>
            <w:hideMark/>
          </w:tcPr>
          <w:p w14:paraId="7C582EA5"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capital_expenditures</w:t>
            </w:r>
          </w:p>
        </w:tc>
        <w:tc>
          <w:tcPr>
            <w:tcW w:w="792" w:type="dxa"/>
            <w:noWrap/>
            <w:vAlign w:val="center"/>
            <w:hideMark/>
          </w:tcPr>
          <w:p w14:paraId="5E027D8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YEAR(date)</w:t>
            </w:r>
          </w:p>
        </w:tc>
        <w:tc>
          <w:tcPr>
            <w:tcW w:w="1304" w:type="dxa"/>
            <w:noWrap/>
            <w:vAlign w:val="center"/>
            <w:hideMark/>
          </w:tcPr>
          <w:p w14:paraId="2097961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Earnings_Before_Tax</w:t>
            </w:r>
          </w:p>
        </w:tc>
      </w:tr>
      <w:tr w:rsidR="00B85853" w:rsidRPr="00750D58" w14:paraId="2C52803C" w14:textId="77777777" w:rsidTr="00B85853">
        <w:trPr>
          <w:trHeight w:val="320"/>
        </w:trPr>
        <w:tc>
          <w:tcPr>
            <w:tcW w:w="827" w:type="dxa"/>
            <w:noWrap/>
            <w:vAlign w:val="center"/>
            <w:hideMark/>
          </w:tcPr>
          <w:p w14:paraId="139FF770"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159.880005</w:t>
            </w:r>
          </w:p>
        </w:tc>
        <w:tc>
          <w:tcPr>
            <w:tcW w:w="1299" w:type="dxa"/>
            <w:noWrap/>
            <w:vAlign w:val="center"/>
            <w:hideMark/>
          </w:tcPr>
          <w:p w14:paraId="7AE44A1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-3444000000</w:t>
            </w:r>
          </w:p>
        </w:tc>
        <w:tc>
          <w:tcPr>
            <w:tcW w:w="792" w:type="dxa"/>
            <w:noWrap/>
            <w:vAlign w:val="center"/>
            <w:hideMark/>
          </w:tcPr>
          <w:p w14:paraId="22FC5736"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2013</w:t>
            </w:r>
          </w:p>
        </w:tc>
        <w:tc>
          <w:tcPr>
            <w:tcW w:w="1304" w:type="dxa"/>
            <w:noWrap/>
            <w:vAlign w:val="center"/>
            <w:hideMark/>
          </w:tcPr>
          <w:p w14:paraId="45AA8543"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506000000</w:t>
            </w:r>
          </w:p>
        </w:tc>
      </w:tr>
      <w:tr w:rsidR="00B85853" w:rsidRPr="00750D58" w14:paraId="04F2F59F" w14:textId="77777777" w:rsidTr="00B85853">
        <w:trPr>
          <w:trHeight w:val="320"/>
        </w:trPr>
        <w:tc>
          <w:tcPr>
            <w:tcW w:w="827" w:type="dxa"/>
            <w:noWrap/>
            <w:vAlign w:val="center"/>
            <w:hideMark/>
          </w:tcPr>
          <w:p w14:paraId="740E4E6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124.059998</w:t>
            </w:r>
          </w:p>
        </w:tc>
        <w:tc>
          <w:tcPr>
            <w:tcW w:w="1299" w:type="dxa"/>
            <w:noWrap/>
            <w:vAlign w:val="center"/>
            <w:hideMark/>
          </w:tcPr>
          <w:p w14:paraId="63E349C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-4893000000</w:t>
            </w:r>
          </w:p>
        </w:tc>
        <w:tc>
          <w:tcPr>
            <w:tcW w:w="792" w:type="dxa"/>
            <w:noWrap/>
            <w:vAlign w:val="center"/>
            <w:hideMark/>
          </w:tcPr>
          <w:p w14:paraId="2192D261"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2014</w:t>
            </w:r>
          </w:p>
        </w:tc>
        <w:tc>
          <w:tcPr>
            <w:tcW w:w="1304" w:type="dxa"/>
            <w:noWrap/>
            <w:vAlign w:val="center"/>
            <w:hideMark/>
          </w:tcPr>
          <w:p w14:paraId="189DA0B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-111000000</w:t>
            </w:r>
          </w:p>
        </w:tc>
      </w:tr>
      <w:tr w:rsidR="00B85853" w:rsidRPr="00750D58" w14:paraId="4C307A0B" w14:textId="77777777" w:rsidTr="00B85853">
        <w:trPr>
          <w:trHeight w:val="320"/>
        </w:trPr>
        <w:tc>
          <w:tcPr>
            <w:tcW w:w="827" w:type="dxa"/>
            <w:noWrap/>
            <w:vAlign w:val="center"/>
            <w:hideMark/>
          </w:tcPr>
          <w:p w14:paraId="77C58B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411.190002</w:t>
            </w:r>
          </w:p>
        </w:tc>
        <w:tc>
          <w:tcPr>
            <w:tcW w:w="1299" w:type="dxa"/>
            <w:noWrap/>
            <w:vAlign w:val="center"/>
            <w:hideMark/>
          </w:tcPr>
          <w:p w14:paraId="7086D82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-4589000000</w:t>
            </w:r>
          </w:p>
        </w:tc>
        <w:tc>
          <w:tcPr>
            <w:tcW w:w="792" w:type="dxa"/>
            <w:noWrap/>
            <w:vAlign w:val="center"/>
            <w:hideMark/>
          </w:tcPr>
          <w:p w14:paraId="001EC11D"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2015</w:t>
            </w:r>
          </w:p>
        </w:tc>
        <w:tc>
          <w:tcPr>
            <w:tcW w:w="1304" w:type="dxa"/>
            <w:noWrap/>
            <w:vAlign w:val="center"/>
            <w:hideMark/>
          </w:tcPr>
          <w:p w14:paraId="36E315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1568000000</w:t>
            </w:r>
          </w:p>
        </w:tc>
      </w:tr>
    </w:tbl>
    <w:p w14:paraId="6C31491F" w14:textId="424F1115" w:rsidR="00AA11D3" w:rsidRDefault="00AA11D3" w:rsidP="00AA11D3">
      <w:pPr>
        <w:jc w:val="center"/>
        <w:rPr>
          <w:rFonts w:ascii="Times New Roman" w:hAnsi="Times New Roman"/>
          <w:sz w:val="20"/>
        </w:rPr>
      </w:pPr>
      <w:r>
        <w:rPr>
          <w:rFonts w:ascii="Times New Roman" w:hAnsi="Times New Roman"/>
          <w:sz w:val="20"/>
        </w:rPr>
        <w:t>Table3</w:t>
      </w:r>
    </w:p>
    <w:p w14:paraId="57B495FB" w14:textId="77777777" w:rsidR="00AA11D3" w:rsidRDefault="00AA11D3" w:rsidP="00AA11D3">
      <w:pPr>
        <w:jc w:val="center"/>
        <w:rPr>
          <w:rFonts w:ascii="Times New Roman" w:hAnsi="Times New Roman"/>
          <w:sz w:val="20"/>
        </w:rPr>
      </w:pPr>
    </w:p>
    <w:p w14:paraId="6E6F8901" w14:textId="5F9DE1B9" w:rsidR="00AA11D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46E95E48" w14:textId="542C69BF" w:rsidR="0030750E" w:rsidRDefault="0030750E" w:rsidP="0030750E">
      <w:pPr>
        <w:jc w:val="center"/>
        <w:rPr>
          <w:rFonts w:ascii="Times New Roman" w:hAnsi="Times New Roman"/>
          <w:sz w:val="20"/>
        </w:rPr>
      </w:pPr>
      <w:r>
        <w:rPr>
          <w:rFonts w:ascii="Times New Roman" w:hAnsi="Times New Roman"/>
          <w:sz w:val="20"/>
        </w:rPr>
        <w:t>Fig 4</w:t>
      </w:r>
    </w:p>
    <w:p w14:paraId="5B9BCD7C" w14:textId="46A643F2" w:rsidR="00971BBA" w:rsidRPr="0030750E" w:rsidRDefault="0030750E" w:rsidP="004E0E6B">
      <w:pPr>
        <w:jc w:val="both"/>
        <w:rPr>
          <w:rFonts w:ascii="Times New Roman" w:hAnsi="Times New Roman"/>
          <w:noProof w:val="0"/>
          <w:sz w:val="20"/>
        </w:rPr>
      </w:pPr>
      <w:r w:rsidRPr="0030750E">
        <w:rPr>
          <w:rFonts w:ascii="Times New Roman" w:hAnsi="Times New Roman"/>
          <w:noProof w:val="0"/>
          <w:sz w:val="20"/>
        </w:rPr>
        <w:lastRenderedPageBreak/>
        <w:t>Figure 4 shows the differences of Amazon stock for 2013 through 2015</w:t>
      </w:r>
      <w:r>
        <w:rPr>
          <w:rFonts w:ascii="Times New Roman" w:hAnsi="Times New Roman"/>
          <w:noProof w:val="0"/>
          <w:sz w:val="20"/>
        </w:rPr>
        <w:t>.  The width of the boxes highlights the Earnings before stock and the height shows the capital expendatures.</w:t>
      </w:r>
    </w:p>
    <w:p w14:paraId="722B1D79" w14:textId="2AC19A75" w:rsidR="00BE1D73" w:rsidRDefault="00E4245D" w:rsidP="004229F0">
      <w:pPr>
        <w:ind w:firstLine="720"/>
        <w:jc w:val="both"/>
        <w:rPr>
          <w:rFonts w:ascii="Times New Roman" w:hAnsi="Times New Roman"/>
          <w:noProof w:val="0"/>
          <w:sz w:val="20"/>
        </w:rPr>
      </w:pPr>
      <w:r>
        <w:rPr>
          <w:rFonts w:ascii="Times New Roman" w:hAnsi="Times New Roman"/>
          <w:b/>
          <w:noProof w:val="0"/>
          <w:sz w:val="22"/>
          <w:szCs w:val="22"/>
        </w:rPr>
        <w:t>4</w:t>
      </w:r>
      <w:r w:rsidR="00472C06">
        <w:rPr>
          <w:rFonts w:ascii="Times New Roman" w:hAnsi="Times New Roman"/>
          <w:b/>
          <w:noProof w:val="0"/>
          <w:sz w:val="22"/>
          <w:szCs w:val="22"/>
        </w:rPr>
        <w:t>.5 In</w:t>
      </w:r>
      <w:r w:rsidR="00971BBA">
        <w:rPr>
          <w:rFonts w:ascii="Times New Roman" w:hAnsi="Times New Roman"/>
          <w:b/>
          <w:noProof w:val="0"/>
          <w:sz w:val="22"/>
          <w:szCs w:val="22"/>
        </w:rPr>
        <w:t xml:space="preserve">sight </w:t>
      </w:r>
      <w:r w:rsidR="004229F0">
        <w:rPr>
          <w:rFonts w:ascii="Times New Roman" w:hAnsi="Times New Roman"/>
          <w:b/>
          <w:noProof w:val="0"/>
          <w:sz w:val="22"/>
          <w:szCs w:val="22"/>
        </w:rPr>
        <w:t>5</w:t>
      </w:r>
      <w:r w:rsidR="005E4E46">
        <w:rPr>
          <w:rFonts w:ascii="Times New Roman" w:hAnsi="Times New Roman"/>
          <w:b/>
          <w:noProof w:val="0"/>
          <w:sz w:val="22"/>
          <w:szCs w:val="22"/>
        </w:rPr>
        <w:t>:</w:t>
      </w:r>
      <w:r w:rsidR="004229F0" w:rsidRPr="002E2808">
        <w:rPr>
          <w:rFonts w:ascii="Times New Roman" w:hAnsi="Times New Roman"/>
          <w:noProof w:val="0"/>
          <w:sz w:val="20"/>
        </w:rPr>
        <w:t xml:space="preserve"> </w:t>
      </w:r>
      <w:r w:rsidR="002E2808" w:rsidRPr="002E2808">
        <w:rPr>
          <w:rFonts w:ascii="Times New Roman" w:hAnsi="Times New Roman"/>
          <w:noProof w:val="0"/>
          <w:sz w:val="20"/>
        </w:rPr>
        <w:t xml:space="preserve">It is important to know which </w:t>
      </w:r>
      <w:r w:rsidR="00490FCB">
        <w:rPr>
          <w:rFonts w:ascii="Times New Roman" w:hAnsi="Times New Roman"/>
          <w:noProof w:val="0"/>
          <w:sz w:val="20"/>
        </w:rPr>
        <w:t>industries and stocks</w:t>
      </w:r>
      <w:r w:rsidR="002E2808" w:rsidRPr="002E2808">
        <w:rPr>
          <w:rFonts w:ascii="Times New Roman" w:hAnsi="Times New Roman"/>
          <w:noProof w:val="0"/>
          <w:sz w:val="20"/>
        </w:rPr>
        <w:t xml:space="preserve"> provide the highest earnings per share</w:t>
      </w:r>
      <w:r w:rsidR="00490FCB">
        <w:rPr>
          <w:rFonts w:ascii="Times New Roman" w:hAnsi="Times New Roman"/>
          <w:noProof w:val="0"/>
          <w:sz w:val="20"/>
        </w:rPr>
        <w:t>. Using the Global Industry Classification Standard (</w:t>
      </w:r>
      <w:r w:rsidR="005F2A60">
        <w:rPr>
          <w:rFonts w:ascii="Times New Roman" w:hAnsi="Times New Roman"/>
          <w:noProof w:val="0"/>
          <w:sz w:val="20"/>
        </w:rPr>
        <w:t>GICS</w:t>
      </w:r>
      <w:r w:rsidR="00490FCB">
        <w:rPr>
          <w:rFonts w:ascii="Times New Roman" w:hAnsi="Times New Roman"/>
          <w:noProof w:val="0"/>
          <w:sz w:val="20"/>
        </w:rPr>
        <w:t>)</w:t>
      </w:r>
      <w:r w:rsidR="005F2A60">
        <w:rPr>
          <w:rFonts w:ascii="Times New Roman" w:hAnsi="Times New Roman"/>
          <w:noProof w:val="0"/>
          <w:sz w:val="20"/>
        </w:rPr>
        <w:t xml:space="preserve"> Sector</w:t>
      </w:r>
      <w:r w:rsidR="00490FCB">
        <w:rPr>
          <w:rFonts w:ascii="Times New Roman" w:hAnsi="Times New Roman"/>
          <w:noProof w:val="0"/>
          <w:sz w:val="20"/>
        </w:rPr>
        <w:t>, the 2016 data can be found</w:t>
      </w:r>
      <w:r w:rsidR="00D14E8B">
        <w:rPr>
          <w:rFonts w:ascii="Times New Roman" w:hAnsi="Times New Roman"/>
          <w:noProof w:val="0"/>
          <w:sz w:val="20"/>
        </w:rPr>
        <w:t>:</w:t>
      </w:r>
    </w:p>
    <w:p w14:paraId="49F4F2C6" w14:textId="5C750C01" w:rsidR="00A345B9" w:rsidRPr="00A345B9" w:rsidRDefault="00A345B9" w:rsidP="00A345B9">
      <w:pPr>
        <w:jc w:val="both"/>
        <w:rPr>
          <w:rFonts w:ascii="Courier" w:hAnsi="Courier"/>
          <w:noProof w:val="0"/>
          <w:sz w:val="20"/>
        </w:rPr>
      </w:pPr>
      <w:r w:rsidRPr="00A345B9">
        <w:rPr>
          <w:rFonts w:ascii="Courier" w:hAnsi="Courier"/>
          <w:noProof w:val="0"/>
          <w:sz w:val="20"/>
        </w:rPr>
        <w:t>SELECT DISTINCT GICS_Sector, `security`, MAX(Earnings_Per_Share)</w:t>
      </w:r>
      <w:r w:rsidR="008C4F5C" w:rsidRPr="008C4F5C">
        <w:rPr>
          <w:rFonts w:ascii="Andale Mono" w:hAnsi="Andale Mono"/>
          <w:b/>
          <w:noProof w:val="0"/>
          <w:color w:val="00F900"/>
          <w:sz w:val="27"/>
          <w:szCs w:val="27"/>
          <w:lang w:eastAsia="en-US"/>
        </w:rPr>
        <w:t xml:space="preserve"> </w:t>
      </w:r>
      <w:r w:rsidR="008C4F5C" w:rsidRPr="008C4F5C">
        <w:rPr>
          <w:rFonts w:ascii="Courier" w:hAnsi="Courier"/>
          <w:noProof w:val="0"/>
          <w:sz w:val="20"/>
        </w:rPr>
        <w:t>AS `Max EPS`</w:t>
      </w:r>
    </w:p>
    <w:p w14:paraId="55126547" w14:textId="77777777" w:rsidR="00A345B9" w:rsidRPr="00A345B9" w:rsidRDefault="00A345B9" w:rsidP="00A345B9">
      <w:pPr>
        <w:jc w:val="both"/>
        <w:rPr>
          <w:rFonts w:ascii="Courier" w:hAnsi="Courier"/>
          <w:noProof w:val="0"/>
          <w:sz w:val="20"/>
        </w:rPr>
      </w:pPr>
      <w:r w:rsidRPr="00A345B9">
        <w:rPr>
          <w:rFonts w:ascii="Courier" w:hAnsi="Courier"/>
          <w:noProof w:val="0"/>
          <w:sz w:val="20"/>
        </w:rPr>
        <w:t>FROM fundamentals</w:t>
      </w:r>
    </w:p>
    <w:p w14:paraId="3DC43C58" w14:textId="77777777" w:rsidR="00A345B9" w:rsidRPr="00A345B9" w:rsidRDefault="00A345B9" w:rsidP="00A345B9">
      <w:pPr>
        <w:jc w:val="both"/>
        <w:rPr>
          <w:rFonts w:ascii="Courier" w:hAnsi="Courier"/>
          <w:noProof w:val="0"/>
          <w:sz w:val="20"/>
        </w:rPr>
      </w:pPr>
      <w:r w:rsidRPr="00A345B9">
        <w:rPr>
          <w:rFonts w:ascii="Courier" w:hAnsi="Courier"/>
          <w:noProof w:val="0"/>
          <w:sz w:val="20"/>
        </w:rPr>
        <w:t>INNER JOIN securities</w:t>
      </w:r>
    </w:p>
    <w:p w14:paraId="2C4BD6DC" w14:textId="3008FC30" w:rsidR="00A345B9" w:rsidRPr="00A345B9" w:rsidRDefault="00A345B9" w:rsidP="00A345B9">
      <w:pPr>
        <w:jc w:val="both"/>
        <w:rPr>
          <w:rFonts w:ascii="Courier" w:hAnsi="Courier"/>
          <w:noProof w:val="0"/>
          <w:sz w:val="20"/>
        </w:rPr>
      </w:pPr>
      <w:r>
        <w:rPr>
          <w:rFonts w:ascii="Courier" w:hAnsi="Courier"/>
          <w:noProof w:val="0"/>
          <w:sz w:val="20"/>
        </w:rPr>
        <w:tab/>
      </w:r>
      <w:r w:rsidRPr="00A345B9">
        <w:rPr>
          <w:rFonts w:ascii="Courier" w:hAnsi="Courier"/>
          <w:noProof w:val="0"/>
          <w:sz w:val="20"/>
        </w:rPr>
        <w:t>ON fundamentals.symbol = securities.symbol</w:t>
      </w:r>
    </w:p>
    <w:p w14:paraId="747E760F" w14:textId="77777777" w:rsidR="00A345B9" w:rsidRPr="00A345B9" w:rsidRDefault="00A345B9" w:rsidP="00A345B9">
      <w:pPr>
        <w:jc w:val="both"/>
        <w:rPr>
          <w:rFonts w:ascii="Courier" w:hAnsi="Courier"/>
          <w:noProof w:val="0"/>
          <w:sz w:val="20"/>
        </w:rPr>
      </w:pPr>
      <w:r w:rsidRPr="00A345B9">
        <w:rPr>
          <w:rFonts w:ascii="Courier" w:hAnsi="Courier"/>
          <w:noProof w:val="0"/>
          <w:sz w:val="20"/>
        </w:rPr>
        <w:t>WHERE For_Year = 2016</w:t>
      </w:r>
    </w:p>
    <w:p w14:paraId="328409DF" w14:textId="77777777" w:rsidR="00A345B9" w:rsidRPr="00A345B9" w:rsidRDefault="00A345B9" w:rsidP="00A345B9">
      <w:pPr>
        <w:jc w:val="both"/>
        <w:rPr>
          <w:rFonts w:ascii="Courier" w:hAnsi="Courier"/>
          <w:noProof w:val="0"/>
          <w:sz w:val="20"/>
        </w:rPr>
      </w:pPr>
      <w:r w:rsidRPr="00A345B9">
        <w:rPr>
          <w:rFonts w:ascii="Courier" w:hAnsi="Courier"/>
          <w:noProof w:val="0"/>
          <w:sz w:val="20"/>
        </w:rPr>
        <w:t>GROUP BY GICS_Sector</w:t>
      </w:r>
    </w:p>
    <w:p w14:paraId="0E7B838F" w14:textId="77777777" w:rsidR="00A345B9" w:rsidRDefault="00A345B9" w:rsidP="00A345B9">
      <w:pPr>
        <w:jc w:val="both"/>
        <w:rPr>
          <w:rFonts w:ascii="Courier" w:hAnsi="Courier"/>
          <w:noProof w:val="0"/>
          <w:sz w:val="20"/>
        </w:rPr>
      </w:pPr>
      <w:r w:rsidRPr="00A345B9">
        <w:rPr>
          <w:rFonts w:ascii="Courier" w:hAnsi="Courier"/>
          <w:noProof w:val="0"/>
          <w:sz w:val="20"/>
        </w:rPr>
        <w:t>ORDER BY MAX(Earnings_Per_Share) DESC;</w:t>
      </w:r>
    </w:p>
    <w:tbl>
      <w:tblPr>
        <w:tblStyle w:val="TableGrid"/>
        <w:tblW w:w="4958" w:type="dxa"/>
        <w:tblLook w:val="04A0" w:firstRow="1" w:lastRow="0" w:firstColumn="1" w:lastColumn="0" w:noHBand="0" w:noVBand="1"/>
      </w:tblPr>
      <w:tblGrid>
        <w:gridCol w:w="1862"/>
        <w:gridCol w:w="1983"/>
        <w:gridCol w:w="1113"/>
      </w:tblGrid>
      <w:tr w:rsidR="008C4F5C" w:rsidRPr="004E0E6B" w14:paraId="3FE0A601" w14:textId="77777777" w:rsidTr="00B2124B">
        <w:trPr>
          <w:trHeight w:val="306"/>
        </w:trPr>
        <w:tc>
          <w:tcPr>
            <w:tcW w:w="1862" w:type="dxa"/>
            <w:noWrap/>
            <w:hideMark/>
          </w:tcPr>
          <w:p w14:paraId="6EBF89AB"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GICS_Sector</w:t>
            </w:r>
          </w:p>
        </w:tc>
        <w:tc>
          <w:tcPr>
            <w:tcW w:w="1983" w:type="dxa"/>
            <w:noWrap/>
            <w:hideMark/>
          </w:tcPr>
          <w:p w14:paraId="45115FC7"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security</w:t>
            </w:r>
          </w:p>
        </w:tc>
        <w:tc>
          <w:tcPr>
            <w:tcW w:w="1113" w:type="dxa"/>
            <w:noWrap/>
            <w:hideMark/>
          </w:tcPr>
          <w:p w14:paraId="46943C78"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Max EPS</w:t>
            </w:r>
          </w:p>
        </w:tc>
      </w:tr>
      <w:tr w:rsidR="008C4F5C" w:rsidRPr="004E0E6B" w14:paraId="095F14D5" w14:textId="77777777" w:rsidTr="00B2124B">
        <w:trPr>
          <w:trHeight w:val="306"/>
        </w:trPr>
        <w:tc>
          <w:tcPr>
            <w:tcW w:w="1862" w:type="dxa"/>
            <w:noWrap/>
            <w:hideMark/>
          </w:tcPr>
          <w:p w14:paraId="284D491C"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Consumer Discretiona</w:t>
            </w:r>
          </w:p>
        </w:tc>
        <w:tc>
          <w:tcPr>
            <w:tcW w:w="1983" w:type="dxa"/>
            <w:noWrap/>
            <w:hideMark/>
          </w:tcPr>
          <w:p w14:paraId="37FA7B5C"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AutoZone Inc</w:t>
            </w:r>
          </w:p>
        </w:tc>
        <w:tc>
          <w:tcPr>
            <w:tcW w:w="1113" w:type="dxa"/>
            <w:noWrap/>
            <w:hideMark/>
          </w:tcPr>
          <w:p w14:paraId="1F5B372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42</w:t>
            </w:r>
          </w:p>
        </w:tc>
      </w:tr>
      <w:tr w:rsidR="008C4F5C" w:rsidRPr="004E0E6B" w14:paraId="013FB4E8" w14:textId="77777777" w:rsidTr="00B2124B">
        <w:trPr>
          <w:trHeight w:val="306"/>
        </w:trPr>
        <w:tc>
          <w:tcPr>
            <w:tcW w:w="1862" w:type="dxa"/>
            <w:noWrap/>
            <w:hideMark/>
          </w:tcPr>
          <w:p w14:paraId="1FAEDE10"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Health Care</w:t>
            </w:r>
          </w:p>
        </w:tc>
        <w:tc>
          <w:tcPr>
            <w:tcW w:w="1983" w:type="dxa"/>
            <w:noWrap/>
            <w:hideMark/>
          </w:tcPr>
          <w:p w14:paraId="1289C583"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AmerisourceBergen Co</w:t>
            </w:r>
          </w:p>
        </w:tc>
        <w:tc>
          <w:tcPr>
            <w:tcW w:w="1113" w:type="dxa"/>
            <w:noWrap/>
            <w:hideMark/>
          </w:tcPr>
          <w:p w14:paraId="4A6AE0D2"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10</w:t>
            </w:r>
          </w:p>
        </w:tc>
      </w:tr>
      <w:tr w:rsidR="008C4F5C" w:rsidRPr="004E0E6B" w14:paraId="29983179" w14:textId="77777777" w:rsidTr="00B2124B">
        <w:trPr>
          <w:trHeight w:val="306"/>
        </w:trPr>
        <w:tc>
          <w:tcPr>
            <w:tcW w:w="1862" w:type="dxa"/>
            <w:noWrap/>
            <w:hideMark/>
          </w:tcPr>
          <w:p w14:paraId="040BC8E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Information Technolo</w:t>
            </w:r>
          </w:p>
        </w:tc>
        <w:tc>
          <w:tcPr>
            <w:tcW w:w="1983" w:type="dxa"/>
            <w:noWrap/>
            <w:hideMark/>
          </w:tcPr>
          <w:p w14:paraId="532613B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Apple Inc.</w:t>
            </w:r>
          </w:p>
        </w:tc>
        <w:tc>
          <w:tcPr>
            <w:tcW w:w="1113" w:type="dxa"/>
            <w:noWrap/>
            <w:hideMark/>
          </w:tcPr>
          <w:p w14:paraId="76D0213E"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8</w:t>
            </w:r>
          </w:p>
        </w:tc>
      </w:tr>
      <w:tr w:rsidR="008C4F5C" w:rsidRPr="004E0E6B" w14:paraId="74C1775C" w14:textId="77777777" w:rsidTr="00B2124B">
        <w:trPr>
          <w:trHeight w:val="306"/>
        </w:trPr>
        <w:tc>
          <w:tcPr>
            <w:tcW w:w="1862" w:type="dxa"/>
            <w:noWrap/>
            <w:hideMark/>
          </w:tcPr>
          <w:p w14:paraId="4EAEC2C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Industrials</w:t>
            </w:r>
          </w:p>
        </w:tc>
        <w:tc>
          <w:tcPr>
            <w:tcW w:w="1983" w:type="dxa"/>
            <w:noWrap/>
            <w:hideMark/>
          </w:tcPr>
          <w:p w14:paraId="2174162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Acuity Brands Inc</w:t>
            </w:r>
          </w:p>
        </w:tc>
        <w:tc>
          <w:tcPr>
            <w:tcW w:w="1113" w:type="dxa"/>
            <w:noWrap/>
            <w:hideMark/>
          </w:tcPr>
          <w:p w14:paraId="7D81B9CA"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7</w:t>
            </w:r>
          </w:p>
        </w:tc>
      </w:tr>
      <w:tr w:rsidR="008C4F5C" w:rsidRPr="004E0E6B" w14:paraId="499DFA2F" w14:textId="77777777" w:rsidTr="00B2124B">
        <w:trPr>
          <w:trHeight w:val="306"/>
        </w:trPr>
        <w:tc>
          <w:tcPr>
            <w:tcW w:w="1862" w:type="dxa"/>
            <w:noWrap/>
            <w:hideMark/>
          </w:tcPr>
          <w:p w14:paraId="3D0D03BA"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Consumer Staples</w:t>
            </w:r>
          </w:p>
        </w:tc>
        <w:tc>
          <w:tcPr>
            <w:tcW w:w="1983" w:type="dxa"/>
            <w:noWrap/>
            <w:hideMark/>
          </w:tcPr>
          <w:p w14:paraId="3754C16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ConAgra Foods Inc.</w:t>
            </w:r>
          </w:p>
        </w:tc>
        <w:tc>
          <w:tcPr>
            <w:tcW w:w="1113" w:type="dxa"/>
            <w:noWrap/>
            <w:hideMark/>
          </w:tcPr>
          <w:p w14:paraId="498D37AE"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6</w:t>
            </w:r>
          </w:p>
        </w:tc>
      </w:tr>
      <w:tr w:rsidR="008C4F5C" w:rsidRPr="004E0E6B" w14:paraId="46C7939C" w14:textId="77777777" w:rsidTr="00B2124B">
        <w:trPr>
          <w:trHeight w:val="306"/>
        </w:trPr>
        <w:tc>
          <w:tcPr>
            <w:tcW w:w="1862" w:type="dxa"/>
            <w:noWrap/>
            <w:hideMark/>
          </w:tcPr>
          <w:p w14:paraId="4C93AD19"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Materials</w:t>
            </w:r>
          </w:p>
        </w:tc>
        <w:tc>
          <w:tcPr>
            <w:tcW w:w="1983" w:type="dxa"/>
            <w:noWrap/>
            <w:hideMark/>
          </w:tcPr>
          <w:p w14:paraId="5864719F"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Air Products &amp; Chemi</w:t>
            </w:r>
          </w:p>
        </w:tc>
        <w:tc>
          <w:tcPr>
            <w:tcW w:w="1113" w:type="dxa"/>
            <w:noWrap/>
            <w:hideMark/>
          </w:tcPr>
          <w:p w14:paraId="2067BCED"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3</w:t>
            </w:r>
          </w:p>
        </w:tc>
      </w:tr>
      <w:tr w:rsidR="008C4F5C" w:rsidRPr="004E0E6B" w14:paraId="3D7DC79F" w14:textId="77777777" w:rsidTr="00B2124B">
        <w:trPr>
          <w:trHeight w:val="306"/>
        </w:trPr>
        <w:tc>
          <w:tcPr>
            <w:tcW w:w="1862" w:type="dxa"/>
            <w:noWrap/>
            <w:hideMark/>
          </w:tcPr>
          <w:p w14:paraId="71769465"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Financials</w:t>
            </w:r>
          </w:p>
        </w:tc>
        <w:tc>
          <w:tcPr>
            <w:tcW w:w="1983" w:type="dxa"/>
            <w:noWrap/>
            <w:hideMark/>
          </w:tcPr>
          <w:p w14:paraId="6D27E6E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Block H&amp;R</w:t>
            </w:r>
          </w:p>
        </w:tc>
        <w:tc>
          <w:tcPr>
            <w:tcW w:w="1113" w:type="dxa"/>
            <w:noWrap/>
            <w:hideMark/>
          </w:tcPr>
          <w:p w14:paraId="2ED1B0F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2</w:t>
            </w:r>
          </w:p>
        </w:tc>
      </w:tr>
      <w:tr w:rsidR="008C4F5C" w:rsidRPr="004E0E6B" w14:paraId="0052BEE3" w14:textId="77777777" w:rsidTr="00B2124B">
        <w:trPr>
          <w:trHeight w:val="306"/>
        </w:trPr>
        <w:tc>
          <w:tcPr>
            <w:tcW w:w="1862" w:type="dxa"/>
            <w:noWrap/>
            <w:hideMark/>
          </w:tcPr>
          <w:p w14:paraId="1D5FEFD6"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Energy</w:t>
            </w:r>
          </w:p>
        </w:tc>
        <w:tc>
          <w:tcPr>
            <w:tcW w:w="1983" w:type="dxa"/>
            <w:noWrap/>
            <w:hideMark/>
          </w:tcPr>
          <w:p w14:paraId="0480ACC1"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Helmerich &amp; Payne</w:t>
            </w:r>
          </w:p>
        </w:tc>
        <w:tc>
          <w:tcPr>
            <w:tcW w:w="1113" w:type="dxa"/>
            <w:noWrap/>
            <w:hideMark/>
          </w:tcPr>
          <w:p w14:paraId="57700A94" w14:textId="77777777" w:rsidR="008C4F5C" w:rsidRPr="004E0E6B" w:rsidRDefault="008C4F5C" w:rsidP="008C4F5C">
            <w:pPr>
              <w:jc w:val="both"/>
              <w:rPr>
                <w:rFonts w:ascii="Times New Roman" w:hAnsi="Times New Roman"/>
                <w:noProof w:val="0"/>
                <w:sz w:val="20"/>
              </w:rPr>
            </w:pPr>
            <w:r w:rsidRPr="004E0E6B">
              <w:rPr>
                <w:rFonts w:ascii="Times New Roman" w:hAnsi="Times New Roman"/>
                <w:noProof w:val="0"/>
                <w:sz w:val="20"/>
              </w:rPr>
              <w:t>-1</w:t>
            </w:r>
          </w:p>
        </w:tc>
      </w:tr>
    </w:tbl>
    <w:p w14:paraId="42CF17AC" w14:textId="77777777" w:rsidR="005C22B3" w:rsidRPr="00A345B9" w:rsidRDefault="005C22B3" w:rsidP="00A345B9">
      <w:pPr>
        <w:jc w:val="both"/>
        <w:rPr>
          <w:rFonts w:ascii="Courier" w:hAnsi="Courier"/>
          <w:noProof w:val="0"/>
          <w:sz w:val="20"/>
        </w:rPr>
      </w:pPr>
    </w:p>
    <w:p w14:paraId="7865C730" w14:textId="17D6A40E" w:rsidR="00971BBA" w:rsidRDefault="00971BBA" w:rsidP="00922C72">
      <w:pPr>
        <w:jc w:val="both"/>
        <w:rPr>
          <w:rFonts w:ascii="Times New Roman" w:hAnsi="Times New Roman"/>
          <w:b/>
          <w:noProof w:val="0"/>
          <w:sz w:val="24"/>
          <w:szCs w:val="24"/>
        </w:rPr>
      </w:pPr>
    </w:p>
    <w:p w14:paraId="6474EE3D" w14:textId="750D02C6" w:rsidR="00B2124B" w:rsidRDefault="00B2124B" w:rsidP="00971BBA">
      <w:pPr>
        <w:ind w:firstLine="720"/>
        <w:jc w:val="both"/>
        <w:rPr>
          <w:rFonts w:ascii="Times New Roman" w:hAnsi="Times New Roman"/>
          <w:noProof w:val="0"/>
          <w:sz w:val="20"/>
        </w:rPr>
      </w:pPr>
      <w:r>
        <w:rPr>
          <w:rFonts w:ascii="Times New Roman" w:hAnsi="Times New Roman"/>
          <w:b/>
          <w:noProof w:val="0"/>
          <w:sz w:val="24"/>
          <w:szCs w:val="24"/>
        </w:rPr>
        <w:t>5. Comparable studies</w:t>
      </w:r>
      <w:r w:rsidR="00420EFF">
        <w:rPr>
          <w:rFonts w:ascii="Times New Roman" w:hAnsi="Times New Roman"/>
          <w:b/>
          <w:noProof w:val="0"/>
          <w:sz w:val="24"/>
          <w:szCs w:val="24"/>
        </w:rPr>
        <w:t xml:space="preserve"> </w:t>
      </w:r>
      <w:r>
        <w:rPr>
          <w:rFonts w:ascii="Times New Roman" w:hAnsi="Times New Roman"/>
          <w:noProof w:val="0"/>
          <w:sz w:val="20"/>
        </w:rPr>
        <w:t>When we look into other studies to see if there is any comparable studies we find a 1999 study by Ruth Judson and Athanasios Orphanides comparing inflation vo</w:t>
      </w:r>
      <w:r w:rsidR="00327718">
        <w:rPr>
          <w:rFonts w:ascii="Times New Roman" w:hAnsi="Times New Roman"/>
          <w:noProof w:val="0"/>
          <w:sz w:val="20"/>
        </w:rPr>
        <w:t>tiality and growth, with a focus on inflation and not stock prices in the Voume 2, Issue 1 April 1999 “International Finacnce” journal.  The study focusing on the growth in different international markets and their markets as a whole not individual stocks.</w:t>
      </w:r>
      <w:r w:rsidR="00420EFF">
        <w:rPr>
          <w:rFonts w:ascii="Times New Roman" w:hAnsi="Times New Roman"/>
          <w:noProof w:val="0"/>
          <w:sz w:val="20"/>
        </w:rPr>
        <w:t xml:space="preserve">  The study can be found</w:t>
      </w:r>
      <w:r w:rsidR="005E4E46">
        <w:rPr>
          <w:rFonts w:ascii="Times New Roman" w:hAnsi="Times New Roman"/>
          <w:noProof w:val="0"/>
          <w:sz w:val="20"/>
        </w:rPr>
        <w:t xml:space="preserve"> at </w:t>
      </w:r>
      <w:hyperlink r:id="rId13" w:history="1">
        <w:r w:rsidR="00420EFF" w:rsidRPr="002233DE">
          <w:rPr>
            <w:rStyle w:val="Hyperlink"/>
            <w:rFonts w:ascii="Times New Roman" w:hAnsi="Times New Roman"/>
            <w:noProof w:val="0"/>
            <w:sz w:val="20"/>
          </w:rPr>
          <w:t>http://onlinelibrary.wiley.com/doi/10.1111/1468-2362.00021/full</w:t>
        </w:r>
      </w:hyperlink>
      <w:bookmarkStart w:id="1" w:name="_GoBack"/>
      <w:bookmarkEnd w:id="1"/>
    </w:p>
    <w:p w14:paraId="7E0BB4C6" w14:textId="77777777" w:rsidR="00420EFF" w:rsidRDefault="00420EFF" w:rsidP="00971BBA">
      <w:pPr>
        <w:ind w:firstLine="720"/>
        <w:jc w:val="both"/>
        <w:rPr>
          <w:rFonts w:ascii="Times New Roman" w:hAnsi="Times New Roman"/>
          <w:noProof w:val="0"/>
          <w:sz w:val="20"/>
        </w:rPr>
      </w:pPr>
    </w:p>
    <w:p w14:paraId="4CDFFBAB" w14:textId="06CF8022" w:rsidR="00420EFF" w:rsidRPr="00420EFF" w:rsidRDefault="00420EFF" w:rsidP="00971BBA">
      <w:pPr>
        <w:ind w:firstLine="720"/>
        <w:jc w:val="both"/>
        <w:rPr>
          <w:rFonts w:ascii="Times New Roman" w:hAnsi="Times New Roman"/>
          <w:noProof w:val="0"/>
          <w:sz w:val="20"/>
        </w:rPr>
      </w:pPr>
      <w:r w:rsidRPr="00420EFF">
        <w:rPr>
          <w:rFonts w:ascii="Times New Roman" w:hAnsi="Times New Roman"/>
          <w:noProof w:val="0"/>
          <w:sz w:val="20"/>
        </w:rPr>
        <w:t xml:space="preserve">There are many studies with focus on the different growth of stocks </w:t>
      </w:r>
      <w:r>
        <w:rPr>
          <w:rFonts w:ascii="Times New Roman" w:hAnsi="Times New Roman"/>
          <w:noProof w:val="0"/>
          <w:sz w:val="20"/>
        </w:rPr>
        <w:t xml:space="preserve">in different sectors, that is the study of economics.  But, when looking for any related to the data we used, no one were found.  I cannot prove there are no other studies out there which cover the same subject out there but I found none in the time I spent researching. </w:t>
      </w:r>
    </w:p>
    <w:p w14:paraId="2B363647" w14:textId="77777777" w:rsidR="00B2124B" w:rsidRDefault="00B2124B" w:rsidP="00971BBA">
      <w:pPr>
        <w:ind w:firstLine="720"/>
        <w:jc w:val="both"/>
        <w:rPr>
          <w:rFonts w:ascii="Times New Roman" w:hAnsi="Times New Roman"/>
          <w:b/>
          <w:noProof w:val="0"/>
          <w:sz w:val="24"/>
          <w:szCs w:val="24"/>
        </w:rPr>
      </w:pPr>
    </w:p>
    <w:p w14:paraId="73976748" w14:textId="41135F4F" w:rsidR="00971BBA" w:rsidRPr="00420EFF" w:rsidRDefault="00B2124B" w:rsidP="00971BBA">
      <w:pPr>
        <w:ind w:firstLine="720"/>
        <w:jc w:val="both"/>
        <w:rPr>
          <w:rFonts w:ascii="Times New Roman" w:hAnsi="Times New Roman"/>
          <w:noProof w:val="0"/>
          <w:sz w:val="20"/>
        </w:rPr>
      </w:pPr>
      <w:r>
        <w:rPr>
          <w:rFonts w:ascii="Times New Roman" w:hAnsi="Times New Roman"/>
          <w:b/>
          <w:noProof w:val="0"/>
          <w:sz w:val="24"/>
          <w:szCs w:val="24"/>
        </w:rPr>
        <w:t>6. Conclusi</w:t>
      </w:r>
      <w:r w:rsidR="00971BBA">
        <w:rPr>
          <w:rFonts w:ascii="Times New Roman" w:hAnsi="Times New Roman"/>
          <w:b/>
          <w:noProof w:val="0"/>
          <w:sz w:val="24"/>
          <w:szCs w:val="24"/>
        </w:rPr>
        <w:t>on</w:t>
      </w:r>
      <w:r w:rsidR="00420EFF">
        <w:rPr>
          <w:rFonts w:ascii="Times New Roman" w:hAnsi="Times New Roman"/>
          <w:b/>
          <w:noProof w:val="0"/>
          <w:sz w:val="24"/>
          <w:szCs w:val="24"/>
        </w:rPr>
        <w:t xml:space="preserve"> </w:t>
      </w:r>
      <w:r w:rsidR="00420EFF" w:rsidRPr="00420EFF">
        <w:rPr>
          <w:rFonts w:ascii="Times New Roman" w:hAnsi="Times New Roman"/>
          <w:noProof w:val="0"/>
          <w:sz w:val="20"/>
        </w:rPr>
        <w:t xml:space="preserve">We have looked at the Kaggle </w:t>
      </w:r>
      <w:r w:rsidR="00420EFF">
        <w:rPr>
          <w:rFonts w:ascii="Times New Roman" w:hAnsi="Times New Roman"/>
          <w:noProof w:val="0"/>
          <w:sz w:val="20"/>
        </w:rPr>
        <w:t xml:space="preserve">market data from the NYSE from 2010 through 2016.  Where we researched the correlation between the volatility of stock vs the growth rate of stocks, showing a distinct linear trend.  We showed the difference visually between the highest growth stock vs the lowest growth stock, displaying the vast difference in volatility. We looked </w:t>
      </w:r>
      <w:r w:rsidR="003E6443">
        <w:rPr>
          <w:rFonts w:ascii="Times New Roman" w:hAnsi="Times New Roman"/>
          <w:noProof w:val="0"/>
          <w:sz w:val="20"/>
        </w:rPr>
        <w:t xml:space="preserve">to wee if the different markets had a similar or different growth rate during the time period.  We did this by looking </w:t>
      </w:r>
      <w:r w:rsidR="00420EFF">
        <w:rPr>
          <w:rFonts w:ascii="Times New Roman" w:hAnsi="Times New Roman"/>
          <w:noProof w:val="0"/>
          <w:sz w:val="20"/>
        </w:rPr>
        <w:t xml:space="preserve">at the top 5 and bottom 5 </w:t>
      </w:r>
      <w:r w:rsidR="003E6443">
        <w:rPr>
          <w:rFonts w:ascii="Times New Roman" w:hAnsi="Times New Roman"/>
          <w:noProof w:val="0"/>
          <w:sz w:val="20"/>
        </w:rPr>
        <w:t xml:space="preserve">GICS sectors average growth rate.  We focused on one stock “Amazon” and explored relationships in different SEC fundamentals.  Final we wanted to highlight the top performers of the different GICS sectors with a focus on earning per share.   </w:t>
      </w:r>
    </w:p>
    <w:p w14:paraId="12623643" w14:textId="1F3C43E0" w:rsidR="00971BBA" w:rsidRDefault="00971BBA" w:rsidP="00971BBA">
      <w:pPr>
        <w:ind w:firstLine="720"/>
        <w:jc w:val="both"/>
        <w:rPr>
          <w:rFonts w:ascii="Times New Roman" w:hAnsi="Times New Roman"/>
          <w:b/>
          <w:noProof w:val="0"/>
          <w:sz w:val="24"/>
          <w:szCs w:val="24"/>
        </w:rPr>
      </w:pPr>
    </w:p>
    <w:p w14:paraId="6604AA9C" w14:textId="13184B1A" w:rsidR="003E6443" w:rsidRPr="003E6443" w:rsidRDefault="003E6443" w:rsidP="00971BBA">
      <w:pPr>
        <w:ind w:firstLine="720"/>
        <w:jc w:val="both"/>
        <w:rPr>
          <w:rFonts w:ascii="Times New Roman" w:hAnsi="Times New Roman"/>
          <w:noProof w:val="0"/>
          <w:sz w:val="20"/>
        </w:rPr>
      </w:pPr>
      <w:r w:rsidRPr="003E6443">
        <w:rPr>
          <w:rFonts w:ascii="Times New Roman" w:hAnsi="Times New Roman"/>
          <w:noProof w:val="0"/>
          <w:sz w:val="20"/>
        </w:rPr>
        <w:t>Finally I would like to highlight that this study was conducted with a very limited dataset and any correlations or revalations cannot be applied to the large stock population.  All of our data and code can be found at github in the wibsie listed below.</w:t>
      </w:r>
    </w:p>
    <w:p w14:paraId="2605D3E0" w14:textId="1D8D5A52" w:rsidR="003E6443" w:rsidRPr="003E6443" w:rsidRDefault="003E6443" w:rsidP="00971BBA">
      <w:pPr>
        <w:ind w:firstLine="720"/>
        <w:jc w:val="both"/>
        <w:rPr>
          <w:rFonts w:ascii="Times New Roman" w:hAnsi="Times New Roman"/>
          <w:noProof w:val="0"/>
          <w:sz w:val="20"/>
        </w:rPr>
      </w:pPr>
      <w:hyperlink r:id="rId14" w:history="1">
        <w:r w:rsidRPr="003E6443">
          <w:rPr>
            <w:rStyle w:val="Hyperlink"/>
            <w:rFonts w:ascii="Times New Roman" w:hAnsi="Times New Roman"/>
            <w:noProof w:val="0"/>
            <w:sz w:val="20"/>
          </w:rPr>
          <w:t>https://github.com/DSSMU/MSDS7330_Project</w:t>
        </w:r>
      </w:hyperlink>
    </w:p>
    <w:p w14:paraId="09A90217" w14:textId="77777777" w:rsidR="003E6443" w:rsidRPr="003E6443" w:rsidRDefault="003E6443" w:rsidP="00971BBA">
      <w:pPr>
        <w:ind w:firstLine="720"/>
        <w:jc w:val="both"/>
        <w:rPr>
          <w:rFonts w:ascii="Times New Roman" w:hAnsi="Times New Roman"/>
          <w:noProof w:val="0"/>
          <w:sz w:val="22"/>
          <w:szCs w:val="22"/>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5A939558" w:rsidR="00971BBA" w:rsidRDefault="00B2124B" w:rsidP="00E4245D">
      <w:pPr>
        <w:pStyle w:val="SectionHeading"/>
        <w:jc w:val="left"/>
      </w:pPr>
      <w:r>
        <w:t>7</w:t>
      </w:r>
      <w:r w:rsidR="00E4245D">
        <w:t xml:space="preserve">. References </w:t>
      </w:r>
    </w:p>
    <w:p w14:paraId="0D6AE56D" w14:textId="77777777" w:rsidR="00E4245D" w:rsidRDefault="00A73A80" w:rsidP="00E4245D">
      <w:pPr>
        <w:pStyle w:val="SectionHeading"/>
        <w:jc w:val="left"/>
      </w:pPr>
      <w:hyperlink r:id="rId15"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475F7BDE" w14:textId="0FE28246" w:rsidR="004E0E6B" w:rsidRDefault="00E4245D" w:rsidP="005E4E46">
      <w:pPr>
        <w:pStyle w:val="SectionHeading"/>
        <w:jc w:val="left"/>
        <w:rPr>
          <w:b w:val="0"/>
        </w:rPr>
      </w:pPr>
      <w:r w:rsidRPr="00E4245D">
        <w:t>https://www.kaggle.com/benjibb/lstm-stock-prediction-20170507/data</w:t>
      </w:r>
    </w:p>
    <w:p w14:paraId="7DBA739C" w14:textId="77777777" w:rsidR="00971BBA" w:rsidRDefault="00971BBA">
      <w:pPr>
        <w:pStyle w:val="SectionHeading"/>
      </w:pPr>
    </w:p>
    <w:p w14:paraId="67FEBD86" w14:textId="7DF0B0DA"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p>
    <w:p w14:paraId="6B117BAE" w14:textId="77777777" w:rsidR="009427D2" w:rsidRDefault="009427D2" w:rsidP="003E6443">
      <w:pPr>
        <w:pStyle w:val="NormalWeb"/>
        <w:shd w:val="clear" w:color="auto" w:fill="FFFFFF"/>
        <w:spacing w:before="0" w:beforeAutospacing="0" w:after="150" w:afterAutospacing="0" w:line="300" w:lineRule="atLeast"/>
        <w:rPr>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21D91" w14:textId="77777777" w:rsidR="00A73A80" w:rsidRDefault="00A73A80">
      <w:r>
        <w:separator/>
      </w:r>
    </w:p>
  </w:endnote>
  <w:endnote w:type="continuationSeparator" w:id="0">
    <w:p w14:paraId="6CEB25C8" w14:textId="77777777" w:rsidR="00A73A80" w:rsidRDefault="00A7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ndale Mono">
    <w:altName w:val="Calibri"/>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5A4F" w14:textId="77777777" w:rsidR="00A73A80" w:rsidRDefault="00A73A80">
      <w:r>
        <w:separator/>
      </w:r>
    </w:p>
  </w:footnote>
  <w:footnote w:type="continuationSeparator" w:id="0">
    <w:p w14:paraId="786B7F4E" w14:textId="77777777" w:rsidR="00A73A80" w:rsidRDefault="00A73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15:restartNumberingAfterBreak="0">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A64DF"/>
    <w:rsid w:val="000F7FD2"/>
    <w:rsid w:val="00180DFF"/>
    <w:rsid w:val="001C047D"/>
    <w:rsid w:val="001E5CE0"/>
    <w:rsid w:val="00230ED9"/>
    <w:rsid w:val="002617FB"/>
    <w:rsid w:val="002673B1"/>
    <w:rsid w:val="00273D58"/>
    <w:rsid w:val="00293055"/>
    <w:rsid w:val="002B33B0"/>
    <w:rsid w:val="002D4BA6"/>
    <w:rsid w:val="002E2808"/>
    <w:rsid w:val="0030750E"/>
    <w:rsid w:val="00323D03"/>
    <w:rsid w:val="00327718"/>
    <w:rsid w:val="00362715"/>
    <w:rsid w:val="003A7639"/>
    <w:rsid w:val="003C3F70"/>
    <w:rsid w:val="003E6443"/>
    <w:rsid w:val="00403BDB"/>
    <w:rsid w:val="00420EFF"/>
    <w:rsid w:val="004229F0"/>
    <w:rsid w:val="00452892"/>
    <w:rsid w:val="00461246"/>
    <w:rsid w:val="00472C06"/>
    <w:rsid w:val="00490FCB"/>
    <w:rsid w:val="004A4625"/>
    <w:rsid w:val="004D3292"/>
    <w:rsid w:val="004E0E6B"/>
    <w:rsid w:val="004F58C7"/>
    <w:rsid w:val="00540017"/>
    <w:rsid w:val="005418AE"/>
    <w:rsid w:val="00572292"/>
    <w:rsid w:val="005833EB"/>
    <w:rsid w:val="005C22B3"/>
    <w:rsid w:val="005E4E46"/>
    <w:rsid w:val="005F2A60"/>
    <w:rsid w:val="005F793F"/>
    <w:rsid w:val="00626FF8"/>
    <w:rsid w:val="00631E26"/>
    <w:rsid w:val="00667C3A"/>
    <w:rsid w:val="006704D2"/>
    <w:rsid w:val="006C7832"/>
    <w:rsid w:val="0073771B"/>
    <w:rsid w:val="00750D58"/>
    <w:rsid w:val="00771E7C"/>
    <w:rsid w:val="00787BCF"/>
    <w:rsid w:val="007A546A"/>
    <w:rsid w:val="007C73CF"/>
    <w:rsid w:val="007E096F"/>
    <w:rsid w:val="00833F31"/>
    <w:rsid w:val="00876A76"/>
    <w:rsid w:val="008B69E4"/>
    <w:rsid w:val="008C4F5C"/>
    <w:rsid w:val="008C537D"/>
    <w:rsid w:val="008C583C"/>
    <w:rsid w:val="0092150C"/>
    <w:rsid w:val="00922C72"/>
    <w:rsid w:val="00930BAD"/>
    <w:rsid w:val="009427D2"/>
    <w:rsid w:val="00971BBA"/>
    <w:rsid w:val="009A0089"/>
    <w:rsid w:val="009A566A"/>
    <w:rsid w:val="009D428A"/>
    <w:rsid w:val="009F3C91"/>
    <w:rsid w:val="00A345B9"/>
    <w:rsid w:val="00A73A80"/>
    <w:rsid w:val="00A74478"/>
    <w:rsid w:val="00AA11D3"/>
    <w:rsid w:val="00AA5A86"/>
    <w:rsid w:val="00AF6F1A"/>
    <w:rsid w:val="00AF7FF1"/>
    <w:rsid w:val="00B15FB0"/>
    <w:rsid w:val="00B2124B"/>
    <w:rsid w:val="00B75529"/>
    <w:rsid w:val="00B85853"/>
    <w:rsid w:val="00BE1D73"/>
    <w:rsid w:val="00BF28AF"/>
    <w:rsid w:val="00C72213"/>
    <w:rsid w:val="00CA0495"/>
    <w:rsid w:val="00CD4914"/>
    <w:rsid w:val="00D10E8B"/>
    <w:rsid w:val="00D14E8B"/>
    <w:rsid w:val="00E369EC"/>
    <w:rsid w:val="00E4245D"/>
    <w:rsid w:val="00E44656"/>
    <w:rsid w:val="00E704FA"/>
    <w:rsid w:val="00E73A2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 w:type="character" w:styleId="UnresolvedMention">
    <w:name w:val="Unresolved Mention"/>
    <w:basedOn w:val="DefaultParagraphFont"/>
    <w:uiPriority w:val="99"/>
    <w:rsid w:val="00420E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2320080">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595136481">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1701663">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123310560">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645504562">
      <w:bodyDiv w:val="1"/>
      <w:marLeft w:val="0"/>
      <w:marRight w:val="0"/>
      <w:marTop w:val="0"/>
      <w:marBottom w:val="0"/>
      <w:divBdr>
        <w:top w:val="none" w:sz="0" w:space="0" w:color="auto"/>
        <w:left w:val="none" w:sz="0" w:space="0" w:color="auto"/>
        <w:bottom w:val="none" w:sz="0" w:space="0" w:color="auto"/>
        <w:right w:val="none" w:sz="0" w:space="0" w:color="auto"/>
      </w:divBdr>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njibb/lstm-stock-prediction-20170507/data" TargetMode="External"/><Relationship Id="rId13" Type="http://schemas.openxmlformats.org/officeDocument/2006/relationships/hyperlink" Target="http://onlinelibrary.wiley.com/doi/10.1111/1468-2362.00021/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zerohedge.com/contributed/2012-17-26/84-all-stock-trades-are-high-frequency-computers-%E2%80%A6-only-16-are-done-human-tra"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SSMU/MSDS7330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1750AE-7AFF-4F82-B457-13D8CED4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8809</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scottdagreat@yahoo.com</cp:lastModifiedBy>
  <cp:revision>2</cp:revision>
  <cp:lastPrinted>2003-03-28T22:51:00Z</cp:lastPrinted>
  <dcterms:created xsi:type="dcterms:W3CDTF">2017-08-19T18:23:00Z</dcterms:created>
  <dcterms:modified xsi:type="dcterms:W3CDTF">2017-08-19T18:23:00Z</dcterms:modified>
</cp:coreProperties>
</file>