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E7E98" w14:textId="77777777" w:rsidR="009817B6" w:rsidRPr="009817B6" w:rsidRDefault="009817B6" w:rsidP="009817B6">
      <w:pPr>
        <w:spacing w:after="0"/>
        <w:rPr>
          <w:b/>
          <w:bCs/>
          <w:sz w:val="36"/>
          <w:szCs w:val="36"/>
        </w:rPr>
      </w:pPr>
      <w:r w:rsidRPr="009817B6">
        <w:rPr>
          <w:b/>
          <w:bCs/>
          <w:sz w:val="36"/>
          <w:szCs w:val="36"/>
        </w:rPr>
        <w:t>Slide 1 – Title</w:t>
      </w:r>
    </w:p>
    <w:p w14:paraId="1B7329AD" w14:textId="77777777" w:rsidR="009817B6" w:rsidRDefault="009817B6" w:rsidP="009817B6">
      <w:pPr>
        <w:spacing w:after="0"/>
      </w:pPr>
      <w:r>
        <w:t xml:space="preserve">Hello. </w:t>
      </w:r>
      <w:r w:rsidRPr="009817B6">
        <w:t xml:space="preserve">Today I’ll be presenting an analysis of program-level return on investment across multiple </w:t>
      </w:r>
      <w:r>
        <w:t>areas of study.</w:t>
      </w:r>
    </w:p>
    <w:p w14:paraId="761B8E04" w14:textId="63B9B1E5" w:rsidR="009817B6" w:rsidRPr="009817B6" w:rsidRDefault="009817B6" w:rsidP="009817B6">
      <w:pPr>
        <w:spacing w:after="0"/>
      </w:pPr>
      <w:r w:rsidRPr="009817B6">
        <w:br/>
        <w:t>The goal of this project is to understand which fields and credential levels produce the strongest financial outcomes</w:t>
      </w:r>
      <w:r>
        <w:t xml:space="preserve"> and</w:t>
      </w:r>
      <w:r w:rsidRPr="009817B6">
        <w:t xml:space="preserve"> where risk exists</w:t>
      </w:r>
    </w:p>
    <w:p w14:paraId="1A2438F3" w14:textId="77777777" w:rsidR="009817B6" w:rsidRPr="009817B6" w:rsidRDefault="00000000" w:rsidP="009817B6">
      <w:pPr>
        <w:spacing w:after="0"/>
      </w:pPr>
      <w:r>
        <w:pict w14:anchorId="3C08497D">
          <v:rect id="_x0000_i1025" style="width:0;height:1.5pt" o:hralign="center" o:hrstd="t" o:hr="t" fillcolor="#a0a0a0" stroked="f"/>
        </w:pict>
      </w:r>
    </w:p>
    <w:p w14:paraId="7AA981BD" w14:textId="77777777" w:rsidR="009817B6" w:rsidRPr="009817B6" w:rsidRDefault="009817B6" w:rsidP="009817B6">
      <w:pPr>
        <w:spacing w:after="0"/>
        <w:rPr>
          <w:b/>
          <w:bCs/>
          <w:sz w:val="36"/>
          <w:szCs w:val="36"/>
        </w:rPr>
      </w:pPr>
      <w:r w:rsidRPr="009817B6">
        <w:rPr>
          <w:b/>
          <w:bCs/>
          <w:sz w:val="36"/>
          <w:szCs w:val="36"/>
        </w:rPr>
        <w:t>Slide 2 – Summary</w:t>
      </w:r>
    </w:p>
    <w:p w14:paraId="53E32A18" w14:textId="735CD87E" w:rsidR="009817B6" w:rsidRPr="009817B6" w:rsidRDefault="009817B6" w:rsidP="009817B6">
      <w:pPr>
        <w:spacing w:after="0"/>
      </w:pPr>
      <w:r w:rsidRPr="009817B6">
        <w:t>This analysis evaluates program ROI, distribution across performance categories, distribution within CIP families, credential-level mix, and overall production.</w:t>
      </w:r>
    </w:p>
    <w:p w14:paraId="78653F52" w14:textId="77777777" w:rsidR="009817B6" w:rsidRDefault="009817B6" w:rsidP="009817B6">
      <w:pPr>
        <w:spacing w:after="0"/>
      </w:pPr>
    </w:p>
    <w:p w14:paraId="4CD2AD11" w14:textId="4BEA5900" w:rsidR="009817B6" w:rsidRPr="009817B6" w:rsidRDefault="009817B6" w:rsidP="009817B6">
      <w:pPr>
        <w:spacing w:after="0"/>
      </w:pPr>
      <w:r w:rsidRPr="009817B6">
        <w:t>Rather than looking at averages alone, this project focuses on identifying high performers, low performers, and volatility within fields to support more strategic decision-making.</w:t>
      </w:r>
    </w:p>
    <w:p w14:paraId="4946308E" w14:textId="77777777" w:rsidR="009817B6" w:rsidRPr="009817B6" w:rsidRDefault="00000000" w:rsidP="009817B6">
      <w:pPr>
        <w:spacing w:after="0"/>
      </w:pPr>
      <w:r>
        <w:pict w14:anchorId="24F81AC7">
          <v:rect id="_x0000_i1026" style="width:0;height:1.5pt" o:hralign="center" o:hrstd="t" o:hr="t" fillcolor="#a0a0a0" stroked="f"/>
        </w:pict>
      </w:r>
    </w:p>
    <w:p w14:paraId="24C18716" w14:textId="77777777" w:rsidR="009817B6" w:rsidRPr="009817B6" w:rsidRDefault="009817B6" w:rsidP="009817B6">
      <w:pPr>
        <w:spacing w:after="0"/>
        <w:rPr>
          <w:b/>
          <w:bCs/>
          <w:sz w:val="36"/>
          <w:szCs w:val="36"/>
        </w:rPr>
      </w:pPr>
      <w:r w:rsidRPr="009817B6">
        <w:rPr>
          <w:b/>
          <w:bCs/>
          <w:sz w:val="36"/>
          <w:szCs w:val="36"/>
        </w:rPr>
        <w:t>Slide 3 – Definitions</w:t>
      </w:r>
    </w:p>
    <w:p w14:paraId="2F68261E" w14:textId="1560ED4B" w:rsidR="009817B6" w:rsidRPr="009817B6" w:rsidRDefault="009817B6" w:rsidP="009817B6">
      <w:pPr>
        <w:spacing w:after="0"/>
      </w:pPr>
      <w:r w:rsidRPr="009817B6">
        <w:t xml:space="preserve">Before diving into the results, here are </w:t>
      </w:r>
      <w:r>
        <w:t>a few</w:t>
      </w:r>
      <w:r w:rsidRPr="009817B6">
        <w:t xml:space="preserve"> key definitions.</w:t>
      </w:r>
    </w:p>
    <w:p w14:paraId="498B1F8B" w14:textId="63054740" w:rsidR="009817B6" w:rsidRDefault="009817B6" w:rsidP="009817B6">
      <w:pPr>
        <w:spacing w:after="0"/>
      </w:pPr>
      <w:r w:rsidRPr="009817B6">
        <w:t>ROI is calculated using median income relative to average program cost</w:t>
      </w:r>
      <w:r>
        <w:t>. This is based on earnings three years after program completion.</w:t>
      </w:r>
    </w:p>
    <w:p w14:paraId="6602BF37" w14:textId="77777777" w:rsidR="009817B6" w:rsidRPr="009817B6" w:rsidRDefault="009817B6" w:rsidP="009817B6">
      <w:pPr>
        <w:spacing w:after="0"/>
      </w:pPr>
    </w:p>
    <w:p w14:paraId="00C6CE57" w14:textId="77777777" w:rsidR="00B86C5F" w:rsidRDefault="009817B6" w:rsidP="009817B6">
      <w:pPr>
        <w:spacing w:after="0"/>
      </w:pPr>
      <w:r w:rsidRPr="009817B6">
        <w:t>High or Exceptional Share represents the proportion of programs within a CIP family achieving</w:t>
      </w:r>
      <w:r>
        <w:t xml:space="preserve"> a</w:t>
      </w:r>
      <w:r w:rsidRPr="009817B6">
        <w:t xml:space="preserve"> strong ROI outcome.</w:t>
      </w:r>
      <w:r>
        <w:t xml:space="preserve"> </w:t>
      </w:r>
    </w:p>
    <w:p w14:paraId="0D4ACAC5" w14:textId="01AA63E4" w:rsidR="009817B6" w:rsidRDefault="009817B6" w:rsidP="009817B6">
      <w:pPr>
        <w:spacing w:after="0"/>
      </w:pPr>
      <w:r w:rsidRPr="009817B6">
        <w:t>Negative Share represents programs where earnings do not justify cost.</w:t>
      </w:r>
      <w:r w:rsidR="00B86C5F">
        <w:t xml:space="preserve"> </w:t>
      </w:r>
    </w:p>
    <w:p w14:paraId="62BB2A92" w14:textId="77777777" w:rsidR="009817B6" w:rsidRPr="009817B6" w:rsidRDefault="009817B6" w:rsidP="009817B6">
      <w:pPr>
        <w:spacing w:after="0"/>
      </w:pPr>
    </w:p>
    <w:p w14:paraId="095191E8" w14:textId="0A087942" w:rsidR="009817B6" w:rsidRDefault="009817B6" w:rsidP="009817B6">
      <w:pPr>
        <w:spacing w:after="0"/>
      </w:pPr>
      <w:r w:rsidRPr="009817B6">
        <w:t>Program Count refers to the total number of programs in a CIP family</w:t>
      </w:r>
      <w:r>
        <w:t xml:space="preserve"> across reporting institutions in the state of Tennessee.</w:t>
      </w:r>
    </w:p>
    <w:p w14:paraId="3537B5A2" w14:textId="77777777" w:rsidR="009817B6" w:rsidRPr="009817B6" w:rsidRDefault="009817B6" w:rsidP="009817B6">
      <w:pPr>
        <w:spacing w:after="0"/>
      </w:pPr>
    </w:p>
    <w:p w14:paraId="19571673" w14:textId="353FDAE0" w:rsidR="009817B6" w:rsidRPr="009817B6" w:rsidRDefault="009817B6" w:rsidP="009817B6">
      <w:pPr>
        <w:spacing w:after="0"/>
      </w:pPr>
      <w:r w:rsidRPr="009817B6">
        <w:t>Credential Type indicates whether the program awards a certificate, associate degree, or bachelor’s degree.</w:t>
      </w:r>
    </w:p>
    <w:p w14:paraId="3D04F0DA" w14:textId="77777777" w:rsidR="009817B6" w:rsidRPr="009817B6" w:rsidRDefault="00000000" w:rsidP="009817B6">
      <w:pPr>
        <w:spacing w:after="0"/>
      </w:pPr>
      <w:r>
        <w:pict w14:anchorId="5D281105">
          <v:rect id="_x0000_i1027" style="width:0;height:1.5pt" o:hralign="center" o:hrstd="t" o:hr="t" fillcolor="#a0a0a0" stroked="f"/>
        </w:pict>
      </w:r>
    </w:p>
    <w:p w14:paraId="0198A215" w14:textId="77777777" w:rsidR="009817B6" w:rsidRPr="009817B6" w:rsidRDefault="009817B6" w:rsidP="009817B6">
      <w:pPr>
        <w:spacing w:after="0"/>
        <w:rPr>
          <w:b/>
          <w:bCs/>
          <w:sz w:val="36"/>
          <w:szCs w:val="36"/>
        </w:rPr>
      </w:pPr>
      <w:r w:rsidRPr="009817B6">
        <w:rPr>
          <w:b/>
          <w:bCs/>
          <w:sz w:val="36"/>
          <w:szCs w:val="36"/>
        </w:rPr>
        <w:t>Slide 4 – Program Count by ROI Category</w:t>
      </w:r>
    </w:p>
    <w:p w14:paraId="578EACA9" w14:textId="4EA3F003" w:rsidR="009817B6" w:rsidRDefault="009817B6" w:rsidP="009817B6">
      <w:pPr>
        <w:spacing w:after="0"/>
      </w:pPr>
      <w:r w:rsidRPr="009817B6">
        <w:t>This chart shows how programs distribute across ROI categories</w:t>
      </w:r>
      <w:r>
        <w:t xml:space="preserve"> using a pure ROI calculation.</w:t>
      </w:r>
    </w:p>
    <w:p w14:paraId="41429077" w14:textId="77777777" w:rsidR="009817B6" w:rsidRPr="009817B6" w:rsidRDefault="009817B6" w:rsidP="009817B6">
      <w:pPr>
        <w:spacing w:after="0"/>
      </w:pPr>
    </w:p>
    <w:p w14:paraId="0B9794F2" w14:textId="42C5FF67" w:rsidR="009817B6" w:rsidRPr="009817B6" w:rsidRDefault="009817B6" w:rsidP="009817B6">
      <w:pPr>
        <w:spacing w:after="0"/>
      </w:pPr>
      <w:r w:rsidRPr="009817B6">
        <w:t xml:space="preserve">Most programs fall into the </w:t>
      </w:r>
      <w:r>
        <w:t xml:space="preserve">Low and </w:t>
      </w:r>
      <w:r w:rsidRPr="009817B6">
        <w:t>Moderate categories</w:t>
      </w:r>
      <w:r>
        <w:t xml:space="preserve">. For perspective, three years post completions is still generally considered “entry level”. </w:t>
      </w:r>
    </w:p>
    <w:p w14:paraId="5139ADE7" w14:textId="77777777" w:rsidR="009817B6" w:rsidRPr="009817B6" w:rsidRDefault="00000000" w:rsidP="009817B6">
      <w:pPr>
        <w:spacing w:after="0"/>
      </w:pPr>
      <w:r>
        <w:pict w14:anchorId="6521C6A7">
          <v:rect id="_x0000_i1028" style="width:0;height:1.5pt" o:hralign="center" o:hrstd="t" o:hr="t" fillcolor="#a0a0a0" stroked="f"/>
        </w:pict>
      </w:r>
    </w:p>
    <w:p w14:paraId="2CD15448" w14:textId="77777777" w:rsidR="009817B6" w:rsidRPr="009817B6" w:rsidRDefault="009817B6" w:rsidP="009817B6">
      <w:pPr>
        <w:spacing w:after="0"/>
        <w:rPr>
          <w:b/>
          <w:bCs/>
          <w:sz w:val="36"/>
          <w:szCs w:val="36"/>
        </w:rPr>
      </w:pPr>
      <w:r w:rsidRPr="009817B6">
        <w:rPr>
          <w:b/>
          <w:bCs/>
          <w:sz w:val="36"/>
          <w:szCs w:val="36"/>
        </w:rPr>
        <w:lastRenderedPageBreak/>
        <w:t>Slide 5 – Top High-ROI CIP Families</w:t>
      </w:r>
    </w:p>
    <w:p w14:paraId="759B0E11" w14:textId="6F3EC8FF" w:rsidR="009817B6" w:rsidRPr="009817B6" w:rsidRDefault="009817B6" w:rsidP="009817B6">
      <w:pPr>
        <w:spacing w:after="0"/>
      </w:pPr>
      <w:r w:rsidRPr="009817B6">
        <w:t xml:space="preserve">These are the top CIP families ranked by </w:t>
      </w:r>
      <w:r w:rsidR="008A133B">
        <w:t>percentage</w:t>
      </w:r>
      <w:r w:rsidRPr="009817B6">
        <w:t xml:space="preserve"> of High and Exceptional ROI programs.</w:t>
      </w:r>
    </w:p>
    <w:p w14:paraId="25AB2602" w14:textId="77777777" w:rsidR="008A133B" w:rsidRDefault="008A133B" w:rsidP="009817B6">
      <w:pPr>
        <w:spacing w:after="0"/>
      </w:pPr>
      <w:r>
        <w:t xml:space="preserve">Our top CIP family shows that 50% of the reporting programs in Tennessee have a high or exceptional ROI. </w:t>
      </w:r>
    </w:p>
    <w:p w14:paraId="29A33FDE" w14:textId="77777777" w:rsidR="008A133B" w:rsidRDefault="008A133B" w:rsidP="009817B6">
      <w:pPr>
        <w:spacing w:after="0"/>
      </w:pPr>
    </w:p>
    <w:p w14:paraId="0A51B21B" w14:textId="3E378042" w:rsidR="008A133B" w:rsidRDefault="009817B6" w:rsidP="009817B6">
      <w:pPr>
        <w:spacing w:after="0"/>
      </w:pPr>
      <w:r w:rsidRPr="009817B6">
        <w:t>Engineering Technicians</w:t>
      </w:r>
      <w:r w:rsidR="00505366">
        <w:t xml:space="preserve"> and Engineering stand out with a significant proportion of strong programs.</w:t>
      </w:r>
      <w:r w:rsidRPr="009817B6">
        <w:t xml:space="preserve"> Health Professions</w:t>
      </w:r>
      <w:r w:rsidR="00505366">
        <w:t xml:space="preserve"> followed by a three-way tie between Computer Science, Liberal Arts, and Precision Production finish the list of top CIPs.</w:t>
      </w:r>
    </w:p>
    <w:p w14:paraId="2708DBA8" w14:textId="77777777" w:rsidR="00505366" w:rsidRDefault="00505366" w:rsidP="009817B6">
      <w:pPr>
        <w:spacing w:after="0"/>
      </w:pPr>
    </w:p>
    <w:p w14:paraId="004418EC" w14:textId="42A8DB1F" w:rsidR="009817B6" w:rsidRPr="009817B6" w:rsidRDefault="008A133B" w:rsidP="009817B6">
      <w:pPr>
        <w:spacing w:after="0"/>
      </w:pPr>
      <w:r>
        <w:t>It is important to note the program count. I only considered CIP families that had 10 or more programs. Legal, for example</w:t>
      </w:r>
      <w:r w:rsidR="00505366">
        <w:t>,</w:t>
      </w:r>
      <w:r>
        <w:t xml:space="preserve"> has a tremendous ROI score, but with only</w:t>
      </w:r>
      <w:r w:rsidR="00505366">
        <w:t xml:space="preserve"> three </w:t>
      </w:r>
      <w:r>
        <w:t>program</w:t>
      </w:r>
      <w:r w:rsidR="00505366">
        <w:t>s</w:t>
      </w:r>
      <w:r>
        <w:t xml:space="preserve"> reporting, the data</w:t>
      </w:r>
      <w:r w:rsidR="00505366">
        <w:t xml:space="preserve"> is less reliable. It is also important to note that for ROI to be calculated, data had to be available for both program cost and 3-year median income. </w:t>
      </w:r>
    </w:p>
    <w:p w14:paraId="4F7CD56C" w14:textId="77777777" w:rsidR="009817B6" w:rsidRPr="009817B6" w:rsidRDefault="00000000" w:rsidP="009817B6">
      <w:pPr>
        <w:spacing w:after="0"/>
      </w:pPr>
      <w:r>
        <w:pict w14:anchorId="5BCEECB4">
          <v:rect id="_x0000_i1029" style="width:0;height:1.5pt" o:hralign="center" o:hrstd="t" o:hr="t" fillcolor="#a0a0a0" stroked="f"/>
        </w:pict>
      </w:r>
    </w:p>
    <w:p w14:paraId="03147937" w14:textId="77777777" w:rsidR="009817B6" w:rsidRPr="009817B6" w:rsidRDefault="009817B6" w:rsidP="009817B6">
      <w:pPr>
        <w:spacing w:after="0"/>
        <w:rPr>
          <w:b/>
          <w:bCs/>
          <w:sz w:val="36"/>
          <w:szCs w:val="36"/>
        </w:rPr>
      </w:pPr>
      <w:r w:rsidRPr="009817B6">
        <w:rPr>
          <w:b/>
          <w:bCs/>
          <w:sz w:val="36"/>
          <w:szCs w:val="36"/>
        </w:rPr>
        <w:t>Slide 6 – Bottom High-ROI CIP Families</w:t>
      </w:r>
    </w:p>
    <w:p w14:paraId="437AE0D6" w14:textId="3543669F" w:rsidR="009817B6" w:rsidRPr="009817B6" w:rsidRDefault="00505366" w:rsidP="009817B6">
      <w:pPr>
        <w:spacing w:after="0"/>
      </w:pPr>
      <w:r>
        <w:t>T</w:t>
      </w:r>
      <w:r w:rsidR="009817B6" w:rsidRPr="009817B6">
        <w:t>hese CIP families have the lowest share of High or Exceptional programs.</w:t>
      </w:r>
    </w:p>
    <w:p w14:paraId="5C1051E0" w14:textId="2756F7B4" w:rsidR="009817B6" w:rsidRDefault="009817B6" w:rsidP="009817B6">
      <w:pPr>
        <w:spacing w:after="0"/>
      </w:pPr>
      <w:r w:rsidRPr="009817B6">
        <w:t xml:space="preserve">While some individual programs may still perform well, </w:t>
      </w:r>
      <w:r w:rsidR="00505366">
        <w:t xml:space="preserve">the </w:t>
      </w:r>
      <w:r w:rsidRPr="009817B6">
        <w:t>overall upside is more limited.</w:t>
      </w:r>
    </w:p>
    <w:p w14:paraId="51063BE0" w14:textId="77777777" w:rsidR="00505366" w:rsidRDefault="00505366" w:rsidP="009817B6">
      <w:pPr>
        <w:spacing w:after="0"/>
      </w:pPr>
    </w:p>
    <w:p w14:paraId="1D3E4B06" w14:textId="5546C305" w:rsidR="00505366" w:rsidRDefault="00505366" w:rsidP="009817B6">
      <w:pPr>
        <w:spacing w:after="0"/>
      </w:pPr>
      <w:r>
        <w:t xml:space="preserve">This highlights areas where investment in education should be </w:t>
      </w:r>
      <w:r w:rsidR="006A725A">
        <w:t>strongly considered.</w:t>
      </w:r>
    </w:p>
    <w:p w14:paraId="26251CFA" w14:textId="77777777" w:rsidR="009817B6" w:rsidRPr="009817B6" w:rsidRDefault="00000000" w:rsidP="009817B6">
      <w:pPr>
        <w:spacing w:after="0"/>
      </w:pPr>
      <w:r>
        <w:pict w14:anchorId="2C5B8EC8">
          <v:rect id="_x0000_i1030" style="width:0;height:1.5pt" o:hralign="center" o:hrstd="t" o:hr="t" fillcolor="#a0a0a0" stroked="f"/>
        </w:pict>
      </w:r>
    </w:p>
    <w:p w14:paraId="78D56AF9" w14:textId="77777777" w:rsidR="009817B6" w:rsidRPr="009817B6" w:rsidRDefault="009817B6" w:rsidP="009817B6">
      <w:pPr>
        <w:spacing w:after="0"/>
        <w:rPr>
          <w:b/>
          <w:bCs/>
          <w:sz w:val="36"/>
          <w:szCs w:val="36"/>
        </w:rPr>
      </w:pPr>
      <w:r w:rsidRPr="009817B6">
        <w:rPr>
          <w:b/>
          <w:bCs/>
          <w:sz w:val="36"/>
          <w:szCs w:val="36"/>
        </w:rPr>
        <w:t>Slide 7 – ROI Dispersion Across CIP Families</w:t>
      </w:r>
    </w:p>
    <w:p w14:paraId="2E75CF97" w14:textId="4586EA63" w:rsidR="009817B6" w:rsidRDefault="006A725A" w:rsidP="009817B6">
      <w:pPr>
        <w:spacing w:after="0"/>
      </w:pPr>
      <w:r>
        <w:t xml:space="preserve">Here, I </w:t>
      </w:r>
      <w:r w:rsidR="009817B6" w:rsidRPr="009817B6">
        <w:t>highlight dispersion</w:t>
      </w:r>
      <w:r>
        <w:t xml:space="preserve">. These are CIP </w:t>
      </w:r>
      <w:r w:rsidR="009817B6" w:rsidRPr="009817B6">
        <w:t>families that contain both high-performing and negative-performing programs</w:t>
      </w:r>
      <w:r>
        <w:t>, sized by the number of programs offered.</w:t>
      </w:r>
    </w:p>
    <w:p w14:paraId="5AB57D0C" w14:textId="77777777" w:rsidR="006A725A" w:rsidRPr="009817B6" w:rsidRDefault="006A725A" w:rsidP="009817B6">
      <w:pPr>
        <w:spacing w:after="0"/>
      </w:pPr>
    </w:p>
    <w:p w14:paraId="78A99484" w14:textId="7E5DA4E7" w:rsidR="009817B6" w:rsidRPr="009817B6" w:rsidRDefault="009817B6" w:rsidP="009817B6">
      <w:pPr>
        <w:spacing w:after="0"/>
      </w:pPr>
      <w:r w:rsidRPr="009817B6">
        <w:t xml:space="preserve">For example, some large fields show strong upside but also </w:t>
      </w:r>
      <w:r w:rsidR="006A725A">
        <w:t>mentionable</w:t>
      </w:r>
      <w:r w:rsidRPr="009817B6">
        <w:t xml:space="preserve"> downside risk.</w:t>
      </w:r>
    </w:p>
    <w:p w14:paraId="0C07F556" w14:textId="5EAD168C" w:rsidR="006A725A" w:rsidRDefault="009817B6" w:rsidP="009817B6">
      <w:pPr>
        <w:spacing w:after="0"/>
      </w:pPr>
      <w:r w:rsidRPr="009817B6">
        <w:t>This reinforces the importance of looking beyond averages.</w:t>
      </w:r>
      <w:r w:rsidR="00D17701">
        <w:t xml:space="preserve"> If we looked at pure averages, </w:t>
      </w:r>
      <w:r w:rsidR="009F61CC">
        <w:t xml:space="preserve">Health Professions would be </w:t>
      </w:r>
      <w:r w:rsidR="007F294F">
        <w:t xml:space="preserve">Moderate and we would lose </w:t>
      </w:r>
      <w:r w:rsidR="00520C9F">
        <w:t>context of its volatility.</w:t>
      </w:r>
      <w:r w:rsidR="00D17701">
        <w:t xml:space="preserve"> </w:t>
      </w:r>
      <w:r w:rsidRPr="009817B6">
        <w:br/>
      </w:r>
    </w:p>
    <w:p w14:paraId="1CB382CB" w14:textId="122F1DFA" w:rsidR="009817B6" w:rsidRPr="009817B6" w:rsidRDefault="006A725A" w:rsidP="009817B6">
      <w:pPr>
        <w:spacing w:after="0"/>
      </w:pPr>
      <w:r>
        <w:t>Variation within a field</w:t>
      </w:r>
      <w:r w:rsidR="009817B6" w:rsidRPr="009817B6">
        <w:t xml:space="preserve"> can be significant</w:t>
      </w:r>
      <w:r>
        <w:t>. N</w:t>
      </w:r>
      <w:r w:rsidR="009817B6" w:rsidRPr="009817B6">
        <w:t>ot all programs within a high-performing field produce strong returns.</w:t>
      </w:r>
    </w:p>
    <w:p w14:paraId="2DAD5C85" w14:textId="77777777" w:rsidR="009817B6" w:rsidRPr="009817B6" w:rsidRDefault="00000000" w:rsidP="009817B6">
      <w:pPr>
        <w:spacing w:after="0"/>
      </w:pPr>
      <w:r>
        <w:pict w14:anchorId="4F815CE1">
          <v:rect id="_x0000_i1031" style="width:0;height:1.5pt" o:hralign="center" o:hrstd="t" o:hr="t" fillcolor="#a0a0a0" stroked="f"/>
        </w:pict>
      </w:r>
    </w:p>
    <w:p w14:paraId="5D4F087E" w14:textId="77777777" w:rsidR="006A725A" w:rsidRDefault="006A725A" w:rsidP="009817B6">
      <w:pPr>
        <w:spacing w:after="0"/>
        <w:rPr>
          <w:b/>
          <w:bCs/>
          <w:sz w:val="36"/>
          <w:szCs w:val="36"/>
        </w:rPr>
      </w:pPr>
    </w:p>
    <w:p w14:paraId="436D6126" w14:textId="77777777" w:rsidR="006A725A" w:rsidRDefault="006A725A" w:rsidP="009817B6">
      <w:pPr>
        <w:spacing w:after="0"/>
        <w:rPr>
          <w:b/>
          <w:bCs/>
          <w:sz w:val="36"/>
          <w:szCs w:val="36"/>
        </w:rPr>
      </w:pPr>
    </w:p>
    <w:p w14:paraId="43D3DEAA" w14:textId="77777777" w:rsidR="006A725A" w:rsidRDefault="006A725A" w:rsidP="009817B6">
      <w:pPr>
        <w:spacing w:after="0"/>
        <w:rPr>
          <w:b/>
          <w:bCs/>
          <w:sz w:val="36"/>
          <w:szCs w:val="36"/>
        </w:rPr>
      </w:pPr>
    </w:p>
    <w:p w14:paraId="6EC32BB0" w14:textId="5634D4C8" w:rsidR="009817B6" w:rsidRPr="009817B6" w:rsidRDefault="009817B6" w:rsidP="009817B6">
      <w:pPr>
        <w:spacing w:after="0"/>
        <w:rPr>
          <w:b/>
          <w:bCs/>
          <w:sz w:val="36"/>
          <w:szCs w:val="36"/>
        </w:rPr>
      </w:pPr>
      <w:r w:rsidRPr="009817B6">
        <w:rPr>
          <w:b/>
          <w:bCs/>
          <w:sz w:val="36"/>
          <w:szCs w:val="36"/>
        </w:rPr>
        <w:lastRenderedPageBreak/>
        <w:t>Slide 8 – Credential Distribution by CIP Family</w:t>
      </w:r>
    </w:p>
    <w:p w14:paraId="506FE2D1" w14:textId="4AC81D13" w:rsidR="009817B6" w:rsidRPr="009817B6" w:rsidRDefault="006A725A" w:rsidP="009817B6">
      <w:pPr>
        <w:spacing w:after="0"/>
      </w:pPr>
      <w:r>
        <w:t>Now we examine</w:t>
      </w:r>
      <w:r w:rsidR="009817B6" w:rsidRPr="009817B6">
        <w:t xml:space="preserve"> the credential-level mix across the nine CIP families</w:t>
      </w:r>
      <w:r>
        <w:t xml:space="preserve"> that have been featured</w:t>
      </w:r>
      <w:r w:rsidR="009817B6" w:rsidRPr="009817B6">
        <w:t>.</w:t>
      </w:r>
    </w:p>
    <w:p w14:paraId="743FCFAB" w14:textId="77777777" w:rsidR="006A725A" w:rsidRDefault="006A725A" w:rsidP="009817B6">
      <w:pPr>
        <w:spacing w:after="0"/>
      </w:pPr>
    </w:p>
    <w:p w14:paraId="6F5D4AB5" w14:textId="3211E9B7" w:rsidR="009817B6" w:rsidRPr="009817B6" w:rsidRDefault="009817B6" w:rsidP="009817B6">
      <w:pPr>
        <w:spacing w:after="0"/>
      </w:pPr>
      <w:r w:rsidRPr="009817B6">
        <w:t>There is representation across certificates, associate degrees, and bachelor’s degrees.</w:t>
      </w:r>
    </w:p>
    <w:p w14:paraId="6907F956" w14:textId="596DF5C2" w:rsidR="009817B6" w:rsidRDefault="009817B6" w:rsidP="009817B6">
      <w:pPr>
        <w:spacing w:after="0"/>
      </w:pPr>
      <w:r w:rsidRPr="009817B6">
        <w:t xml:space="preserve">Bachelor and associate programs dominate </w:t>
      </w:r>
      <w:r w:rsidR="006A725A">
        <w:t xml:space="preserve">the </w:t>
      </w:r>
      <w:r w:rsidRPr="009817B6">
        <w:t>overall count, but certificate programs contribute meaningful</w:t>
      </w:r>
      <w:r w:rsidR="006A725A">
        <w:t>ly to the</w:t>
      </w:r>
      <w:r w:rsidRPr="009817B6">
        <w:t xml:space="preserve"> diversity</w:t>
      </w:r>
      <w:r w:rsidR="006A725A">
        <w:t xml:space="preserve"> of education options</w:t>
      </w:r>
      <w:r w:rsidRPr="009817B6">
        <w:t>.</w:t>
      </w:r>
    </w:p>
    <w:p w14:paraId="65B40A04" w14:textId="77777777" w:rsidR="006A725A" w:rsidRPr="009817B6" w:rsidRDefault="006A725A" w:rsidP="009817B6">
      <w:pPr>
        <w:spacing w:after="0"/>
      </w:pPr>
    </w:p>
    <w:p w14:paraId="71F5548C" w14:textId="1BF6B39B" w:rsidR="009817B6" w:rsidRPr="009817B6" w:rsidRDefault="009817B6" w:rsidP="009817B6">
      <w:pPr>
        <w:spacing w:after="0"/>
      </w:pPr>
      <w:r w:rsidRPr="009817B6">
        <w:t xml:space="preserve">This </w:t>
      </w:r>
      <w:r w:rsidR="006A725A">
        <w:t>gives us</w:t>
      </w:r>
      <w:r w:rsidRPr="009817B6">
        <w:t xml:space="preserve"> context for understanding </w:t>
      </w:r>
      <w:r w:rsidR="006A725A">
        <w:t xml:space="preserve">program </w:t>
      </w:r>
      <w:r w:rsidRPr="009817B6">
        <w:t>production</w:t>
      </w:r>
      <w:r w:rsidR="006A725A">
        <w:t>, or how many people complete these programs</w:t>
      </w:r>
      <w:r w:rsidRPr="009817B6">
        <w:t>.</w:t>
      </w:r>
    </w:p>
    <w:p w14:paraId="6BB965CF" w14:textId="77777777" w:rsidR="009817B6" w:rsidRPr="009817B6" w:rsidRDefault="00000000" w:rsidP="009817B6">
      <w:pPr>
        <w:spacing w:after="0"/>
      </w:pPr>
      <w:r>
        <w:pict w14:anchorId="30D515DB">
          <v:rect id="_x0000_i1032" style="width:0;height:1.5pt" o:hralign="center" o:hrstd="t" o:hr="t" fillcolor="#a0a0a0" stroked="f"/>
        </w:pict>
      </w:r>
    </w:p>
    <w:p w14:paraId="4283A638" w14:textId="77777777" w:rsidR="009817B6" w:rsidRPr="009817B6" w:rsidRDefault="009817B6" w:rsidP="009817B6">
      <w:pPr>
        <w:spacing w:after="0"/>
        <w:rPr>
          <w:b/>
          <w:bCs/>
          <w:sz w:val="36"/>
          <w:szCs w:val="36"/>
        </w:rPr>
      </w:pPr>
      <w:r w:rsidRPr="009817B6">
        <w:rPr>
          <w:b/>
          <w:bCs/>
          <w:sz w:val="36"/>
          <w:szCs w:val="36"/>
        </w:rPr>
        <w:t>Slide 9 – Production from Featured Programs</w:t>
      </w:r>
    </w:p>
    <w:p w14:paraId="4F8C7B19" w14:textId="42AC85A5" w:rsidR="009817B6" w:rsidRPr="009817B6" w:rsidRDefault="006A725A" w:rsidP="009817B6">
      <w:pPr>
        <w:spacing w:after="0"/>
      </w:pPr>
      <w:r>
        <w:t xml:space="preserve">So the question is, </w:t>
      </w:r>
      <w:r w:rsidR="005F64A6">
        <w:t>d</w:t>
      </w:r>
      <w:r>
        <w:t xml:space="preserve">o people choose educational paths that have proven </w:t>
      </w:r>
      <w:r w:rsidR="005F64A6">
        <w:t xml:space="preserve">financial rewards? </w:t>
      </w:r>
      <w:r w:rsidR="009817B6" w:rsidRPr="009817B6">
        <w:t xml:space="preserve">This chart </w:t>
      </w:r>
      <w:r w:rsidR="005F64A6">
        <w:t xml:space="preserve">illustrates the </w:t>
      </w:r>
      <w:r w:rsidR="005F64A6" w:rsidRPr="009817B6">
        <w:t>total</w:t>
      </w:r>
      <w:r w:rsidR="009817B6" w:rsidRPr="009817B6">
        <w:t xml:space="preserve"> completions for the featured programs.</w:t>
      </w:r>
    </w:p>
    <w:p w14:paraId="7D5CE8EE" w14:textId="77777777" w:rsidR="005F64A6" w:rsidRDefault="005F64A6" w:rsidP="009817B6">
      <w:pPr>
        <w:spacing w:after="0"/>
      </w:pPr>
    </w:p>
    <w:p w14:paraId="5B5B563B" w14:textId="4E3B8FB2" w:rsidR="009817B6" w:rsidRDefault="009817B6" w:rsidP="009817B6">
      <w:pPr>
        <w:spacing w:after="0"/>
      </w:pPr>
      <w:r w:rsidRPr="009817B6">
        <w:t xml:space="preserve">Health Professions leads in production, followed by </w:t>
      </w:r>
      <w:r w:rsidR="003A295A">
        <w:t>Mechanic and Repair Technicians and Precision Production.</w:t>
      </w:r>
    </w:p>
    <w:p w14:paraId="05ECEEED" w14:textId="77777777" w:rsidR="003A295A" w:rsidRDefault="003A295A" w:rsidP="009817B6">
      <w:pPr>
        <w:spacing w:after="0"/>
      </w:pPr>
    </w:p>
    <w:p w14:paraId="0036424B" w14:textId="5E548E4D" w:rsidR="009817B6" w:rsidRDefault="0021593E" w:rsidP="009817B6">
      <w:pPr>
        <w:spacing w:after="0"/>
      </w:pPr>
      <w:r w:rsidRPr="0021593E">
        <w:t>At first glance, this may appear to contradict the ROI data we’ve seen, but there are a couple of important distinctions. While Healthcare contains many high and exceptional ROI programs, they are not the most frequently attended. This suggests that while students are entering a generally strong field, enrollment is concentrated in programs that do not always produce the highest returns. Understanding this gap between program performance and graduate production is important for aligning education pathways with labor market outcomes.</w:t>
      </w:r>
    </w:p>
    <w:p w14:paraId="3C99D9F0" w14:textId="77777777" w:rsidR="009817B6" w:rsidRPr="009817B6" w:rsidRDefault="00000000" w:rsidP="009817B6">
      <w:pPr>
        <w:spacing w:after="0"/>
      </w:pPr>
      <w:r>
        <w:pict w14:anchorId="79B43E88">
          <v:rect id="_x0000_i1033" style="width:0;height:1.5pt" o:hralign="center" o:hrstd="t" o:hr="t" fillcolor="#a0a0a0" stroked="f"/>
        </w:pict>
      </w:r>
    </w:p>
    <w:p w14:paraId="754AA9D9" w14:textId="77777777" w:rsidR="009817B6" w:rsidRPr="009817B6" w:rsidRDefault="009817B6" w:rsidP="009817B6">
      <w:pPr>
        <w:spacing w:after="0"/>
        <w:rPr>
          <w:b/>
          <w:bCs/>
        </w:rPr>
      </w:pPr>
      <w:r w:rsidRPr="009817B6">
        <w:rPr>
          <w:b/>
          <w:bCs/>
        </w:rPr>
        <w:t>Slide 10 – Conclusion / Key Findings</w:t>
      </w:r>
    </w:p>
    <w:p w14:paraId="7689836C" w14:textId="77777777" w:rsidR="0021593E" w:rsidRDefault="0021593E" w:rsidP="0021593E">
      <w:pPr>
        <w:spacing w:after="0"/>
      </w:pPr>
      <w:r w:rsidRPr="0021593E">
        <w:t>Ultimately, the results suggest that educational outcomes vary widely across programs, and better aligning enrollment with high-return programs could improve economic outcomes for students.</w:t>
      </w:r>
    </w:p>
    <w:p w14:paraId="668176C4" w14:textId="77777777" w:rsidR="0021593E" w:rsidRDefault="0021593E" w:rsidP="0021593E">
      <w:pPr>
        <w:spacing w:after="0"/>
      </w:pPr>
    </w:p>
    <w:p w14:paraId="580C0DC1" w14:textId="67272D3B" w:rsidR="0021593E" w:rsidRPr="009817B6" w:rsidRDefault="0021593E" w:rsidP="0021593E">
      <w:pPr>
        <w:spacing w:after="0"/>
      </w:pPr>
      <w:r w:rsidRPr="0021593E">
        <w:t>Where students enroll matters just as much as what they study</w:t>
      </w:r>
      <w:r>
        <w:t>.</w:t>
      </w:r>
    </w:p>
    <w:p w14:paraId="066C130B" w14:textId="77777777" w:rsidR="009817B6" w:rsidRPr="009817B6" w:rsidRDefault="00000000" w:rsidP="009817B6">
      <w:pPr>
        <w:spacing w:after="0"/>
      </w:pPr>
      <w:r>
        <w:pict w14:anchorId="12CFEEA8">
          <v:rect id="_x0000_i1034" style="width:0;height:1.5pt" o:hralign="center" o:hrstd="t" o:hr="t" fillcolor="#a0a0a0" stroked="f"/>
        </w:pict>
      </w:r>
    </w:p>
    <w:p w14:paraId="5535BBD2" w14:textId="77777777" w:rsidR="009817B6" w:rsidRPr="009817B6" w:rsidRDefault="009817B6" w:rsidP="009817B6">
      <w:pPr>
        <w:spacing w:after="0"/>
        <w:rPr>
          <w:b/>
          <w:bCs/>
        </w:rPr>
      </w:pPr>
      <w:r w:rsidRPr="009817B6">
        <w:rPr>
          <w:b/>
          <w:bCs/>
        </w:rPr>
        <w:t>Slide 11 – Thank You</w:t>
      </w:r>
    </w:p>
    <w:p w14:paraId="09735822" w14:textId="64FF192E" w:rsidR="009817B6" w:rsidRPr="009817B6" w:rsidRDefault="009817B6" w:rsidP="009817B6">
      <w:pPr>
        <w:spacing w:after="0"/>
      </w:pPr>
      <w:r w:rsidRPr="009817B6">
        <w:t>Thank you for your time. I welcome any questions or discussion.”</w:t>
      </w:r>
    </w:p>
    <w:p w14:paraId="08A8FAF1" w14:textId="77777777" w:rsidR="00EE77C5" w:rsidRDefault="00EE77C5" w:rsidP="00DC3CA0">
      <w:pPr>
        <w:spacing w:after="0"/>
      </w:pPr>
    </w:p>
    <w:sectPr w:rsidR="00EE77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E0B5A"/>
    <w:multiLevelType w:val="multilevel"/>
    <w:tmpl w:val="50FC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A2B77"/>
    <w:multiLevelType w:val="multilevel"/>
    <w:tmpl w:val="4026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976E5"/>
    <w:multiLevelType w:val="multilevel"/>
    <w:tmpl w:val="E494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42195"/>
    <w:multiLevelType w:val="multilevel"/>
    <w:tmpl w:val="EF6A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C6336"/>
    <w:multiLevelType w:val="hybridMultilevel"/>
    <w:tmpl w:val="9A263582"/>
    <w:lvl w:ilvl="0" w:tplc="9F644698">
      <w:start w:val="4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361A2B"/>
    <w:multiLevelType w:val="multilevel"/>
    <w:tmpl w:val="0E96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75A23"/>
    <w:multiLevelType w:val="multilevel"/>
    <w:tmpl w:val="5EB2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4407EB"/>
    <w:multiLevelType w:val="multilevel"/>
    <w:tmpl w:val="FFEE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A18F1"/>
    <w:multiLevelType w:val="multilevel"/>
    <w:tmpl w:val="38AC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B07929"/>
    <w:multiLevelType w:val="multilevel"/>
    <w:tmpl w:val="C742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5C6EA8"/>
    <w:multiLevelType w:val="multilevel"/>
    <w:tmpl w:val="E7D4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04171C"/>
    <w:multiLevelType w:val="multilevel"/>
    <w:tmpl w:val="A3E6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0C3944"/>
    <w:multiLevelType w:val="multilevel"/>
    <w:tmpl w:val="3078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FA2168"/>
    <w:multiLevelType w:val="multilevel"/>
    <w:tmpl w:val="AEA6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5961B2"/>
    <w:multiLevelType w:val="hybridMultilevel"/>
    <w:tmpl w:val="94863C1C"/>
    <w:lvl w:ilvl="0" w:tplc="D44ABF76">
      <w:start w:val="4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4494538">
    <w:abstractNumId w:val="4"/>
  </w:num>
  <w:num w:numId="2" w16cid:durableId="1062097707">
    <w:abstractNumId w:val="14"/>
  </w:num>
  <w:num w:numId="3" w16cid:durableId="110325755">
    <w:abstractNumId w:val="10"/>
  </w:num>
  <w:num w:numId="4" w16cid:durableId="2032409201">
    <w:abstractNumId w:val="7"/>
  </w:num>
  <w:num w:numId="5" w16cid:durableId="493571234">
    <w:abstractNumId w:val="5"/>
  </w:num>
  <w:num w:numId="6" w16cid:durableId="1878663363">
    <w:abstractNumId w:val="8"/>
  </w:num>
  <w:num w:numId="7" w16cid:durableId="469639568">
    <w:abstractNumId w:val="1"/>
  </w:num>
  <w:num w:numId="8" w16cid:durableId="564218836">
    <w:abstractNumId w:val="12"/>
  </w:num>
  <w:num w:numId="9" w16cid:durableId="1458528416">
    <w:abstractNumId w:val="9"/>
  </w:num>
  <w:num w:numId="10" w16cid:durableId="585964505">
    <w:abstractNumId w:val="3"/>
  </w:num>
  <w:num w:numId="11" w16cid:durableId="1263412093">
    <w:abstractNumId w:val="2"/>
  </w:num>
  <w:num w:numId="12" w16cid:durableId="1199203052">
    <w:abstractNumId w:val="6"/>
  </w:num>
  <w:num w:numId="13" w16cid:durableId="135999184">
    <w:abstractNumId w:val="11"/>
  </w:num>
  <w:num w:numId="14" w16cid:durableId="744108233">
    <w:abstractNumId w:val="0"/>
  </w:num>
  <w:num w:numId="15" w16cid:durableId="17572461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CA0"/>
    <w:rsid w:val="000E042F"/>
    <w:rsid w:val="001F1C30"/>
    <w:rsid w:val="0021593E"/>
    <w:rsid w:val="003A295A"/>
    <w:rsid w:val="003A6B82"/>
    <w:rsid w:val="00452FC9"/>
    <w:rsid w:val="00505366"/>
    <w:rsid w:val="00520C9F"/>
    <w:rsid w:val="00546951"/>
    <w:rsid w:val="00546E82"/>
    <w:rsid w:val="00560CD8"/>
    <w:rsid w:val="005F64A6"/>
    <w:rsid w:val="006A725A"/>
    <w:rsid w:val="007F294F"/>
    <w:rsid w:val="008A133B"/>
    <w:rsid w:val="009817B6"/>
    <w:rsid w:val="009F61CC"/>
    <w:rsid w:val="00B86C5F"/>
    <w:rsid w:val="00C12715"/>
    <w:rsid w:val="00D17701"/>
    <w:rsid w:val="00DC3CA0"/>
    <w:rsid w:val="00EE77C5"/>
    <w:rsid w:val="00F04BDD"/>
    <w:rsid w:val="00FA4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2D0AE"/>
  <w15:chartTrackingRefBased/>
  <w15:docId w15:val="{986CEECB-B618-4CCB-BF31-75B5F889C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C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3C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3C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3C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3C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3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C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3C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3C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3C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3C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3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CA0"/>
    <w:rPr>
      <w:rFonts w:eastAsiaTheme="majorEastAsia" w:cstheme="majorBidi"/>
      <w:color w:val="272727" w:themeColor="text1" w:themeTint="D8"/>
    </w:rPr>
  </w:style>
  <w:style w:type="paragraph" w:styleId="Title">
    <w:name w:val="Title"/>
    <w:basedOn w:val="Normal"/>
    <w:next w:val="Normal"/>
    <w:link w:val="TitleChar"/>
    <w:uiPriority w:val="10"/>
    <w:qFormat/>
    <w:rsid w:val="00DC3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CA0"/>
    <w:pPr>
      <w:spacing w:before="160"/>
      <w:jc w:val="center"/>
    </w:pPr>
    <w:rPr>
      <w:i/>
      <w:iCs/>
      <w:color w:val="404040" w:themeColor="text1" w:themeTint="BF"/>
    </w:rPr>
  </w:style>
  <w:style w:type="character" w:customStyle="1" w:styleId="QuoteChar">
    <w:name w:val="Quote Char"/>
    <w:basedOn w:val="DefaultParagraphFont"/>
    <w:link w:val="Quote"/>
    <w:uiPriority w:val="29"/>
    <w:rsid w:val="00DC3CA0"/>
    <w:rPr>
      <w:i/>
      <w:iCs/>
      <w:color w:val="404040" w:themeColor="text1" w:themeTint="BF"/>
    </w:rPr>
  </w:style>
  <w:style w:type="paragraph" w:styleId="ListParagraph">
    <w:name w:val="List Paragraph"/>
    <w:basedOn w:val="Normal"/>
    <w:uiPriority w:val="34"/>
    <w:qFormat/>
    <w:rsid w:val="00DC3CA0"/>
    <w:pPr>
      <w:ind w:left="720"/>
      <w:contextualSpacing/>
    </w:pPr>
  </w:style>
  <w:style w:type="character" w:styleId="IntenseEmphasis">
    <w:name w:val="Intense Emphasis"/>
    <w:basedOn w:val="DefaultParagraphFont"/>
    <w:uiPriority w:val="21"/>
    <w:qFormat/>
    <w:rsid w:val="00DC3CA0"/>
    <w:rPr>
      <w:i/>
      <w:iCs/>
      <w:color w:val="0F4761" w:themeColor="accent1" w:themeShade="BF"/>
    </w:rPr>
  </w:style>
  <w:style w:type="paragraph" w:styleId="IntenseQuote">
    <w:name w:val="Intense Quote"/>
    <w:basedOn w:val="Normal"/>
    <w:next w:val="Normal"/>
    <w:link w:val="IntenseQuoteChar"/>
    <w:uiPriority w:val="30"/>
    <w:qFormat/>
    <w:rsid w:val="00DC3C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3CA0"/>
    <w:rPr>
      <w:i/>
      <w:iCs/>
      <w:color w:val="0F4761" w:themeColor="accent1" w:themeShade="BF"/>
    </w:rPr>
  </w:style>
  <w:style w:type="character" w:styleId="IntenseReference">
    <w:name w:val="Intense Reference"/>
    <w:basedOn w:val="DefaultParagraphFont"/>
    <w:uiPriority w:val="32"/>
    <w:qFormat/>
    <w:rsid w:val="00DC3C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2736</TotalTime>
  <Pages>3</Pages>
  <Words>747</Words>
  <Characters>4259</Characters>
  <Application>Microsoft Office Word</Application>
  <DocSecurity>0</DocSecurity>
  <Lines>35</Lines>
  <Paragraphs>9</Paragraphs>
  <ScaleCrop>false</ScaleCrop>
  <Company/>
  <LinksUpToDate>false</LinksUpToDate>
  <CharactersWithSpaces>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Vaughan</dc:creator>
  <cp:keywords/>
  <dc:description/>
  <cp:lastModifiedBy>Dennis Vaughan</cp:lastModifiedBy>
  <cp:revision>7</cp:revision>
  <dcterms:created xsi:type="dcterms:W3CDTF">2026-03-04T03:07:00Z</dcterms:created>
  <dcterms:modified xsi:type="dcterms:W3CDTF">2026-03-06T00:49:00Z</dcterms:modified>
</cp:coreProperties>
</file>