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media/image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1418" w:gutter="0" w:header="1219" w:top="1276" w:footer="3005" w:bottom="3062"/>
          <w:pgNumType w:fmt="decimal"/>
          <w:formProt w:val="false"/>
          <w:textDirection w:val="lrTb"/>
          <w:docGrid w:type="default" w:linePitch="360" w:charSpace="4294950911"/>
        </w:sectPr>
        <w:pStyle w:val="Titre1"/>
        <w:spacing w:before="24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415925</wp:posOffset>
                </wp:positionH>
                <wp:positionV relativeFrom="paragraph">
                  <wp:posOffset>4109085</wp:posOffset>
                </wp:positionV>
                <wp:extent cx="5429250" cy="1280160"/>
                <wp:effectExtent l="0" t="0" r="0" b="0"/>
                <wp:wrapNone/>
                <wp:docPr id="1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 w:before="100" w:after="0"/>
                              <w:ind w:left="-142" w:hanging="0"/>
                              <w:rPr>
                                <w:b/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135764"/>
                                <w:sz w:val="44"/>
                              </w:rPr>
                              <w:t>Plan de Gestion de Données pour le projet [nomProjet]</w:t>
                            </w:r>
                          </w:p>
                          <w:p>
                            <w:pPr>
                              <w:pStyle w:val="Contenudecadre"/>
                              <w:spacing w:before="200" w:after="0"/>
                              <w:ind w:left="-142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AFAD"/>
                                <w:sz w:val="24"/>
                              </w:rPr>
                              <w:t>Data Management Plan of [nomProjet] project</w:t>
                            </w:r>
                          </w:p>
                          <w:p>
                            <w:pPr>
                              <w:pStyle w:val="Contenudecadre"/>
                              <w:ind w:left="-142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stroked="f" o:allowincell="f" style="position:absolute;margin-left:32.75pt;margin-top:323.55pt;width:427.45pt;height:100.7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40" w:before="100" w:after="0"/>
                        <w:ind w:left="-142" w:hanging="0"/>
                        <w:rPr>
                          <w:b/>
                          <w:b/>
                          <w:sz w:val="44"/>
                        </w:rPr>
                      </w:pPr>
                      <w:r>
                        <w:rPr>
                          <w:b/>
                          <w:color w:val="135764"/>
                          <w:sz w:val="44"/>
                        </w:rPr>
                        <w:t>Plan de Gestion de Données pour le projet [nomProjet]</w:t>
                      </w:r>
                    </w:p>
                    <w:p>
                      <w:pPr>
                        <w:pStyle w:val="Contenudecadre"/>
                        <w:spacing w:before="200" w:after="0"/>
                        <w:ind w:left="-142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AFAD"/>
                          <w:sz w:val="24"/>
                        </w:rPr>
                        <w:t>Data Management Plan of [nomProjet] project</w:t>
                      </w:r>
                    </w:p>
                    <w:p>
                      <w:pPr>
                        <w:pStyle w:val="Contenudecadre"/>
                        <w:ind w:left="-142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386715</wp:posOffset>
                </wp:positionH>
                <wp:positionV relativeFrom="paragraph">
                  <wp:posOffset>3624580</wp:posOffset>
                </wp:positionV>
                <wp:extent cx="326390" cy="316865"/>
                <wp:effectExtent l="0" t="0" r="0" b="0"/>
                <wp:wrapNone/>
                <wp:docPr id="3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31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left="-426" w:right="-3061" w:firstLine="426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path="m0,0l-2147483645,0l-2147483645,-2147483646l0,-2147483646xe" stroked="f" o:allowincell="f" style="position:absolute;margin-left:30.45pt;margin-top:285.4pt;width:25.65pt;height:24.9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ind w:left="-426" w:right="-3061" w:firstLine="426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493395</wp:posOffset>
            </wp:positionH>
            <wp:positionV relativeFrom="paragraph">
              <wp:posOffset>3623945</wp:posOffset>
            </wp:positionV>
            <wp:extent cx="137160" cy="195580"/>
            <wp:effectExtent l="0" t="0" r="0" b="0"/>
            <wp:wrapSquare wrapText="largest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numPr>
          <w:ilvl w:val="1"/>
          <w:numId w:val="3"/>
        </w:numPr>
        <w:rPr/>
      </w:pPr>
      <w:bookmarkStart w:id="0" w:name="__RefHeading___Toc748_2894708513"/>
      <w:bookmarkEnd w:id="0"/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748_2894708513">
            <w:r>
              <w:rPr>
                <w:rStyle w:val="Sautdindex"/>
              </w:rPr>
              <w:t>Table des matières</w:t>
              <w:tab/>
              <w:t>2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50_2894708513">
            <w:r>
              <w:rPr>
                <w:rStyle w:val="Sautdindex"/>
              </w:rPr>
              <w:t>1 – Informations sur le Plan de Gestion de Données (PGD)</w:t>
              <w:tab/>
              <w:t>3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52_2894708513">
            <w:r>
              <w:rPr>
                <w:rStyle w:val="Sautdindex"/>
              </w:rPr>
              <w:t>2 – Informations sur le projet</w:t>
              <w:tab/>
              <w:t>4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54_2894708513">
            <w:r>
              <w:rPr>
                <w:rStyle w:val="Sautdindex"/>
              </w:rPr>
              <w:t>3 – Les jeux de données produits par le projet</w:t>
              <w:tab/>
              <w:t>5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56_2894708513">
            <w:r>
              <w:rPr>
                <w:rStyle w:val="Sautdindex"/>
              </w:rPr>
              <w:t>3.1 – Identification du / des jeux de données</w:t>
              <w:tab/>
              <w:t>5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58_2894708513">
            <w:r>
              <w:rPr>
                <w:rStyle w:val="Sautdindex"/>
              </w:rPr>
              <w:t>3.2 – Description du / des jeux de données</w:t>
              <w:tab/>
              <w:t>6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0_2894708513">
            <w:r>
              <w:rPr>
                <w:rStyle w:val="Sautdindex"/>
              </w:rPr>
              <w:t>3.3 – Métadonnées</w:t>
              <w:tab/>
              <w:t>7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2_2894708513">
            <w:r>
              <w:rPr>
                <w:rStyle w:val="Sautdindex"/>
              </w:rPr>
              <w:t>3.4 – Partage, transfert, stockage et sauvegarde des données</w:t>
              <w:tab/>
              <w:t>8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4_2894708513">
            <w:r>
              <w:rPr>
                <w:rStyle w:val="Sautdindex"/>
              </w:rPr>
              <w:t>3.5 – Indications pour la sécurité des données</w:t>
              <w:tab/>
              <w:t>9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6_2894708513">
            <w:r>
              <w:rPr>
                <w:rStyle w:val="Sautdindex"/>
              </w:rPr>
              <w:t>3.6 – Conservation et archivage</w:t>
              <w:tab/>
              <w:t>10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68_2894708513">
            <w:r>
              <w:rPr>
                <w:rStyle w:val="Sautdindex"/>
              </w:rPr>
              <w:t>4 – Jeux de données externes utilisés par le projet / Appariement de fichiers</w:t>
              <w:tab/>
              <w:t>11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Corpsdetexte"/>
        <w:rPr/>
      </w:pPr>
      <w:r>
        <w:rPr/>
      </w:r>
      <w:r>
        <w:br w:type="page"/>
      </w:r>
    </w:p>
    <w:p>
      <w:pPr>
        <w:pStyle w:val="Titre2"/>
        <w:numPr>
          <w:ilvl w:val="1"/>
          <w:numId w:val="3"/>
        </w:numPr>
        <w:rPr/>
      </w:pPr>
      <w:bookmarkStart w:id="1" w:name="__RefHeading___Toc750_2894708513"/>
      <w:bookmarkEnd w:id="1"/>
      <w:r>
        <w:rPr/>
        <w:t>1 – Informations sur le Plan de Gestion de Données (PGD)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Corpsdetexte"/>
        <w:spacing w:before="850" w:after="119"/>
        <w:rPr/>
      </w:pPr>
      <w:r>
        <w:rPr/>
      </w:r>
      <w:r>
        <w:br w:type="page"/>
      </w:r>
    </w:p>
    <w:p>
      <w:pPr>
        <w:pStyle w:val="Titre2"/>
        <w:numPr>
          <w:ilvl w:val="1"/>
          <w:numId w:val="3"/>
        </w:numPr>
        <w:rPr/>
      </w:pPr>
      <w:bookmarkStart w:id="2" w:name="__RefHeading___Toc752_2894708513"/>
      <w:bookmarkEnd w:id="2"/>
      <w:r>
        <w:rPr/>
        <w:t>2 – Informations sur le projet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Acronyme du projet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[$AcronymeProjet]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Titre complet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[$TitreCompletProjet]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Bailleurs / Financeurs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[$OrganismeFinanceur]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Objectifs / Finalité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[$ObjectifsProjet]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Partenaires du projet contribuant au traitement des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numPr>
                <w:ilvl w:val="0"/>
                <w:numId w:val="4"/>
              </w:numPr>
              <w:rPr/>
            </w:pPr>
            <w:r>
              <w:rPr/>
              <w:t>[$Partenaire1]</w:t>
            </w:r>
          </w:p>
          <w:p>
            <w:pPr>
              <w:pStyle w:val="Contenudetableau"/>
              <w:widowControl w:val="false"/>
              <w:numPr>
                <w:ilvl w:val="0"/>
                <w:numId w:val="4"/>
              </w:numPr>
              <w:rPr/>
            </w:pPr>
            <w:r>
              <w:rPr/>
              <w:t>[$Partenaire2]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Identifiant de l’appel à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[$IDAppelProjet]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Thématique de l’appel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[$ThématiqueAppel]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Référence de la convention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[$RéférenceConvention]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Durée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[$DateDébut] - [$DateFin] OU [$DateDébutFin]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Institution coordinatrice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[$InstitutionCoordinatrice]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Responsable scientifique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[$ResponsableProjet]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Mots-clefs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[$MotClef1];[$MotClef2];[$MotClef3] OU [$MotsClefs]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Publics cibles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ENS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Enseignements / Étudiants 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REC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Recherche / Chercheurs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PAR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Partenariat institutionnel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EXPT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Expertise privée (ONG...)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ACTP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Acteurs Publics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PUB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Grand public / Citoyens 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OPP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Opérateur privé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AUTR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Autre : [$Autre]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1"/>
          <w:numId w:val="3"/>
        </w:numPr>
        <w:rPr/>
      </w:pPr>
      <w:bookmarkStart w:id="3" w:name="__RefHeading___Toc754_2894708513"/>
      <w:bookmarkEnd w:id="3"/>
      <w:r>
        <w:rPr/>
        <w:t>3 – Les jeux de données produits par le projet</w:t>
      </w:r>
    </w:p>
    <w:p>
      <w:pPr>
        <w:pStyle w:val="Titre3"/>
        <w:numPr>
          <w:ilvl w:val="2"/>
          <w:numId w:val="2"/>
        </w:numPr>
        <w:rPr/>
      </w:pPr>
      <w:bookmarkStart w:id="4" w:name="__RefHeading___Toc756_2894708513"/>
      <w:bookmarkEnd w:id="4"/>
      <w:r>
        <w:rPr/>
        <w:t>3.1 – Identification du / des jeux de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Numéro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[$numJDD]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Nom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[$nomJDD]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Type : </w:t>
            </w:r>
            <w:r>
              <w:rPr/>
              <w:t>[$Type]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Population : </w:t>
            </w:r>
            <w:r>
              <w:rPr/>
              <w:t>[$population]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Échelle : </w:t>
            </w:r>
            <w:r>
              <w:rPr/>
              <w:t>[$echelle]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Du [$dateDébut] au [$dateFin]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Périodicité : </w:t>
            </w:r>
            <w:r>
              <w:rPr/>
              <w:t>[$periodicite]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WP concerné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</w:t>
            </w:r>
            <w:r>
              <w:rPr/>
              <w:t>wp</w:t>
            </w:r>
            <w:r>
              <w:rPr/>
              <w:t>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Responsable(s) du jeu de données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7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  <w:p>
            <w:pPr>
              <w:pStyle w:val="Contenudetableau"/>
              <w:widowControl w:val="false"/>
              <w:numPr>
                <w:ilvl w:val="0"/>
                <w:numId w:val="7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Responsable(s) de la collecte des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8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  <w:p>
            <w:pPr>
              <w:pStyle w:val="Contenudetableau"/>
              <w:widowControl w:val="false"/>
              <w:numPr>
                <w:ilvl w:val="0"/>
                <w:numId w:val="8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Responsable(s) de l’analyse des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9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  <w:p>
            <w:pPr>
              <w:pStyle w:val="Contenudetableau"/>
              <w:widowControl w:val="false"/>
              <w:numPr>
                <w:ilvl w:val="0"/>
                <w:numId w:val="9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Si responsables d’institutions différentes, une convention de responsabilité conjointe est-elle prévue ? 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Une base de données sera-t-elle créée spécifiquement pour recueillir les données du projet ? 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 xml:space="preserve">Oui 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Droits de propriété intellectuelle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[$dpiJDD]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Aspect éthique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[$aspectEthiqueJDD]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Numéro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[$numJDD]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Nom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[$nomJDD]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Type : </w:t>
            </w:r>
            <w:r>
              <w:rPr/>
              <w:t>[$Type]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Population : </w:t>
            </w:r>
            <w:r>
              <w:rPr/>
              <w:t>[$population]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Échelle : </w:t>
            </w:r>
            <w:r>
              <w:rPr/>
              <w:t>[$echelle]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Du [$dateDébut] au [$dateFin]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Périodicité : </w:t>
            </w:r>
            <w:r>
              <w:rPr/>
              <w:t>[$periodicite]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WP concerné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</w:t>
            </w:r>
            <w:r>
              <w:rPr/>
              <w:t>wp</w:t>
            </w:r>
            <w:r>
              <w:rPr/>
              <w:t>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Responsable(s) du jeu de données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10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  <w:p>
            <w:pPr>
              <w:pStyle w:val="Contenudetableau"/>
              <w:widowControl w:val="false"/>
              <w:numPr>
                <w:ilvl w:val="0"/>
                <w:numId w:val="10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Responsable(s) de la collecte des données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11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  <w:p>
            <w:pPr>
              <w:pStyle w:val="Contenudetableau"/>
              <w:widowControl w:val="false"/>
              <w:numPr>
                <w:ilvl w:val="0"/>
                <w:numId w:val="11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Responsable(s) de l’analyse des données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12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  <w:p>
            <w:pPr>
              <w:pStyle w:val="Contenudetableau"/>
              <w:widowControl w:val="false"/>
              <w:numPr>
                <w:ilvl w:val="0"/>
                <w:numId w:val="12"/>
              </w:numPr>
              <w:rPr/>
            </w:pPr>
            <w:r>
              <w:rPr/>
              <w:t>[$</w:t>
            </w:r>
            <w:r>
              <w:rPr/>
              <w:t>nom</w:t>
            </w:r>
            <w:r>
              <w:rPr/>
              <w:t xml:space="preserve">], </w:t>
            </w:r>
            <w:r>
              <w:rPr/>
              <w:t>[$institution], [$unité]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Si responsables d’institutions différentes, une convention de responsabilité conjointe est-elle prévue ? 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>Oui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 xml:space="preserve">Une base de données sera-t-elle créée spécifiquement pour recueillir les données du projet ? 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>☐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 xml:space="preserve">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 xml:space="preserve">Oui 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Fonts w:ascii="DejaVu Sans" w:hAnsi="DejaVu Sans"/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rFonts w:ascii="AvenirNext LT Pro MediumCn" w:hAnsi="AvenirNext LT Pro MediumCn"/>
                <w:caps w:val="false"/>
                <w:smallCaps w:val="false"/>
                <w:color w:val="222222"/>
                <w:spacing w:val="0"/>
              </w:rPr>
              <w:t>Non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Droits de propriété intellectuelle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[$dpiJDD]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Aspect éthique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[$aspectEthiqueJDD]</w:t>
            </w:r>
          </w:p>
        </w:tc>
      </w:tr>
    </w:tbl>
    <w:p>
      <w:pPr>
        <w:pStyle w:val="Titre3"/>
        <w:numPr>
          <w:ilvl w:val="2"/>
          <w:numId w:val="2"/>
        </w:numPr>
        <w:rPr/>
      </w:pPr>
      <w:r>
        <w:br w:type="page"/>
      </w:r>
      <w:bookmarkStart w:id="5" w:name="__RefHeading___Toc758_2894708513"/>
      <w:bookmarkEnd w:id="5"/>
      <w:r>
        <w:rPr/>
        <w:t>3.2 – Description du / des jeux de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numPr>
          <w:ilvl w:val="2"/>
          <w:numId w:val="2"/>
        </w:numPr>
        <w:rPr/>
      </w:pPr>
      <w:bookmarkStart w:id="6" w:name="__RefHeading___Toc760_2894708513"/>
      <w:bookmarkEnd w:id="6"/>
      <w:r>
        <w:rPr/>
        <w:t>3.3 – Métadonnées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numPr>
          <w:ilvl w:val="2"/>
          <w:numId w:val="2"/>
        </w:numPr>
        <w:rPr/>
      </w:pPr>
      <w:bookmarkStart w:id="7" w:name="__RefHeading___Toc762_2894708513"/>
      <w:bookmarkEnd w:id="7"/>
      <w:r>
        <w:rPr/>
        <w:t>3.4 – Partage, transfert, stockage et sauvegarde des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numPr>
          <w:ilvl w:val="2"/>
          <w:numId w:val="2"/>
        </w:numPr>
        <w:rPr/>
      </w:pPr>
      <w:bookmarkStart w:id="8" w:name="__RefHeading___Toc764_2894708513"/>
      <w:bookmarkEnd w:id="8"/>
      <w:r>
        <w:rPr/>
        <w:t>3.5 – Indications pour la sécurité des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numPr>
          <w:ilvl w:val="2"/>
          <w:numId w:val="2"/>
        </w:numPr>
        <w:rPr/>
      </w:pPr>
      <w:bookmarkStart w:id="9" w:name="__RefHeading___Toc766_2894708513"/>
      <w:bookmarkEnd w:id="9"/>
      <w:r>
        <w:rPr/>
        <w:t>3.6 – Conservation et archivage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1"/>
          <w:numId w:val="3"/>
        </w:numPr>
        <w:rPr/>
      </w:pPr>
      <w:bookmarkStart w:id="10" w:name="__RefHeading___Toc768_2894708513"/>
      <w:bookmarkEnd w:id="10"/>
      <w:r>
        <w:rPr/>
        <w:t>4 – Jeux de données externes utilisés par le projet / Appariement de fichiers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Nom du jeu de données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[$nomJeuDeDonnéesExterne]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Identifiant numérique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[$IDJDDE]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Description du jeu de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Type : [$typeJDDE]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Population :[$populationJDDE]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Échelle : [$echelleJDDE]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Année(s) de collecte : [$anneeJDDE]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Objectifs / Finalité de ce jeu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[$objectifsJDDE]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Origine des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[$origineJDDE]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Conditions d’accès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[$conditionsJDDE]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Nécessité d’utiliser ce jeu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[$necessiteJDDE]</w:t>
            </w:r>
          </w:p>
        </w:tc>
      </w:tr>
    </w:tbl>
    <w:p>
      <w:pPr>
        <w:pStyle w:val="Corpsdetexte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Nom du jeu de données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[$nomJeuDeDonnéesExterne]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Identifiant numérique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[$IDJDDE]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Description du jeu de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Type : [$typeJDDE]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Population :[$populationJDDE]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Échelle : [$echelleJDDE]</w:t>
            </w:r>
          </w:p>
          <w:p>
            <w:pPr>
              <w:pStyle w:val="Contenudetableau"/>
              <w:widowControl w:val="false"/>
              <w:numPr>
                <w:ilvl w:val="0"/>
                <w:numId w:val="5"/>
              </w:numPr>
              <w:rPr/>
            </w:pPr>
            <w:r>
              <w:rPr/>
              <w:t>Année(s) de collecte : [$anneeJDDE]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Objectifs / Finalité de ce jeu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[$objectifsJDDE]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Origine des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[$origineJDDE]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Conditions d’accès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[$conditionsJDDE]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Nécessité d’utiliser ce jeu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[$necessiteJDDE]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418" w:gutter="0" w:header="1219" w:top="2126" w:footer="1219" w:bottom="1276"/>
      <w:pgNumType w:fmt="decimal"/>
      <w:formProt w:val="false"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aleway">
    <w:charset w:val="01"/>
    <w:family w:val="roman"/>
    <w:pitch w:val="variable"/>
  </w:font>
  <w:font w:name="Calibri Light">
    <w:charset w:val="01"/>
    <w:family w:val="roman"/>
    <w:pitch w:val="variable"/>
  </w:font>
  <w:font w:name="Raleway">
    <w:charset w:val="01"/>
    <w:family w:val="swiss"/>
    <w:pitch w:val="variable"/>
  </w:font>
  <w:font w:name="Raleway-SemiBol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Next LT Pro Cn">
    <w:charset w:val="01"/>
    <w:family w:val="roman"/>
    <w:pitch w:val="variable"/>
  </w:font>
  <w:font w:name="AvenirNext LT Pro MediumCn">
    <w:charset w:val="01"/>
    <w:family w:val="roman"/>
    <w:pitch w:val="variable"/>
  </w:font>
  <w:font w:name="DejaVu Sans">
    <w:charset w:val="01"/>
    <w:family w:val="swiss"/>
    <w:pitch w:val="variable"/>
  </w:font>
  <w:font w:name="AvenirNext LT Pro MediumC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ind w:left="-1418" w:right="5669" w:hanging="0"/>
      <w:rPr/>
    </w:pPr>
    <w:r>
      <w:rPr/>
      <w:drawing>
        <wp:inline distT="0" distB="0" distL="0" distR="0">
          <wp:extent cx="7379970" cy="4080510"/>
          <wp:effectExtent l="0" t="0" r="0" b="0"/>
          <wp:docPr id="7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9970" cy="408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widowControl/>
      <w:suppressAutoHyphens w:val="true"/>
      <w:bidi w:val="0"/>
      <w:spacing w:before="0" w:after="0"/>
      <w:ind w:left="-397" w:right="57" w:hanging="0"/>
      <w:jc w:val="right"/>
      <w:rPr>
        <w:color w:val="00A3A6"/>
        <w:sz w:val="30"/>
        <w:szCs w:val="3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ind w:right="-575" w:hanging="0"/>
      <w:jc w:val="right"/>
      <w:rPr/>
    </w:pPr>
    <w:r>
      <w:rPr/>
      <w:drawing>
        <wp:inline distT="0" distB="0" distL="0" distR="0">
          <wp:extent cx="1143000" cy="304800"/>
          <wp:effectExtent l="0" t="0" r="0" b="0"/>
          <wp:docPr id="6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4948555</wp:posOffset>
          </wp:positionH>
          <wp:positionV relativeFrom="paragraph">
            <wp:posOffset>635</wp:posOffset>
          </wp:positionV>
          <wp:extent cx="1143000" cy="304800"/>
          <wp:effectExtent l="0" t="0" r="0" b="0"/>
          <wp:wrapSquare wrapText="largest"/>
          <wp:docPr id="8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[$Acronyme du projet] </w:t>
      <w:tab/>
      <w:t>[$Référence de convention]</w:t>
    </w:r>
  </w:p>
  <w:p>
    <w:pPr>
      <w:pStyle w:val="Entte"/>
      <w:rPr/>
    </w:pPr>
    <w:r>
      <w:rPr/>
      <w:t xml:space="preserve">Version du PGD : [$date] </w:t>
      <w:tab/>
      <w:t>Auteur : [$auteur]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216db"/>
    <w:pPr>
      <w:widowControl w:val="false"/>
      <w:suppressAutoHyphens w:val="true"/>
      <w:bidi w:val="0"/>
      <w:spacing w:before="0" w:after="0"/>
      <w:jc w:val="left"/>
    </w:pPr>
    <w:rPr>
      <w:rFonts w:ascii="Raleway" w:hAnsi="Raleway" w:eastAsia="Raleway" w:cs="Raleway"/>
      <w:color w:val="auto"/>
      <w:kern w:val="0"/>
      <w:sz w:val="30"/>
      <w:szCs w:val="30"/>
      <w:lang w:val="fr-FR"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2d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3"/>
      </w:numPr>
      <w:spacing w:before="283" w:after="403"/>
      <w:outlineLvl w:val="1"/>
    </w:pPr>
    <w:rPr>
      <w:rFonts w:ascii="Raleway" w:hAnsi="Raleway"/>
      <w:b/>
      <w:bCs/>
      <w:color w:val="00A3A6"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2"/>
      </w:numPr>
      <w:spacing w:before="283" w:after="346"/>
      <w:outlineLvl w:val="2"/>
    </w:pPr>
    <w:rPr>
      <w:rFonts w:ascii="Raleway" w:hAnsi="Raleway"/>
      <w:b/>
      <w:bCs/>
      <w:color w:val="66C1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1796e"/>
    <w:rPr/>
  </w:style>
  <w:style w:type="character" w:styleId="PieddepageCar" w:customStyle="1">
    <w:name w:val="Pied de page Car"/>
    <w:basedOn w:val="DefaultParagraphFont"/>
    <w:uiPriority w:val="99"/>
    <w:qFormat/>
    <w:rsid w:val="00a1796e"/>
    <w:rPr/>
  </w:style>
  <w:style w:type="character" w:styleId="CorpsdetexteCar" w:customStyle="1">
    <w:name w:val="Corps de texte Car"/>
    <w:basedOn w:val="DefaultParagraphFont"/>
    <w:uiPriority w:val="1"/>
    <w:qFormat/>
    <w:rsid w:val="000216db"/>
    <w:rPr>
      <w:rFonts w:ascii="Raleway-SemiBold" w:hAnsi="Raleway-SemiBold" w:eastAsia="Raleway-SemiBold" w:cs="Raleway-SemiBold"/>
      <w:b/>
      <w:bCs/>
      <w:sz w:val="14"/>
      <w:szCs w:val="14"/>
      <w:lang w:eastAsia="fr-FR" w:bidi="fr-FR"/>
    </w:rPr>
  </w:style>
  <w:style w:type="character" w:styleId="Titre1Car" w:customStyle="1">
    <w:name w:val="Titre 1 Car"/>
    <w:basedOn w:val="DefaultParagraphFont"/>
    <w:uiPriority w:val="9"/>
    <w:qFormat/>
    <w:rsid w:val="00ab2d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fr-FR" w:bidi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216db"/>
    <w:pPr/>
    <w:rPr>
      <w:rFonts w:ascii="Raleway-SemiBold" w:hAnsi="Raleway-SemiBold" w:eastAsia="Raleway-SemiBold" w:cs="Raleway-SemiBold"/>
      <w:b/>
      <w:bCs/>
      <w:sz w:val="14"/>
      <w:szCs w:val="1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1796e"/>
    <w:pPr>
      <w:widowControl/>
      <w:tabs>
        <w:tab w:val="clear" w:pos="708"/>
        <w:tab w:val="center" w:pos="4536" w:leader="none"/>
      </w:tabs>
      <w:ind w:right="-575" w:hanging="0"/>
      <w:jc w:val="left"/>
    </w:pPr>
    <w:rPr>
      <w:rFonts w:ascii="AvenirNext LT Pro Cn" w:hAnsi="AvenirNext LT Pro Cn" w:eastAsia="Calibri" w:cs="" w:cstheme="minorBidi" w:eastAsiaTheme="minorHAnsi"/>
      <w:color w:val="66C1BF"/>
      <w:sz w:val="20"/>
      <w:szCs w:val="20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a1796e"/>
    <w:pPr>
      <w:widowControl/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" w:asciiTheme="minorHAnsi" w:cstheme="minorBidi" w:eastAsiaTheme="minorHAnsi" w:hAnsiTheme="minorHAnsi"/>
      <w:sz w:val="24"/>
      <w:szCs w:val="24"/>
      <w:lang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AvenirNext LT Pro MediumCn" w:hAnsi="AvenirNext LT Pro MediumCn"/>
      <w:sz w:val="24"/>
      <w:szCs w:val="24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abledesmatiresniveau2">
    <w:name w:val="TOC 2"/>
    <w:basedOn w:val="Index"/>
    <w:pPr>
      <w:tabs>
        <w:tab w:val="clear" w:pos="708"/>
        <w:tab w:val="right" w:pos="8787" w:leader="dot"/>
      </w:tabs>
      <w:ind w:left="567" w:right="0" w:hanging="0"/>
    </w:pPr>
    <w:rPr>
      <w:rFonts w:ascii="AvenirNext LT Pro MediumCn" w:hAnsi="AvenirNext LT Pro MediumCn"/>
      <w:b w:val="false"/>
      <w:sz w:val="24"/>
    </w:rPr>
  </w:style>
  <w:style w:type="paragraph" w:styleId="Tabledesmatiresniveau3">
    <w:name w:val="TOC 3"/>
    <w:basedOn w:val="Index"/>
    <w:pPr>
      <w:tabs>
        <w:tab w:val="clear" w:pos="708"/>
        <w:tab w:val="right" w:pos="8503" w:leader="dot"/>
      </w:tabs>
      <w:ind w:left="567" w:hanging="0"/>
    </w:pPr>
    <w:rPr>
      <w:rFonts w:ascii="AvenirNext LT Pro MediumCn" w:hAnsi="AvenirNext LT Pro MediumCn"/>
      <w:b w:val="false"/>
      <w:sz w:val="20"/>
    </w:rPr>
  </w:style>
  <w:style w:type="paragraph" w:styleId="Tabledesmatiresniveau1">
    <w:name w:val="TOC 1"/>
    <w:basedOn w:val="Index"/>
    <w:pPr>
      <w:tabs>
        <w:tab w:val="clear" w:pos="708"/>
        <w:tab w:val="right" w:pos="9070" w:leader="dot"/>
      </w:tabs>
      <w:ind w:left="0" w:hanging="0"/>
    </w:pPr>
    <w:rPr>
      <w:rFonts w:ascii="AvenirNext LT Pro MediumCn" w:hAnsi="AvenirNext LT Pro MediumCn"/>
      <w:b w:val="false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DB9BB-0325-DF4C-89A4-BDA9C122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LibreOffice/7.3.7.2$Linux_X86_64 LibreOffice_project/30$Build-2</Application>
  <AppVersion>15.0000</AppVersion>
  <Pages>12</Pages>
  <Words>735</Words>
  <Characters>4830</Characters>
  <CharactersWithSpaces>5326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2019-11-13T09:17:00Z</dcterms:created>
  <dc:creator>Microsoft Office User</dc:creator>
  <dc:description/>
  <dc:language>fr-FR</dc:language>
  <cp:lastModifiedBy/>
  <cp:lastPrinted>2019-11-13T09:51:00Z</cp:lastPrinted>
  <dcterms:modified xsi:type="dcterms:W3CDTF">2023-05-04T14:46:57Z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