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wmf" ContentType="image/x-wmf"/>
  <Override PartName="/word/media/image3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default" r:id="rId3"/>
          <w:footerReference w:type="default" r:id="rId4"/>
          <w:type w:val="nextPage"/>
          <w:pgSz w:w="11906" w:h="16838"/>
          <w:pgMar w:left="1418" w:right="1418" w:gutter="0" w:header="1219" w:top="1276" w:footer="3005" w:bottom="3062"/>
          <w:pgNumType w:fmt="decimal"/>
          <w:formProt w:val="false"/>
          <w:textDirection w:val="lrTb"/>
          <w:docGrid w:type="default" w:linePitch="360" w:charSpace="0"/>
        </w:sectPr>
        <w:pStyle w:val="Titre1"/>
        <w:spacing w:before="24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415925</wp:posOffset>
                </wp:positionH>
                <wp:positionV relativeFrom="paragraph">
                  <wp:posOffset>4109085</wp:posOffset>
                </wp:positionV>
                <wp:extent cx="5429250" cy="1280160"/>
                <wp:effectExtent l="0" t="0" r="0" b="0"/>
                <wp:wrapNone/>
                <wp:docPr id="1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</w:sdtPr>
                            <w:sdtContent>
                              <w:p>
                                <w:pPr>
                                  <w:pStyle w:val="Contenudecadre"/>
                                  <w:spacing w:lineRule="auto" w:line="240" w:before="100" w:after="0"/>
                                  <w:ind w:left="-142" w:hanging="0"/>
                                  <w:rPr>
                                    <w:b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b/>
                                    <w:color w:val="135764"/>
                                    <w:sz w:val="44"/>
                                  </w:rPr>
                                  <w:t>Plan de Gestion de Données pour le projet « </w:t>
                                </w:r>
                                <w:r>
                                  <w:rPr>
                                    <w:b/>
                                    <w:color w:val="135764"/>
                                    <w:sz w:val="44"/>
                                  </w:rPr>
                                  <w:t>Nom du projet »</w:t>
                                </w:r>
                              </w:p>
                              <w:p>
                                <w:pPr>
                                  <w:pStyle w:val="Contenudecadre"/>
                                  <w:spacing w:before="200" w:after="0"/>
                                  <w:ind w:left="-142" w:hanging="0"/>
                                  <w:rPr>
                                    <w:b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AFAD"/>
                                    <w:sz w:val="24"/>
                                  </w:rPr>
                                  <w:t>Data Management Plan of « </w:t>
                                </w:r>
                                <w:r>
                                  <w:rPr>
                                    <w:b/>
                                    <w:color w:val="00AFAD"/>
                                    <w:sz w:val="24"/>
                                  </w:rPr>
                                  <w:t>Nom du projet »</w:t>
                                </w:r>
                                <w:r>
                                  <w:rPr>
                                    <w:b/>
                                    <w:color w:val="00AFAD"/>
                                    <w:sz w:val="24"/>
                                  </w:rPr>
                                  <w:t xml:space="preserve"> project</w:t>
                                </w:r>
                              </w:p>
                              <w:p>
                                <w:pPr>
                                  <w:pStyle w:val="Contenudecadre"/>
                                  <w:ind w:left="-142" w:hanging="0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path="m0,0l-2147483645,0l-2147483645,-2147483646l0,-2147483646xe" stroked="f" o:allowincell="f" style="position:absolute;margin-left:32.75pt;margin-top:323.55pt;width:427.45pt;height:100.7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40" w:before="100" w:after="0"/>
                        <w:ind w:left="-142" w:hanging="0"/>
                        <w:rPr>
                          <w:b/>
                          <w:b/>
                          <w:sz w:val="44"/>
                        </w:rPr>
                      </w:pPr>
                      <w:r>
                        <w:rPr>
                          <w:b/>
                          <w:color w:val="135764"/>
                          <w:sz w:val="44"/>
                        </w:rPr>
                        <w:t>Plan de Gestion de Données pour le projet « </w:t>
                      </w:r>
                      <w:r>
                        <w:rPr>
                          <w:b/>
                          <w:color w:val="135764"/>
                          <w:sz w:val="44"/>
                        </w:rPr>
                        <w:t>Nom du projet »</w:t>
                      </w:r>
                    </w:p>
                    <w:p>
                      <w:pPr>
                        <w:pStyle w:val="Contenudecadre"/>
                        <w:spacing w:before="200" w:after="0"/>
                        <w:ind w:left="-142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AFAD"/>
                          <w:sz w:val="24"/>
                        </w:rPr>
                        <w:t>Data Management Plan of « </w:t>
                      </w:r>
                      <w:r>
                        <w:rPr>
                          <w:b/>
                          <w:color w:val="00AFAD"/>
                          <w:sz w:val="24"/>
                        </w:rPr>
                        <w:t>Nom du projet »</w:t>
                      </w:r>
                      <w:r>
                        <w:rPr>
                          <w:b/>
                          <w:color w:val="00AFAD"/>
                          <w:sz w:val="24"/>
                        </w:rPr>
                        <w:t xml:space="preserve"> project</w:t>
                      </w:r>
                    </w:p>
                    <w:p>
                      <w:pPr>
                        <w:pStyle w:val="Contenudecadre"/>
                        <w:ind w:left="-142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386715</wp:posOffset>
                </wp:positionH>
                <wp:positionV relativeFrom="paragraph">
                  <wp:posOffset>3624580</wp:posOffset>
                </wp:positionV>
                <wp:extent cx="326390" cy="316865"/>
                <wp:effectExtent l="0" t="0" r="0" b="0"/>
                <wp:wrapNone/>
                <wp:docPr id="3" name="Zon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31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left="-426" w:right="-3061" w:firstLine="426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" path="m0,0l-2147483645,0l-2147483645,-2147483646l0,-2147483646xe" stroked="f" o:allowincell="f" style="position:absolute;margin-left:30.45pt;margin-top:285.4pt;width:25.65pt;height:24.9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ind w:left="-426" w:right="-3061" w:firstLine="426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493395</wp:posOffset>
            </wp:positionH>
            <wp:positionV relativeFrom="paragraph">
              <wp:posOffset>3623945</wp:posOffset>
            </wp:positionV>
            <wp:extent cx="137160" cy="195580"/>
            <wp:effectExtent l="0" t="0" r="0" b="0"/>
            <wp:wrapSquare wrapText="largest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2"/>
        <w:numPr>
          <w:ilvl w:val="1"/>
          <w:numId w:val="2"/>
        </w:numPr>
        <w:rPr/>
      </w:pPr>
      <w:bookmarkStart w:id="0" w:name="__RefHeading___Toc748_2894708513"/>
      <w:bookmarkEnd w:id="0"/>
      <w:r>
        <w:rPr/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2"/>
            <w:spacing w:before="113" w:after="113"/>
            <w:ind w:left="454" w:right="0" w:hanging="0"/>
            <w:rPr>
              <w:rFonts w:ascii="AvenirNext LT Pro MediumCn" w:hAnsi="AvenirNext LT Pro MediumCn"/>
              <w:b w:val="false"/>
              <w:b w:val="false"/>
              <w:sz w:val="30"/>
            </w:rPr>
          </w:pPr>
          <w:r>
            <w:fldChar w:fldCharType="begin"/>
          </w:r>
          <w:r>
            <w:rPr>
              <w:rStyle w:val="Sautdindex"/>
              <w:sz w:val="30"/>
              <w:b w:val="false"/>
              <w:szCs w:val="30"/>
            </w:rPr>
            <w:instrText xml:space="preserve"> TOC \f \o "1-9" \h</w:instrText>
          </w:r>
          <w:r>
            <w:rPr>
              <w:rStyle w:val="Sautdindex"/>
              <w:sz w:val="30"/>
              <w:b w:val="false"/>
              <w:szCs w:val="30"/>
            </w:rPr>
            <w:fldChar w:fldCharType="separate"/>
          </w:r>
          <w:hyperlink w:anchor="__RefHeading___Toc748_2894708513">
            <w:r>
              <w:rPr>
                <w:rStyle w:val="Sautdindex"/>
                <w:b w:val="false"/>
                <w:sz w:val="30"/>
                <w:szCs w:val="30"/>
              </w:rPr>
              <w:t>Table des matières</w:t>
            </w:r>
            <w:r>
              <w:rPr>
                <w:rStyle w:val="Sautdindex"/>
                <w:b w:val="false"/>
                <w:sz w:val="30"/>
              </w:rPr>
              <w:tab/>
            </w:r>
          </w:hyperlink>
        </w:p>
        <w:p>
          <w:pPr>
            <w:pStyle w:val="Tabledesmatiresniveau2"/>
            <w:rPr/>
          </w:pPr>
          <w:hyperlink w:anchor="__RefHeading___Toc750_2894708513">
            <w:r>
              <w:rPr>
                <w:rStyle w:val="Sautdindex"/>
              </w:rPr>
              <w:t>1 – Informations sur le Plan de Gestion de Données (PGD)</w:t>
              <w:tab/>
            </w:r>
          </w:hyperlink>
        </w:p>
        <w:p>
          <w:pPr>
            <w:pStyle w:val="Tabledesmatiresniveau2"/>
            <w:spacing w:before="57" w:after="0"/>
            <w:rPr/>
          </w:pPr>
          <w:hyperlink w:anchor="__RefHeading___Toc752_2894708513">
            <w:r>
              <w:rPr>
                <w:rStyle w:val="Sautdindex"/>
              </w:rPr>
              <w:t>2 – Informations sur le projet</w:t>
              <w:tab/>
            </w:r>
          </w:hyperlink>
        </w:p>
        <w:p>
          <w:pPr>
            <w:pStyle w:val="Tabledesmatiresniveau2"/>
            <w:spacing w:before="57" w:after="57"/>
            <w:rPr/>
          </w:pPr>
          <w:hyperlink w:anchor="__RefHeading___Toc754_2894708513">
            <w:r>
              <w:rPr>
                <w:rStyle w:val="Sautdindex"/>
              </w:rPr>
              <w:t>3 – Les jeux de données produits par le projet</w:t>
              <w:tab/>
            </w:r>
          </w:hyperlink>
        </w:p>
        <w:p>
          <w:pPr>
            <w:pStyle w:val="Tabledesmatiresniveau3"/>
            <w:widowControl w:val="false"/>
            <w:suppressLineNumbers/>
            <w:tabs>
              <w:tab w:val="clear" w:pos="8503"/>
              <w:tab w:val="right" w:pos="9070" w:leader="none"/>
            </w:tabs>
            <w:suppressAutoHyphens w:val="true"/>
            <w:bidi w:val="0"/>
            <w:spacing w:before="0" w:after="0"/>
            <w:ind w:left="680" w:right="0" w:hanging="0"/>
            <w:jc w:val="left"/>
            <w:rPr/>
          </w:pPr>
          <w:hyperlink w:anchor="__RefHeading__fc2fa887-cae2-47bb-8847-c4c9ee592956">
            <w:r>
              <w:rPr>
                <w:rStyle w:val="Sautdindex"/>
              </w:rPr>
              <w:t>3.1 – ‘Nom du jeu de données</w:t>
            </w:r>
          </w:hyperlink>
          <w:r>
            <w:rPr/>
            <w:t>’</w:t>
          </w:r>
          <w:hyperlink w:anchor="__RefHeading__9692766c-e0f9-4615-b79a-d93070138a68">
            <w:r>
              <w:rPr>
                <w:rStyle w:val="Sautdindex"/>
              </w:rPr>
              <w:tab/>
            </w:r>
          </w:hyperlink>
        </w:p>
        <w:p>
          <w:pPr>
            <w:pStyle w:val="Tabledesmatiresniveau2"/>
            <w:spacing w:before="57" w:after="170"/>
            <w:rPr/>
          </w:pPr>
          <w:hyperlink w:anchor="__RefHeading___Toc768_2894708513">
            <w:r>
              <w:rPr>
                <w:rStyle w:val="Sautdindex"/>
              </w:rPr>
              <w:t>4 – Jeux de données externes utilisés par le projet / Appariement de fichiers</w:t>
              <w:tab/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Corpsdetexte"/>
        <w:rPr/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bookmarkStart w:id="1" w:name="__RefHeading___Toc750_2894708513"/>
      <w:bookmarkEnd w:id="1"/>
      <w:r>
        <w:rPr/>
        <w:t>1 – Informations sur le Plan de Gestion de Données (PGD)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3000"/>
        <w:gridCol w:w="6069"/>
      </w:tblGrid>
      <w:tr>
        <w:trPr/>
        <w:tc>
          <w:tcPr>
            <w:tcW w:w="3000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6069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</w:tbl>
    <w:p>
      <w:pPr>
        <w:pStyle w:val="Corpsdetexte"/>
        <w:spacing w:before="850" w:after="119"/>
        <w:rPr/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bookmarkStart w:id="2" w:name="__RefHeading___Toc752_2894708513"/>
      <w:bookmarkEnd w:id="2"/>
      <w:r>
        <w:rPr/>
        <w:t>2 – Informations sur le projet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3000"/>
        <w:gridCol w:w="6069"/>
      </w:tblGrid>
      <w:tr>
        <w:trPr/>
        <w:tc>
          <w:tcPr>
            <w:tcW w:w="3000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Acronyme du projet</w:t>
            </w:r>
          </w:p>
        </w:tc>
        <w:tc>
          <w:tcPr>
            <w:tcW w:w="6069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Titre complet du projet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Bailleurs / Financeurs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Objectifs / Finalité du projet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Partenaires du projet contribuant au traitement des données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Identifiant de l’appel à projet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Thématique de l’appel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Référence de la convention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Durée du projet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Institution coordinatrice du projet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Responsable scientifique du projet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Mots-clefs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Publics cibles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ENS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Enseignements / Étudiants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REC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Recherche / Chercheurs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PAR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Partenariat institutionnel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EXPT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Expertise privée (ONG...)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ACTP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Acteurs Publics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PUB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Grand public / Citoyens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OPP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Opérateur privé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AUTR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Autre : P</w:t>
            </w:r>
            <w:r>
              <w:rPr>
                <w:caps w:val="false"/>
                <w:smallCaps w:val="false"/>
                <w:color w:val="222222"/>
                <w:spacing w:val="0"/>
              </w:rPr>
              <w:t>réciser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bookmarkStart w:id="3" w:name="__RefHeading___Toc754_2894708513"/>
      <w:bookmarkEnd w:id="3"/>
      <w:r>
        <w:rPr/>
        <w:t>3 – Les jeux de données produits par le projet</w:t>
      </w:r>
    </w:p>
    <w:p>
      <w:pPr>
        <w:pStyle w:val="Corpsdetexte"/>
        <w:rPr>
          <w:rFonts w:ascii="AvenirNext LT Pro MediumCn" w:hAnsi="AvenirNext LT Pro MediumCn"/>
          <w:b w:val="false"/>
          <w:b w:val="false"/>
          <w:bCs w:val="false"/>
          <w:sz w:val="24"/>
          <w:szCs w:val="24"/>
        </w:rPr>
      </w:pPr>
      <w:r>
        <w:rPr>
          <w:rFonts w:ascii="AvenirNext LT Pro MediumCn" w:hAnsi="AvenirNext LT Pro MediumCn"/>
          <w:b w:val="false"/>
          <w:bCs w:val="false"/>
          <w:sz w:val="24"/>
          <w:szCs w:val="24"/>
        </w:rPr>
        <w:t>Liste des jeux de données qui seront collectés, produits, ou générés par le projet.</w:t>
        <w:br/>
      </w:r>
      <w:r>
        <w:rPr>
          <w:rFonts w:ascii="AvenirNext LT Pro MediumCn" w:hAnsi="AvenirNext LT Pro MediumCn"/>
          <w:b w:val="false"/>
          <w:bCs w:val="false"/>
          <w:sz w:val="24"/>
          <w:szCs w:val="24"/>
          <w:u w:val="single"/>
        </w:rPr>
        <w:t>Renseigner autant de sous-partie que de jeux de données.</w:t>
      </w:r>
    </w:p>
    <w:p>
      <w:pPr>
        <w:pStyle w:val="Titre3"/>
        <w:numPr>
          <w:ilvl w:val="2"/>
          <w:numId w:val="2"/>
        </w:numPr>
        <w:rPr/>
      </w:pPr>
      <w:bookmarkStart w:id="4" w:name="__RefHeading__fc2fa887-cae2-47bb-8847-c4"/>
      <w:bookmarkEnd w:id="4"/>
      <w:r>
        <w:rPr/>
        <w:t>3.1 – Nom du jeu de données 1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3000"/>
        <w:gridCol w:w="6069"/>
      </w:tblGrid>
      <w:tr>
        <w:trPr/>
        <w:tc>
          <w:tcPr>
            <w:tcW w:w="9069" w:type="dxa"/>
            <w:gridSpan w:val="2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Identification du jeu de données</w:t>
            </w:r>
          </w:p>
        </w:tc>
      </w:tr>
      <w:tr>
        <w:trPr/>
        <w:tc>
          <w:tcPr>
            <w:tcW w:w="3000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Numéro</w:t>
            </w:r>
          </w:p>
        </w:tc>
        <w:tc>
          <w:tcPr>
            <w:tcW w:w="6069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Nom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Description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 xml:space="preserve">Type : 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 xml:space="preserve">Population : 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 xml:space="preserve">Échelle : 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>Période de réalisation des enqu</w:t>
            </w:r>
            <w:r>
              <w:rPr>
                <w:rFonts w:eastAsia="Raleway" w:cs="Raleway"/>
                <w:color w:val="auto"/>
                <w:kern w:val="0"/>
                <w:sz w:val="24"/>
                <w:szCs w:val="24"/>
                <w:lang w:val="fr-FR" w:eastAsia="fr-FR" w:bidi="fr-FR"/>
              </w:rPr>
              <w:t xml:space="preserve">êtes : 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 xml:space="preserve">Périodicité : </w:t>
            </w:r>
            <w:r>
              <w:rPr/>
              <w:t>Préciser si plusieurs enquêtes</w:t>
            </w:r>
            <w:r>
              <w:rPr>
                <w:rFonts w:eastAsia="Raleway" w:cs="Raleway"/>
                <w:color w:val="auto"/>
                <w:kern w:val="0"/>
                <w:sz w:val="24"/>
                <w:szCs w:val="24"/>
                <w:lang w:val="fr-FR" w:eastAsia="fr-FR" w:bidi="fr-FR"/>
              </w:rPr>
              <w:t xml:space="preserve"> successives sont réalisées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WP concerné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Responsable(s) du jeu de données</w:t>
            </w:r>
          </w:p>
        </w:tc>
        <w:tc>
          <w:tcPr>
            <w:tcW w:w="6069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Responsable(s) de la collecte des données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Responsable(s) de l’analyse des données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Si responsables d’institutions différentes, une convention de responsabilité conjointe est-elle prévue ?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Une base de données sera-t-elle créée spécifiquement pour recueillir les données du projet ?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caps w:val="false"/>
                <w:smallCaps w:val="false"/>
                <w:color w:val="222222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Droits de propriété intellectuelle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Aspect éthique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3000"/>
        <w:gridCol w:w="3036"/>
        <w:gridCol w:w="3034"/>
      </w:tblGrid>
      <w:tr>
        <w:trPr/>
        <w:tc>
          <w:tcPr>
            <w:tcW w:w="9070" w:type="dxa"/>
            <w:gridSpan w:val="3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Description du jeu de données</w:t>
            </w:r>
          </w:p>
        </w:tc>
      </w:tr>
      <w:tr>
        <w:trPr/>
        <w:tc>
          <w:tcPr>
            <w:tcW w:w="3000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Nature</w:t>
            </w:r>
          </w:p>
        </w:tc>
        <w:tc>
          <w:tcPr>
            <w:tcW w:w="6070" w:type="dxa"/>
            <w:gridSpan w:val="2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EXP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– Essais / Expérimentations</w:t>
            </w:r>
          </w:p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rFonts w:ascii="DejaVu Sans" w:hAnsi="DejaVu Sans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OBS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– Observations sur le terrain</w:t>
            </w:r>
          </w:p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ENQ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– Enqu</w:t>
            </w:r>
            <w:r>
              <w:rPr>
                <w:rFonts w:eastAsia="Raleway" w:cs="Raleway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fr-FR" w:eastAsia="fr-FR" w:bidi="fr-FR"/>
              </w:rPr>
              <w:t>êtes</w:t>
            </w:r>
          </w:p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rFonts w:ascii="DejaVu Sans" w:hAnsi="DejaVu Sans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TMPS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– Séries temporelles (cohortes, séries chronologiques…)</w:t>
            </w:r>
          </w:p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AUTR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– Autre : </w:t>
            </w:r>
            <w:r>
              <w:rPr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Méthode de production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Outils de traitement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Volumétrie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Nature des données personnelles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 xml:space="preserve">Voir </w:t>
            </w:r>
            <w:hyperlink w:anchor="N_et_Ofc2fa887-cae2-47bb-8847-c4c9ee592956">
              <w:r>
                <w:rPr>
                  <w:rStyle w:val="LienInternet"/>
                  <w:color w:val="66C1BF"/>
                </w:rPr>
                <w:t>Nature et Origine des données personnelles</w:t>
              </w:r>
            </w:hyperlink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Origine des données personnelles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 xml:space="preserve">Voir </w:t>
            </w:r>
            <w:hyperlink w:anchor="N_et_Ofc2fa887-cae2-47bb-8847-c4c9ee592956">
              <w:r>
                <w:rPr>
                  <w:rStyle w:val="LienInternet"/>
                  <w:color w:val="66C1BF"/>
                </w:rPr>
                <w:t>Nature et Origine des données personnelles</w:t>
              </w:r>
            </w:hyperlink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Pays de provenance des données personnelles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Base légale du traitement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Consentement de la personne</w:t>
            </w:r>
          </w:p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rFonts w:ascii="DejaVu Sans" w:hAnsi="DejaVu Sans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Respect d’une obligation légale à laquelle le responsable de traitement est soumis</w:t>
            </w:r>
          </w:p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Exécution d’une mission de service public</w:t>
            </w:r>
          </w:p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Autre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>
          <w:trHeight w:val="3281" w:hRule="atLeast"/>
        </w:trPr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Informations adressées aux personnes concernées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Mentions légales sur le formulaire de recueil de consentement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Mentions sur le questionnaire de collecte / d’enqu</w:t>
            </w:r>
            <w:r>
              <w:rPr>
                <w:rFonts w:eastAsia="Raleway" w:cs="Raleway"/>
                <w:b w:val="false"/>
                <w:b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fr-FR" w:eastAsia="fr-FR" w:bidi="fr-FR"/>
              </w:rPr>
              <w:t>ête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Fiche d’Information Individuelle (préciser le mode de transmission) :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ab/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Par envoi de courrier papier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ab/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Par envoi de courrier électronique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ab/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Par mention sur le site internet / intranet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ab/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Par affichage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ab/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En main propre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ab/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Autre :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Aucune information :</w:t>
            </w:r>
            <w:r>
              <w:rPr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Indiquer pourquoi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Droits aux personnes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>Moyens permettant aux intéressés d’exercer leurs droits :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Par un accès en ligne à leur dossier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Par voie postale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Par courrier éléctronique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Autre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  <w:p>
            <w:pPr>
              <w:pStyle w:val="Contenudetableau"/>
              <w:widowControl w:val="false"/>
              <w:spacing w:before="113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Responsable de ce droit : 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Nombres de personnes enqu</w:t>
            </w:r>
            <w:r>
              <w:rPr>
                <w:rFonts w:eastAsia="Raleway" w:cs="Raleway"/>
                <w:color w:val="auto"/>
                <w:kern w:val="0"/>
                <w:sz w:val="24"/>
                <w:szCs w:val="24"/>
                <w:lang w:val="fr-FR" w:eastAsia="fr-FR" w:bidi="fr-FR"/>
              </w:rPr>
              <w:t>êtées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&lt; 100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&lt; 1000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&lt; 10000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&gt; 10000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 personnes mineures sont enquêtées (Moins de 15 ans) ?</w:t>
            </w:r>
          </w:p>
        </w:tc>
        <w:tc>
          <w:tcPr>
            <w:tcW w:w="3036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spacing w:before="0" w:after="113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Un consentement autorité parental a été demandé ?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Oui        </w:t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Non</w:t>
            </w:r>
          </w:p>
        </w:tc>
        <w:tc>
          <w:tcPr>
            <w:tcW w:w="3034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spacing w:before="0" w:after="113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Non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 personnes majeures protégées sont enquêtées (personnes en EHPAD, sous tutelle, sous                                 curatelle...) ?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Non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 salariés des tutelles de l'UMR sont enquêtés ?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Oui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 la tutelle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Non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 étudiants sont enquêtés ?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Oui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 le site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Non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Travail avec un sous-traitant (par ex retranscription, hébergement, etc.)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Oui                </w:t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Non</w:t>
            </w:r>
          </w:p>
          <w:p>
            <w:pPr>
              <w:pStyle w:val="Contenudetableau"/>
              <w:widowControl w:val="false"/>
              <w:spacing w:before="113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>Si oui, préciser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Nom : 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Coordonnees : 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Nature de la sous-traitance : 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Il existe un contrat entre le sous-traitant et le responsable de traitement : </w:t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Oui           </w:t>
            </w: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Non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Critères pour savoir s’il faut mener une étude d’impact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Traitement figurant sur la liste des cas pour lesquels une EIPV est obligatoire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Traitement figurant sur la liste des cas pour lesquels une EIPV n'est pas obligatoire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Évaluation / Notation y compris d'activité de profilage, prédiction de comportement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Décision automatique avec effet légal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Surveillance systématique - traitement utilisé pour observer, surveiller ou contrôler les personnes concernées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Données sensibles ou à caractère hautement personnel (communication électronique, géolocalisation, données financières)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Grande échelle de traitement (nombre de personnes, volume des données, durée ou permanence du traitement, étendue géographique)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Croisement, combinaison de données (appariement ou interconnexion de fichiers)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Personnes vulnérables (mineurs, majeurs protégés ou salariés quand le traitement est mis en oeuvre par l'employeur)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Usage innovant ou application de nouvelles solutions technologiques ou organisationnelles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Blocage d'un droit / contrat - Traitement qui permette d'autoriser, de modifier ou de refuser l'accès à un service ou à une conclusion de contrat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Aucun des critères si dessus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Pour les recherches en santé, préciser les méthodologies de recherches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MR01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– Recherches dans le domaine de la santé avec recueil du consentement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MR02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– Études non interventionnelles de performances concernant les dispositifs médicaux de diagnostic in vitro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MR03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– Recherches dans le domaine de la santé sans recueil du consentement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MR04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– Recherches n'impliquant pas la personne humaine, études et évaluations dans le domaine de la santé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MR05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– Accès aux données du PMSI et/ou des RPU par les établissements de santé et fédérations hospitalières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</w:rPr>
              <w:t>MR06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– Accès aux données du PMSI par les industriels de santé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1305"/>
        <w:gridCol w:w="2478"/>
        <w:gridCol w:w="2643"/>
        <w:gridCol w:w="2643"/>
      </w:tblGrid>
      <w:tr>
        <w:trPr/>
        <w:tc>
          <w:tcPr>
            <w:tcW w:w="9069" w:type="dxa"/>
            <w:gridSpan w:val="4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bookmarkStart w:id="5" w:name="N_et_Ofc2fa887-cae2-47bb-8847-c4c9ee5929"/>
            <w:r>
              <w:rPr/>
              <w:t>Nature et Origine des données personnelles</w:t>
            </w:r>
            <w:bookmarkEnd w:id="5"/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</w:rPr>
              <w:t>Niveau d’impact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Type de données personnelles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  <w:caps w:val="false"/>
                <w:smallCaps w:val="false"/>
                <w:color w:val="222222"/>
                <w:spacing w:val="0"/>
              </w:rPr>
            </w:pP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Détail des données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  <w:caps w:val="false"/>
                <w:smallCaps w:val="false"/>
                <w:color w:val="222222"/>
                <w:spacing w:val="0"/>
              </w:rPr>
            </w:pP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Origine des données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Données d’identification de base (civilité, nom, prénom, nationalité)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Données d’identification détaillée (lieu de naissance, date de naissance)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Situation d’invalidité ou handicap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Famille (Régime matrimonial, liens familiaux, noms de la famille ou des proches, âges…)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Référence d’identité (n° matricule interne employeur, n° de titre d’identité, info contenues dans ce titre)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Documents d’identité (Copie pièce identité)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Photo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Autres numéros d’identification (hors NIR) (Immatriculation, badge, login, pseudo)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Mot de passe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Enregistrement (Voix, images)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Coordonnées personnelles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Coordonnées professionnelle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Vie personnelle hors bien être santé (habitude de vie, situation familiale, habitat, déplacements…)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Vie personnelle concernant bien-être et santé (dépendance, exercice physique, comportements alimentaires, régimes…)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Vie professionnelle (CV, diplôme, distinction…)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Travail professionnel (Heures entrées sortie, temps de travail, déplacements, licences, inventions…)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Evaluation professionnelle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Agrément professionnel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Formations suivies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Situation économique et financière(Salaire, primes, autres éléments d’ordre financier, charges, cotisations, saisie…)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Dimension économique (indicateurs de revenus, données type PAC accessibles sur internet, etc.)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Réclamations et contentieux (hors pénal) (Réclamations, recouvrement, défauts de paiement, contentieux, éléments de procédure hors pénal…)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Fraudes (Preuves éléments de fraude…)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Données de connexion (Adresse IP, logs, cookies…)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Données de localisation (déplacements, données GPS…)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N° de sécurité sociale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Infractions, condamnations, mesures de sureté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Opinions (politiques, philosophiques syndicale ou religieuses), origines (raciales ou ethniques)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Données biométriques, génétiques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Données de santé hors dossiers médical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Données de santé issues du dossier médical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De manière indirecte :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Préciser</w:t>
            </w:r>
          </w:p>
        </w:tc>
      </w:tr>
      <w:tr>
        <w:trPr/>
        <w:tc>
          <w:tcPr>
            <w:tcW w:w="1305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À déterminer  avec le DPO</w:t>
            </w:r>
          </w:p>
        </w:tc>
        <w:tc>
          <w:tcPr>
            <w:tcW w:w="2478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/>
            </w:pPr>
            <w:r>
              <w:rPr/>
              <w:t>Autres types de données utilisées (ex : données d’analyse sensorielle)</w:t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  <w:tc>
          <w:tcPr>
            <w:tcW w:w="2643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Directement auprès de la personne concernées</w:t>
            </w:r>
          </w:p>
          <w:p>
            <w:pPr>
              <w:pStyle w:val="Contenudetableau"/>
              <w:widowControl w:val="false"/>
              <w:spacing w:before="0" w:after="0"/>
              <w:jc w:val="left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☐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 xml:space="preserve"> </w:t>
            </w: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</w:rPr>
              <w:t>De manière indirecte : Préciser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3000"/>
        <w:gridCol w:w="6069"/>
      </w:tblGrid>
      <w:tr>
        <w:trPr/>
        <w:tc>
          <w:tcPr>
            <w:tcW w:w="9069" w:type="dxa"/>
            <w:gridSpan w:val="2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Métadonnées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Existence d’un document décrivant les métadonnées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Standard de métadonnées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Format des données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Gestion de fichiers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2999"/>
        <w:gridCol w:w="3037"/>
        <w:gridCol w:w="3034"/>
      </w:tblGrid>
      <w:tr>
        <w:trPr/>
        <w:tc>
          <w:tcPr>
            <w:tcW w:w="9070" w:type="dxa"/>
            <w:gridSpan w:val="3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Partage, transfert, stockage et sauvegarde des données</w:t>
            </w:r>
          </w:p>
        </w:tc>
      </w:tr>
      <w:tr>
        <w:trPr/>
        <w:tc>
          <w:tcPr>
            <w:tcW w:w="2999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Les données feront-elles l’objet d’échange ou de partage avec des tiers ?</w:t>
            </w:r>
          </w:p>
        </w:tc>
        <w:tc>
          <w:tcPr>
            <w:tcW w:w="3037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spacing w:before="0" w:after="113"/>
              <w:rPr/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spacing w:before="0" w:after="0"/>
              <w:rPr/>
            </w:pPr>
            <w:r>
              <w:rPr>
                <w:caps w:val="false"/>
                <w:smallCaps w:val="false"/>
                <w:color w:val="222222"/>
                <w:spacing w:val="0"/>
              </w:rPr>
              <w:t>Comment se font les transferts ?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Messagerie électronique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Outil de dép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ôt de fichiers :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À renseigner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Autre : </w:t>
            </w:r>
            <w:r>
              <w:rPr>
                <w:caps w:val="false"/>
                <w:smallCaps w:val="false"/>
                <w:color w:val="222222"/>
                <w:spacing w:val="0"/>
              </w:rPr>
              <w:t>Préciser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Ne sait pas</w:t>
            </w:r>
          </w:p>
        </w:tc>
        <w:tc>
          <w:tcPr>
            <w:tcW w:w="3034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spacing w:before="0" w:after="113"/>
              <w:rPr/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2999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 règles d’accès ont-elles été définies ?</w:t>
            </w:r>
          </w:p>
        </w:tc>
        <w:tc>
          <w:tcPr>
            <w:tcW w:w="6071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2999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 règles d’accès ont-elles étés rédigées ?</w:t>
            </w:r>
          </w:p>
        </w:tc>
        <w:tc>
          <w:tcPr>
            <w:tcW w:w="6071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2999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Nom de la tutelle hébergeant le stockage</w:t>
            </w:r>
          </w:p>
        </w:tc>
        <w:tc>
          <w:tcPr>
            <w:tcW w:w="6071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Lieux de stockage des données</w:t>
            </w:r>
          </w:p>
        </w:tc>
        <w:tc>
          <w:tcPr>
            <w:tcW w:w="6071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Poste de travail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Serveur interne (unité)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Serveur interne (centre)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Dataverse institutionnel de l’unité : </w:t>
            </w:r>
            <w:r>
              <w:rPr>
                <w:caps w:val="false"/>
                <w:smallCaps w:val="false"/>
                <w:color w:val="222222"/>
                <w:spacing w:val="0"/>
              </w:rPr>
              <w:t>Préciser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Autre Dataverse : </w:t>
            </w:r>
            <w:r>
              <w:rPr>
                <w:caps w:val="false"/>
                <w:smallCaps w:val="false"/>
                <w:color w:val="222222"/>
                <w:spacing w:val="0"/>
              </w:rPr>
              <w:t>Préciser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Entrepôt /solution de stockage externe partenaire projet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>Quel partenaire ? Quelle solution ?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Entrepôt /solution de stockage externe sous-traitant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>P</w:t>
            </w:r>
            <w:r>
              <w:rPr>
                <w:caps w:val="false"/>
                <w:smallCaps w:val="false"/>
                <w:color w:val="222222"/>
                <w:spacing w:val="0"/>
              </w:rPr>
              <w:t>réciser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Entrepôt /solution de stockage externe gratuite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>Préciser</w:t>
            </w:r>
          </w:p>
        </w:tc>
      </w:tr>
      <w:tr>
        <w:trPr/>
        <w:tc>
          <w:tcPr>
            <w:tcW w:w="2999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Fréquence et durée de la sauvegarde</w:t>
            </w:r>
          </w:p>
        </w:tc>
        <w:tc>
          <w:tcPr>
            <w:tcW w:w="6071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Transfert hors UE</w:t>
            </w:r>
          </w:p>
        </w:tc>
        <w:tc>
          <w:tcPr>
            <w:tcW w:w="3037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spacing w:before="0" w:after="113"/>
              <w:rPr/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Oui (voir </w:t>
            </w:r>
            <w:hyperlink w:anchor="horsUE_9692766c-e0f9-4615-b79a-d93070138a681">
              <w:r>
                <w:rPr>
                  <w:rStyle w:val="LienInternet"/>
                  <w:caps w:val="false"/>
                  <w:smallCaps w:val="false"/>
                  <w:color w:val="66C1BF"/>
                  <w:spacing w:val="0"/>
                </w:rPr>
                <w:t>Transfert hors Union européenne</w:t>
              </w:r>
            </w:hyperlink>
            <w:r>
              <w:rPr>
                <w:caps w:val="false"/>
                <w:smallCaps w:val="false"/>
                <w:color w:val="222222"/>
                <w:spacing w:val="0"/>
              </w:rPr>
              <w:t>)</w:t>
            </w:r>
          </w:p>
          <w:p>
            <w:pPr>
              <w:pStyle w:val="Contenudetableau"/>
              <w:widowControl w:val="false"/>
              <w:spacing w:before="0" w:after="0"/>
              <w:rPr/>
            </w:pPr>
            <w:r>
              <w:rPr>
                <w:caps w:val="false"/>
                <w:smallCaps w:val="false"/>
                <w:color w:val="222222"/>
                <w:spacing w:val="0"/>
              </w:rPr>
              <w:t>Comment se font les transferts ?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Messagerie électronique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Outil de dép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ôt de fichiers :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Autre :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Ne sait pas</w:t>
            </w:r>
          </w:p>
        </w:tc>
        <w:tc>
          <w:tcPr>
            <w:tcW w:w="3034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spacing w:before="0" w:after="113"/>
              <w:rPr/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☑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3000"/>
        <w:gridCol w:w="6070"/>
      </w:tblGrid>
      <w:tr>
        <w:trPr/>
        <w:tc>
          <w:tcPr>
            <w:tcW w:w="9070" w:type="dxa"/>
            <w:gridSpan w:val="2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bookmarkStart w:id="6" w:name="horsUE_9692766c-e0f9-4615-b79a-d93070138"/>
            <w:r>
              <w:rPr/>
              <w:t>Transfert hors Union européenne</w:t>
            </w:r>
            <w:bookmarkEnd w:id="6"/>
          </w:p>
        </w:tc>
      </w:tr>
      <w:tr>
        <w:trPr/>
        <w:tc>
          <w:tcPr>
            <w:tcW w:w="9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Nom du pays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>
                <w:i w:val="false"/>
                <w:iCs w:val="false"/>
              </w:rPr>
              <w:t>Type de destinataire</w:t>
            </w:r>
          </w:p>
        </w:tc>
        <w:tc>
          <w:tcPr>
            <w:tcW w:w="6070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Prestataire</w:t>
            </w:r>
          </w:p>
          <w:p>
            <w:pPr>
              <w:pStyle w:val="Contenudetableau"/>
              <w:rPr/>
            </w:pPr>
            <w:r>
              <w:rPr/>
              <w:t xml:space="preserve">☐ </w:t>
            </w:r>
            <w:r>
              <w:rPr/>
              <w:t>Partenaire public du projet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Autre : P</w:t>
            </w:r>
            <w:r>
              <w:rPr>
                <w:caps w:val="false"/>
                <w:smallCaps w:val="false"/>
                <w:color w:val="222222"/>
                <w:spacing w:val="0"/>
              </w:rPr>
              <w:t>réciser</w:t>
            </w:r>
          </w:p>
          <w:p>
            <w:pPr>
              <w:pStyle w:val="Contenudetableau"/>
              <w:widowControl w:val="false"/>
              <w:spacing w:before="113" w:after="0"/>
              <w:rPr/>
            </w:pPr>
            <w:r>
              <w:rPr/>
              <w:t xml:space="preserve">Nature du lien juridique : 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Finalité du transfert</w:t>
            </w:r>
          </w:p>
        </w:tc>
        <w:tc>
          <w:tcPr>
            <w:tcW w:w="6070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Catégories de personnes concernées par le transfert</w:t>
            </w:r>
          </w:p>
        </w:tc>
        <w:tc>
          <w:tcPr>
            <w:tcW w:w="6070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Salariés d’une des tutelles de l’UMR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Étudiants du campus de l’unité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Autre : </w:t>
            </w:r>
            <w:r>
              <w:rPr>
                <w:caps w:val="false"/>
                <w:smallCaps w:val="false"/>
                <w:color w:val="222222"/>
                <w:spacing w:val="0"/>
              </w:rPr>
              <w:t>Préciser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Nature des traitements opérés par les destinataires des données</w:t>
            </w:r>
          </w:p>
        </w:tc>
        <w:tc>
          <w:tcPr>
            <w:tcW w:w="6070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Catégories de données transférées</w:t>
            </w:r>
          </w:p>
        </w:tc>
        <w:tc>
          <w:tcPr>
            <w:tcW w:w="6070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Données d’identification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Vie personnelle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Vie professionnelle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Informations d’ordre économique et financier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Données de connexion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Données de localisation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N° de sécurité sociale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Infractions, condamnations, mesures de sûreté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Données de santé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Origines raciales ou ethniques, opinions philosophiques, politiques, religieux, syndicale, vie sexuelle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Données biométriques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eastAsia="Raleway" w:cs="Raleway" w:ascii="DejaVu Sans" w:hAnsi="DejaVu Sans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☐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 xml:space="preserve"> 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Données génétiques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Garanties mises en œuvre pour permettre le transfert</w:t>
            </w:r>
          </w:p>
        </w:tc>
        <w:tc>
          <w:tcPr>
            <w:tcW w:w="6070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Pays adéquat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Exceptions article 49 de la loi du 6 janvier 1978 modifiée : Précision - janvier 1978 ?????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Clauses contractuelles types</w:t>
            </w:r>
          </w:p>
          <w:p>
            <w:pPr>
              <w:pStyle w:val="Contenudetableau"/>
              <w:widowControl w:val="false"/>
              <w:spacing w:before="0" w:after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Binding Corporate Rules (règles internes au sein d’un m</w:t>
            </w:r>
            <w:r>
              <w:rPr>
                <w:rFonts w:eastAsia="Raleway" w:cs="Raleway"/>
                <w:caps w:val="false"/>
                <w:smallCaps w:val="false"/>
                <w:color w:val="222222"/>
                <w:spacing w:val="0"/>
                <w:kern w:val="0"/>
                <w:sz w:val="24"/>
                <w:szCs w:val="24"/>
                <w:lang w:val="fr-FR" w:eastAsia="fr-FR" w:bidi="fr-FR"/>
              </w:rPr>
              <w:t>ême groupe</w:t>
            </w:r>
            <w:r>
              <w:rPr>
                <w:caps w:val="false"/>
                <w:smallCaps w:val="false"/>
                <w:color w:val="222222"/>
                <w:spacing w:val="0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3000"/>
        <w:gridCol w:w="6069"/>
      </w:tblGrid>
      <w:tr>
        <w:trPr/>
        <w:tc>
          <w:tcPr>
            <w:tcW w:w="9069" w:type="dxa"/>
            <w:gridSpan w:val="2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Indications pour la sécurité des données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 xml:space="preserve">Le niveau de confidentialité (ou accès légitime) des données doit </w:t>
            </w:r>
            <w:r>
              <w:rPr>
                <w:rFonts w:eastAsia="Raleway" w:cs="Raleway"/>
                <w:i w:val="false"/>
                <w:iCs w:val="false"/>
                <w:color w:val="auto"/>
                <w:kern w:val="0"/>
                <w:sz w:val="24"/>
                <w:szCs w:val="24"/>
                <w:lang w:val="fr-FR" w:eastAsia="fr-FR" w:bidi="fr-FR"/>
              </w:rPr>
              <w:t>être :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Public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Les informations traitées sont accessibles à tous.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Limité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Les informations ne doivent être accessibles qu’au personnel de l’établissement et aux partenaires concernés.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Confidentiel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Les informations ne doivent être accessibles qu’aux personnes impliquées dans le traitement des données.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Restreint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Les informations sont réglementées et ne doivent être accessibles qu’aux personnes identifiées et ayant besoin d’en connaître le contenu.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En vous référant à l’Annexe 1, qualifiez le niveau de rupture de la confidentialité                                     lié ces données.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1 –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Négligeable </w:t>
            </w:r>
            <w:r>
              <w:rPr>
                <w:caps w:val="false"/>
                <w:smallCaps w:val="false"/>
                <w:color w:val="222222"/>
                <w:spacing w:val="0"/>
              </w:rPr>
              <w:t>: aucune incidence sur les individus (ex : nom de l’individu)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2 –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Limité </w:t>
            </w:r>
            <w:r>
              <w:rPr>
                <w:caps w:val="false"/>
                <w:smallCaps w:val="false"/>
                <w:color w:val="222222"/>
                <w:spacing w:val="0"/>
              </w:rPr>
              <w:t>: les personnes concernées pourraient connaître des désagréments significatifs, qu’elles pourront surmonter malgré quelques difficultés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3 –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Important </w:t>
            </w:r>
            <w:r>
              <w:rPr>
                <w:caps w:val="false"/>
                <w:smallCaps w:val="false"/>
                <w:color w:val="222222"/>
                <w:spacing w:val="0"/>
              </w:rPr>
              <w:t>: les personnes concernées pourraient connaître des conséquences significatives, qu’elles devraient pouvoir surmonter, mais avec des difficultés réelles et significatives (ex : usurpation d’identité)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4 –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Maximal </w:t>
            </w:r>
            <w:r>
              <w:rPr>
                <w:caps w:val="false"/>
                <w:smallCaps w:val="false"/>
                <w:color w:val="222222"/>
                <w:spacing w:val="0"/>
              </w:rPr>
              <w:t>: les personnes concernées pourraient connaître des conséquences significatives, voire irrémédiables, qu’elles pourraient ne pas surmonter (ex : dépression, suicide …)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Le niveau d’intégrité (ou modification non désirée) des données doit être :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Négligeable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Les informations traitées peuvent ne pas être intègres, les données peuvent être altérées ou perdues sans conséquence notable (exemple : données calculées pouvant être régénérées ou enquête pouvant être facilement refaite).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Limité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L’information peut ne pas être intègre si l’altération est identifiée.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Important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Les informations traitées peuvent ne pas être intègres, si l'altération est identifiée et l'intégrité de la donnée retrouvée (par exemple depuis une sauvegarde).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Maximal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L’information doit être rigoureusement intègre. Toute modification apportée au système doit être garantie. Il faut garantir que la donnée n'est pas modifiée, en recourant par exemple à des mécanismes de signature ou de chiffrement.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Le niveau de disponibilité (ou disparation) des données doit être :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Négligeable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La donnée peut être indisponible pendant cinq jours ouvrés.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Limité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La donnée doit être disponible dans trois jours ouvrés.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Important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La donnée doit être disponible dans les 24 heures.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Maximal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La donnée doit être disponible dans les 4 heures.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3000"/>
        <w:gridCol w:w="3034"/>
        <w:gridCol w:w="3036"/>
      </w:tblGrid>
      <w:tr>
        <w:trPr/>
        <w:tc>
          <w:tcPr>
            <w:tcW w:w="9070" w:type="dxa"/>
            <w:gridSpan w:val="3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Conservation et Archivage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Durée de conservation (dite « d’utilité »)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Volume des données conservées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Procédure de conservation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Responsable de la conservation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</w:t>
            </w:r>
            <w:r>
              <w:rPr>
                <w:rFonts w:eastAsia="Raleway" w:cs="Raleway"/>
                <w:color w:val="auto"/>
                <w:kern w:val="0"/>
                <w:sz w:val="24"/>
                <w:szCs w:val="24"/>
                <w:lang w:val="fr-FR" w:eastAsia="fr-FR" w:bidi="fr-FR"/>
              </w:rPr>
              <w:t>ûts associés à la conservation</w:t>
            </w:r>
          </w:p>
        </w:tc>
        <w:tc>
          <w:tcPr>
            <w:tcW w:w="6070" w:type="dxa"/>
            <w:gridSpan w:val="2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Souhaiteriez-vous que vos données soient archivées ?</w:t>
            </w:r>
          </w:p>
        </w:tc>
        <w:tc>
          <w:tcPr>
            <w:tcW w:w="30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spacing w:before="0" w:after="113"/>
              <w:rPr/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rPr/>
            </w:pPr>
            <w:r>
              <w:rPr>
                <w:caps w:val="false"/>
                <w:smallCaps w:val="false"/>
                <w:color w:val="222222"/>
                <w:spacing w:val="0"/>
              </w:rPr>
              <w:t>Indiquez les données que vous souhaitez archiver :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Formulaire de consentement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Questionnaire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Données anonymisées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Autre : </w:t>
            </w:r>
            <w:r>
              <w:rPr>
                <w:caps w:val="false"/>
                <w:smallCaps w:val="false"/>
                <w:color w:val="222222"/>
                <w:spacing w:val="0"/>
              </w:rPr>
              <w:t>Préciser</w:t>
            </w:r>
          </w:p>
        </w:tc>
        <w:tc>
          <w:tcPr>
            <w:tcW w:w="30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spacing w:before="0" w:after="113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Non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>Précisez si vous souhaitez que vos données soient :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caps w:val="false"/>
                <w:smallCaps w:val="false"/>
                <w:color w:val="222222"/>
                <w:spacing w:val="0"/>
              </w:rPr>
              <w:t>Détruites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numPr>
          <w:ilvl w:val="0"/>
          <w:numId w:val="0"/>
        </w:numPr>
        <w:ind w:left="0" w:hanging="0"/>
        <w:rPr/>
      </w:pPr>
      <w:bookmarkStart w:id="7" w:name="__RefHeading___Toc768_2894708513"/>
      <w:bookmarkEnd w:id="7"/>
      <w:r>
        <w:rPr/>
        <w:t>4 – Jeux de données externes utilisés par le projet / Appariement de fichiers</w:t>
      </w:r>
    </w:p>
    <w:p>
      <w:pPr>
        <w:pStyle w:val="Corpsdetexte"/>
        <w:spacing w:before="0" w:after="283"/>
        <w:rPr>
          <w:rFonts w:ascii="AvenirNext LT Pro MediumCn" w:hAnsi="AvenirNext LT Pro MediumC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AvenirNext LT Pro MediumCn" w:hAnsi="AvenirNext LT Pro MediumCn"/>
          <w:b w:val="false"/>
          <w:bCs w:val="false"/>
          <w:sz w:val="24"/>
          <w:szCs w:val="24"/>
          <w:u w:val="single"/>
        </w:rPr>
        <w:t>À renseigner pour chaque jeu de données externe.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3000"/>
        <w:gridCol w:w="6069"/>
      </w:tblGrid>
      <w:tr>
        <w:trPr/>
        <w:tc>
          <w:tcPr>
            <w:tcW w:w="3000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Nom du jeu de données</w:t>
            </w:r>
          </w:p>
        </w:tc>
        <w:tc>
          <w:tcPr>
            <w:tcW w:w="6069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Identifiant numérique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Description du jeu de données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Type : </w:t>
            </w:r>
          </w:p>
          <w:p>
            <w:pPr>
              <w:pStyle w:val="Contenudetableau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Population : </w:t>
            </w:r>
          </w:p>
          <w:p>
            <w:pPr>
              <w:pStyle w:val="Contenudetableau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Échelle : </w:t>
            </w:r>
          </w:p>
          <w:p>
            <w:pPr>
              <w:pStyle w:val="Contenudetableau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Année(s) de collecte : </w:t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Objectifs / Finalité de ce jeu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Origine des données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Conditions d’accès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Nécessité d’utiliser ce jeu</w:t>
            </w:r>
          </w:p>
        </w:tc>
        <w:tc>
          <w:tcPr>
            <w:tcW w:w="6069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</w:tbl>
    <w:p>
      <w:pPr>
        <w:pStyle w:val="Corpsdetexte"/>
        <w:rPr>
          <w:sz w:val="30"/>
          <w:szCs w:val="30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8" w:right="1418" w:gutter="0" w:header="1219" w:top="2126" w:footer="121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aleway">
    <w:charset w:val="01"/>
    <w:family w:val="roman"/>
    <w:pitch w:val="variable"/>
  </w:font>
  <w:font w:name="Calibri Light">
    <w:charset w:val="01"/>
    <w:family w:val="roman"/>
    <w:pitch w:val="variable"/>
  </w:font>
  <w:font w:name="Raleway">
    <w:charset w:val="01"/>
    <w:family w:val="swiss"/>
    <w:pitch w:val="variable"/>
  </w:font>
  <w:font w:name="Raleway-SemiBol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Next LT Pro Cn">
    <w:charset w:val="01"/>
    <w:family w:val="roman"/>
    <w:pitch w:val="variable"/>
  </w:font>
  <w:font w:name="AvenirNext LT Pro MediumCn">
    <w:charset w:val="01"/>
    <w:family w:val="roman"/>
    <w:pitch w:val="variable"/>
  </w:font>
  <w:font w:name="DejaVu Sans">
    <w:charset w:val="01"/>
    <w:family w:val="roman"/>
    <w:pitch w:val="variable"/>
  </w:font>
  <w:font w:name="AvenirNext LT Pro MediumC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ind w:left="-1418" w:right="5669" w:hanging="0"/>
      <w:rPr/>
    </w:pPr>
    <w:r>
      <w:rPr/>
      <w:drawing>
        <wp:inline distT="0" distB="0" distL="0" distR="0">
          <wp:extent cx="7379970" cy="4080510"/>
          <wp:effectExtent l="0" t="0" r="0" b="0"/>
          <wp:docPr id="7" name="Image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9970" cy="408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widowControl/>
      <w:suppressAutoHyphens w:val="true"/>
      <w:bidi w:val="0"/>
      <w:spacing w:before="0" w:after="0"/>
      <w:ind w:left="-397" w:right="57" w:hanging="0"/>
      <w:jc w:val="right"/>
      <w:rPr>
        <w:color w:val="00A3A6"/>
        <w:sz w:val="30"/>
        <w:szCs w:val="3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ind w:right="-575" w:hanging="0"/>
      <w:jc w:val="right"/>
      <w:rPr/>
    </w:pPr>
    <w:r>
      <w:rPr/>
      <w:drawing>
        <wp:inline distT="0" distB="0" distL="0" distR="0">
          <wp:extent cx="1143000" cy="304800"/>
          <wp:effectExtent l="0" t="0" r="0" b="0"/>
          <wp:docPr id="6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drawing>
        <wp:anchor behindDoc="1" distT="0" distB="0" distL="0" distR="0" simplePos="0" locked="0" layoutInCell="0" allowOverlap="1" relativeHeight="19">
          <wp:simplePos x="0" y="0"/>
          <wp:positionH relativeFrom="column">
            <wp:posOffset>4948555</wp:posOffset>
          </wp:positionH>
          <wp:positionV relativeFrom="paragraph">
            <wp:posOffset>635</wp:posOffset>
          </wp:positionV>
          <wp:extent cx="1143000" cy="304800"/>
          <wp:effectExtent l="0" t="0" r="0" b="0"/>
          <wp:wrapSquare wrapText="largest"/>
          <wp:docPr id="8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Acronyme du projet</w:t>
    </w:r>
    <w:r>
      <w:rPr/>
      <w:t xml:space="preserve"> </w:t>
      <w:tab/>
    </w:r>
    <w:r>
      <w:rPr/>
      <w:t>Référence de convention</w:t>
    </w:r>
  </w:p>
  <w:p>
    <w:pPr>
      <w:pStyle w:val="Entte"/>
      <w:rPr/>
    </w:pPr>
    <w:r>
      <w:rPr/>
      <w:t xml:space="preserve">Version du PGD : </w:t>
    </w:r>
    <w:r>
      <w:rPr/>
      <w:t>YYYY/MM/DD</w:t>
    </w:r>
    <w:r>
      <w:rPr/>
      <w:tab/>
      <w:t xml:space="preserve">Auteur :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216db"/>
    <w:pPr>
      <w:widowControl w:val="false"/>
      <w:suppressAutoHyphens w:val="true"/>
      <w:bidi w:val="0"/>
      <w:spacing w:before="0" w:after="0"/>
      <w:jc w:val="left"/>
    </w:pPr>
    <w:rPr>
      <w:rFonts w:ascii="Raleway" w:hAnsi="Raleway" w:eastAsia="Raleway" w:cs="Raleway"/>
      <w:color w:val="auto"/>
      <w:kern w:val="0"/>
      <w:sz w:val="30"/>
      <w:szCs w:val="30"/>
      <w:lang w:val="fr-FR"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b2d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3"/>
      </w:numPr>
      <w:spacing w:before="283" w:after="403"/>
      <w:outlineLvl w:val="1"/>
    </w:pPr>
    <w:rPr>
      <w:rFonts w:ascii="Raleway" w:hAnsi="Raleway"/>
      <w:b/>
      <w:bCs/>
      <w:color w:val="00A3A6"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2"/>
      </w:numPr>
      <w:spacing w:before="283" w:after="346"/>
      <w:outlineLvl w:val="2"/>
    </w:pPr>
    <w:rPr>
      <w:rFonts w:ascii="Raleway" w:hAnsi="Raleway"/>
      <w:b/>
      <w:bCs/>
      <w:color w:val="66C1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1796e"/>
    <w:rPr/>
  </w:style>
  <w:style w:type="character" w:styleId="PieddepageCar" w:customStyle="1">
    <w:name w:val="Pied de page Car"/>
    <w:basedOn w:val="DefaultParagraphFont"/>
    <w:uiPriority w:val="99"/>
    <w:qFormat/>
    <w:rsid w:val="00a1796e"/>
    <w:rPr/>
  </w:style>
  <w:style w:type="character" w:styleId="CorpsdetexteCar" w:customStyle="1">
    <w:name w:val="Corps de texte Car"/>
    <w:basedOn w:val="DefaultParagraphFont"/>
    <w:uiPriority w:val="1"/>
    <w:qFormat/>
    <w:rsid w:val="000216db"/>
    <w:rPr>
      <w:rFonts w:ascii="Raleway-SemiBold" w:hAnsi="Raleway-SemiBold" w:eastAsia="Raleway-SemiBold" w:cs="Raleway-SemiBold"/>
      <w:b/>
      <w:bCs/>
      <w:sz w:val="14"/>
      <w:szCs w:val="14"/>
      <w:lang w:eastAsia="fr-FR" w:bidi="fr-FR"/>
    </w:rPr>
  </w:style>
  <w:style w:type="character" w:styleId="Titre1Car" w:customStyle="1">
    <w:name w:val="Titre 1 Car"/>
    <w:basedOn w:val="DefaultParagraphFont"/>
    <w:uiPriority w:val="9"/>
    <w:qFormat/>
    <w:rsid w:val="00ab2d6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fr-FR" w:bidi="fr-F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</w:rPr>
  </w:style>
  <w:style w:type="character" w:styleId="Sautdindex">
    <w:name w:val="Saut d'index"/>
    <w:qFormat/>
    <w:rPr/>
  </w:style>
  <w:style w:type="character" w:styleId="KeywordTok" w:customStyle="1">
    <w:name w:val="KeywordTok"/>
    <w:qFormat/>
    <w:rPr>
      <w:b/>
      <w:color w:val="007020"/>
    </w:rPr>
  </w:style>
  <w:style w:type="character" w:styleId="DataTypeTok" w:customStyle="1">
    <w:name w:val="DataTypeTok"/>
    <w:qFormat/>
    <w:rPr>
      <w:color w:val="902000"/>
    </w:rPr>
  </w:style>
  <w:style w:type="character" w:styleId="DecValTok" w:customStyle="1">
    <w:name w:val="DecValTok"/>
    <w:qFormat/>
    <w:rPr>
      <w:color w:val="40A070"/>
    </w:rPr>
  </w:style>
  <w:style w:type="character" w:styleId="BaseNTok" w:customStyle="1">
    <w:name w:val="BaseNTok"/>
    <w:qFormat/>
    <w:rPr>
      <w:color w:val="40A070"/>
    </w:rPr>
  </w:style>
  <w:style w:type="character" w:styleId="FloatTok" w:customStyle="1">
    <w:name w:val="FloatTok"/>
    <w:qFormat/>
    <w:rPr>
      <w:color w:val="40A070"/>
    </w:rPr>
  </w:style>
  <w:style w:type="character" w:styleId="ConstantTok" w:customStyle="1">
    <w:name w:val="ConstantTok"/>
    <w:qFormat/>
    <w:rPr>
      <w:color w:val="880000"/>
    </w:rPr>
  </w:style>
  <w:style w:type="character" w:styleId="CharTok" w:customStyle="1">
    <w:name w:val="CharTok"/>
    <w:qFormat/>
    <w:rPr>
      <w:color w:val="4070A0"/>
    </w:rPr>
  </w:style>
  <w:style w:type="character" w:styleId="SpecialCharTok" w:customStyle="1">
    <w:name w:val="SpecialCharTok"/>
    <w:qFormat/>
    <w:rPr>
      <w:color w:val="4070A0"/>
    </w:rPr>
  </w:style>
  <w:style w:type="character" w:styleId="StringTok" w:customStyle="1">
    <w:name w:val="StringTok"/>
    <w:qFormat/>
    <w:rPr>
      <w:color w:val="4070A0"/>
    </w:rPr>
  </w:style>
  <w:style w:type="character" w:styleId="VerbatimStringTok" w:customStyle="1">
    <w:name w:val="VerbatimStringTok"/>
    <w:qFormat/>
    <w:rPr>
      <w:color w:val="4070A0"/>
    </w:rPr>
  </w:style>
  <w:style w:type="character" w:styleId="SpecialStringTok" w:customStyle="1">
    <w:name w:val="SpecialStringTok"/>
    <w:qFormat/>
    <w:rPr>
      <w:color w:val="BB6688"/>
    </w:rPr>
  </w:style>
  <w:style w:type="character" w:styleId="ImportTok" w:customStyle="1">
    <w:name w:val="ImportTok"/>
    <w:qFormat/>
    <w:rPr>
      <w:b/>
      <w:color w:val="008000"/>
    </w:rPr>
  </w:style>
  <w:style w:type="character" w:styleId="CommentTok" w:customStyle="1">
    <w:name w:val="CommentTok"/>
    <w:qFormat/>
    <w:rPr>
      <w:i/>
      <w:color w:val="60A0B0"/>
    </w:rPr>
  </w:style>
  <w:style w:type="character" w:styleId="DocumentationTok" w:customStyle="1">
    <w:name w:val="DocumentationTok"/>
    <w:qFormat/>
    <w:rPr>
      <w:i/>
      <w:color w:val="BA2121"/>
    </w:rPr>
  </w:style>
  <w:style w:type="character" w:styleId="AnnotationTok" w:customStyle="1">
    <w:name w:val="AnnotationTok"/>
    <w:qFormat/>
    <w:rPr>
      <w:b/>
      <w:i/>
      <w:color w:val="60A0B0"/>
    </w:rPr>
  </w:style>
  <w:style w:type="character" w:styleId="CommentVarTok" w:customStyle="1">
    <w:name w:val="CommentVarTok"/>
    <w:qFormat/>
    <w:rPr>
      <w:b/>
      <w:i/>
      <w:color w:val="60A0B0"/>
    </w:rPr>
  </w:style>
  <w:style w:type="character" w:styleId="OtherTok" w:customStyle="1">
    <w:name w:val="OtherTok"/>
    <w:qFormat/>
    <w:rPr>
      <w:color w:val="007020"/>
    </w:rPr>
  </w:style>
  <w:style w:type="character" w:styleId="FunctionTok" w:customStyle="1">
    <w:name w:val="FunctionTok"/>
    <w:qFormat/>
    <w:rPr>
      <w:color w:val="06287E"/>
    </w:rPr>
  </w:style>
  <w:style w:type="character" w:styleId="VariableTok" w:customStyle="1">
    <w:name w:val="VariableTok"/>
    <w:qFormat/>
    <w:rPr>
      <w:color w:val="19177C"/>
    </w:rPr>
  </w:style>
  <w:style w:type="character" w:styleId="ControlFlowTok" w:customStyle="1">
    <w:name w:val="ControlFlowTok"/>
    <w:qFormat/>
    <w:rPr>
      <w:b/>
      <w:color w:val="007020"/>
    </w:rPr>
  </w:style>
  <w:style w:type="character" w:styleId="OperatorTok" w:customStyle="1">
    <w:name w:val="OperatorTok"/>
    <w:qFormat/>
    <w:rPr>
      <w:color w:val="666666"/>
    </w:rPr>
  </w:style>
  <w:style w:type="character" w:styleId="BuiltInTok" w:customStyle="1">
    <w:name w:val="BuiltInTok"/>
    <w:qFormat/>
    <w:rPr>
      <w:color w:val="008000"/>
    </w:rPr>
  </w:style>
  <w:style w:type="character" w:styleId="ExtensionTok" w:customStyle="1">
    <w:name w:val="ExtensionTok"/>
    <w:qFormat/>
    <w:rPr/>
  </w:style>
  <w:style w:type="character" w:styleId="PreprocessorTok" w:customStyle="1">
    <w:name w:val="PreprocessorTok"/>
    <w:qFormat/>
    <w:rPr>
      <w:color w:val="BC7A00"/>
    </w:rPr>
  </w:style>
  <w:style w:type="character" w:styleId="AttributeTok" w:customStyle="1">
    <w:name w:val="AttributeTok"/>
    <w:qFormat/>
    <w:rPr>
      <w:color w:val="7D9029"/>
    </w:rPr>
  </w:style>
  <w:style w:type="character" w:styleId="RegionMarkerTok" w:customStyle="1">
    <w:name w:val="RegionMarkerTok"/>
    <w:qFormat/>
    <w:rPr/>
  </w:style>
  <w:style w:type="character" w:styleId="InformationTok" w:customStyle="1">
    <w:name w:val="InformationTok"/>
    <w:qFormat/>
    <w:rPr>
      <w:b/>
      <w:i/>
      <w:color w:val="60A0B0"/>
    </w:rPr>
  </w:style>
  <w:style w:type="character" w:styleId="WarningTok" w:customStyle="1">
    <w:name w:val="WarningTok"/>
    <w:qFormat/>
    <w:rPr>
      <w:b/>
      <w:i/>
      <w:color w:val="60A0B0"/>
    </w:rPr>
  </w:style>
  <w:style w:type="character" w:styleId="AlertTok" w:customStyle="1">
    <w:name w:val="AlertTok"/>
    <w:qFormat/>
    <w:rPr>
      <w:b/>
      <w:color w:val="FF0000"/>
    </w:rPr>
  </w:style>
  <w:style w:type="character" w:styleId="ErrorTok" w:customStyle="1">
    <w:name w:val="ErrorTok"/>
    <w:qFormat/>
    <w:rPr>
      <w:b/>
      <w:color w:val="FF0000"/>
    </w:rPr>
  </w:style>
  <w:style w:type="character" w:styleId="NormalTok" w:customStyle="1">
    <w:name w:val="NormalTok"/>
    <w:qFormat/>
    <w:rPr/>
  </w:style>
  <w:style w:type="character" w:styleId="LienInternetvisit">
    <w:name w:val="Lien Internet visité"/>
    <w:rPr>
      <w:color w:val="80000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0216db"/>
    <w:pPr/>
    <w:rPr>
      <w:rFonts w:ascii="Raleway-SemiBold" w:hAnsi="Raleway-SemiBold" w:eastAsia="Raleway-SemiBold" w:cs="Raleway-SemiBold"/>
      <w:b/>
      <w:bCs/>
      <w:sz w:val="14"/>
      <w:szCs w:val="1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1796e"/>
    <w:pPr>
      <w:widowControl/>
      <w:tabs>
        <w:tab w:val="clear" w:pos="708"/>
        <w:tab w:val="center" w:pos="4536" w:leader="none"/>
      </w:tabs>
      <w:ind w:right="-575" w:hanging="0"/>
      <w:jc w:val="left"/>
    </w:pPr>
    <w:rPr>
      <w:rFonts w:ascii="AvenirNext LT Pro Cn" w:hAnsi="AvenirNext LT Pro Cn" w:eastAsia="Calibri" w:cs="" w:cstheme="minorBidi" w:eastAsiaTheme="minorHAnsi"/>
      <w:color w:val="66C1BF"/>
      <w:sz w:val="20"/>
      <w:szCs w:val="20"/>
      <w:lang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a1796e"/>
    <w:pPr>
      <w:widowControl/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" w:asciiTheme="minorHAnsi" w:cstheme="minorBidi" w:eastAsiaTheme="minorHAnsi" w:hAnsiTheme="minorHAnsi"/>
      <w:sz w:val="24"/>
      <w:szCs w:val="24"/>
      <w:lang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>
      <w:rFonts w:ascii="AvenirNext LT Pro MediumCn" w:hAnsi="AvenirNext LT Pro MediumCn"/>
      <w:sz w:val="24"/>
      <w:szCs w:val="24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abledesmatiresniveau2">
    <w:name w:val="TOC 2"/>
    <w:basedOn w:val="Index"/>
    <w:pPr>
      <w:tabs>
        <w:tab w:val="clear" w:pos="708"/>
        <w:tab w:val="right" w:pos="9070" w:leader="none"/>
      </w:tabs>
      <w:spacing w:before="113" w:after="113"/>
      <w:ind w:left="454" w:right="0" w:hanging="0"/>
    </w:pPr>
    <w:rPr>
      <w:rFonts w:ascii="AvenirNext LT Pro MediumCn" w:hAnsi="AvenirNext LT Pro MediumCn"/>
      <w:b w:val="false"/>
      <w:sz w:val="30"/>
    </w:rPr>
  </w:style>
  <w:style w:type="paragraph" w:styleId="Tabledesmatiresniveau3">
    <w:name w:val="TOC 3"/>
    <w:basedOn w:val="Index"/>
    <w:pPr>
      <w:tabs>
        <w:tab w:val="clear" w:pos="708"/>
        <w:tab w:val="right" w:pos="8503" w:leader="dot"/>
      </w:tabs>
      <w:ind w:left="567" w:hanging="0"/>
    </w:pPr>
    <w:rPr>
      <w:rFonts w:ascii="AvenirNext LT Pro MediumCn" w:hAnsi="AvenirNext LT Pro MediumCn"/>
      <w:b w:val="false"/>
      <w:sz w:val="26"/>
    </w:rPr>
  </w:style>
  <w:style w:type="paragraph" w:styleId="Tabledesmatiresniveau1">
    <w:name w:val="TOC 1"/>
    <w:basedOn w:val="Index"/>
    <w:pPr>
      <w:tabs>
        <w:tab w:val="clear" w:pos="708"/>
        <w:tab w:val="right" w:pos="9070" w:leader="dot"/>
      </w:tabs>
      <w:ind w:left="0" w:hanging="0"/>
    </w:pPr>
    <w:rPr>
      <w:rFonts w:ascii="AvenirNext LT Pro MediumCn" w:hAnsi="AvenirNext LT Pro MediumCn"/>
      <w:b w:val="false"/>
      <w:sz w:val="24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C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SourceCode" w:customStyle="1">
    <w:name w:val="Source Cod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Application>LibreOffice/7.3.7.2$Linux_X86_64 LibreOffice_project/30$Build-2</Application>
  <AppVersion>15.0000</AppVersion>
  <Pages>18</Pages>
  <Words>2476</Words>
  <Characters>13579</Characters>
  <CharactersWithSpaces>15814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2023-05-24T09:19:39Z</dcterms:created>
  <dc:creator/>
  <dc:description/>
  <dc:language>fr-FR</dc:language>
  <cp:lastModifiedBy/>
  <dcterms:modified xsi:type="dcterms:W3CDTF">2023-05-24T09:44:11Z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