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91418" w14:textId="77777777" w:rsidR="00421F4B" w:rsidRPr="00170E83" w:rsidRDefault="00421F4B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Daniel Sanchez</w:t>
      </w:r>
      <w:bookmarkStart w:id="0" w:name="_GoBack"/>
      <w:bookmarkEnd w:id="0"/>
    </w:p>
    <w:p w14:paraId="29018976" w14:textId="77777777" w:rsidR="00421F4B" w:rsidRPr="00170E83" w:rsidRDefault="00421F4B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MIS 505</w:t>
      </w:r>
    </w:p>
    <w:p w14:paraId="2AAF63A0" w14:textId="77777777" w:rsidR="00421F4B" w:rsidRPr="00170E83" w:rsidRDefault="00421F4B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Dr. Christopher Sibona</w:t>
      </w:r>
    </w:p>
    <w:p w14:paraId="5CFDB453" w14:textId="77777777" w:rsidR="00421F4B" w:rsidRPr="00170E83" w:rsidRDefault="00421F4B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Module 3 Design Critique</w:t>
      </w:r>
    </w:p>
    <w:p w14:paraId="5AA3AF75" w14:textId="77777777" w:rsidR="00C7723C" w:rsidRPr="00170E83" w:rsidRDefault="00421F4B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July </w:t>
      </w:r>
      <w:r w:rsidR="00C7723C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19</w:t>
      </w:r>
      <w:r w:rsidR="00C7723C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  <w:vertAlign w:val="superscript"/>
        </w:rPr>
        <w:t>th</w:t>
      </w:r>
      <w:r w:rsidR="00C7723C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 2020</w:t>
      </w:r>
    </w:p>
    <w:p w14:paraId="439D1384" w14:textId="0F6CC3E4" w:rsidR="00AF6C6A" w:rsidRPr="00170E83" w:rsidRDefault="000460EA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br/>
      </w:r>
      <w:r w:rsidR="00AF6C6A" w:rsidRPr="00170E83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Gaming Article</w:t>
      </w:r>
    </w:p>
    <w:p w14:paraId="0FE83A67" w14:textId="049F304D" w:rsidR="00AF6C6A" w:rsidRPr="00170E83" w:rsidRDefault="00AF6C6A" w:rsidP="00C7723C">
      <w:pPr>
        <w:spacing w:line="48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message of the pie chart in this gaming article </w:t>
      </w:r>
      <w:r w:rsidR="00E46FCF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from</w:t>
      </w: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Business Week needs substantial work.  It is not clear exactly what the visualization is suggesting</w:t>
      </w:r>
      <w:r w:rsidR="00F51649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 without reading the article.</w:t>
      </w:r>
      <w:r w:rsidR="00E46FCF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 see only two aspects of this visualization that are positive. The first is that the pie chart has data labels, which helps quantify the </w:t>
      </w:r>
      <w:r w:rsidR="002E005E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market share </w:t>
      </w: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difference between the platforms. Without the data labels, I would not be able to easily </w:t>
      </w:r>
      <w:r w:rsidR="002E005E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spot </w:t>
      </w: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difference between Smartphone and Console, or Console and PC boxed/downloaded. The second </w:t>
      </w:r>
      <w:r w:rsidR="00E46FCF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positive note </w:t>
      </w: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is that the platforms are sorted by market size, in a clockwise fashion.  This helps the reader see the size order of the variables.</w:t>
      </w:r>
    </w:p>
    <w:p w14:paraId="39DDE30C" w14:textId="12C42E8F" w:rsidR="00AF6C6A" w:rsidRPr="00170E83" w:rsidRDefault="000460EA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170E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11C1AC" wp14:editId="497BC589">
            <wp:extent cx="4716780" cy="2960370"/>
            <wp:effectExtent l="0" t="0" r="762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CC14B5F-D5C2-4A44-959F-7E7CFFB5E3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270F27" w14:textId="25F48B43" w:rsidR="00CA1ADE" w:rsidRPr="00170E83" w:rsidRDefault="000460EA" w:rsidP="00CA1ADE">
      <w:pPr>
        <w:spacing w:line="48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 would rather see the data </w:t>
      </w:r>
      <w:r w:rsidR="002700C0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 a bar chart (pictured above). This would</w:t>
      </w: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highlight </w:t>
      </w:r>
      <w:r w:rsidR="0050284A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how</w:t>
      </w: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Smartphone and Console market size may drive subscription-based services.</w:t>
      </w:r>
      <w:r w:rsidR="0050284A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</w:t>
      </w:r>
      <w:r w:rsidR="0028227C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One thing that is lost in this </w:t>
      </w:r>
      <w:r w:rsidR="0028227C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lastRenderedPageBreak/>
        <w:t>visualization is</w:t>
      </w:r>
      <w:r w:rsidR="008F4FE2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showing how all of these market sizes add up to 100% of the market.  I’d be willing to lose that in order to </w:t>
      </w:r>
      <w:r w:rsidR="00E80CA8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convey this particular message.  </w:t>
      </w:r>
      <w:r w:rsidR="0050284A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Alternatively, </w:t>
      </w:r>
      <w:r w:rsidR="00374AE1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using a</w:t>
      </w:r>
      <w:r w:rsidR="0050284A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tab</w:t>
      </w:r>
      <w:r w:rsidR="00374AE1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le</w:t>
      </w:r>
      <w:r w:rsidR="0050284A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, I </w:t>
      </w:r>
      <w:r w:rsidR="00374AE1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</w:t>
      </w:r>
      <w:r w:rsidR="0050284A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ould</w:t>
      </w:r>
      <w:r w:rsidR="009F7BAD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use data bars to show the distribution of market size</w:t>
      </w:r>
      <w:r w:rsidR="0028227C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  <w:r w:rsidR="00E80CA8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With a table, I would also be able to show percentage of market share, adding that up to 100% with a </w:t>
      </w:r>
      <w:r w:rsidR="00421F4B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grand total.</w:t>
      </w:r>
    </w:p>
    <w:p w14:paraId="31B4B54E" w14:textId="06AB0AE4" w:rsidR="00CA1ADE" w:rsidRPr="00170E83" w:rsidRDefault="00CA1ADE" w:rsidP="00CA1ADE">
      <w:pPr>
        <w:spacing w:line="48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170E83">
        <w:rPr>
          <w:rFonts w:ascii="Times New Roman" w:hAnsi="Times New Roman" w:cs="Times New Roman"/>
          <w:noProof/>
        </w:rPr>
        <w:drawing>
          <wp:inline distT="0" distB="0" distL="0" distR="0" wp14:anchorId="1BCDB2F0" wp14:editId="5073D479">
            <wp:extent cx="361950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074C0" w14:textId="7CBCFDC1" w:rsidR="000460EA" w:rsidRPr="00170E83" w:rsidRDefault="000460EA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170E83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Initial Public Offering Article</w:t>
      </w:r>
    </w:p>
    <w:p w14:paraId="23C96906" w14:textId="6C388B65" w:rsidR="009165B5" w:rsidRPr="00170E83" w:rsidRDefault="000460EA" w:rsidP="00C7723C">
      <w:pPr>
        <w:spacing w:line="48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This visualization of Lyft’s position in the top 10 U.S. tech and internet IPO’s does a relatively good job at conveying its message.  It takes a few seconds to understand the unit of measurement, which is simply alluded to in the subtitle.  It may be more helpful to list th</w:t>
      </w:r>
      <w:r w:rsidR="00374AE1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e percentage increase of share value</w:t>
      </w:r>
      <w:r w:rsidR="002302A4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(share pop)</w:t>
      </w: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on the axis.  The color scheme is a bit distracting, with the harsh black bars fo</w:t>
      </w:r>
      <w:r w:rsidR="00653C5D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r all but Lyft.  Ideally, the emphasized variable or category should stand out more.  </w:t>
      </w:r>
      <w:r w:rsidR="00E46FCF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In response to this concern, </w:t>
      </w:r>
      <w:r w:rsidR="00653C5D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 would recommend </w:t>
      </w:r>
      <w:r w:rsidR="006424C7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simply </w:t>
      </w:r>
      <w:r w:rsidR="00653C5D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changing the black bars to gray.  Another critique would have to do with the data selection itself, especially</w:t>
      </w:r>
      <w:r w:rsidR="00E46FCF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with</w:t>
      </w:r>
      <w:r w:rsidR="00653C5D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the bottom three IPO’s.  With there being such a wide gap between Facebook and the bottom three, it makes me wonder if this list may be better represented as a </w:t>
      </w:r>
      <w:r w:rsidR="006424C7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“</w:t>
      </w:r>
      <w:r w:rsidR="00653C5D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Top 7.</w:t>
      </w:r>
      <w:r w:rsidR="006424C7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”</w:t>
      </w:r>
      <w:r w:rsidR="00653C5D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The bottom three IPO’s </w:t>
      </w:r>
      <w:r w:rsidR="00E46FCF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</w:t>
      </w:r>
      <w:r w:rsidR="00653C5D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ould then simply be eliminated</w:t>
      </w:r>
      <w:r w:rsidR="002302A4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from consideration</w:t>
      </w:r>
      <w:r w:rsidR="00653C5D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</w:p>
    <w:p w14:paraId="66DA37DD" w14:textId="77777777" w:rsidR="00CA1ADE" w:rsidRPr="00170E83" w:rsidRDefault="00CA1ADE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170E83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br w:type="page"/>
      </w:r>
    </w:p>
    <w:p w14:paraId="1846AFC1" w14:textId="6ACD73A4" w:rsidR="009165B5" w:rsidRPr="00170E83" w:rsidRDefault="009165B5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170E83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lastRenderedPageBreak/>
        <w:t>Plug-In Electric Vehicle Infographic</w:t>
      </w:r>
    </w:p>
    <w:p w14:paraId="77A9FE7E" w14:textId="5E6823A0" w:rsidR="001668B3" w:rsidRPr="00170E83" w:rsidRDefault="0065206C" w:rsidP="00C7723C">
      <w:pPr>
        <w:spacing w:line="48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This message </w:t>
      </w:r>
      <w:r w:rsidR="00E46FCF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in this infographic </w:t>
      </w: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would be best communicated with a different type of visualization.</w:t>
      </w:r>
      <w:r w:rsidR="000A1E3C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</w:t>
      </w:r>
      <w:r w:rsidR="0052230A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size bubbles are not helpful for the visualization, beyond showing that Norway and Netherlands are bigger than the rest.  </w:t>
      </w:r>
      <w:r w:rsidR="002C6335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subtitle </w:t>
      </w:r>
      <w:r w:rsidR="001668B3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implies with its green color that France, the UK, US, and China are somehow related.</w:t>
      </w:r>
      <w:r w:rsidR="00F170A7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However, all countries have a similar green-colored data label, which </w:t>
      </w:r>
      <w:r w:rsidR="00E46FCF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muddles</w:t>
      </w:r>
      <w:r w:rsidR="00F170A7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</w:t>
      </w:r>
      <w:r w:rsidR="00E46FCF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is</w:t>
      </w:r>
      <w:r w:rsidR="00F170A7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message.</w:t>
      </w:r>
      <w:r w:rsidR="00EE00EA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Having the rank on the X-axis </w:t>
      </w:r>
      <w:r w:rsidR="001319C0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seems a bit arbitrary or duplicative, considering the size bubbles.</w:t>
      </w:r>
      <w:r w:rsidR="00EE2A33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In addition, the flags of each country may not be quickly recognized by the viewer; they are also redundant, </w:t>
      </w:r>
      <w:r w:rsidR="00E46FCF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since</w:t>
      </w:r>
      <w:r w:rsidR="00EE2A33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CC636E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</w:t>
      </w:r>
      <w:r w:rsidR="00EE2A33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country</w:t>
      </w:r>
      <w:r w:rsidR="00CC636E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EE2A33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name</w:t>
      </w:r>
      <w:r w:rsidR="00CC636E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</w:t>
      </w:r>
      <w:r w:rsidR="00EE2A33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E46FCF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are </w:t>
      </w:r>
      <w:r w:rsidR="00EE2A33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present.</w:t>
      </w:r>
    </w:p>
    <w:p w14:paraId="2C7D1B25" w14:textId="6707CF77" w:rsidR="009165B5" w:rsidRPr="00170E83" w:rsidRDefault="000A1E3C" w:rsidP="00C7723C">
      <w:pPr>
        <w:spacing w:line="480" w:lineRule="auto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 table would work well</w:t>
      </w:r>
      <w:r w:rsidR="00CC636E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here</w:t>
      </w: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, since </w:t>
      </w:r>
      <w:r w:rsidR="006719AC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this data set</w:t>
      </w:r>
      <w:r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is dealing with mixed units (#s of PEVs registered</w:t>
      </w:r>
      <w:r w:rsidR="006004BF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 Percentages, and Ranks)</w:t>
      </w:r>
      <w:r w:rsidR="0052230A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  <w:r w:rsidR="0008572E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To </w:t>
      </w:r>
      <w:r w:rsidR="00E46FCF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create</w:t>
      </w:r>
      <w:r w:rsidR="0008572E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 table like</w:t>
      </w:r>
      <w:r w:rsidR="00B717EF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this</w:t>
      </w:r>
      <w:r w:rsidR="0008572E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, I would </w:t>
      </w:r>
      <w:r w:rsidR="00340F6E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first create rows for each country.  I would place the following variables</w:t>
      </w:r>
      <w:r w:rsidR="00B717EF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in columns</w:t>
      </w:r>
      <w:r w:rsidR="00340F6E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: </w:t>
      </w:r>
      <w:r w:rsidR="00D347E5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Rank, Percentage, </w:t>
      </w:r>
      <w:r w:rsidR="00CC59B6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and </w:t>
      </w:r>
      <w:r w:rsidR="00D347E5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# of PEVs registered</w:t>
      </w:r>
      <w:r w:rsidR="00B717EF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(thousands).</w:t>
      </w:r>
      <w:r w:rsidR="00CC59B6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 I would sort by rank</w:t>
      </w:r>
      <w:r w:rsidR="00CC636E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before </w:t>
      </w:r>
      <w:r w:rsidR="00CC59B6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add</w:t>
      </w:r>
      <w:r w:rsidR="00CC636E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ing</w:t>
      </w:r>
      <w:r w:rsidR="00CC59B6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data bars </w:t>
      </w:r>
      <w:r w:rsidR="00055B50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for # of PEVs registered </w:t>
      </w:r>
      <w:r w:rsidR="00CC59B6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to show the distribution</w:t>
      </w:r>
      <w:r w:rsidR="00E46FCF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across the countries</w:t>
      </w:r>
      <w:r w:rsidR="00055B50" w:rsidRPr="00170E8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</w:p>
    <w:sectPr w:rsidR="009165B5" w:rsidRPr="00170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6A"/>
    <w:rsid w:val="000460EA"/>
    <w:rsid w:val="00055B50"/>
    <w:rsid w:val="0008572E"/>
    <w:rsid w:val="000A1E3C"/>
    <w:rsid w:val="001319C0"/>
    <w:rsid w:val="001668B3"/>
    <w:rsid w:val="00170E83"/>
    <w:rsid w:val="002302A4"/>
    <w:rsid w:val="002700C0"/>
    <w:rsid w:val="0028227C"/>
    <w:rsid w:val="002C6335"/>
    <w:rsid w:val="002E005E"/>
    <w:rsid w:val="00340F6E"/>
    <w:rsid w:val="00374AE1"/>
    <w:rsid w:val="00421F4B"/>
    <w:rsid w:val="004C1FF0"/>
    <w:rsid w:val="0050284A"/>
    <w:rsid w:val="0052230A"/>
    <w:rsid w:val="006004BF"/>
    <w:rsid w:val="006424C7"/>
    <w:rsid w:val="0065206C"/>
    <w:rsid w:val="00653C5D"/>
    <w:rsid w:val="006719AC"/>
    <w:rsid w:val="00677778"/>
    <w:rsid w:val="008F4FE2"/>
    <w:rsid w:val="009165B5"/>
    <w:rsid w:val="009F7BAD"/>
    <w:rsid w:val="00AF6C6A"/>
    <w:rsid w:val="00B717EF"/>
    <w:rsid w:val="00BA2411"/>
    <w:rsid w:val="00C7723C"/>
    <w:rsid w:val="00CA1ADE"/>
    <w:rsid w:val="00CC59B6"/>
    <w:rsid w:val="00CC636E"/>
    <w:rsid w:val="00D347E5"/>
    <w:rsid w:val="00D8639D"/>
    <w:rsid w:val="00E46FCF"/>
    <w:rsid w:val="00E80CA8"/>
    <w:rsid w:val="00EE00EA"/>
    <w:rsid w:val="00EE2A33"/>
    <w:rsid w:val="00F170A7"/>
    <w:rsid w:val="00F51649"/>
    <w:rsid w:val="00F7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D73E"/>
  <w15:chartTrackingRefBased/>
  <w15:docId w15:val="{78D608D0-9C34-4F49-833D-BDD4792A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F6C6A"/>
    <w:rPr>
      <w:i/>
      <w:iCs/>
    </w:rPr>
  </w:style>
  <w:style w:type="table" w:styleId="TableGrid">
    <w:name w:val="Table Grid"/>
    <w:basedOn w:val="TableNormal"/>
    <w:uiPriority w:val="39"/>
    <w:rsid w:val="00CA1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accent1"/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solidFill>
                  <a:schemeClr val="accent1"/>
                </a:solidFill>
              </a:rPr>
              <a:t>Smartphone</a:t>
            </a:r>
            <a:r>
              <a:rPr lang="en-US" sz="1400" baseline="0">
                <a:solidFill>
                  <a:schemeClr val="accent1"/>
                </a:solidFill>
              </a:rPr>
              <a:t> and Console Lead in Market Size</a:t>
            </a:r>
            <a:endParaRPr lang="en-US" sz="1400">
              <a:solidFill>
                <a:schemeClr val="accent1"/>
              </a:solidFill>
            </a:endParaRPr>
          </a:p>
        </c:rich>
      </c:tx>
      <c:layout>
        <c:manualLayout>
          <c:xMode val="edge"/>
          <c:yMode val="edge"/>
          <c:x val="2.0763779527559055E-2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accen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Market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9A7-4DB0-97E9-0E2942440C14}"/>
              </c:ext>
            </c:extLst>
          </c:dPt>
          <c:dPt>
            <c:idx val="3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D9A7-4DB0-97E9-0E2942440C14}"/>
              </c:ext>
            </c:extLst>
          </c:dPt>
          <c:dPt>
            <c:idx val="4"/>
            <c:invertIfNegative val="0"/>
            <c:bubble3D val="0"/>
            <c:spPr>
              <a:solidFill>
                <a:schemeClr val="bg1">
                  <a:lumMod val="8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D9A7-4DB0-97E9-0E2942440C14}"/>
              </c:ext>
            </c:extLst>
          </c:dPt>
          <c:cat>
            <c:strRef>
              <c:f>Sheet1!$A$2:$A$6</c:f>
              <c:strCache>
                <c:ptCount val="5"/>
                <c:pt idx="0">
                  <c:v>Smartphone</c:v>
                </c:pt>
                <c:pt idx="1">
                  <c:v>Console</c:v>
                </c:pt>
                <c:pt idx="2">
                  <c:v>PC Boxed/downloaded</c:v>
                </c:pt>
                <c:pt idx="3">
                  <c:v>Tablet</c:v>
                </c:pt>
                <c:pt idx="4">
                  <c:v>PC internet browser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50</c:v>
                </c:pt>
                <c:pt idx="1">
                  <c:v>38</c:v>
                </c:pt>
                <c:pt idx="2">
                  <c:v>29</c:v>
                </c:pt>
                <c:pt idx="3">
                  <c:v>13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9A7-4DB0-97E9-0E2942440C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3"/>
        <c:axId val="2110549744"/>
        <c:axId val="2102792576"/>
      </c:barChart>
      <c:catAx>
        <c:axId val="211054974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792576"/>
        <c:crosses val="autoZero"/>
        <c:auto val="1"/>
        <c:lblAlgn val="ctr"/>
        <c:lblOffset val="100"/>
        <c:noMultiLvlLbl val="0"/>
      </c:catAx>
      <c:valAx>
        <c:axId val="2102792576"/>
        <c:scaling>
          <c:orientation val="minMax"/>
          <c:max val="50"/>
        </c:scaling>
        <c:delete val="0"/>
        <c:axPos val="t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/>
                  <a:t>Market</a:t>
                </a:r>
                <a:r>
                  <a:rPr lang="en-US" sz="900" baseline="0"/>
                  <a:t> Size (Billions of $)</a:t>
                </a:r>
                <a:endParaRPr lang="en-US" sz="9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0549744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D26B0E0F8D3042877E02E7693A7A28" ma:contentTypeVersion="5" ma:contentTypeDescription="Create a new document." ma:contentTypeScope="" ma:versionID="effe2c9f67179e53a755181cba7f3a2c">
  <xsd:schema xmlns:xsd="http://www.w3.org/2001/XMLSchema" xmlns:xs="http://www.w3.org/2001/XMLSchema" xmlns:p="http://schemas.microsoft.com/office/2006/metadata/properties" xmlns:ns3="9d1a3682-3788-4fe9-81d6-dea8778e910b" xmlns:ns4="3b864538-3824-4245-bf92-71c580a46ad5" targetNamespace="http://schemas.microsoft.com/office/2006/metadata/properties" ma:root="true" ma:fieldsID="114f048a52c58f73ae105d557380ac37" ns3:_="" ns4:_="">
    <xsd:import namespace="9d1a3682-3788-4fe9-81d6-dea8778e910b"/>
    <xsd:import namespace="3b864538-3824-4245-bf92-71c580a46a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1a3682-3788-4fe9-81d6-dea8778e91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64538-3824-4245-bf92-71c580a46a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382B72-7F32-458D-AD35-63E46D623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1a3682-3788-4fe9-81d6-dea8778e910b"/>
    <ds:schemaRef ds:uri="3b864538-3824-4245-bf92-71c580a46a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7585AF-7828-42E9-A321-93FA502D33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BD6FD6-985C-45D6-8B67-8EA51FA683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Sanchez</dc:creator>
  <cp:keywords/>
  <dc:description/>
  <cp:lastModifiedBy>Dan Sanchez</cp:lastModifiedBy>
  <cp:revision>5</cp:revision>
  <dcterms:created xsi:type="dcterms:W3CDTF">2020-07-16T14:22:00Z</dcterms:created>
  <dcterms:modified xsi:type="dcterms:W3CDTF">2020-07-20T00:59:00Z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0x010100B4D26B0E0F8D3042877E02E7693A7A28</vt:lpwstr>
  </property>
</Properties>
</file>