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CC451E" w:rsidRPr="00EA12A4" w:rsidRDefault="00EA12A4" w:rsidP="00CC451E">
      <w:pPr>
        <w:spacing w:after="0"/>
        <w:rPr>
          <w:rFonts w:ascii="Lato" w:hAnsi="Lato"/>
          <w:color w:val="535353"/>
          <w:sz w:val="52"/>
          <w:lang w:val="es-ES"/>
        </w:rPr>
      </w:pPr>
      <w:r w:rsidRPr="00EA12A4">
        <w:rPr>
          <w:rFonts w:ascii="Lato" w:hAnsi="Lato"/>
          <w:color w:val="535353"/>
          <w:sz w:val="52"/>
          <w:lang w:val="es-ES"/>
        </w:rPr>
        <w:t>VALORES Y PRINCIPIOS DEL PROJECT MANAGEMENT</w:t>
      </w:r>
    </w:p>
    <w:p w:rsidR="00CC451E" w:rsidRPr="008F3049" w:rsidRDefault="00CC451E" w:rsidP="00CC451E">
      <w:pPr>
        <w:spacing w:after="0"/>
        <w:rPr>
          <w:rFonts w:ascii="Lato" w:hAnsi="Lato"/>
          <w:color w:val="535353"/>
          <w:sz w:val="40"/>
          <w:lang w:val="es-ES"/>
          <w14:textFill>
            <w14:solidFill>
              <w14:srgbClr w14:val="535353">
                <w14:lumMod w14:val="65000"/>
                <w14:lumOff w14:val="35000"/>
              </w14:srgbClr>
            </w14:solidFill>
          </w14:textFill>
        </w:rPr>
      </w:pPr>
      <w:r w:rsidRPr="008F3049">
        <w:rPr>
          <w:rFonts w:ascii="Lato" w:hAnsi="Lato"/>
          <w:color w:val="535353"/>
          <w:sz w:val="40"/>
          <w:lang w:val="es-ES"/>
        </w:rPr>
        <w:t xml:space="preserve">Actividad </w:t>
      </w:r>
      <w:r w:rsidR="008F3049">
        <w:rPr>
          <w:rFonts w:ascii="Lato" w:hAnsi="Lato"/>
          <w:color w:val="535353"/>
          <w:sz w:val="40"/>
          <w:lang w:val="es-ES"/>
        </w:rPr>
        <w:t>integradora</w:t>
      </w:r>
    </w:p>
    <w:p w:rsidR="00F471BD" w:rsidRDefault="00F471BD" w:rsidP="003A7AA7"/>
    <w:p w:rsidR="00C45029" w:rsidRDefault="00407C3B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¡Hemos llegado al final de la </w:t>
      </w:r>
      <w:r>
        <w:rPr>
          <w:rFonts w:ascii="Lato" w:hAnsi="Lato"/>
          <w:color w:val="404040" w:themeColor="text1" w:themeTint="BF"/>
          <w:sz w:val="24"/>
          <w:lang w:val="es-ES"/>
        </w:rPr>
        <w:t>a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signatura! </w:t>
      </w:r>
    </w:p>
    <w:p w:rsidR="00407C3B" w:rsidRPr="00407C3B" w:rsidRDefault="00407C3B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bookmarkStart w:id="0" w:name="_GoBack"/>
      <w:bookmarkEnd w:id="0"/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Durante estas semanas hemos conocido y comprendido la valores y principios del Project Management, tal como los definen las buenas prácticas del Project Management </w:t>
      </w:r>
      <w:proofErr w:type="spellStart"/>
      <w:r w:rsidRPr="00407C3B">
        <w:rPr>
          <w:rFonts w:ascii="Lato" w:hAnsi="Lato"/>
          <w:color w:val="404040" w:themeColor="text1" w:themeTint="BF"/>
          <w:sz w:val="24"/>
          <w:lang w:val="es-ES"/>
        </w:rPr>
        <w:t>Institute</w:t>
      </w:r>
      <w:proofErr w:type="spellEnd"/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 (PMI</w:t>
      </w:r>
      <w:r w:rsidRPr="00407C3B">
        <w:rPr>
          <w:rFonts w:ascii="Lato" w:hAnsi="Lato"/>
          <w:color w:val="404040" w:themeColor="text1" w:themeTint="BF"/>
          <w:sz w:val="24"/>
          <w:vertAlign w:val="superscript"/>
          <w:lang w:val="es-ES"/>
        </w:rPr>
        <w:t>®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) publicadas en La Guía de los fundamentos para la dirección de proyectos (del inglés A </w:t>
      </w:r>
      <w:proofErr w:type="spellStart"/>
      <w:r w:rsidRPr="00407C3B">
        <w:rPr>
          <w:rFonts w:ascii="Lato" w:hAnsi="Lato"/>
          <w:color w:val="404040" w:themeColor="text1" w:themeTint="BF"/>
          <w:sz w:val="24"/>
          <w:lang w:val="es-ES"/>
        </w:rPr>
        <w:t>Guide</w:t>
      </w:r>
      <w:proofErr w:type="spellEnd"/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 to </w:t>
      </w:r>
      <w:proofErr w:type="spellStart"/>
      <w:r w:rsidRPr="00407C3B">
        <w:rPr>
          <w:rFonts w:ascii="Lato" w:hAnsi="Lato"/>
          <w:color w:val="404040" w:themeColor="text1" w:themeTint="BF"/>
          <w:sz w:val="24"/>
          <w:lang w:val="es-ES"/>
        </w:rPr>
        <w:t>the</w:t>
      </w:r>
      <w:proofErr w:type="spellEnd"/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 Project Management </w:t>
      </w:r>
      <w:proofErr w:type="spellStart"/>
      <w:r w:rsidRPr="00407C3B">
        <w:rPr>
          <w:rFonts w:ascii="Lato" w:hAnsi="Lato"/>
          <w:color w:val="404040" w:themeColor="text1" w:themeTint="BF"/>
          <w:sz w:val="24"/>
          <w:lang w:val="es-ES"/>
        </w:rPr>
        <w:t>Body</w:t>
      </w:r>
      <w:proofErr w:type="spellEnd"/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 of </w:t>
      </w:r>
      <w:proofErr w:type="spellStart"/>
      <w:r w:rsidRPr="00407C3B">
        <w:rPr>
          <w:rFonts w:ascii="Lato" w:hAnsi="Lato"/>
          <w:color w:val="404040" w:themeColor="text1" w:themeTint="BF"/>
          <w:sz w:val="24"/>
          <w:lang w:val="es-ES"/>
        </w:rPr>
        <w:t>Knowledge</w:t>
      </w:r>
      <w:proofErr w:type="spellEnd"/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 o PMBOK</w:t>
      </w:r>
      <w:r w:rsidRPr="00407C3B">
        <w:rPr>
          <w:rFonts w:ascii="Lato" w:hAnsi="Lato"/>
          <w:color w:val="404040" w:themeColor="text1" w:themeTint="BF"/>
          <w:sz w:val="24"/>
          <w:vertAlign w:val="superscript"/>
          <w:lang w:val="es-ES"/>
        </w:rPr>
        <w:t>®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 por sus siglas en inglés).</w:t>
      </w:r>
    </w:p>
    <w:p w:rsidR="00407C3B" w:rsidRPr="00407C3B" w:rsidRDefault="00407C3B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>En la primera semana el foco fue entender ¿</w:t>
      </w:r>
      <w:r>
        <w:rPr>
          <w:rFonts w:ascii="Lato" w:hAnsi="Lato"/>
          <w:color w:val="404040" w:themeColor="text1" w:themeTint="BF"/>
          <w:sz w:val="24"/>
          <w:lang w:val="es-ES"/>
        </w:rPr>
        <w:t>q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>ué es un proyecto?, su entorno y fundamentalmente, los doce principios de la dirección de proyectos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. 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La segunda semana, puso el foco en presentar los </w:t>
      </w:r>
      <w:r>
        <w:rPr>
          <w:rFonts w:ascii="Lato" w:hAnsi="Lato"/>
          <w:color w:val="404040" w:themeColor="text1" w:themeTint="BF"/>
          <w:sz w:val="24"/>
          <w:lang w:val="es-ES"/>
        </w:rPr>
        <w:t>d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>ominios de desempeño de la dirección de proyectos.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>Y la tercera semana, puso el foco en la adaptabilidad.</w:t>
      </w:r>
    </w:p>
    <w:p w:rsidR="00407C3B" w:rsidRPr="00407C3B" w:rsidRDefault="00407C3B" w:rsidP="00407C3B">
      <w:pPr>
        <w:jc w:val="both"/>
        <w:rPr>
          <w:rFonts w:ascii="Lato" w:hAnsi="Lato"/>
          <w:b/>
          <w:bCs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>Ahora, p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ara integrar 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los conocimientos adquiridos en todas las unidades temáticas, le propongo un último desafío: </w:t>
      </w:r>
      <w:r w:rsidRPr="00407C3B">
        <w:rPr>
          <w:rFonts w:ascii="Lato" w:hAnsi="Lato"/>
          <w:b/>
          <w:bCs/>
          <w:color w:val="404040" w:themeColor="text1" w:themeTint="BF"/>
          <w:sz w:val="24"/>
          <w:lang w:val="es-ES"/>
        </w:rPr>
        <w:t>analizar el accidente sucedido en la plataforma petrolera “</w:t>
      </w:r>
      <w:proofErr w:type="spellStart"/>
      <w:r w:rsidRPr="00407C3B">
        <w:rPr>
          <w:rFonts w:ascii="Lato" w:hAnsi="Lato"/>
          <w:b/>
          <w:bCs/>
          <w:color w:val="404040" w:themeColor="text1" w:themeTint="BF"/>
          <w:sz w:val="24"/>
          <w:lang w:val="es-ES"/>
        </w:rPr>
        <w:t>Deepwater</w:t>
      </w:r>
      <w:proofErr w:type="spellEnd"/>
      <w:r w:rsidRPr="00407C3B">
        <w:rPr>
          <w:rFonts w:ascii="Lato" w:hAnsi="Lato"/>
          <w:b/>
          <w:bCs/>
          <w:color w:val="404040" w:themeColor="text1" w:themeTint="BF"/>
          <w:sz w:val="24"/>
          <w:lang w:val="es-ES"/>
        </w:rPr>
        <w:t xml:space="preserve"> </w:t>
      </w:r>
      <w:proofErr w:type="spellStart"/>
      <w:r w:rsidRPr="00407C3B">
        <w:rPr>
          <w:rFonts w:ascii="Lato" w:hAnsi="Lato"/>
          <w:b/>
          <w:bCs/>
          <w:color w:val="404040" w:themeColor="text1" w:themeTint="BF"/>
          <w:sz w:val="24"/>
          <w:lang w:val="es-ES"/>
        </w:rPr>
        <w:t>Horizon</w:t>
      </w:r>
      <w:proofErr w:type="spellEnd"/>
      <w:r w:rsidRPr="00407C3B">
        <w:rPr>
          <w:rFonts w:ascii="Lato" w:hAnsi="Lato"/>
          <w:b/>
          <w:bCs/>
          <w:color w:val="404040" w:themeColor="text1" w:themeTint="BF"/>
          <w:sz w:val="24"/>
          <w:lang w:val="es-ES"/>
        </w:rPr>
        <w:t xml:space="preserve">” en el Golfo de México en </w:t>
      </w:r>
      <w:r>
        <w:rPr>
          <w:rFonts w:ascii="Lato" w:hAnsi="Lato"/>
          <w:b/>
          <w:bCs/>
          <w:color w:val="404040" w:themeColor="text1" w:themeTint="BF"/>
          <w:sz w:val="24"/>
          <w:lang w:val="es-ES"/>
        </w:rPr>
        <w:t>m</w:t>
      </w:r>
      <w:r w:rsidRPr="00407C3B">
        <w:rPr>
          <w:rFonts w:ascii="Lato" w:hAnsi="Lato"/>
          <w:b/>
          <w:bCs/>
          <w:color w:val="404040" w:themeColor="text1" w:themeTint="BF"/>
          <w:sz w:val="24"/>
          <w:lang w:val="es-ES"/>
        </w:rPr>
        <w:t>ayo del 2010.</w:t>
      </w:r>
    </w:p>
    <w:p w:rsidR="00407C3B" w:rsidRPr="00407C3B" w:rsidRDefault="00407C3B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>El objetivo es que, a partir de este último reto, usted disponga de una visión integral del impacto que tienen los principios y dominios de la dirección de proyectos alineados con los valores del código de ética y responsabilidad del PMI en la gestión de proyectos.</w:t>
      </w:r>
    </w:p>
    <w:p w:rsidR="00407C3B" w:rsidRPr="00407C3B" w:rsidRDefault="00407C3B" w:rsidP="00407C3B">
      <w:pPr>
        <w:jc w:val="both"/>
        <w:rPr>
          <w:rFonts w:ascii="Lato" w:hAnsi="Lato"/>
          <w:b/>
          <w:bCs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b/>
          <w:bCs/>
          <w:color w:val="404040" w:themeColor="text1" w:themeTint="BF"/>
          <w:sz w:val="24"/>
          <w:lang w:val="es-ES"/>
        </w:rPr>
        <w:t>Plataforma petrolera “</w:t>
      </w:r>
      <w:proofErr w:type="spellStart"/>
      <w:r w:rsidRPr="00407C3B">
        <w:rPr>
          <w:rFonts w:ascii="Lato" w:hAnsi="Lato"/>
          <w:b/>
          <w:bCs/>
          <w:color w:val="404040" w:themeColor="text1" w:themeTint="BF"/>
          <w:sz w:val="24"/>
          <w:lang w:val="es-ES"/>
        </w:rPr>
        <w:t>Deepwater</w:t>
      </w:r>
      <w:proofErr w:type="spellEnd"/>
      <w:r w:rsidRPr="00407C3B">
        <w:rPr>
          <w:rFonts w:ascii="Lato" w:hAnsi="Lato"/>
          <w:b/>
          <w:bCs/>
          <w:color w:val="404040" w:themeColor="text1" w:themeTint="BF"/>
          <w:sz w:val="24"/>
          <w:lang w:val="es-ES"/>
        </w:rPr>
        <w:t xml:space="preserve"> </w:t>
      </w:r>
      <w:proofErr w:type="spellStart"/>
      <w:r w:rsidRPr="00407C3B">
        <w:rPr>
          <w:rFonts w:ascii="Lato" w:hAnsi="Lato"/>
          <w:b/>
          <w:bCs/>
          <w:color w:val="404040" w:themeColor="text1" w:themeTint="BF"/>
          <w:sz w:val="24"/>
          <w:lang w:val="es-ES"/>
        </w:rPr>
        <w:t>Horizon</w:t>
      </w:r>
      <w:proofErr w:type="spellEnd"/>
      <w:r w:rsidRPr="00407C3B">
        <w:rPr>
          <w:rFonts w:ascii="Lato" w:hAnsi="Lato"/>
          <w:b/>
          <w:bCs/>
          <w:color w:val="404040" w:themeColor="text1" w:themeTint="BF"/>
          <w:sz w:val="24"/>
          <w:lang w:val="es-ES"/>
        </w:rPr>
        <w:t>” - Golfo de México - mayo 2010.</w:t>
      </w:r>
    </w:p>
    <w:p w:rsidR="00407C3B" w:rsidRPr="00407C3B" w:rsidRDefault="00407C3B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>El 20 de abril de 2010 la tripulación de la plataforma de perforación “</w:t>
      </w:r>
      <w:proofErr w:type="spellStart"/>
      <w:r w:rsidRPr="00407C3B">
        <w:rPr>
          <w:rFonts w:ascii="Lato" w:hAnsi="Lato"/>
          <w:color w:val="404040" w:themeColor="text1" w:themeTint="BF"/>
          <w:sz w:val="24"/>
          <w:lang w:val="es-ES"/>
        </w:rPr>
        <w:t>Deepwater</w:t>
      </w:r>
      <w:proofErr w:type="spellEnd"/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proofErr w:type="spellStart"/>
      <w:r w:rsidRPr="00407C3B">
        <w:rPr>
          <w:rFonts w:ascii="Lato" w:hAnsi="Lato"/>
          <w:color w:val="404040" w:themeColor="text1" w:themeTint="BF"/>
          <w:sz w:val="24"/>
          <w:lang w:val="es-ES"/>
        </w:rPr>
        <w:t>Horizon</w:t>
      </w:r>
      <w:proofErr w:type="spellEnd"/>
      <w:r w:rsidRPr="00407C3B">
        <w:rPr>
          <w:rFonts w:ascii="Lato" w:hAnsi="Lato"/>
          <w:color w:val="404040" w:themeColor="text1" w:themeTint="BF"/>
          <w:sz w:val="24"/>
          <w:lang w:val="es-ES"/>
        </w:rPr>
        <w:t>” estaba finalizando las actividades de perforación en el pozo “Macondo”, cañón de Mississippi MC Block 252, cuando ocurrió un evento inesperado. ¿Realmente inesperado?</w:t>
      </w:r>
    </w:p>
    <w:p w:rsidR="00407C3B" w:rsidRPr="00407C3B" w:rsidRDefault="00407C3B" w:rsidP="00407C3B">
      <w:pPr>
        <w:jc w:val="center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drawing>
          <wp:inline distT="0" distB="0" distL="0" distR="0" wp14:anchorId="76B62252" wp14:editId="444F9801">
            <wp:extent cx="3441303" cy="1933575"/>
            <wp:effectExtent l="0" t="0" r="6985" b="0"/>
            <wp:docPr id="2" name="Imagen 2" descr="Humo saliendo de un barco en el m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umo saliendo de un barco en el mar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378" cy="19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3B" w:rsidRPr="00407C3B" w:rsidRDefault="00407C3B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407C3B" w:rsidRPr="00407C3B" w:rsidRDefault="00407C3B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lastRenderedPageBreak/>
        <w:t>En pocas horas, se hubiera comenzado a desmontar el equipo de perforación y se hubiera procedido a instalar los equipos de producción.</w:t>
      </w:r>
    </w:p>
    <w:p w:rsidR="00407C3B" w:rsidRPr="00407C3B" w:rsidRDefault="00407C3B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>Sin embargo, alrededor de las 10 de la mañana comenzaron a producirse fuertes ruidos y movimientos y un fuerte chorro de lodo de perforación, agua de mar y gas apareció repentinamente, el gas explotó y la plataforma entera quedo envuelta en llamas, una segunda explosión provocó el cese de suministro eléctrico.</w:t>
      </w:r>
    </w:p>
    <w:p w:rsidR="00407C3B" w:rsidRPr="00407C3B" w:rsidRDefault="00407C3B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>Once hombres murieron en forma instantánea y 115 más abandonaron la plataforma en botes o arrojándose directamente al agua.</w:t>
      </w:r>
    </w:p>
    <w:p w:rsidR="00407C3B" w:rsidRPr="00407C3B" w:rsidRDefault="00407C3B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>Dos días después la plataforma se hundió.</w:t>
      </w:r>
    </w:p>
    <w:p w:rsidR="00407C3B" w:rsidRPr="00407C3B" w:rsidRDefault="00407C3B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>Desde ese momento hasta que se selló el pozo, se volcaron a las aguas del golfo aproximadamente 5000 barriles (587 m²) de petróleo por día.</w:t>
      </w:r>
    </w:p>
    <w:p w:rsidR="00407C3B" w:rsidRPr="00407C3B" w:rsidRDefault="00407C3B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>Muchos expertos coinciden que ni la profundidad a la que se encontraba el fondo del mar ni la pro</w:t>
      </w:r>
      <w:r>
        <w:rPr>
          <w:rFonts w:ascii="Lato" w:hAnsi="Lato"/>
          <w:color w:val="404040" w:themeColor="text1" w:themeTint="BF"/>
          <w:sz w:val="24"/>
          <w:lang w:val="es-ES"/>
        </w:rPr>
        <w:t>fundidad de la perforación en sí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 misma fueron factores determinantes del desastre.</w:t>
      </w:r>
    </w:p>
    <w:p w:rsidR="00407C3B" w:rsidRPr="00407C3B" w:rsidRDefault="00407C3B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b/>
          <w:bCs/>
          <w:color w:val="404040" w:themeColor="text1" w:themeTint="BF"/>
          <w:sz w:val="24"/>
          <w:lang w:val="es-ES"/>
        </w:rPr>
        <w:t>Premisas de trabajo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>:</w:t>
      </w:r>
    </w:p>
    <w:p w:rsidR="00407C3B" w:rsidRPr="00407C3B" w:rsidRDefault="00407C3B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>Basado en sus propias experiencias, pasadas o presentes, (si no las tiene, puede referir experiencias laborales de alguna persona de su entorno con quien pueda reunir la información suficiente para argumentar sus conclusiones), investigue el caso y desarrolle los siguientes interrogantes.</w:t>
      </w:r>
    </w:p>
    <w:p w:rsidR="00407C3B" w:rsidRPr="00407C3B" w:rsidRDefault="00407C3B" w:rsidP="00407C3B">
      <w:pPr>
        <w:numPr>
          <w:ilvl w:val="0"/>
          <w:numId w:val="13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>¿Podría haberse evitado este accidente? Justifique su respuesta.</w:t>
      </w:r>
    </w:p>
    <w:p w:rsidR="00407C3B" w:rsidRPr="00407C3B" w:rsidRDefault="00407C3B" w:rsidP="00407C3B">
      <w:pPr>
        <w:numPr>
          <w:ilvl w:val="0"/>
          <w:numId w:val="13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>Analice este proyecto a la luz de los “</w:t>
      </w:r>
      <w:r w:rsidRPr="00407C3B">
        <w:rPr>
          <w:rFonts w:ascii="Lato" w:hAnsi="Lato"/>
          <w:b/>
          <w:bCs/>
          <w:color w:val="404040" w:themeColor="text1" w:themeTint="BF"/>
          <w:sz w:val="24"/>
          <w:lang w:val="es-ES"/>
        </w:rPr>
        <w:t>principios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>”</w:t>
      </w:r>
      <w:r w:rsidR="00C45029">
        <w:rPr>
          <w:rFonts w:ascii="Lato" w:hAnsi="Lato"/>
          <w:color w:val="404040" w:themeColor="text1" w:themeTint="BF"/>
          <w:sz w:val="24"/>
          <w:lang w:val="es-ES"/>
        </w:rPr>
        <w:t xml:space="preserve"> de la dirección de proyectos.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 ¿Qué principios estima usted que no fueron tenidos en cuenta y que pudieron haber facilitado el accidente? Justifique su respuesta.</w:t>
      </w:r>
    </w:p>
    <w:p w:rsidR="00407C3B" w:rsidRPr="00407C3B" w:rsidRDefault="00407C3B" w:rsidP="00407C3B">
      <w:pPr>
        <w:numPr>
          <w:ilvl w:val="0"/>
          <w:numId w:val="13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>Analice este proyecto a la luz de los “</w:t>
      </w:r>
      <w:r w:rsidRPr="00407C3B">
        <w:rPr>
          <w:rFonts w:ascii="Lato" w:hAnsi="Lato"/>
          <w:b/>
          <w:bCs/>
          <w:color w:val="404040" w:themeColor="text1" w:themeTint="BF"/>
          <w:sz w:val="24"/>
          <w:lang w:val="es-ES"/>
        </w:rPr>
        <w:t>dominios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>”</w:t>
      </w:r>
      <w:r w:rsidR="00C45029">
        <w:rPr>
          <w:rFonts w:ascii="Lato" w:hAnsi="Lato"/>
          <w:color w:val="404040" w:themeColor="text1" w:themeTint="BF"/>
          <w:sz w:val="24"/>
          <w:lang w:val="es-ES"/>
        </w:rPr>
        <w:t xml:space="preserve"> de la dirección de proyectos.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 ¿Qué dominios estima usted que no fueron tenidos en cuenta y que pudieron haber facilitado el accidente? Justifique su respuesta.</w:t>
      </w:r>
    </w:p>
    <w:p w:rsidR="00407C3B" w:rsidRPr="00407C3B" w:rsidRDefault="00407C3B" w:rsidP="00407C3B">
      <w:pPr>
        <w:numPr>
          <w:ilvl w:val="0"/>
          <w:numId w:val="13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>Analice este proyecto a la luz de los “</w:t>
      </w:r>
      <w:r w:rsidRPr="00407C3B">
        <w:rPr>
          <w:rFonts w:ascii="Lato" w:hAnsi="Lato"/>
          <w:b/>
          <w:bCs/>
          <w:color w:val="404040" w:themeColor="text1" w:themeTint="BF"/>
          <w:sz w:val="24"/>
          <w:lang w:val="es-ES"/>
        </w:rPr>
        <w:t>valores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>” del código de ética</w:t>
      </w:r>
      <w:r w:rsidR="00C45029">
        <w:rPr>
          <w:rFonts w:ascii="Lato" w:hAnsi="Lato"/>
          <w:color w:val="404040" w:themeColor="text1" w:themeTint="BF"/>
          <w:sz w:val="24"/>
          <w:lang w:val="es-ES"/>
        </w:rPr>
        <w:t xml:space="preserve"> y conducta profesional del PMI.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 ¿Qué valores estima usted que no fueron tenidos en cuenta y que pudieron haber facilitado el accidente? Justifique su respuesta.</w:t>
      </w:r>
    </w:p>
    <w:p w:rsidR="00407C3B" w:rsidRPr="00407C3B" w:rsidRDefault="00407C3B" w:rsidP="00407C3B">
      <w:pPr>
        <w:numPr>
          <w:ilvl w:val="0"/>
          <w:numId w:val="12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Finalmente, ponga el foco en la PMO y piense de qué manera ésta puede acompañar y potenciar los esfuerzos de gestión de un proyecto exitoso y la adaptación tanto en materia de acciones hacia las personas, como hacia la metodología, herramientas y procesos. Investigue de acuerdo con los tipos de PMO propuestos por los diferentes autores, elija uno de ellos, argumente su elección y de acuerdo con las responsabilidades que le son atribuidas al tipo de PMO en cuestión, determine las acciones de adaptabilidad que considere aplicables a un proyecto como el de referencia 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lastRenderedPageBreak/>
        <w:t>y que pudieran mitigar la probabilidad de un accidente como el ocurrido en la plataforma petrolera “</w:t>
      </w:r>
      <w:proofErr w:type="spellStart"/>
      <w:r w:rsidRPr="00407C3B">
        <w:rPr>
          <w:rFonts w:ascii="Lato" w:hAnsi="Lato"/>
          <w:color w:val="404040" w:themeColor="text1" w:themeTint="BF"/>
          <w:sz w:val="24"/>
          <w:lang w:val="es-ES"/>
        </w:rPr>
        <w:t>Deepwater</w:t>
      </w:r>
      <w:proofErr w:type="spellEnd"/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proofErr w:type="spellStart"/>
      <w:r w:rsidRPr="00407C3B">
        <w:rPr>
          <w:rFonts w:ascii="Lato" w:hAnsi="Lato"/>
          <w:color w:val="404040" w:themeColor="text1" w:themeTint="BF"/>
          <w:sz w:val="24"/>
          <w:lang w:val="es-ES"/>
        </w:rPr>
        <w:t>Horizon</w:t>
      </w:r>
      <w:proofErr w:type="spellEnd"/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” en el Golfo de México en </w:t>
      </w:r>
      <w:r w:rsidR="00C45029" w:rsidRPr="00407C3B">
        <w:rPr>
          <w:rFonts w:ascii="Lato" w:hAnsi="Lato"/>
          <w:color w:val="404040" w:themeColor="text1" w:themeTint="BF"/>
          <w:sz w:val="24"/>
          <w:lang w:val="es-ES"/>
        </w:rPr>
        <w:t>mayo</w:t>
      </w:r>
      <w:r w:rsidRPr="00407C3B">
        <w:rPr>
          <w:rFonts w:ascii="Lato" w:hAnsi="Lato"/>
          <w:color w:val="404040" w:themeColor="text1" w:themeTint="BF"/>
          <w:sz w:val="24"/>
          <w:lang w:val="es-ES"/>
        </w:rPr>
        <w:t xml:space="preserve"> del 2010.</w:t>
      </w:r>
    </w:p>
    <w:p w:rsidR="00407C3B" w:rsidRPr="00407C3B" w:rsidRDefault="00407C3B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CC451E" w:rsidRPr="0046274A" w:rsidRDefault="00CC451E" w:rsidP="00407C3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sectPr w:rsidR="00CC451E" w:rsidRPr="004627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CD1" w:rsidRDefault="00AF1CD1" w:rsidP="003A7AA7">
      <w:pPr>
        <w:spacing w:after="0" w:line="240" w:lineRule="auto"/>
      </w:pPr>
      <w:r>
        <w:separator/>
      </w:r>
    </w:p>
  </w:endnote>
  <w:endnote w:type="continuationSeparator" w:id="0">
    <w:p w:rsidR="00AF1CD1" w:rsidRDefault="00AF1CD1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6D1D1D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6D1D1D" w:rsidRDefault="006D1D1D" w:rsidP="006D1D1D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C45029" w:rsidRPr="00C45029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6D1D1D" w:rsidRDefault="006D1D1D" w:rsidP="006D1D1D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C45029" w:rsidRPr="00C45029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CD1" w:rsidRDefault="00AF1CD1" w:rsidP="003A7AA7">
      <w:pPr>
        <w:spacing w:after="0" w:line="240" w:lineRule="auto"/>
      </w:pPr>
      <w:r>
        <w:separator/>
      </w:r>
    </w:p>
  </w:footnote>
  <w:footnote w:type="continuationSeparator" w:id="0">
    <w:p w:rsidR="00AF1CD1" w:rsidRDefault="00AF1CD1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AF1CD1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1" o:spid="_x0000_s2065" type="#_x0000_t75" style="position:absolute;margin-left:0;margin-top:0;width:595.45pt;height:842.15pt;z-index:-251657216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AF1CD1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2" o:spid="_x0000_s2066" type="#_x0000_t75" style="position:absolute;margin-left:0;margin-top:0;width:595.45pt;height:842.15pt;z-index:-251656192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AF1CD1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0" o:spid="_x0000_s2064" type="#_x0000_t75" style="position:absolute;margin-left:0;margin-top:0;width:595.45pt;height:842.15pt;z-index:-251658240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C178DC"/>
    <w:multiLevelType w:val="hybridMultilevel"/>
    <w:tmpl w:val="BED22D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205E0"/>
    <w:multiLevelType w:val="hybridMultilevel"/>
    <w:tmpl w:val="45D67F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71CC7"/>
    <w:multiLevelType w:val="hybridMultilevel"/>
    <w:tmpl w:val="6B6216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A4"/>
    <w:rsid w:val="0023134B"/>
    <w:rsid w:val="0027604A"/>
    <w:rsid w:val="002900FB"/>
    <w:rsid w:val="003A3E6D"/>
    <w:rsid w:val="003A7AA7"/>
    <w:rsid w:val="0040367A"/>
    <w:rsid w:val="00404840"/>
    <w:rsid w:val="00407C3B"/>
    <w:rsid w:val="0046274A"/>
    <w:rsid w:val="00534427"/>
    <w:rsid w:val="006D1D1D"/>
    <w:rsid w:val="006F10AA"/>
    <w:rsid w:val="00816420"/>
    <w:rsid w:val="008E599D"/>
    <w:rsid w:val="008F3049"/>
    <w:rsid w:val="0096129A"/>
    <w:rsid w:val="009720E9"/>
    <w:rsid w:val="00AF1CD1"/>
    <w:rsid w:val="00B86114"/>
    <w:rsid w:val="00C45029"/>
    <w:rsid w:val="00C816B2"/>
    <w:rsid w:val="00C84AAC"/>
    <w:rsid w:val="00CC451E"/>
    <w:rsid w:val="00D94D2C"/>
    <w:rsid w:val="00E41B81"/>
    <w:rsid w:val="00EA12A4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1"/>
    </o:shapelayout>
  </w:shapeDefaults>
  <w:decimalSymbol w:val=","/>
  <w:listSeparator w:val=";"/>
  <w14:docId w14:val="736B32FF"/>
  <w15:chartTrackingRefBased/>
  <w15:docId w15:val="{F6391391-D0E2-44B1-A618-F523BA64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.mafferra\Downloads\Actividad%20integrad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A4DEB-C060-4CF2-83AC-75ED6650E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Actividad integradora</Template>
  <TotalTime>29</TotalTime>
  <Pages>3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Mafferra</dc:creator>
  <cp:keywords/>
  <dc:description/>
  <cp:lastModifiedBy>Julieta.mafferra</cp:lastModifiedBy>
  <cp:revision>4</cp:revision>
  <cp:lastPrinted>2020-09-01T16:45:00Z</cp:lastPrinted>
  <dcterms:created xsi:type="dcterms:W3CDTF">2022-05-30T15:10:00Z</dcterms:created>
  <dcterms:modified xsi:type="dcterms:W3CDTF">2022-09-21T15:52:00Z</dcterms:modified>
</cp:coreProperties>
</file>