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DB76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Vertiefung: Konzipieren und Umsetzen von kundenspezifischen Softwareanwendungen</w:t>
      </w:r>
    </w:p>
    <w:p w14:paraId="02C1178F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Anwendungslösungen unter Berücksichtigung der bestehenden Systemarchitektur entwerfen und realisieren</w:t>
      </w:r>
    </w:p>
    <w:p w14:paraId="44B18CAF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Designverfahren anwenden</w:t>
      </w:r>
    </w:p>
    <w:p w14:paraId="6A6EF735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Konzeption</w:t>
      </w:r>
    </w:p>
    <w:p w14:paraId="3E0E90B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Prozesse analysieren und Lösungskonzepte umsetzen</w:t>
      </w:r>
    </w:p>
    <w:p w14:paraId="4FD34607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Implementierung</w:t>
      </w:r>
    </w:p>
    <w:p w14:paraId="77324A30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bestehende Anwendungslösungen anpassen</w:t>
      </w:r>
    </w:p>
    <w:p w14:paraId="5F5516D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Kundenspezifische Anpassungen</w:t>
      </w:r>
    </w:p>
    <w:p w14:paraId="5E5AE6D6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Anwendungslösungen erweitern</w:t>
      </w:r>
    </w:p>
    <w:p w14:paraId="605695AD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Konfigurationen verwalten</w:t>
      </w:r>
    </w:p>
    <w:p w14:paraId="74B90A4D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Datenaustausch zwischen Systemen realisieren und unterschiedliche Datenquellen nutzen</w:t>
      </w:r>
    </w:p>
    <w:p w14:paraId="79CD20D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Unterschiedliche Datenschnittstellen ansprechen und nutzen</w:t>
      </w:r>
    </w:p>
    <w:p w14:paraId="4D727F8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Datenaustauschformate (JSON, XML)</w:t>
      </w:r>
    </w:p>
    <w:p w14:paraId="3C93FFCB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komplexe Abfragen aus unterschiedlichen Datenquellen durchführen und Datenbestandsberichte erstellen</w:t>
      </w:r>
    </w:p>
    <w:p w14:paraId="14C8D1B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Daten aus unterschiedlichen Datenquellen ansprechen (Office, Web, Cloud, Datenbanken)</w:t>
      </w:r>
    </w:p>
    <w:p w14:paraId="7722DB9B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Verarbeitung von Daten unterschiedlicher Datenaustauschformate und -Quellen</w:t>
      </w:r>
    </w:p>
    <w:p w14:paraId="0F4FC000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Daten aus unterschiedlichen Datenquellen homogen zusammenführen und darstellen</w:t>
      </w:r>
    </w:p>
    <w:p w14:paraId="018568B1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Vertiefung: Sicherstellen der Qualität von Softwareanwendungen</w:t>
      </w:r>
    </w:p>
    <w:p w14:paraId="760DF39D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Werkzeuge zur Versionsverwaltung einsetzen</w:t>
      </w:r>
    </w:p>
    <w:p w14:paraId="1047B969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 xml:space="preserve">Zentralisierte </w:t>
      </w:r>
      <w:proofErr w:type="spellStart"/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Verionsverwaltungssysteme</w:t>
      </w:r>
      <w:proofErr w:type="spellEnd"/>
    </w:p>
    <w:p w14:paraId="2AA0BB66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Dezentrale/Verteilte Versionsverwaltungssysteme</w:t>
      </w:r>
    </w:p>
    <w:p w14:paraId="7342121E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proofErr w:type="spellStart"/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git</w:t>
      </w:r>
      <w:proofErr w:type="spellEnd"/>
    </w:p>
    <w:p w14:paraId="48BDEF7A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Testkonzepte erstellen und Tests durchführen sowie Testergebnisse bewerten und dokumentieren</w:t>
      </w:r>
    </w:p>
    <w:p w14:paraId="3998E86C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Testpläne</w:t>
      </w:r>
    </w:p>
    <w:p w14:paraId="3A194D8D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Testfälle</w:t>
      </w:r>
    </w:p>
    <w:p w14:paraId="77C0FDA6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Testprotokollierung</w:t>
      </w:r>
    </w:p>
    <w:p w14:paraId="41CFCAEE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Testauswertung</w:t>
      </w:r>
    </w:p>
    <w:p w14:paraId="5BA8EF97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 xml:space="preserve">Daten/Sachverhalte aus Tests multimedial aufbereiten und </w:t>
      </w:r>
      <w:proofErr w:type="spellStart"/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situationsg</w:t>
      </w:r>
      <w:proofErr w:type="spellEnd"/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 xml:space="preserve">. unter Nutzung </w:t>
      </w:r>
      <w:proofErr w:type="spellStart"/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digit</w:t>
      </w:r>
      <w:proofErr w:type="spellEnd"/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. Werkzeuge u. unter Beachtung betr. Vorgaben präsentieren</w:t>
      </w:r>
    </w:p>
    <w:p w14:paraId="7AFC599B" w14:textId="5255180A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Visualisierung</w:t>
      </w: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 xml:space="preserve"> von Testabdeckungen (z.B. mit Emma)</w:t>
      </w:r>
    </w:p>
    <w:p w14:paraId="3E0682C6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Visuelle Darstellung relevanter Testergebnisdaten</w:t>
      </w:r>
    </w:p>
    <w:p w14:paraId="1AD3BC53" w14:textId="77777777" w:rsidR="00A457E5" w:rsidRPr="00A457E5" w:rsidRDefault="00A457E5" w:rsidP="00A457E5">
      <w:pPr>
        <w:numPr>
          <w:ilvl w:val="1"/>
          <w:numId w:val="2"/>
        </w:numPr>
        <w:spacing w:after="0" w:line="240" w:lineRule="auto"/>
        <w:ind w:left="1920"/>
        <w:jc w:val="both"/>
        <w:rPr>
          <w:rFonts w:ascii="Arial" w:eastAsia="Times New Roman" w:hAnsi="Arial" w:cs="Arial"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color w:val="505153"/>
          <w:sz w:val="21"/>
          <w:szCs w:val="21"/>
          <w:lang w:eastAsia="de-DE"/>
        </w:rPr>
        <w:t>Präsentation von Testergebnissen</w:t>
      </w:r>
    </w:p>
    <w:p w14:paraId="47EC8030" w14:textId="77777777" w:rsidR="00A457E5" w:rsidRPr="00A457E5" w:rsidRDefault="00A457E5" w:rsidP="00A457E5">
      <w:pPr>
        <w:numPr>
          <w:ilvl w:val="0"/>
          <w:numId w:val="2"/>
        </w:numPr>
        <w:spacing w:after="0" w:line="240" w:lineRule="auto"/>
        <w:ind w:left="960"/>
        <w:jc w:val="both"/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</w:pPr>
      <w:r w:rsidRPr="00A457E5">
        <w:rPr>
          <w:rFonts w:ascii="Arial" w:eastAsia="Times New Roman" w:hAnsi="Arial" w:cs="Arial"/>
          <w:b/>
          <w:bCs/>
          <w:color w:val="505153"/>
          <w:sz w:val="21"/>
          <w:szCs w:val="21"/>
          <w:lang w:eastAsia="de-DE"/>
        </w:rPr>
        <w:t>Klausur</w:t>
      </w:r>
    </w:p>
    <w:p w14:paraId="09EC3FC2" w14:textId="77777777" w:rsidR="00323992" w:rsidRDefault="00323992"/>
    <w:sectPr w:rsidR="00323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63B1"/>
    <w:multiLevelType w:val="multilevel"/>
    <w:tmpl w:val="A468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A54C75"/>
    <w:multiLevelType w:val="multilevel"/>
    <w:tmpl w:val="F12A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E5"/>
    <w:rsid w:val="00323992"/>
    <w:rsid w:val="00A4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76A4"/>
  <w15:chartTrackingRefBased/>
  <w15:docId w15:val="{23028AF0-1341-4247-93D4-7BD6D45D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Schirmer</dc:creator>
  <cp:keywords/>
  <dc:description/>
  <cp:lastModifiedBy>Daniel Schirmer</cp:lastModifiedBy>
  <cp:revision>1</cp:revision>
  <dcterms:created xsi:type="dcterms:W3CDTF">2022-01-25T07:19:00Z</dcterms:created>
  <dcterms:modified xsi:type="dcterms:W3CDTF">2022-01-25T07:23:00Z</dcterms:modified>
</cp:coreProperties>
</file>