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ustomizations.xml" ContentType="application/vnd.ms-word.keyMapCustomization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6D27D4" w14:textId="77777777" w:rsidR="007F761C" w:rsidRPr="0007718C" w:rsidRDefault="007F761C" w:rsidP="007F761C">
      <w:pPr>
        <w:pStyle w:val="MDPI11articletype"/>
      </w:pPr>
      <w:r>
        <w:rPr/>
        <w:t>Article</w:t>
      </w:r>
    </w:p>
    <w:p w14:paraId="5C9D9F4B" w14:textId="77777777" w:rsidR="007F761C" w:rsidRPr="0007718C" w:rsidRDefault="007F761C" w:rsidP="007F761C">
      <w:pPr>
        <w:pStyle w:val="MDPI12title"/>
      </w:pPr>
      <w:r>
        <w:rPr/>
        <w:t>Physics-Pretrained, Sample-Calibrated Deep Learning for Lunar Soil FeO, Mineralogy and Maturity from Moon Mineralogy Mapper Spectra</w:t>
      </w:r>
    </w:p>
    <w:p w14:paraId="1B1440B8" w14:textId="77777777" w:rsidR="00D67296" w:rsidRPr="0007718C" w:rsidRDefault="007F761C" w:rsidP="007F761C">
      <w:pPr>
        <w:pStyle w:val="MDPI13authornames"/>
      </w:pPr>
    </w:p>
    <w:p w14:paraId="4C57E489" w14:textId="77777777" w:rsidR="007F761C" w:rsidRPr="0007718C" w:rsidRDefault="006E7890" w:rsidP="007F761C">
      <w:pPr>
        <w:pStyle w:val="MDPI16affiliation"/>
      </w:pPr>
    </w:p>
    <w:p w14:paraId="62E73D40" w14:textId="77777777" w:rsidR="007F761C" w:rsidRPr="0007718C" w:rsidRDefault="007F761C" w:rsidP="007F761C">
      <w:pPr>
        <w:pStyle w:val="MDPI16affiliation"/>
      </w:pPr>
    </w:p>
    <w:p w14:paraId="5C25A627" w14:textId="77777777" w:rsidR="007F761C" w:rsidRPr="0007718C" w:rsidRDefault="007F761C" w:rsidP="007F761C">
      <w:pPr>
        <w:pStyle w:val="MDPI16affiliation"/>
      </w:pPr>
    </w:p>
    <w:p w14:paraId="140BC1EA" w14:textId="77777777" w:rsidR="00F90ADA" w:rsidRPr="00353E72" w:rsidRDefault="00F90ADA" w:rsidP="00F90ADA">
      <w:pPr>
        <w:pStyle w:val="MDPI17abstract"/>
        <w:jc w:val="left"/>
        <w:rPr>
          <w:rStyle w:val="Strong"/>
          <w:rFonts w:eastAsiaTheme="minorEastAsia"/>
          <w:b w:val="0"/>
          <w:szCs w:val="20"/>
          <w:highlight w:val="yellow"/>
          <w:lang w:eastAsia="zh-CN"/>
        </w:rPr>
      </w:pPr>
      <w:r w:rsidRPr="00353E72">
        <w:rPr>
          <w:b/>
        </w:rPr>
        <w:t>Highlights</w:t>
      </w:r>
    </w:p>
    <w:p w14:paraId="7BF8A756" w14:textId="77777777" w:rsidR="00F90ADA" w:rsidRPr="00EA347E" w:rsidRDefault="00F90ADA" w:rsidP="00F90ADA">
      <w:pPr>
        <w:pStyle w:val="MDPI31text"/>
        <w:spacing w:before="60"/>
        <w:ind w:firstLine="0"/>
        <w:rPr>
          <w:b/>
          <w:bCs/>
          <w:szCs w:val="20"/>
        </w:rPr>
      </w:pPr>
      <w:r w:rsidRPr="00EA347E">
        <w:rPr>
          <w:b/>
          <w:bCs/>
          <w:szCs w:val="20"/>
        </w:rPr>
        <w:t>What are the main findings?</w:t>
      </w:r>
    </w:p>
    <w:p w14:paraId="0D388E4C" w14:textId="77777777" w:rsidR="00F90ADA" w:rsidRPr="00EA347E" w:rsidRDefault="00F90ADA" w:rsidP="00F90ADA">
      <w:pPr>
        <w:pStyle w:val="MDPI38bullet"/>
        <w:numPr>
          <w:ilvl w:val="0"/>
          <w:numId w:val="15"/>
        </w:numPr>
        <w:spacing w:before="60"/>
        <w:rPr>
          <w:szCs w:val="20"/>
        </w:rPr>
      </w:pPr>
      <w:r>
        <w:rPr/>
        <w:t>A one-dimensional network pretrained on 400,000 Hapke-simulated lunar soils and fine-tuned on 19 returned soils predicts FeO, four other oxides, seven-part mineralogy and maturity. On the same laboratory data it reduces FeO error by 42% relative to a published wavelet-autoencoder pipeline and is significantly more accurate than a tuned random forest on 8 of 13 targets</w:t>
      </w:r>
    </w:p>
    <w:p w14:paraId="4DB7BD6B" w14:textId="77777777" w:rsidR="00F90ADA" w:rsidRPr="00EA347E" w:rsidRDefault="00F90ADA" w:rsidP="00F90ADA">
      <w:pPr>
        <w:pStyle w:val="MDPI38bullet"/>
        <w:numPr>
          <w:ilvl w:val="0"/>
          <w:numId w:val="15"/>
        </w:numPr>
        <w:spacing w:after="60"/>
        <w:rPr>
          <w:szCs w:val="20"/>
        </w:rPr>
      </w:pPr>
      <w:r>
        <w:rPr/>
        <w:t>The ranges between similarities are not very large, and a identifiability gate removes olivine and minor glasses, which no other method could reasonably forecast better than a zero information baseline.</w:t>
      </w:r>
    </w:p>
    <w:p w14:paraId="1CEA9A79" w14:textId="18A7E002" w:rsidR="00F90ADA" w:rsidRPr="00EA347E" w:rsidRDefault="00BB1571" w:rsidP="00F90ADA">
      <w:pPr>
        <w:pStyle w:val="MDPI31text"/>
        <w:ind w:firstLine="0"/>
        <w:rPr>
          <w:b/>
          <w:bCs/>
          <w:szCs w:val="20"/>
        </w:rPr>
      </w:pPr>
      <w:r>
        <w:rPr>
          <w:b/>
          <w:bCs/>
          <w:szCs w:val="20"/>
        </w:rPr>
        <w:t>What are the implications of the main findings?</w:t>
      </w:r>
    </w:p>
    <w:p w14:paraId="6F34DD4F" w14:textId="77777777" w:rsidR="00F90ADA" w:rsidRPr="00EA347E" w:rsidRDefault="00F90ADA" w:rsidP="00F90ADA">
      <w:pPr>
        <w:pStyle w:val="MDPI38bullet"/>
        <w:numPr>
          <w:ilvl w:val="0"/>
          <w:numId w:val="15"/>
        </w:numPr>
        <w:spacing w:before="60"/>
        <w:rPr>
          <w:szCs w:val="20"/>
        </w:rPr>
      </w:pPr>
      <w:r>
        <w:rPr/>
        <w:t>Most of the error in physics only inversions can be eliminated through calibration against returned soils, and not by increasing model complexity.</w:t>
      </w:r>
    </w:p>
    <w:p w14:paraId="5A1B193B" w14:textId="77777777" w:rsidR="00F90ADA" w:rsidRPr="00EA347E" w:rsidRDefault="00F90ADA" w:rsidP="00F90ADA">
      <w:pPr>
        <w:pStyle w:val="MDPI38bullet"/>
        <w:numPr>
          <w:ilvl w:val="0"/>
          <w:numId w:val="15"/>
        </w:numPr>
        <w:spacing w:before="60"/>
        <w:rPr>
          <w:szCs w:val="20"/>
        </w:rPr>
      </w:pPr>
      <w:r>
        <w:rPr/>
        <w:t>Laboratory skill did not transfer to orbit: at 49 returned sample sites, a LUMEN in orbit (3.27 wt% FeO) was not significantly superior to that reported (3.58 wt%) and outperformed by a two-band linear regression (2.11 wt%).</w:t>
      </w:r>
    </w:p>
    <w:p w14:paraId="4C73DFBE" w14:textId="39FC0634" w:rsidR="0027551F" w:rsidRPr="0027551F" w:rsidRDefault="007F761C" w:rsidP="0027551F">
      <w:pPr>
        <w:pStyle w:val="MDPI17abstract"/>
        <w:jc w:val="left"/>
        <w:rPr>
          <w:b/>
        </w:rPr>
      </w:pPr>
      <w:r w:rsidRPr="0027551F">
        <w:rPr>
          <w:b/>
        </w:rPr>
        <w:t>Abstract</w:t>
      </w:r>
    </w:p>
    <w:p w14:paraId="2B640135" w14:textId="75B90567" w:rsidR="007F761C" w:rsidRPr="0007718C" w:rsidRDefault="007F761C" w:rsidP="0027551F">
      <w:pPr>
        <w:pStyle w:val="MDPI17abstract"/>
        <w:spacing w:before="0" w:after="0"/>
      </w:pPr>
      <w:r>
        <w:rPr/>
        <w:t>In many cases, lunar soil composition can be recovered from reflectance spectra using empirical regressions, radiative transfer inversions and physics-guided networks. This work presents LUMEN, a one-dimensional convolutional network trained on 400,000 soils from a domain randomised Hapke simulator with nanophase iron space weathering, fine-tuned on laboratory spectra of 19 Lunar Soil Characterization Consortium soils, with conformal prediction intervals and an identifiability gate to with skillful outcomes. Under leave-one-out evaluation with a protocol specified before scoring, LUMEN predicts FeO to 1.26 wt% and TiO₂ to 0.70 wt%, lowers the FeO error of a published wavelet–autoencoder pipeline by 42% and mineral-proportion errors of a Shkuratov-model inversion by 54–74%, and, when configured during cross-validation, is more accurate than a tuned random forest on 8 out of 13 targets. Periodictures reach nominal coverage; olivine is not identifiable. On Moon Mineralogy Mapper spectra of 49 returned sample sites, the laboratory model does not transfer (6.81 wt%), after orbital fine-tuning, it hits 3.27 wt% under leave-one-landing-out and is not any better than the published pipeline (3.58 wt%) or worse than a two-band linear regression (2.11 wt%).</w:t>
      </w:r>
    </w:p>
    <w:p w14:paraId="368F1C55" w14:textId="77777777" w:rsidR="007F761C" w:rsidRPr="0007718C" w:rsidRDefault="007F761C" w:rsidP="00EE6C9D">
      <w:pPr>
        <w:pStyle w:val="MDPI18keywords"/>
        <w:rPr>
          <w:szCs w:val="18"/>
        </w:rPr>
      </w:pPr>
      <w:r>
        <w:rPr>
          <w:b/>
        </w:rPr>
        <w:t xml:space="preserve">Keywords: </w:t>
      </w:r>
      <w:r>
        <w:rPr/>
        <w:t>lunar regolith; FeO; mineral abundance; space weathering; Moon Mineralogy Mapper; Hapke model; deep learning; transfer learning; conformal prediction; uncertainty quantification</w:t>
      </w:r>
    </w:p>
    <w:p w14:paraId="2B3EA6B2" w14:textId="77777777" w:rsidR="007F761C" w:rsidRPr="0007718C" w:rsidRDefault="007F761C" w:rsidP="00EE6C9D">
      <w:pPr>
        <w:pStyle w:val="MDPI19line"/>
      </w:pPr>
    </w:p>
    <w:p>
      <w:pPr>
        <w:pStyle w:val="MDPI21heading1"/>
        <w:keepNext/>
      </w:pPr>
      <w:r>
        <w:rPr/>
        <w:t>1. Introduction</w:t>
      </w:r>
    </w:p>
    <w:p>
      <w:pPr>
        <w:pStyle w:val="MDPI31text"/>
      </w:pPr>
      <w:r>
        <w:rPr/>
        <w:t>Iron and titanium content, modal mineralogy, and space-weathering maturity of the lunar regolith record the crustal and volcanic history of the Moon and constrain its use of resources. The Moon Mineralogy Mapper (M³) on Chandrayaan-1 observed visible to near-infrared reflectance spectra over most of the Moon [1,2]. These spectra show the crystal-field absorptions of Fe²⁺ in pyroxene and olivine near 1 and 2 µm, overprinted with the darkening and reddening of nanophase metallic iron, and their quantification is a trick without solid foundation.</w:t>
      </w:r>
    </w:p>
    <w:p>
      <w:pPr>
        <w:pStyle w:val="MDPI31text"/>
      </w:pPr>
      <w:r>
        <w:rPr/>
        <w:t>Several mathematical algorithms have been developed to link spectral properties with the composition of samples returned from landing sites. The Clementine band-ratio algorithms of Lucey et al. [3] are the standard for FeO and TiO₂ and the 1 and 2 µm band parameters have been calibrated to M³ [4,5]. These methods range from partial least squares [6], neural networks [7] and support vector machines [8] to comparisons between regressors [9], and convolutional networks on Kaguya Multiband Imager spectra have been used as global maps of oxide when Chang'e-5 [10,11] and Chang'e-6 [12] samples were added; Diviner data [13], gradient boosting [14] and random forests [15] have been used. The method I build on, Fernández-Díaz et al. [16], uses a db4 wavelet decomposition, a deep autoencoder and a random forest regressor to produce a global map of M³ FeO at 150 m per pixel. Each is trained on about 50 sampling sites and evaluated using random splits or small hold-out sets, rarely against other methods or a zero-information baseline.</w:t>
      </w:r>
    </w:p>
    <w:p>
      <w:pPr>
        <w:pStyle w:val="MDPI31text"/>
      </w:pPr>
      <w:r>
        <w:rPr/>
        <w:t>Physics-based methods model reflectance with radiative transfer. The Hapke model [17] and the results for nanophase iron [18–20] support inversions for mineral abundance, grain size and submicroscopic iron [21–23]; the Shkuratov model [24] has been inverted on M³ by a network trained on synthetic spectra [25]; Hapke inversions have been embedded into Bayesian samplers [26]; and PGU-Net [27] placed a Hapke single-scattering-albedo mixing layer within a deep autoencoder for unsupervised unmixing that validated only on M³ against Kaguya products with sample-informed priors as the next step. Such inversions are interpretable but not unique and sensitive to the end-member set and optical constants. Laboratory studies of the Lunar Soil Characterization Consortium (LSCC) soils have also combined spectra and measured mineralogy [28–30].</w:t>
      </w:r>
    </w:p>
    <w:p>
      <w:pPr>
        <w:pStyle w:val="MDPI31text"/>
      </w:pPr>
      <w:r>
        <w:rPr/>
        <w:t>We also reproduce three previous methods ([16,25,26]), and find several limitations. For example, the network of Korokhin et al. recovers orthopyroxene, olivine and the grey absorber on its own synthetic test set with only R² of 0.06, 0.17 and 0.32, yet these are mapped; in Jung et al., abundances from the prior alone already meet two of the three published accuracy bounds; and in Fernández-Díaz et al., a random forest on the raw wavelet coefficients is more accurate than one on the autoencoder codes. Each point indicates how much of a returned number is estimated and how it is tested, not the physical models themselves. What we are missing is a method that uses physics as a source of training data, lets returned soils correct it, states its uncertainty and what it cannot identify, and then compare it against the published pipelines with identical data, under grouped cross-validation and against a zero-information baseline.</w:t>
      </w:r>
    </w:p>
    <w:p>
      <w:pPr>
        <w:pStyle w:val="MDPI31text"/>
      </w:pPr>
      <w:r>
        <w:rPr/>
        <w:t>We propose LUMEN (LUnar Mineralogy Estimation Network) to fill this gap. The main contributions are:</w:t>
      </w:r>
    </w:p>
    <w:p>
      <w:pPr>
        <w:pStyle w:val="MDPI31text"/>
      </w:pPr>
      <w:r>
        <w:rPr/>
        <w:t xml:space="preserve">(1) </w:t>
      </w:r>
      <w:r>
        <w:rPr>
          <w:b/>
        </w:rPr>
        <w:t>A hybrid physics-learning method</w:t>
      </w:r>
      <w:r>
        <w:rPr/>
        <w:t xml:space="preserve"> A domain-randomised Hapke simulator, composed of 49 lunar mineral and glass end-members (none from an evaluation soil) with physically modelled nanophase- and microphase-iron weathering, generates 400,000 synthetic soils. A small, one-dimensional convolutional network is trained on these and fine-tuned on returned soils, and from one spectrum predicts seven-part modal mineralogy, five oxides and maturity. A deep ensemble with conformal calibration supplies intervals with verified coverage, and a gate restricts any target with apparent skill over a zero information baseline.</w:t>
      </w:r>
    </w:p>
    <w:p>
      <w:pPr>
        <w:pStyle w:val="MDPI31text"/>
      </w:pPr>
      <w:r>
        <w:rPr/>
        <w:t xml:space="preserve">(2) </w:t>
      </w:r>
      <w:r>
        <w:rPr>
          <w:b/>
        </w:rPr>
        <w:t>An identical-data, protocol-fixed comparison.</w:t>
      </w:r>
      <w:r>
        <w:rPr/>
        <w:t xml:space="preserve"> LUMEN is compared with wavelet–autoencoder regression [16], Shkuratov-model inversion [25], Hapke–Bayesian inversion [26] and classical regressors using the same 75 laboratory spectra and leave-one-soil-out and leave-one-mission-out folds. Pair tests were used to correct for multiple comparisons. Every evaluation choice was merged into version control before the first score was computed; negative results and null are reported as positive.</w:t>
      </w:r>
    </w:p>
    <w:p>
      <w:pPr>
        <w:pStyle w:val="MDPI31text"/>
      </w:pPr>
      <w:r>
        <w:rPr/>
        <w:t xml:space="preserve">(3) </w:t>
      </w:r>
      <w:r>
        <w:rPr>
          <w:b/>
        </w:rPr>
        <w:t>Test of laboratory-to-orbit transfer</w:t>
      </w:r>
      <w:r>
        <w:rPr/>
        <w:t xml:space="preserve"> Using M³ spectra from returned sample sites on which the base method was calibrated [16,31], as well as its own cross-validation and an honest spatial leave-one-landing-site-out protocol, we show that without orbital labels, a small orbital fine-tuning set recovers, and simple two-band regressions remain better in orbit.</w:t>
      </w:r>
    </w:p>
    <w:p>
      <w:pPr>
        <w:pStyle w:val="MDPI31text"/>
      </w:pPr>
      <w:r>
        <w:rPr/>
        <w:t>Section 2 describes the data, the physical preliminaries and the method; Section 3 reports the experiments; Section 4 discusses them, including limitations; and Section 5 concludes.</w:t>
      </w:r>
    </w:p>
    <w:p>
      <w:pPr>
        <w:pStyle w:val="MDPI21heading1"/>
        <w:keepNext/>
      </w:pPr>
      <w:r>
        <w:rPr/>
        <w:t>2. Materials and Methods</w:t>
      </w:r>
    </w:p>
    <w:p>
      <w:pPr>
        <w:pStyle w:val="MDPI22heading2"/>
        <w:keepNext/>
      </w:pPr>
      <w:r>
        <w:rPr/>
        <w:t>2.1. Data and Preprocessing</w:t>
      </w:r>
    </w:p>
    <w:p>
      <w:pPr>
        <w:pStyle w:val="MDPI23heading3"/>
        <w:keepNext/>
      </w:pPr>
      <w:r>
        <w:rPr/>
        <w:t>2.1.1. Laboratory Spectra and Ground Truth</w:t>
      </w:r>
    </w:p>
    <w:p>
      <w:pPr>
        <w:pStyle w:val="MDPI31text"/>
      </w:pPr>
      <w:r>
        <w:rPr/>
        <w:t>We used the LSCC suite of data [32,33] for nine mare soils (Apollo 11, 12, 15 and 17) and ten highland soils (Apollo 14 and 16) analyzed as &lt;10, 10–20, 20–45 and &lt;45 µm fractions measured at 30° incidence and 0° emission. The 10–20 µm spectrum of soil 70181 was not analyzed, leaving 75 spectra. Point-count modal mineralogy (vol%) data for the three finer fractions (56 spectra) was arranged into seven parts: plagioclase (PLG), low-Ca pyroxene (LCP, orthopyroxene plus pigeonite), high-Ca pyroxene (HCP), olivine (OLV), ilmenite (ILM), agglutinitic glass (AGG) and other phases (OTH). Bulk FeO, TiO₂, Al₂O₃, CaO and MgO (wt%) and maturity index Is/FeO are available for all 75 spectra, but have been checked against their column sum and totals. Each spectra is contigated in the 71 M³ global mode band (540.8–2497.1 nm) with Gaussian responses that span the band width of each channel, except for channels smaller than 2.5 µm.</w:t>
      </w:r>
    </w:p>
    <w:p>
      <w:pPr>
        <w:pStyle w:val="MDPI23heading3"/>
        <w:keepNext/>
      </w:pPr>
      <w:r>
        <w:rPr/>
        <w:t>2.1.2. End-Member Library</w:t>
      </w:r>
    </w:p>
    <w:p>
      <w:pPr>
        <w:pStyle w:val="MDPI31text"/>
      </w:pPr>
      <w:r>
        <w:rPr/>
        <w:t>The simulator contains 49 RELAB spectra of lunar mineral separates and glasses (17 plagioclase, 7 low-Ca and 11 high-Ca pyroxene, 6 olivine, 4 ilmenite, 2 volcanic and 2 synthetic glasses) from mare basalts, highland rocks, one non-LSCC soil (62241) and synthetic glasses. Each spectra has been individually verified against the PDS4 metadata. No end-members are found in any of the 19 evaluation soils; as each RELAB agglutinate separate is derived from an LSCC soil, we model agglutinates physically (Section 2.3.1).</w:t>
      </w:r>
    </w:p>
    <w:p>
      <w:pPr>
        <w:pStyle w:val="MDPI23heading3"/>
        <w:keepNext/>
      </w:pPr>
      <w:r>
        <w:rPr/>
        <w:t>2.1.3. M³ Data</w:t>
      </w:r>
    </w:p>
    <w:p>
      <w:pPr>
        <w:pStyle w:val="MDPI31text"/>
      </w:pPr>
      <w:r>
        <w:rPr/>
        <w:t>All orbital data are M³ Level-2 global-mode reflectance [2]. We map the strip in the Shapley-region M3G20090728T214215 as analyzed by Korokhin et al. [25], the strip around the landing site of Apollo 16 (M3G20090607T110414) and the two regions of Aristarchus of interest of Jung et al. [26].</w:t>
      </w:r>
    </w:p>
    <w:p>
      <w:pPr>
        <w:pStyle w:val="MDPI31text"/>
      </w:pPr>
      <w:r>
        <w:rPr/>
        <w:t>The FeO ground truth in the base method [16] is derived from Qiu et al. [34], which is open access as Supplementary Table 1 of Qiu et al. [31]: 49 stations (Apollo 11–17 landing sites and traverse stations, Luna 16, 20 and 24, and Chang’e-3, -5 and -6) with laboratory FeO and Clementine reflectances at 415–1000 nm, which we confirmed against the worked example in [16] (Apollo 17 LRV-12, 17.4 wt% FeO). For each site, every M³ strip whose nearest pixel lies within 0.01° of the site, at least five samples from the swath edge, contributes its 3 × 3-pixel block if at least 5 of the 9 pixels are valid (finite, 0 &lt; R &lt; 1 on M³ bands 3–85, the band set of [16]); the site spectrum is the per-band median over contributing strips. All 49 sites are covered, Chang'e-5 included, by 183 strips (one to six per site, median four). All input files are recorded in a SHA-256 manifest that is validated at the beginning and end of each processing stage.</w:t>
      </w:r>
    </w:p>
    <w:p>
      <w:pPr>
        <w:pStyle w:val="MDPI22heading2"/>
        <w:keepNext/>
      </w:pPr>
      <w:r>
        <w:rPr/>
        <w:t>2.2. Preliminaries: Hapke Model, Single-Scattering Albedo and Space Weathering</w:t>
      </w:r>
    </w:p>
    <w:p>
      <w:pPr>
        <w:pStyle w:val="MDPI31text"/>
      </w:pPr>
      <w:r>
        <w:rPr/>
        <w:t>To investigate an intimate particle mixture we used the Hapke bidirectional reflectance [17];</w:t>
      </w:r>
    </w:p>
    <w:tbl>
      <w:tblPr>
        <w:tblW w:w="7859" w:type="dxa"/>
        <w:tblInd w:w="2608" w:type="dxa"/>
        <w:tblCellMar>
          <w:left w:w="0" w:type="dxa"/>
          <w:right w:w="0" w:type="dxa"/>
        </w:tblCellMar>
        <w:tblLook w:val="04A0" w:firstRow="1" w:lastRow="0" w:firstColumn="1" w:lastColumn="0" w:noHBand="0" w:noVBand="1"/>
      </w:tblPr>
      <w:tblGrid>
        <w:gridCol w:w="7428"/>
        <w:gridCol w:w="431"/>
      </w:tblGrid>
      <w:tr w:rsidR="007F761C" w:rsidRPr="0007718C" w14:paraId="0F5D3129" w14:textId="77777777" w:rsidTr="002B6F87">
        <w:tc>
          <w:tcPr>
            <w:tcW w:w="7428" w:type="dxa"/>
          </w:tcPr>
          <w:p w14:paraId="56A837DC" w14:textId="77777777" w:rsidR="007F761C" w:rsidRPr="0007718C" w:rsidRDefault="007F761C" w:rsidP="00EE6C9D">
            <w:pPr>
              <w:pStyle w:val="MDPI39equation"/>
            </w:pPr>
            <m:oMath>
              <m:r>
                <m:t>r</m:t>
              </m:r>
              <m:r>
                <m:rPr>
                  <m:sty m:val="p"/>
                </m:rPr>
                <m:t>(</m:t>
              </m:r>
              <m:r>
                <m:t>w</m:t>
              </m:r>
              <m:r>
                <m:rPr>
                  <m:sty m:val="p"/>
                </m:rPr>
                <m:t>)</m:t>
              </m:r>
              <m:r>
                <m:rPr>
                  <m:sty m:val="p"/>
                </m:rPr>
                <m:t>=</m:t>
              </m:r>
              <m:f>
                <m:fPr>
                  <m:type m:val="bar"/>
                </m:fPr>
                <m:num>
                  <m:r>
                    <m:t>w</m:t>
                  </m:r>
                </m:num>
                <m:den>
                  <m:r>
                    <m:t>4</m:t>
                  </m:r>
                  <m:r>
                    <m:rPr>
                      <m:sty m:val="p"/>
                    </m:rPr>
                    <m:t>(</m:t>
                  </m:r>
                  <m:sSub>
                    <m:e>
                      <m:r>
                        <m:t>μ</m:t>
                      </m:r>
                    </m:e>
                    <m:sub>
                      <m:r>
                        <m:t>0</m:t>
                      </m:r>
                    </m:sub>
                  </m:sSub>
                  <m:r>
                    <m:rPr>
                      <m:sty m:val="p"/>
                    </m:rPr>
                    <m:t>+</m:t>
                  </m:r>
                  <m:r>
                    <m:t>μ</m:t>
                  </m:r>
                  <m:r>
                    <m:rPr>
                      <m:sty m:val="p"/>
                    </m:rPr>
                    <m:t>)</m:t>
                  </m:r>
                </m:den>
              </m:f>
              <m:r>
                <m:t> </m:t>
              </m:r>
              <m:r>
                <m:t>H</m:t>
              </m:r>
              <m:r>
                <m:rPr>
                  <m:sty m:val="p"/>
                </m:rPr>
                <m:t>(</m:t>
              </m:r>
              <m:r>
                <m:t>w</m:t>
              </m:r>
              <m:r>
                <m:rPr>
                  <m:sty m:val="p"/>
                </m:rPr>
                <m:t>,</m:t>
              </m:r>
              <m:sSub>
                <m:e>
                  <m:r>
                    <m:t>μ</m:t>
                  </m:r>
                </m:e>
                <m:sub>
                  <m:r>
                    <m:t>0</m:t>
                  </m:r>
                </m:sub>
              </m:sSub>
              <m:r>
                <m:rPr>
                  <m:sty m:val="p"/>
                </m:rPr>
                <m:t>)</m:t>
              </m:r>
              <m:r>
                <m:t> </m:t>
              </m:r>
              <m:r>
                <m:t>H</m:t>
              </m:r>
              <m:r>
                <m:rPr>
                  <m:sty m:val="p"/>
                </m:rPr>
                <m:t>(</m:t>
              </m:r>
              <m:r>
                <m:t>w</m:t>
              </m:r>
              <m:r>
                <m:rPr>
                  <m:sty m:val="p"/>
                </m:rPr>
                <m:t>,</m:t>
              </m:r>
              <m:r>
                <m:t>μ</m:t>
              </m:r>
              <m:r>
                <m:rPr>
                  <m:sty m:val="p"/>
                </m:rPr>
                <m:t>)</m:t>
              </m:r>
            </m:oMath>
          </w:p>
        </w:tc>
        <w:tc>
          <w:tcPr>
            <w:tcW w:w="431" w:type="dxa"/>
            <w:vAlign w:val="center"/>
          </w:tcPr>
          <w:p w14:paraId="0E73E678" w14:textId="77777777" w:rsidR="007F761C" w:rsidRPr="0007718C" w:rsidRDefault="007F761C" w:rsidP="00EE6C9D">
            <w:pPr>
              <w:pStyle w:val="MDPI3aequationnumber"/>
            </w:pPr>
            <w:r>
              <w:t>(1)</w:t>
            </w:r>
          </w:p>
        </w:tc>
      </w:tr>
    </w:tbl>
    <w:p>
      <w:pPr>
        <w:pStyle w:val="MDPI32textnoindent"/>
      </w:pPr>
      <w:r>
        <w:rPr/>
        <w:t xml:space="preserve">where </w:t>
      </w:r>
      <m:oMath>
        <m:r>
          <m:t>w</m:t>
        </m:r>
      </m:oMath>
      <w:r>
        <w:rPr/>
        <w:t xml:space="preserve"> is the single scattering albedo (SSA), </w:t>
      </w:r>
      <m:oMath>
        <m:sSub>
          <m:e>
            <m:r>
              <m:t>μ</m:t>
            </m:r>
          </m:e>
          <m:sub>
            <m:r>
              <m:t>0</m:t>
            </m:r>
          </m:sub>
        </m:sSub>
      </m:oMath>
      <w:r>
        <w:rPr/>
        <w:t xml:space="preserve"> and </w:t>
      </w:r>
      <m:oMath>
        <m:r>
          <m:t>μ</m:t>
        </m:r>
      </m:oMath>
      <w:r>
        <w:rPr/>
        <w:t xml:space="preserve"> are the cosines of the incidence and emission angles (30° and 0° for RELAB). Ignoring the opposition effect and using an isotropic phase function is appropriate for RELAB geometry. </w:t>
      </w:r>
      <m:oMath>
        <m:r>
          <m:t>H</m:t>
        </m:r>
      </m:oMath>
      <w:r>
        <w:rPr/>
        <w:t xml:space="preserve"> is the approximate Chandrasekhar function</w:t>
      </w:r>
    </w:p>
    <w:tbl>
      <w:tblPr>
        <w:tblW w:w="7859" w:type="dxa"/>
        <w:tblInd w:w="2608" w:type="dxa"/>
        <w:tblCellMar>
          <w:left w:w="0" w:type="dxa"/>
          <w:right w:w="0" w:type="dxa"/>
        </w:tblCellMar>
        <w:tblLook w:val="04A0" w:firstRow="1" w:lastRow="0" w:firstColumn="1" w:lastColumn="0" w:noHBand="0" w:noVBand="1"/>
      </w:tblPr>
      <w:tblGrid>
        <w:gridCol w:w="7428"/>
        <w:gridCol w:w="431"/>
      </w:tblGrid>
      <w:tr w:rsidR="007F761C" w:rsidRPr="0007718C" w14:paraId="0F5D3129" w14:textId="77777777" w:rsidTr="002B6F87">
        <w:tc>
          <w:tcPr>
            <w:tcW w:w="7428" w:type="dxa"/>
          </w:tcPr>
          <w:p w14:paraId="56A837DC" w14:textId="77777777" w:rsidR="007F761C" w:rsidRPr="0007718C" w:rsidRDefault="007F761C" w:rsidP="00EE6C9D">
            <w:pPr>
              <w:pStyle w:val="MDPI39equation"/>
            </w:pPr>
            <m:oMath>
              <m:r>
                <m:t>H</m:t>
              </m:r>
              <m:r>
                <m:rPr>
                  <m:sty m:val="p"/>
                </m:rPr>
                <m:t>(</m:t>
              </m:r>
              <m:r>
                <m:t>w</m:t>
              </m:r>
              <m:r>
                <m:rPr>
                  <m:sty m:val="p"/>
                </m:rPr>
                <m:t>,</m:t>
              </m:r>
              <m:r>
                <m:t>x</m:t>
              </m:r>
              <m:r>
                <m:rPr>
                  <m:sty m:val="p"/>
                </m:rPr>
                <m:t>)</m:t>
              </m:r>
              <m:r>
                <m:rPr>
                  <m:sty m:val="p"/>
                </m:rPr>
                <m:t>=</m:t>
              </m:r>
              <m:sSup>
                <m:e>
                  <m:d>
                    <m:dPr>
                      <m:begChr m:val="["/>
                      <m:sepChr m:val=""/>
                      <m:endChr m:val="]"/>
                      <m:grow/>
                    </m:dPr>
                    <m:e>
                      <m:r>
                        <m:t>1</m:t>
                      </m:r>
                      <m:r>
                        <m:rPr>
                          <m:sty m:val="p"/>
                        </m:rPr>
                        <m:t>−</m:t>
                      </m:r>
                      <m:r>
                        <m:t>w</m:t>
                      </m:r>
                      <m:r>
                        <m:t> </m:t>
                      </m:r>
                      <m:r>
                        <m:t>x</m:t>
                      </m:r>
                      <m:d>
                        <m:dPr>
                          <m:begChr m:val="("/>
                          <m:sepChr m:val=""/>
                          <m:endChr m:val=")"/>
                          <m:grow/>
                        </m:dPr>
                        <m:e>
                          <m:sSub>
                            <m:e>
                              <m:r>
                                <m:t>r</m:t>
                              </m:r>
                            </m:e>
                            <m:sub>
                              <m:r>
                                <m:t>0</m:t>
                              </m:r>
                            </m:sub>
                          </m:sSub>
                          <m:r>
                            <m:rPr>
                              <m:sty m:val="p"/>
                            </m:rPr>
                            <m:t>+</m:t>
                          </m:r>
                          <m:f>
                            <m:fPr>
                              <m:type m:val="bar"/>
                            </m:fPr>
                            <m:num>
                              <m:r>
                                <m:t>1</m:t>
                              </m:r>
                              <m:r>
                                <m:rPr>
                                  <m:sty m:val="p"/>
                                </m:rPr>
                                <m:t>−</m:t>
                              </m:r>
                              <m:r>
                                <m:t>2</m:t>
                              </m:r>
                              <m:sSub>
                                <m:e>
                                  <m:r>
                                    <m:t>r</m:t>
                                  </m:r>
                                </m:e>
                                <m:sub>
                                  <m:r>
                                    <m:t>0</m:t>
                                  </m:r>
                                </m:sub>
                              </m:sSub>
                              <m:r>
                                <m:t>x</m:t>
                              </m:r>
                            </m:num>
                            <m:den>
                              <m:r>
                                <m:t>2</m:t>
                              </m:r>
                            </m:den>
                          </m:f>
                          <m:r>
                            <m:rPr>
                              <m:sty m:val="p"/>
                            </m:rPr>
                            <m:t>ln</m:t>
                          </m:r>
                          <m:f>
                            <m:fPr>
                              <m:type m:val="bar"/>
                            </m:fPr>
                            <m:num>
                              <m:r>
                                <m:t>1</m:t>
                              </m:r>
                              <m:r>
                                <m:rPr>
                                  <m:sty m:val="p"/>
                                </m:rPr>
                                <m:t>+</m:t>
                              </m:r>
                              <m:r>
                                <m:t>x</m:t>
                              </m:r>
                            </m:num>
                            <m:den>
                              <m:r>
                                <m:t>x</m:t>
                              </m:r>
                            </m:den>
                          </m:f>
                        </m:e>
                      </m:d>
                    </m:e>
                  </m:d>
                </m:e>
                <m:sup>
                  <m:r>
                    <m:rPr>
                      <m:sty m:val="p"/>
                    </m:rPr>
                    <m:t>−</m:t>
                  </m:r>
                  <m:r>
                    <m:t>1</m:t>
                  </m:r>
                </m:sup>
              </m:sSup>
              <m:r>
                <m:rPr>
                  <m:sty m:val="p"/>
                </m:rPr>
                <m:t>,</m:t>
              </m:r>
              <m:r>
                <m:t>  </m:t>
              </m:r>
              <m:sSub>
                <m:e>
                  <m:r>
                    <m:t>r</m:t>
                  </m:r>
                </m:e>
                <m:sub>
                  <m:r>
                    <m:t>0</m:t>
                  </m:r>
                </m:sub>
              </m:sSub>
              <m:r>
                <m:rPr>
                  <m:sty m:val="p"/>
                </m:rPr>
                <m:t>=</m:t>
              </m:r>
              <m:f>
                <m:fPr>
                  <m:type m:val="bar"/>
                </m:fPr>
                <m:num>
                  <m:r>
                    <m:t>1</m:t>
                  </m:r>
                  <m:r>
                    <m:rPr>
                      <m:sty m:val="p"/>
                    </m:rPr>
                    <m:t>−</m:t>
                  </m:r>
                  <m:r>
                    <m:t>γ</m:t>
                  </m:r>
                </m:num>
                <m:den>
                  <m:r>
                    <m:t>1</m:t>
                  </m:r>
                  <m:r>
                    <m:rPr>
                      <m:sty m:val="p"/>
                    </m:rPr>
                    <m:t>+</m:t>
                  </m:r>
                  <m:r>
                    <m:t>γ</m:t>
                  </m:r>
                </m:den>
              </m:f>
              <m:r>
                <m:rPr>
                  <m:sty m:val="p"/>
                </m:rPr>
                <m:t>,</m:t>
              </m:r>
              <m:r>
                <m:t> </m:t>
              </m:r>
              <m:r>
                <m:t>γ</m:t>
              </m:r>
              <m:r>
                <m:rPr>
                  <m:sty m:val="p"/>
                </m:rPr>
                <m:t>=</m:t>
              </m:r>
              <m:rad>
                <m:radPr>
                  <m:degHide m:val="on"/>
                </m:radPr>
                <m:deg/>
                <m:e>
                  <m:r>
                    <m:t>1</m:t>
                  </m:r>
                  <m:r>
                    <m:rPr>
                      <m:sty m:val="p"/>
                    </m:rPr>
                    <m:t>−</m:t>
                  </m:r>
                  <m:r>
                    <m:t>w</m:t>
                  </m:r>
                </m:e>
              </m:rad>
            </m:oMath>
          </w:p>
        </w:tc>
        <w:tc>
          <w:tcPr>
            <w:tcW w:w="431" w:type="dxa"/>
            <w:vAlign w:val="center"/>
          </w:tcPr>
          <w:p w14:paraId="0E73E678" w14:textId="77777777" w:rsidR="007F761C" w:rsidRPr="0007718C" w:rsidRDefault="007F761C" w:rsidP="00EE6C9D">
            <w:pPr>
              <w:pStyle w:val="MDPI3aequationnumber"/>
            </w:pPr>
            <w:r>
              <w:t>(2)</w:t>
            </w:r>
          </w:p>
        </w:tc>
      </w:tr>
    </w:tbl>
    <w:p>
      <w:pPr>
        <w:pStyle w:val="MDPI32textnoindent"/>
      </w:pPr>
      <w:r>
        <w:rPr/>
        <w:t xml:space="preserve">Equation (1) is monotonic in </w:t>
      </w:r>
      <m:oMath>
        <m:r>
          <m:t>w</m:t>
        </m:r>
      </m:oMath>
      <w:r>
        <w:rPr/>
        <w:t xml:space="preserve"> and is inverted numerically from a dense table.</w:t>
      </w:r>
    </w:p>
    <w:p>
      <w:pPr>
        <w:pStyle w:val="MDPI31text"/>
      </w:pPr>
      <w:r>
        <w:rPr/>
        <w:t xml:space="preserve">The SSA of a grain population with absorption coefficient </w:t>
      </w:r>
      <m:oMath>
        <m:r>
          <m:t>α</m:t>
        </m:r>
      </m:oMath>
      <w:r>
        <w:rPr/>
        <w:t xml:space="preserve">, real index </w:t>
      </w:r>
      <m:oMath>
        <m:r>
          <m:t>n</m:t>
        </m:r>
      </m:oMath>
      <w:r>
        <w:rPr/>
        <w:t xml:space="preserve">, imaginary index </w:t>
      </w:r>
      <m:oMath>
        <m:r>
          <m:t>k</m:t>
        </m:r>
      </m:oMath>
      <w:r>
        <w:rPr/>
        <w:t xml:space="preserve"> and size </w:t>
      </w:r>
      <m:oMath>
        <m:r>
          <m:t>D</m:t>
        </m:r>
      </m:oMath>
      <w:r>
        <w:rPr/>
        <w:t xml:space="preserve"> follows the equivalent-slab model [17],</w:t>
      </w:r>
    </w:p>
    <w:tbl>
      <w:tblPr>
        <w:tblW w:w="7859" w:type="dxa"/>
        <w:tblInd w:w="2608" w:type="dxa"/>
        <w:tblCellMar>
          <w:left w:w="0" w:type="dxa"/>
          <w:right w:w="0" w:type="dxa"/>
        </w:tblCellMar>
        <w:tblLook w:val="04A0" w:firstRow="1" w:lastRow="0" w:firstColumn="1" w:lastColumn="0" w:noHBand="0" w:noVBand="1"/>
      </w:tblPr>
      <w:tblGrid>
        <w:gridCol w:w="7428"/>
        <w:gridCol w:w="431"/>
      </w:tblGrid>
      <w:tr w:rsidR="007F761C" w:rsidRPr="0007718C" w14:paraId="0F5D3129" w14:textId="77777777" w:rsidTr="002B6F87">
        <w:tc>
          <w:tcPr>
            <w:tcW w:w="7428" w:type="dxa"/>
          </w:tcPr>
          <w:p w14:paraId="56A837DC" w14:textId="77777777" w:rsidR="007F761C" w:rsidRPr="0007718C" w:rsidRDefault="007F761C" w:rsidP="00EE6C9D">
            <w:pPr>
              <w:pStyle w:val="MDPI39equation"/>
            </w:pPr>
            <m:oMath>
              <m:r>
                <m:t>w</m:t>
              </m:r>
              <m:r>
                <m:rPr>
                  <m:sty m:val="p"/>
                </m:rPr>
                <m:t>=</m:t>
              </m:r>
              <m:sSub>
                <m:e>
                  <m:r>
                    <m:t>S</m:t>
                  </m:r>
                </m:e>
                <m:sub>
                  <m:r>
                    <m:t>e</m:t>
                  </m:r>
                </m:sub>
              </m:sSub>
              <m:r>
                <m:rPr>
                  <m:sty m:val="p"/>
                </m:rPr>
                <m:t>+</m:t>
              </m:r>
              <m:r>
                <m:rPr>
                  <m:sty m:val="p"/>
                </m:rPr>
                <m:t>(</m:t>
              </m:r>
              <m:r>
                <m:t>1</m:t>
              </m:r>
              <m:r>
                <m:rPr>
                  <m:sty m:val="p"/>
                </m:rPr>
                <m:t>−</m:t>
              </m:r>
              <m:sSub>
                <m:e>
                  <m:r>
                    <m:t>S</m:t>
                  </m:r>
                </m:e>
                <m:sub>
                  <m:r>
                    <m:t>e</m:t>
                  </m:r>
                </m:sub>
              </m:sSub>
              <m:r>
                <m:rPr>
                  <m:sty m:val="p"/>
                </m:rPr>
                <m:t>)</m:t>
              </m:r>
              <m:r>
                <m:t> </m:t>
              </m:r>
              <m:f>
                <m:fPr>
                  <m:type m:val="bar"/>
                </m:fPr>
                <m:num>
                  <m:r>
                    <m:rPr>
                      <m:sty m:val="p"/>
                    </m:rPr>
                    <m:t>(</m:t>
                  </m:r>
                  <m:r>
                    <m:t>1</m:t>
                  </m:r>
                  <m:r>
                    <m:rPr>
                      <m:sty m:val="p"/>
                    </m:rPr>
                    <m:t>−</m:t>
                  </m:r>
                  <m:sSub>
                    <m:e>
                      <m:r>
                        <m:t>S</m:t>
                      </m:r>
                    </m:e>
                    <m:sub>
                      <m:r>
                        <m:t>i</m:t>
                      </m:r>
                    </m:sub>
                  </m:sSub>
                  <m:r>
                    <m:rPr>
                      <m:sty m:val="p"/>
                    </m:rPr>
                    <m:t>)</m:t>
                  </m:r>
                  <m:r>
                    <m:t> </m:t>
                  </m:r>
                  <m:r>
                    <m:rPr>
                      <m:sty m:val="p"/>
                    </m:rPr>
                    <m:t>Θ</m:t>
                  </m:r>
                </m:num>
                <m:den>
                  <m:r>
                    <m:t>1</m:t>
                  </m:r>
                  <m:r>
                    <m:rPr>
                      <m:sty m:val="p"/>
                    </m:rPr>
                    <m:t>−</m:t>
                  </m:r>
                  <m:sSub>
                    <m:e>
                      <m:r>
                        <m:t>S</m:t>
                      </m:r>
                    </m:e>
                    <m:sub>
                      <m:r>
                        <m:t>i</m:t>
                      </m:r>
                    </m:sub>
                  </m:sSub>
                  <m:r>
                    <m:t> </m:t>
                  </m:r>
                  <m:r>
                    <m:rPr>
                      <m:sty m:val="p"/>
                    </m:rPr>
                    <m:t>Θ</m:t>
                  </m:r>
                </m:den>
              </m:f>
              <m:r>
                <m:rPr>
                  <m:sty m:val="p"/>
                </m:rPr>
                <m:t>,</m:t>
              </m:r>
              <m:r>
                <m:t>  </m:t>
              </m:r>
              <m:r>
                <m:rPr>
                  <m:sty m:val="p"/>
                </m:rPr>
                <m:t>Θ</m:t>
              </m:r>
              <m:r>
                <m:rPr>
                  <m:sty m:val="p"/>
                </m:rPr>
                <m:t>=</m:t>
              </m:r>
              <m:sSup>
                <m:e>
                  <m:r>
                    <m:t>e</m:t>
                  </m:r>
                </m:e>
                <m:sup>
                  <m:r>
                    <m:rPr>
                      <m:sty m:val="p"/>
                    </m:rPr>
                    <m:t>−</m:t>
                  </m:r>
                  <m:r>
                    <m:t>α</m:t>
                  </m:r>
                  <m:r>
                    <m:rPr>
                      <m:sty m:val="p"/>
                    </m:rPr>
                    <m:t>⟨</m:t>
                  </m:r>
                  <m:r>
                    <m:t>D</m:t>
                  </m:r>
                  <m:r>
                    <m:rPr>
                      <m:sty m:val="p"/>
                    </m:rPr>
                    <m:t>⟩</m:t>
                  </m:r>
                </m:sup>
              </m:sSup>
            </m:oMath>
          </w:p>
        </w:tc>
        <w:tc>
          <w:tcPr>
            <w:tcW w:w="431" w:type="dxa"/>
            <w:vAlign w:val="center"/>
          </w:tcPr>
          <w:p w14:paraId="0E73E678" w14:textId="77777777" w:rsidR="007F761C" w:rsidRPr="0007718C" w:rsidRDefault="007F761C" w:rsidP="00EE6C9D">
            <w:pPr>
              <w:pStyle w:val="MDPI3aequationnumber"/>
            </w:pPr>
            <w:r>
              <w:t>(3)</w:t>
            </w:r>
          </w:p>
        </w:tc>
      </w:tr>
    </w:tbl>
    <w:p>
      <w:pPr>
        <w:pStyle w:val="MDPI32textnoindent"/>
      </w:pPr>
      <w:r>
        <w:rPr/>
        <w:t>with</w:t>
      </w:r>
    </w:p>
    <w:tbl>
      <w:tblPr>
        <w:tblW w:w="7859" w:type="dxa"/>
        <w:tblInd w:w="2608" w:type="dxa"/>
        <w:tblCellMar>
          <w:left w:w="0" w:type="dxa"/>
          <w:right w:w="0" w:type="dxa"/>
        </w:tblCellMar>
        <w:tblLook w:val="04A0" w:firstRow="1" w:lastRow="0" w:firstColumn="1" w:lastColumn="0" w:noHBand="0" w:noVBand="1"/>
      </w:tblPr>
      <w:tblGrid>
        <w:gridCol w:w="7428"/>
        <w:gridCol w:w="431"/>
      </w:tblGrid>
      <w:tr w:rsidR="007F761C" w:rsidRPr="0007718C" w14:paraId="0F5D3129" w14:textId="77777777" w:rsidTr="002B6F87">
        <w:tc>
          <w:tcPr>
            <w:tcW w:w="7428" w:type="dxa"/>
          </w:tcPr>
          <w:p w14:paraId="56A837DC" w14:textId="77777777" w:rsidR="007F761C" w:rsidRPr="0007718C" w:rsidRDefault="007F761C" w:rsidP="00EE6C9D">
            <w:pPr>
              <w:pStyle w:val="MDPI39equation"/>
            </w:pPr>
            <m:oMath>
              <m:sSub>
                <m:e>
                  <m:r>
                    <m:t>S</m:t>
                  </m:r>
                </m:e>
                <m:sub>
                  <m:r>
                    <m:t>e</m:t>
                  </m:r>
                </m:sub>
              </m:sSub>
              <m:r>
                <m:rPr>
                  <m:sty m:val="p"/>
                </m:rPr>
                <m:t>=</m:t>
              </m:r>
              <m:f>
                <m:fPr>
                  <m:type m:val="bar"/>
                </m:fPr>
                <m:num>
                  <m:r>
                    <m:rPr>
                      <m:sty m:val="p"/>
                    </m:rPr>
                    <m:t>(</m:t>
                  </m:r>
                  <m:r>
                    <m:t>n</m:t>
                  </m:r>
                  <m:r>
                    <m:rPr>
                      <m:sty m:val="p"/>
                    </m:rPr>
                    <m:t>−</m:t>
                  </m:r>
                  <m:r>
                    <m:t>1</m:t>
                  </m:r>
                  <m:sSup>
                    <m:e>
                      <m:r>
                        <m:rPr>
                          <m:sty m:val="p"/>
                        </m:rPr>
                        <m:t>)</m:t>
                      </m:r>
                    </m:e>
                    <m:sup>
                      <m:r>
                        <m:t>2</m:t>
                      </m:r>
                    </m:sup>
                  </m:sSup>
                  <m:r>
                    <m:rPr>
                      <m:sty m:val="p"/>
                    </m:rPr>
                    <m:t>+</m:t>
                  </m:r>
                  <m:sSup>
                    <m:e>
                      <m:r>
                        <m:t>k</m:t>
                      </m:r>
                    </m:e>
                    <m:sup>
                      <m:r>
                        <m:t>2</m:t>
                      </m:r>
                    </m:sup>
                  </m:sSup>
                </m:num>
                <m:den>
                  <m:r>
                    <m:rPr>
                      <m:sty m:val="p"/>
                    </m:rPr>
                    <m:t>(</m:t>
                  </m:r>
                  <m:r>
                    <m:t>n</m:t>
                  </m:r>
                  <m:r>
                    <m:rPr>
                      <m:sty m:val="p"/>
                    </m:rPr>
                    <m:t>+</m:t>
                  </m:r>
                  <m:r>
                    <m:t>1</m:t>
                  </m:r>
                  <m:sSup>
                    <m:e>
                      <m:r>
                        <m:rPr>
                          <m:sty m:val="p"/>
                        </m:rPr>
                        <m:t>)</m:t>
                      </m:r>
                    </m:e>
                    <m:sup>
                      <m:r>
                        <m:t>2</m:t>
                      </m:r>
                    </m:sup>
                  </m:sSup>
                  <m:r>
                    <m:rPr>
                      <m:sty m:val="p"/>
                    </m:rPr>
                    <m:t>+</m:t>
                  </m:r>
                  <m:sSup>
                    <m:e>
                      <m:r>
                        <m:t>k</m:t>
                      </m:r>
                    </m:e>
                    <m:sup>
                      <m:r>
                        <m:t>2</m:t>
                      </m:r>
                    </m:sup>
                  </m:sSup>
                </m:den>
              </m:f>
              <m:r>
                <m:rPr>
                  <m:sty m:val="p"/>
                </m:rPr>
                <m:t>+</m:t>
              </m:r>
              <m:r>
                <m:t>0.05</m:t>
              </m:r>
              <m:r>
                <m:rPr>
                  <m:sty m:val="p"/>
                </m:rPr>
                <m:t>,</m:t>
              </m:r>
              <m:r>
                <m:t>  </m:t>
              </m:r>
              <m:sSub>
                <m:e>
                  <m:r>
                    <m:t>S</m:t>
                  </m:r>
                </m:e>
                <m:sub>
                  <m:r>
                    <m:t>i</m:t>
                  </m:r>
                </m:sub>
              </m:sSub>
              <m:r>
                <m:rPr>
                  <m:sty m:val="p"/>
                </m:rPr>
                <m:t>=</m:t>
              </m:r>
              <m:r>
                <m:t>1.014</m:t>
              </m:r>
              <m:r>
                <m:rPr>
                  <m:sty m:val="p"/>
                </m:rPr>
                <m:t>−</m:t>
              </m:r>
              <m:f>
                <m:fPr>
                  <m:type m:val="bar"/>
                </m:fPr>
                <m:num>
                  <m:r>
                    <m:t>4</m:t>
                  </m:r>
                </m:num>
                <m:den>
                  <m:r>
                    <m:t>n</m:t>
                  </m:r>
                  <m:r>
                    <m:rPr>
                      <m:sty m:val="p"/>
                    </m:rPr>
                    <m:t>(</m:t>
                  </m:r>
                  <m:r>
                    <m:t>n</m:t>
                  </m:r>
                  <m:r>
                    <m:rPr>
                      <m:sty m:val="p"/>
                    </m:rPr>
                    <m:t>+</m:t>
                  </m:r>
                  <m:r>
                    <m:t>1</m:t>
                  </m:r>
                  <m:sSup>
                    <m:e>
                      <m:r>
                        <m:rPr>
                          <m:sty m:val="p"/>
                        </m:rPr>
                        <m:t>)</m:t>
                      </m:r>
                    </m:e>
                    <m:sup>
                      <m:r>
                        <m:t>2</m:t>
                      </m:r>
                    </m:sup>
                  </m:sSup>
                </m:den>
              </m:f>
              <m:r>
                <m:rPr>
                  <m:sty m:val="p"/>
                </m:rPr>
                <m:t>,</m:t>
              </m:r>
              <m:r>
                <m:t>  </m:t>
              </m:r>
              <m:r>
                <m:rPr>
                  <m:sty m:val="p"/>
                </m:rPr>
                <m:t>⟨</m:t>
              </m:r>
              <m:r>
                <m:t>D</m:t>
              </m:r>
              <m:r>
                <m:rPr>
                  <m:sty m:val="p"/>
                </m:rPr>
                <m:t>⟩</m:t>
              </m:r>
              <m:r>
                <m:rPr>
                  <m:sty m:val="p"/>
                </m:rPr>
                <m:t>=</m:t>
              </m:r>
              <m:f>
                <m:fPr>
                  <m:type m:val="bar"/>
                </m:fPr>
                <m:num>
                  <m:r>
                    <m:t>2</m:t>
                  </m:r>
                </m:num>
                <m:den>
                  <m:r>
                    <m:t>3</m:t>
                  </m:r>
                </m:den>
              </m:f>
              <m:d>
                <m:dPr>
                  <m:begChr m:val="["/>
                  <m:sepChr m:val=""/>
                  <m:endChr m:val="]"/>
                  <m:grow/>
                </m:dPr>
                <m:e>
                  <m:sSup>
                    <m:e>
                      <m:r>
                        <m:t>n</m:t>
                      </m:r>
                    </m:e>
                    <m:sup>
                      <m:r>
                        <m:t>2</m:t>
                      </m:r>
                    </m:sup>
                  </m:sSup>
                  <m:r>
                    <m:rPr>
                      <m:sty m:val="p"/>
                    </m:rPr>
                    <m:t>−</m:t>
                  </m:r>
                  <m:f>
                    <m:fPr>
                      <m:type m:val="bar"/>
                    </m:fPr>
                    <m:num>
                      <m:r>
                        <m:t>1</m:t>
                      </m:r>
                    </m:num>
                    <m:den>
                      <m:r>
                        <m:t>n</m:t>
                      </m:r>
                    </m:den>
                  </m:f>
                  <m:r>
                    <m:rPr>
                      <m:sty m:val="p"/>
                    </m:rPr>
                    <m:t>(</m:t>
                  </m:r>
                  <m:sSup>
                    <m:e>
                      <m:r>
                        <m:t>n</m:t>
                      </m:r>
                    </m:e>
                    <m:sup>
                      <m:r>
                        <m:t>2</m:t>
                      </m:r>
                    </m:sup>
                  </m:sSup>
                  <m:r>
                    <m:rPr>
                      <m:sty m:val="p"/>
                    </m:rPr>
                    <m:t>−</m:t>
                  </m:r>
                  <m:r>
                    <m:t>1</m:t>
                  </m:r>
                  <m:sSup>
                    <m:e>
                      <m:r>
                        <m:rPr>
                          <m:sty m:val="p"/>
                        </m:rPr>
                        <m:t>)</m:t>
                      </m:r>
                    </m:e>
                    <m:sup>
                      <m:r>
                        <m:t>3</m:t>
                      </m:r>
                      <m:r>
                        <m:rPr>
                          <m:sty m:val="p"/>
                        </m:rPr>
                        <m:t>/</m:t>
                      </m:r>
                      <m:r>
                        <m:t>2</m:t>
                      </m:r>
                    </m:sup>
                  </m:sSup>
                </m:e>
              </m:d>
              <m:r>
                <m:t>D</m:t>
              </m:r>
            </m:oMath>
          </w:p>
        </w:tc>
        <w:tc>
          <w:tcPr>
            <w:tcW w:w="431" w:type="dxa"/>
            <w:vAlign w:val="center"/>
          </w:tcPr>
          <w:p w14:paraId="0E73E678" w14:textId="77777777" w:rsidR="007F761C" w:rsidRPr="0007718C" w:rsidRDefault="007F761C" w:rsidP="00EE6C9D">
            <w:pPr>
              <w:pStyle w:val="MDPI3aequationnumber"/>
            </w:pPr>
            <w:r>
              <w:t>(4)</w:t>
            </w:r>
          </w:p>
        </w:tc>
      </w:tr>
    </w:tbl>
    <w:p>
      <w:pPr>
        <w:pStyle w:val="MDPI32textnoindent"/>
      </w:pPr>
      <w:r>
        <w:rPr/>
        <w:t xml:space="preserve">If we take </w:t>
      </w:r>
      <m:oMath>
        <m:r>
          <m:t>α</m:t>
        </m:r>
        <m:r>
          <m:rPr>
            <m:sty m:val="p"/>
          </m:rPr>
          <m:t>=</m:t>
        </m:r>
        <m:r>
          <m:t>4</m:t>
        </m:r>
        <m:r>
          <m:t>π</m:t>
        </m:r>
        <m:r>
          <m:t>k</m:t>
        </m:r>
        <m:r>
          <m:rPr>
            <m:sty m:val="p"/>
          </m:rPr>
          <m:t>/</m:t>
        </m:r>
        <m:r>
          <m:t>λ</m:t>
        </m:r>
      </m:oMath>
      <w:r>
        <w:rPr/>
        <w:t xml:space="preserve"> for the case of a pure phase, we use Equations (1)–(4) to solve for </w:t>
      </w:r>
      <m:oMath>
        <m:r>
          <m:t>k</m:t>
        </m:r>
        <m:r>
          <m:rPr>
            <m:sty m:val="p"/>
          </m:rPr>
          <m:t>(</m:t>
        </m:r>
        <m:r>
          <m:t>λ</m:t>
        </m:r>
        <m:r>
          <m:rPr>
            <m:sty m:val="p"/>
          </m:rPr>
          <m:t>)</m:t>
        </m:r>
      </m:oMath>
      <w:r>
        <w:rPr/>
        <w:t xml:space="preserve"> using the nominal grain size for each end-member. This inversion is limited because there is no monotonic relationship between the reflectance and </w:t>
      </w:r>
      <m:oMath>
        <m:r>
          <m:t>k</m:t>
        </m:r>
      </m:oMath>
      <w:r>
        <w:rPr/>
        <w:t xml:space="preserve"> – it decreases from the beginning until reaching the opacity floor and starts increasing due to surface reflections.</w:t>
      </w:r>
    </w:p>
    <w:p>
      <w:pPr>
        <w:pStyle w:val="MDPI31text"/>
      </w:pPr>
      <w:r>
        <w:rPr/>
        <w:t xml:space="preserve">Nanophase metallic iron (npFe⁰) at volume fraction </w:t>
      </w:r>
      <m:oMath>
        <m:r>
          <m:t>ϕ</m:t>
        </m:r>
      </m:oMath>
      <w:r>
        <w:rPr/>
        <w:t xml:space="preserve"> in a host of refractive index </w:t>
      </w:r>
      <m:oMath>
        <m:sSub>
          <m:e>
            <m:r>
              <m:t>n</m:t>
            </m:r>
          </m:e>
          <m:sub>
            <m:r>
              <m:t>h</m:t>
            </m:r>
          </m:sub>
        </m:sSub>
      </m:oMath>
      <w:r>
        <w:rPr/>
        <w:t xml:space="preserve"> adds an absorption [18,19]</w:t>
      </w:r>
    </w:p>
    <w:tbl>
      <w:tblPr>
        <w:tblW w:w="7859" w:type="dxa"/>
        <w:tblInd w:w="2608" w:type="dxa"/>
        <w:tblCellMar>
          <w:left w:w="0" w:type="dxa"/>
          <w:right w:w="0" w:type="dxa"/>
        </w:tblCellMar>
        <w:tblLook w:val="04A0" w:firstRow="1" w:lastRow="0" w:firstColumn="1" w:lastColumn="0" w:noHBand="0" w:noVBand="1"/>
      </w:tblPr>
      <w:tblGrid>
        <w:gridCol w:w="7428"/>
        <w:gridCol w:w="431"/>
      </w:tblGrid>
      <w:tr w:rsidR="007F761C" w:rsidRPr="0007718C" w14:paraId="0F5D3129" w14:textId="77777777" w:rsidTr="002B6F87">
        <w:tc>
          <w:tcPr>
            <w:tcW w:w="7428" w:type="dxa"/>
          </w:tcPr>
          <w:p w14:paraId="56A837DC" w14:textId="77777777" w:rsidR="007F761C" w:rsidRPr="0007718C" w:rsidRDefault="007F761C" w:rsidP="00EE6C9D">
            <w:pPr>
              <w:pStyle w:val="MDPI39equation"/>
            </w:pPr>
            <m:oMath>
              <m:sSub>
                <m:e>
                  <m:r>
                    <m:t>α</m:t>
                  </m:r>
                </m:e>
                <m:sub>
                  <m:r>
                    <m:t>n</m:t>
                  </m:r>
                  <m:r>
                    <m:t>p</m:t>
                  </m:r>
                </m:sub>
              </m:sSub>
              <m:r>
                <m:rPr>
                  <m:sty m:val="p"/>
                </m:rPr>
                <m:t>(</m:t>
              </m:r>
              <m:r>
                <m:t>λ</m:t>
              </m:r>
              <m:r>
                <m:rPr>
                  <m:sty m:val="p"/>
                </m:rPr>
                <m:t>)</m:t>
              </m:r>
              <m:r>
                <m:rPr>
                  <m:sty m:val="p"/>
                </m:rPr>
                <m:t>=</m:t>
              </m:r>
              <m:f>
                <m:fPr>
                  <m:type m:val="bar"/>
                </m:fPr>
                <m:num>
                  <m:r>
                    <m:t>36</m:t>
                  </m:r>
                  <m:r>
                    <m:t>π</m:t>
                  </m:r>
                  <m:r>
                    <m:t> </m:t>
                  </m:r>
                  <m:r>
                    <m:t>z</m:t>
                  </m:r>
                  <m:r>
                    <m:rPr>
                      <m:sty m:val="p"/>
                    </m:rPr>
                    <m:t>(</m:t>
                  </m:r>
                  <m:r>
                    <m:t>λ</m:t>
                  </m:r>
                  <m:r>
                    <m:rPr>
                      <m:sty m:val="p"/>
                    </m:rPr>
                    <m:t>)</m:t>
                  </m:r>
                  <m:r>
                    <m:t> </m:t>
                  </m:r>
                  <m:r>
                    <m:t>ϕ</m:t>
                  </m:r>
                </m:num>
                <m:den>
                  <m:r>
                    <m:t>λ</m:t>
                  </m:r>
                </m:den>
              </m:f>
              <m:r>
                <m:rPr>
                  <m:sty m:val="p"/>
                </m:rPr>
                <m:t>,</m:t>
              </m:r>
              <m:r>
                <m:t>  </m:t>
              </m:r>
              <m:r>
                <m:t>z</m:t>
              </m:r>
              <m:r>
                <m:rPr>
                  <m:sty m:val="p"/>
                </m:rPr>
                <m:t>=</m:t>
              </m:r>
              <m:f>
                <m:fPr>
                  <m:type m:val="bar"/>
                </m:fPr>
                <m:num>
                  <m:sSubSup>
                    <m:e>
                      <m:r>
                        <m:t>n</m:t>
                      </m:r>
                    </m:e>
                    <m:sub>
                      <m:r>
                        <m:t>h</m:t>
                      </m:r>
                    </m:sub>
                    <m:sup>
                      <m:r>
                        <m:t>3</m:t>
                      </m:r>
                    </m:sup>
                  </m:sSubSup>
                  <m:r>
                    <m:t> </m:t>
                  </m:r>
                  <m:sSub>
                    <m:e>
                      <m:r>
                        <m:t>n</m:t>
                      </m:r>
                    </m:e>
                    <m:sub>
                      <m:r>
                        <m:t>F</m:t>
                      </m:r>
                      <m:r>
                        <m:t>e</m:t>
                      </m:r>
                    </m:sub>
                  </m:sSub>
                  <m:r>
                    <m:t> </m:t>
                  </m:r>
                  <m:sSub>
                    <m:e>
                      <m:r>
                        <m:t>k</m:t>
                      </m:r>
                    </m:e>
                    <m:sub>
                      <m:r>
                        <m:t>F</m:t>
                      </m:r>
                      <m:r>
                        <m:t>e</m:t>
                      </m:r>
                    </m:sub>
                  </m:sSub>
                </m:num>
                <m:den>
                  <m:sSup>
                    <m:e>
                      <m:d>
                        <m:dPr>
                          <m:begChr m:val="("/>
                          <m:sepChr m:val=""/>
                          <m:endChr m:val=")"/>
                          <m:grow/>
                        </m:dPr>
                        <m:e>
                          <m:sSubSup>
                            <m:e>
                              <m:r>
                                <m:t>n</m:t>
                              </m:r>
                            </m:e>
                            <m:sub>
                              <m:r>
                                <m:t>F</m:t>
                              </m:r>
                              <m:r>
                                <m:t>e</m:t>
                              </m:r>
                            </m:sub>
                            <m:sup>
                              <m:r>
                                <m:t>2</m:t>
                              </m:r>
                            </m:sup>
                          </m:sSubSup>
                          <m:r>
                            <m:rPr>
                              <m:sty m:val="p"/>
                            </m:rPr>
                            <m:t>−</m:t>
                          </m:r>
                          <m:sSubSup>
                            <m:e>
                              <m:r>
                                <m:t>k</m:t>
                              </m:r>
                            </m:e>
                            <m:sub>
                              <m:r>
                                <m:t>F</m:t>
                              </m:r>
                              <m:r>
                                <m:t>e</m:t>
                              </m:r>
                            </m:sub>
                            <m:sup>
                              <m:r>
                                <m:t>2</m:t>
                              </m:r>
                            </m:sup>
                          </m:sSubSup>
                          <m:r>
                            <m:rPr>
                              <m:sty m:val="p"/>
                            </m:rPr>
                            <m:t>+</m:t>
                          </m:r>
                          <m:r>
                            <m:t>2</m:t>
                          </m:r>
                          <m:sSubSup>
                            <m:e>
                              <m:r>
                                <m:t>n</m:t>
                              </m:r>
                            </m:e>
                            <m:sub>
                              <m:r>
                                <m:t>h</m:t>
                              </m:r>
                            </m:sub>
                            <m:sup>
                              <m:r>
                                <m:t>2</m:t>
                              </m:r>
                            </m:sup>
                          </m:sSubSup>
                        </m:e>
                      </m:d>
                    </m:e>
                    <m:sup>
                      <m:r>
                        <m:t>2</m:t>
                      </m:r>
                    </m:sup>
                  </m:sSup>
                  <m:r>
                    <m:rPr>
                      <m:sty m:val="p"/>
                    </m:rPr>
                    <m:t>+</m:t>
                  </m:r>
                  <m:sSup>
                    <m:e>
                      <m:d>
                        <m:dPr>
                          <m:begChr m:val="("/>
                          <m:sepChr m:val=""/>
                          <m:endChr m:val=")"/>
                          <m:grow/>
                        </m:dPr>
                        <m:e>
                          <m:r>
                            <m:t>2</m:t>
                          </m:r>
                          <m:sSub>
                            <m:e>
                              <m:r>
                                <m:t>n</m:t>
                              </m:r>
                            </m:e>
                            <m:sub>
                              <m:r>
                                <m:t>F</m:t>
                              </m:r>
                              <m:r>
                                <m:t>e</m:t>
                              </m:r>
                            </m:sub>
                          </m:sSub>
                          <m:sSub>
                            <m:e>
                              <m:r>
                                <m:t>k</m:t>
                              </m:r>
                            </m:e>
                            <m:sub>
                              <m:r>
                                <m:t>F</m:t>
                              </m:r>
                              <m:r>
                                <m:t>e</m:t>
                              </m:r>
                            </m:sub>
                          </m:sSub>
                        </m:e>
                      </m:d>
                    </m:e>
                    <m:sup>
                      <m:r>
                        <m:t>2</m:t>
                      </m:r>
                    </m:sup>
                  </m:sSup>
                </m:den>
              </m:f>
            </m:oMath>
          </w:p>
        </w:tc>
        <w:tc>
          <w:tcPr>
            <w:tcW w:w="431" w:type="dxa"/>
            <w:vAlign w:val="center"/>
          </w:tcPr>
          <w:p w14:paraId="0E73E678" w14:textId="77777777" w:rsidR="007F761C" w:rsidRPr="0007718C" w:rsidRDefault="007F761C" w:rsidP="00EE6C9D">
            <w:pPr>
              <w:pStyle w:val="MDPI3aequationnumber"/>
            </w:pPr>
            <w:r>
              <w:t>(5)</w:t>
            </w:r>
          </w:p>
        </w:tc>
      </w:tr>
    </w:tbl>
    <w:p>
      <w:pPr>
        <w:pStyle w:val="MDPI32textnoindent"/>
      </w:pPr>
      <w:r>
        <w:rPr/>
        <w:t xml:space="preserve">where </w:t>
      </w:r>
      <m:oMath>
        <m:sSub>
          <m:e>
            <m:r>
              <m:t>n</m:t>
            </m:r>
          </m:e>
          <m:sub>
            <m:r>
              <m:t>F</m:t>
            </m:r>
            <m:r>
              <m:t>e</m:t>
            </m:r>
          </m:sub>
        </m:sSub>
      </m:oMath>
      <w:r>
        <w:rPr/>
        <w:t xml:space="preserve"> and </w:t>
      </w:r>
      <m:oMath>
        <m:sSub>
          <m:e>
            <m:r>
              <m:t>k</m:t>
            </m:r>
          </m:e>
          <m:sub>
            <m:r>
              <m:t>F</m:t>
            </m:r>
            <m:r>
              <m:t>e</m:t>
            </m:r>
          </m:sub>
        </m:sSub>
      </m:oMath>
      <w:r>
        <w:rPr/>
        <w:t xml:space="preserve"> are the optical constants of iron. Microphase iron (mpFe⁰) is a grey absorber, </w:t>
      </w:r>
      <m:oMath>
        <m:sSub>
          <m:e>
            <m:r>
              <m:t>α</m:t>
            </m:r>
          </m:e>
          <m:sub>
            <m:r>
              <m:t>m</m:t>
            </m:r>
            <m:r>
              <m:t>p</m:t>
            </m:r>
          </m:sub>
        </m:sSub>
        <m:r>
          <m:rPr>
            <m:sty m:val="p"/>
          </m:rPr>
          <m:t>=</m:t>
        </m:r>
        <m:r>
          <m:t>3</m:t>
        </m:r>
        <m:sSub>
          <m:e>
            <m:r>
              <m:t>ϕ</m:t>
            </m:r>
          </m:e>
          <m:sub>
            <m:r>
              <m:t>m</m:t>
            </m:r>
            <m:r>
              <m:t>p</m:t>
            </m:r>
          </m:sub>
        </m:sSub>
        <m:r>
          <m:rPr>
            <m:sty m:val="p"/>
          </m:rPr>
          <m:t>/</m:t>
        </m:r>
        <m:r>
          <m:rPr>
            <m:sty m:val="p"/>
          </m:rPr>
          <m:t>(</m:t>
        </m:r>
        <m:r>
          <m:t>4</m:t>
        </m:r>
        <m:sSub>
          <m:e>
            <m:r>
              <m:t>r</m:t>
            </m:r>
          </m:e>
          <m:sub>
            <m:r>
              <m:t>m</m:t>
            </m:r>
            <m:r>
              <m:t>p</m:t>
            </m:r>
          </m:sub>
        </m:sSub>
        <m:r>
          <m:rPr>
            <m:sty m:val="p"/>
          </m:rPr>
          <m:t>)</m:t>
        </m:r>
      </m:oMath>
      <w:r>
        <w:rPr/>
        <w:t xml:space="preserve"> with </w:t>
      </w:r>
      <m:oMath>
        <m:sSub>
          <m:e>
            <m:r>
              <m:t>r</m:t>
            </m:r>
          </m:e>
          <m:sub>
            <m:r>
              <m:t>m</m:t>
            </m:r>
            <m:r>
              <m:t>p</m:t>
            </m:r>
          </m:sub>
        </m:sSub>
        <m:r>
          <m:rPr>
            <m:sty m:val="p"/>
          </m:rPr>
          <m:t>=</m:t>
        </m:r>
        <m:r>
          <m:t>0.1</m:t>
        </m:r>
      </m:oMath>
      <w:r>
        <w:rPr/>
        <w:t xml:space="preserve"> µm, which darkens without reddening [19]. Components with volume fractions </w:t>
      </w:r>
      <m:oMath>
        <m:sSub>
          <m:e>
            <m:r>
              <m:t>f</m:t>
            </m:r>
          </m:e>
          <m:sub>
            <m:r>
              <m:t>i</m:t>
            </m:r>
          </m:sub>
        </m:sSub>
      </m:oMath>
      <w:r>
        <w:rPr/>
        <w:t xml:space="preserve">, grain sizes </w:t>
      </w:r>
      <m:oMath>
        <m:sSub>
          <m:e>
            <m:r>
              <m:t>D</m:t>
            </m:r>
          </m:e>
          <m:sub>
            <m:r>
              <m:t>i</m:t>
            </m:r>
          </m:sub>
        </m:sSub>
      </m:oMath>
      <w:r>
        <w:rPr/>
        <w:t xml:space="preserve"> and SSAs </w:t>
      </w:r>
      <m:oMath>
        <m:sSub>
          <m:e>
            <m:r>
              <m:t>w</m:t>
            </m:r>
          </m:e>
          <m:sub>
            <m:r>
              <m:t>i</m:t>
            </m:r>
          </m:sub>
        </m:sSub>
      </m:oMath>
      <w:r>
        <w:rPr/>
        <w:t xml:space="preserve"> mix in SSA with cross-section weights,</w:t>
      </w:r>
    </w:p>
    <w:tbl>
      <w:tblPr>
        <w:tblW w:w="7859" w:type="dxa"/>
        <w:tblInd w:w="2608" w:type="dxa"/>
        <w:tblCellMar>
          <w:left w:w="0" w:type="dxa"/>
          <w:right w:w="0" w:type="dxa"/>
        </w:tblCellMar>
        <w:tblLook w:val="04A0" w:firstRow="1" w:lastRow="0" w:firstColumn="1" w:lastColumn="0" w:noHBand="0" w:noVBand="1"/>
      </w:tblPr>
      <w:tblGrid>
        <w:gridCol w:w="7428"/>
        <w:gridCol w:w="431"/>
      </w:tblGrid>
      <w:tr w:rsidR="007F761C" w:rsidRPr="0007718C" w14:paraId="0F5D3129" w14:textId="77777777" w:rsidTr="002B6F87">
        <w:tc>
          <w:tcPr>
            <w:tcW w:w="7428" w:type="dxa"/>
          </w:tcPr>
          <w:p w14:paraId="56A837DC" w14:textId="77777777" w:rsidR="007F761C" w:rsidRPr="0007718C" w:rsidRDefault="007F761C" w:rsidP="00EE6C9D">
            <w:pPr>
              <w:pStyle w:val="MDPI39equation"/>
            </w:pPr>
            <m:oMath>
              <m:sSub>
                <m:e>
                  <m:r>
                    <m:t>w</m:t>
                  </m:r>
                </m:e>
                <m:sub>
                  <m:r>
                    <m:t>m</m:t>
                  </m:r>
                  <m:r>
                    <m:t>i</m:t>
                  </m:r>
                  <m:r>
                    <m:t>x</m:t>
                  </m:r>
                </m:sub>
              </m:sSub>
              <m:r>
                <m:rPr>
                  <m:sty m:val="p"/>
                </m:rPr>
                <m:t>=</m:t>
              </m:r>
              <m:f>
                <m:fPr>
                  <m:type m:val="bar"/>
                </m:fPr>
                <m:num>
                  <m:nary>
                    <m:naryPr>
                      <m:chr m:val="∑"/>
                      <m:limLoc m:val="undOvr"/>
                      <m:subHide m:val="off"/>
                      <m:supHide m:val="on"/>
                    </m:naryPr>
                    <m:sub>
                      <m:r>
                        <m:t>i</m:t>
                      </m:r>
                    </m:sub>
                    <m:sup>
                      <m:r>
                        <m:t>​</m:t>
                      </m:r>
                    </m:sup>
                    <m:e>
                      <m:r>
                        <m:rPr>
                          <m:sty m:val="p"/>
                        </m:rPr>
                        <m:t>(</m:t>
                      </m:r>
                    </m:e>
                  </m:nary>
                  <m:sSub>
                    <m:e>
                      <m:r>
                        <m:t>f</m:t>
                      </m:r>
                    </m:e>
                    <m:sub>
                      <m:r>
                        <m:t>i</m:t>
                      </m:r>
                    </m:sub>
                  </m:sSub>
                  <m:r>
                    <m:rPr>
                      <m:sty m:val="p"/>
                    </m:rPr>
                    <m:t>/</m:t>
                  </m:r>
                  <m:sSub>
                    <m:e>
                      <m:r>
                        <m:t>D</m:t>
                      </m:r>
                    </m:e>
                    <m:sub>
                      <m:r>
                        <m:t>i</m:t>
                      </m:r>
                    </m:sub>
                  </m:sSub>
                  <m:r>
                    <m:rPr>
                      <m:sty m:val="p"/>
                    </m:rPr>
                    <m:t>)</m:t>
                  </m:r>
                  <m:r>
                    <m:t> </m:t>
                  </m:r>
                  <m:sSub>
                    <m:e>
                      <m:r>
                        <m:t>w</m:t>
                      </m:r>
                    </m:e>
                    <m:sub>
                      <m:r>
                        <m:t>i</m:t>
                      </m:r>
                    </m:sub>
                  </m:sSub>
                </m:num>
                <m:den>
                  <m:nary>
                    <m:naryPr>
                      <m:chr m:val="∑"/>
                      <m:limLoc m:val="undOvr"/>
                      <m:subHide m:val="off"/>
                      <m:supHide m:val="on"/>
                    </m:naryPr>
                    <m:sub>
                      <m:r>
                        <m:t>i</m:t>
                      </m:r>
                    </m:sub>
                    <m:sup>
                      <m:r>
                        <m:t>​</m:t>
                      </m:r>
                    </m:sup>
                    <m:e>
                      <m:sSub>
                        <m:e>
                          <m:r>
                            <m:t>f</m:t>
                          </m:r>
                        </m:e>
                        <m:sub>
                          <m:r>
                            <m:t>i</m:t>
                          </m:r>
                        </m:sub>
                      </m:sSub>
                    </m:e>
                  </m:nary>
                  <m:r>
                    <m:rPr>
                      <m:sty m:val="p"/>
                    </m:rPr>
                    <m:t>/</m:t>
                  </m:r>
                  <m:sSub>
                    <m:e>
                      <m:r>
                        <m:t>D</m:t>
                      </m:r>
                    </m:e>
                    <m:sub>
                      <m:r>
                        <m:t>i</m:t>
                      </m:r>
                    </m:sub>
                  </m:sSub>
                </m:den>
              </m:f>
            </m:oMath>
          </w:p>
        </w:tc>
        <w:tc>
          <w:tcPr>
            <w:tcW w:w="431" w:type="dxa"/>
            <w:vAlign w:val="center"/>
          </w:tcPr>
          <w:p w14:paraId="0E73E678" w14:textId="77777777" w:rsidR="007F761C" w:rsidRPr="0007718C" w:rsidRDefault="007F761C" w:rsidP="00EE6C9D">
            <w:pPr>
              <w:pStyle w:val="MDPI3aequationnumber"/>
            </w:pPr>
            <w:r>
              <w:t>(6)</w:t>
            </w:r>
          </w:p>
        </w:tc>
      </w:tr>
    </w:tbl>
    <w:p>
      <w:pPr>
        <w:pStyle w:val="MDPI32textnoindent"/>
      </w:pPr>
      <w:r>
        <w:rPr/>
        <w:t>and the mixed SSA is converted to reflectance with Equation (1).</w:t>
      </w:r>
    </w:p>
    <w:p>
      <w:pPr>
        <w:pStyle w:val="MDPI22heading2"/>
        <w:keepNext/>
      </w:pPr>
      <w:r>
        <w:rPr/>
        <w:t>2.3. Proposed Method: LUMEN</w:t>
      </w:r>
    </w:p>
    <w:p>
      <w:pPr>
        <w:pStyle w:val="MDPI31text"/>
      </w:pPr>
      <w:r>
        <w:rPr/>
        <w:t>The stages of LUMEN are four (see Figure 1): the physics simulator produces labeled synthetic soils; the neural network is pretrained on these data; and the neural network is then finetuned on returned soils and, in the case of orbit, M³ spectra; while the uncertainty/identifiability layer decides on the output.</w:t>
      </w:r>
    </w:p>
    <w:p>
      <w:pPr>
        <w:pStyle w:val="MDPI52figure"/>
        <w:keepNext/>
        <w:ind w:left="0"/>
        <w:jc w:val="center"/>
      </w:pPr>
      <w:r>
        <w:drawing>
          <wp:inline xmlns:a="http://schemas.openxmlformats.org/drawingml/2006/main" xmlns:pic="http://schemas.openxmlformats.org/drawingml/2006/picture">
            <wp:extent cx="6120000" cy="2377646"/>
            <wp:docPr id="1" name="Picture 1"/>
            <wp:cNvGraphicFramePr>
              <a:graphicFrameLocks noChangeAspect="1"/>
            </wp:cNvGraphicFramePr>
            <a:graphic>
              <a:graphicData uri="http://schemas.openxmlformats.org/drawingml/2006/picture">
                <pic:pic>
                  <pic:nvPicPr>
                    <pic:cNvPr id="0" name="fig01_framework.png"/>
                    <pic:cNvPicPr/>
                  </pic:nvPicPr>
                  <pic:blipFill>
                    <a:blip r:embed="rId19"/>
                    <a:stretch>
                      <a:fillRect/>
                    </a:stretch>
                  </pic:blipFill>
                  <pic:spPr>
                    <a:xfrm>
                      <a:off x="0" y="0"/>
                      <a:ext cx="6120000" cy="2377646"/>
                    </a:xfrm>
                    <a:prstGeom prst="rect"/>
                  </pic:spPr>
                </pic:pic>
              </a:graphicData>
            </a:graphic>
          </wp:inline>
        </w:drawing>
      </w:r>
    </w:p>
    <w:p>
      <w:pPr>
        <w:pStyle w:val="MDPI511onefigurecaption"/>
      </w:pPr>
      <w:r>
        <w:rPr>
          <w:b/>
        </w:rPr>
        <w:t>Figure 1.</w:t>
      </w:r>
      <w:r>
        <w:rPr/>
        <w:t xml:space="preserve"> Introduction to LUMEN. The soil synthetic generated through the physics simulator (see Figure 2) acts as a pre-training step for the network (see Figure 3). It is then fine-tuned with lab spectra from returned soils as well as M³ spectra from returned-sample sites. The identifiability gate decides the targets that are mapped onto.</w:t>
      </w:r>
    </w:p>
    <w:p>
      <w:pPr>
        <w:pStyle w:val="MDPI23heading3"/>
        <w:keepNext/>
      </w:pPr>
      <w:r>
        <w:rPr/>
        <w:t>2.3.1. Domain-Randomised Physics Simulator</w:t>
      </w:r>
    </w:p>
    <w:p>
      <w:pPr>
        <w:pStyle w:val="MDPI31text"/>
      </w:pPr>
      <w:r>
        <w:rPr/>
        <w:t>A synthetic soil defines its petrology regime, which may be feldspathic, basaltic, or general (Dirichlet priors for crystal fractions bounded by ≤20% of ilmenite and ≤60% of olivine) and a maturity degree which determines the fraction of agglutinates, AGG = clip(0.65 · maturity + N(0, 0.12), 0, 0.75). This is complemented with the load values of npFe⁰ and mpFe⁰, a "residual" fraction, grain size distributed between 4 and 150 µm, as well as one end-member for each phase (Figure 2). Agglutinates include feldspathic-mafic synthetic glass matrix containing the iron loadings, with calibration offset (tilt), ±7% scale, and 0.2 – 0.8% additive noise (instrument noise). Chemical nomenclatures are based on stoichiometries with an accuracy uncertainty (±15%) and molar Fe-Mg isomorphisms used in the nominal phase chemistries. The maturity goal is defined by Is/FeO = 2270 · npFe⁰ (wt %)/FeO (wt %) - a scale-only constant calibrated with fine tuning. Four hundred thousand spectra are created with the same seed value.</w:t>
      </w:r>
    </w:p>
    <w:p>
      <w:pPr>
        <w:pStyle w:val="MDPI52figure"/>
        <w:keepNext/>
        <w:ind w:left="0"/>
        <w:jc w:val="center"/>
      </w:pPr>
      <w:r>
        <w:drawing>
          <wp:inline xmlns:a="http://schemas.openxmlformats.org/drawingml/2006/main" xmlns:pic="http://schemas.openxmlformats.org/drawingml/2006/picture">
            <wp:extent cx="6120000" cy="2540446"/>
            <wp:docPr id="2" name="Picture 2"/>
            <wp:cNvGraphicFramePr>
              <a:graphicFrameLocks noChangeAspect="1"/>
            </wp:cNvGraphicFramePr>
            <a:graphic>
              <a:graphicData uri="http://schemas.openxmlformats.org/drawingml/2006/picture">
                <pic:pic>
                  <pic:nvPicPr>
                    <pic:cNvPr id="0" name="fig02_simulator.png"/>
                    <pic:cNvPicPr/>
                  </pic:nvPicPr>
                  <pic:blipFill>
                    <a:blip r:embed="rId20"/>
                    <a:stretch>
                      <a:fillRect/>
                    </a:stretch>
                  </pic:blipFill>
                  <pic:spPr>
                    <a:xfrm>
                      <a:off x="0" y="0"/>
                      <a:ext cx="6120000" cy="2540446"/>
                    </a:xfrm>
                    <a:prstGeom prst="rect"/>
                  </pic:spPr>
                </pic:pic>
              </a:graphicData>
            </a:graphic>
          </wp:inline>
        </w:drawing>
      </w:r>
    </w:p>
    <w:p>
      <w:pPr>
        <w:pStyle w:val="MDPI511onefigurecaption"/>
      </w:pPr>
      <w:r>
        <w:rPr>
          <w:b/>
        </w:rPr>
        <w:t>Figure 2.</w:t>
      </w:r>
      <w:r>
        <w:rPr/>
        <w:t xml:space="preserve"> The physics simulation in the domain-randomization process. The imaginary indices k(λ) of the end-members are derived through the inversion of the equivalent slab; the effects of space weathering include npFe⁰ and mpFe⁰ absorption; the combination of the components occurs through the single-scattering albedo through cross-section weighing; then through the Hapke model they are converted to reflectance; the spectrum gets resampled to 71 M³ bands.</w:t>
      </w:r>
    </w:p>
    <w:p>
      <w:pPr>
        <w:pStyle w:val="MDPI23heading3"/>
        <w:keepNext/>
      </w:pPr>
      <w:r>
        <w:rPr/>
        <w:t>2.3.2. Network</w:t>
      </w:r>
    </w:p>
    <w:p>
      <w:pPr>
        <w:pStyle w:val="MDPI31text"/>
      </w:pPr>
      <w:r>
        <w:rPr/>
        <w:t xml:space="preserve">The network (see Figures 3 and Table 1) uses two channels: log reflectance and convex hull continuum-removed reflectance for 71 bands, where standardization takes place according to statistics that is estimated based solely on the artificial dataset. This design includes five 1D convolutional layers, followed by group normalization (a better choice than batch normalization since fine-tuning is based on very small mini-batches) and activation GELU, then two max-pooling. This results in a trunk with dimensions 256 – 128 and 0.36 million parameters. Then a Dirichlet head generates concentrations </w:t>
      </w:r>
      <m:oMath>
        <m:r>
          <m:rPr>
            <m:sty m:val="bi"/>
          </m:rPr>
          <m:t>α</m:t>
        </m:r>
        <m:r>
          <m:rPr>
            <m:sty m:val="p"/>
          </m:rPr>
          <m:t>=</m:t>
        </m:r>
        <m:r>
          <m:rPr>
            <m:sty m:val="p"/>
          </m:rPr>
          <m:t>s</m:t>
        </m:r>
        <m:r>
          <m:rPr>
            <m:sty m:val="p"/>
          </m:rPr>
          <m:t>o</m:t>
        </m:r>
        <m:r>
          <m:rPr>
            <m:sty m:val="p"/>
          </m:rPr>
          <m:t>f</m:t>
        </m:r>
        <m:r>
          <m:rPr>
            <m:sty m:val="p"/>
          </m:rPr>
          <m:t>t</m:t>
        </m:r>
        <m:r>
          <m:rPr>
            <m:sty m:val="p"/>
          </m:rPr>
          <m:t>p</m:t>
        </m:r>
        <m:r>
          <m:rPr>
            <m:sty m:val="p"/>
          </m:rPr>
          <m:t>l</m:t>
        </m:r>
        <m:r>
          <m:rPr>
            <m:sty m:val="p"/>
          </m:rPr>
          <m:t>u</m:t>
        </m:r>
        <m:r>
          <m:rPr>
            <m:sty m:val="p"/>
          </m:rPr>
          <m:t>s</m:t>
        </m:r>
        <m:r>
          <m:rPr>
            <m:sty m:val="p"/>
          </m:rPr>
          <m:t>(</m:t>
        </m:r>
        <m:r>
          <m:rPr>
            <m:sty m:val="p"/>
          </m:rPr>
          <m:t>⋅</m:t>
        </m:r>
        <m:r>
          <m:rPr>
            <m:sty m:val="p"/>
          </m:rPr>
          <m:t>)</m:t>
        </m:r>
        <m:r>
          <m:rPr>
            <m:sty m:val="p"/>
          </m:rPr>
          <m:t>+</m:t>
        </m:r>
        <m:r>
          <m:t>0.05</m:t>
        </m:r>
      </m:oMath>
      <w:r>
        <w:rPr/>
        <w:t xml:space="preserve">, where its mean </w:t>
      </w:r>
      <m:oMath>
        <m:r>
          <m:rPr>
            <m:sty m:val="bi"/>
          </m:rPr>
          <m:t>α</m:t>
        </m:r>
        <m:r>
          <m:rPr>
            <m:sty m:val="p"/>
          </m:rPr>
          <m:t>/</m:t>
        </m:r>
        <m:sSub>
          <m:e>
            <m:r>
              <m:t>α</m:t>
            </m:r>
          </m:e>
          <m:sub>
            <m:r>
              <m:t>0</m:t>
            </m:r>
          </m:sub>
        </m:sSub>
      </m:oMath>
      <w:r>
        <w:rPr/>
        <w:t xml:space="preserve">, with </w:t>
      </w:r>
      <m:oMath>
        <m:sSub>
          <m:e>
            <m:r>
              <m:t>α</m:t>
            </m:r>
          </m:e>
          <m:sub>
            <m:r>
              <m:t>0</m:t>
            </m:r>
          </m:sub>
        </m:sSub>
        <m:r>
          <m:rPr>
            <m:sty m:val="p"/>
          </m:rPr>
          <m:t>=</m:t>
        </m:r>
        <m:nary>
          <m:naryPr>
            <m:chr m:val="∑"/>
            <m:limLoc m:val="undOvr"/>
            <m:subHide m:val="off"/>
            <m:supHide m:val="on"/>
          </m:naryPr>
          <m:sub>
            <m:r>
              <m:t>j</m:t>
            </m:r>
          </m:sub>
          <m:sup>
            <m:r>
              <m:t>​</m:t>
            </m:r>
          </m:sup>
          <m:e>
            <m:sSub>
              <m:e>
                <m:r>
                  <m:t>α</m:t>
                </m:r>
              </m:e>
              <m:sub>
                <m:r>
                  <m:t>j</m:t>
                </m:r>
              </m:sub>
            </m:sSub>
          </m:e>
        </m:nary>
      </m:oMath>
      <w:r>
        <w:rPr/>
        <w:t>, is equivalent to seven-part composition. There are heteroscedastic Gaussian heads generating means and logs of variance for oxides and log₁₀(Is/FeO). Auxiliary heads for grain size and npFe⁰ are used during pre-training only.</w:t>
      </w:r>
    </w:p>
    <w:p>
      <w:pPr>
        <w:pStyle w:val="MDPI52figure"/>
        <w:keepNext/>
        <w:ind w:left="0"/>
        <w:jc w:val="center"/>
      </w:pPr>
      <w:r>
        <w:drawing>
          <wp:inline xmlns:a="http://schemas.openxmlformats.org/drawingml/2006/main" xmlns:pic="http://schemas.openxmlformats.org/drawingml/2006/picture">
            <wp:extent cx="6120000" cy="1861731"/>
            <wp:docPr id="3" name="Picture 3"/>
            <wp:cNvGraphicFramePr>
              <a:graphicFrameLocks noChangeAspect="1"/>
            </wp:cNvGraphicFramePr>
            <a:graphic>
              <a:graphicData uri="http://schemas.openxmlformats.org/drawingml/2006/picture">
                <pic:pic>
                  <pic:nvPicPr>
                    <pic:cNvPr id="0" name="fig03_architecture.png"/>
                    <pic:cNvPicPr/>
                  </pic:nvPicPr>
                  <pic:blipFill>
                    <a:blip r:embed="rId21"/>
                    <a:stretch>
                      <a:fillRect/>
                    </a:stretch>
                  </pic:blipFill>
                  <pic:spPr>
                    <a:xfrm>
                      <a:off x="0" y="0"/>
                      <a:ext cx="6120000" cy="1861731"/>
                    </a:xfrm>
                    <a:prstGeom prst="rect"/>
                  </pic:spPr>
                </pic:pic>
              </a:graphicData>
            </a:graphic>
          </wp:inline>
        </w:drawing>
      </w:r>
    </w:p>
    <w:p>
      <w:pPr>
        <w:pStyle w:val="MDPI511onefigurecaption"/>
      </w:pPr>
      <w:r>
        <w:rPr>
          <w:b/>
        </w:rPr>
        <w:t>Figure 3.</w:t>
      </w:r>
      <w:r>
        <w:rPr/>
        <w:t xml:space="preserve"> Network architecture. The shape of tensors is defined as channels × bands. Every convolution is followed by group normalization (8 groups) and GELU non-linearity. The auxiliary heads are used only in pre-training.</w:t>
      </w:r>
    </w:p>
    <w:p>
      <w:pPr>
        <w:pStyle w:val="MDPI23heading3"/>
        <w:keepNext/>
      </w:pPr>
      <w:r>
        <w:rPr/>
        <w:t>2.3.3. Objective Functions</w:t>
      </w:r>
    </w:p>
    <w:p>
      <w:pPr>
        <w:pStyle w:val="MDPI31text"/>
      </w:pPr>
      <w:r>
        <w:rPr/>
        <w:t xml:space="preserve">The compositional loss is equivalent to the negative log-likelihood of the smoothed labels with respect to the Dirichlet distribution where </w:t>
      </w:r>
      <m:oMath>
        <m:acc>
          <m:accPr>
            <m:chr m:val="̃"/>
          </m:accPr>
          <m:e>
            <m:r>
              <m:rPr>
                <m:sty m:val="bi"/>
              </m:rPr>
              <m:t>y</m:t>
            </m:r>
          </m:e>
        </m:acc>
        <m:r>
          <m:rPr>
            <m:sty m:val="p"/>
          </m:rPr>
          <m:t>=</m:t>
        </m:r>
        <m:r>
          <m:rPr>
            <m:sty m:val="p"/>
          </m:rPr>
          <m:t>(</m:t>
        </m:r>
        <m:r>
          <m:rPr>
            <m:sty m:val="bi"/>
          </m:rPr>
          <m:t>y</m:t>
        </m:r>
        <m:r>
          <m:rPr>
            <m:sty m:val="p"/>
          </m:rPr>
          <m:t>+</m:t>
        </m:r>
        <m:r>
          <m:t>ϵ</m:t>
        </m:r>
        <m:r>
          <m:rPr>
            <m:sty m:val="p"/>
          </m:rPr>
          <m:t>)</m:t>
        </m:r>
        <m:r>
          <m:rPr>
            <m:sty m:val="p"/>
          </m:rPr>
          <m:t>/</m:t>
        </m:r>
        <m:r>
          <m:rPr>
            <m:sty m:val="p"/>
          </m:rPr>
          <m:t>(</m:t>
        </m:r>
        <m:r>
          <m:t>1</m:t>
        </m:r>
        <m:r>
          <m:rPr>
            <m:sty m:val="p"/>
          </m:rPr>
          <m:t>+</m:t>
        </m:r>
        <m:r>
          <m:t>7</m:t>
        </m:r>
        <m:r>
          <m:t>ϵ</m:t>
        </m:r>
        <m:r>
          <m:rPr>
            <m:sty m:val="p"/>
          </m:rPr>
          <m:t>)</m:t>
        </m:r>
      </m:oMath>
      <w:r>
        <w:rPr/>
        <w:t xml:space="preserve"> and </w:t>
      </w:r>
      <m:oMath>
        <m:r>
          <m:t>ϵ</m:t>
        </m:r>
        <m:r>
          <m:rPr>
            <m:sty m:val="p"/>
          </m:rPr>
          <m:t>=</m:t>
        </m:r>
        <m:r>
          <m:t>0.005</m:t>
        </m:r>
      </m:oMath>
      <w:r>
        <w:rPr/>
        <w:t xml:space="preserve">, augmented by </w:t>
      </w:r>
      <m:oMath>
        <m:sSub>
          <m:e>
            <m:r>
              <m:t>L</m:t>
            </m:r>
          </m:e>
          <m:sub>
            <m:r>
              <m:t>1</m:t>
            </m:r>
          </m:sub>
        </m:sSub>
      </m:oMath>
      <w:r>
        <w:rPr/>
        <w:t xml:space="preserve"> regularizer on the mean:</w:t>
      </w:r>
    </w:p>
    <w:tbl>
      <w:tblPr>
        <w:tblW w:w="7859" w:type="dxa"/>
        <w:tblInd w:w="2608" w:type="dxa"/>
        <w:tblCellMar>
          <w:left w:w="0" w:type="dxa"/>
          <w:right w:w="0" w:type="dxa"/>
        </w:tblCellMar>
        <w:tblLook w:val="04A0" w:firstRow="1" w:lastRow="0" w:firstColumn="1" w:lastColumn="0" w:noHBand="0" w:noVBand="1"/>
      </w:tblPr>
      <w:tblGrid>
        <w:gridCol w:w="7428"/>
        <w:gridCol w:w="431"/>
      </w:tblGrid>
      <w:tr w:rsidR="007F761C" w:rsidRPr="0007718C" w14:paraId="0F5D3129" w14:textId="77777777" w:rsidTr="002B6F87">
        <w:tc>
          <w:tcPr>
            <w:tcW w:w="7428" w:type="dxa"/>
          </w:tcPr>
          <w:p w14:paraId="56A837DC" w14:textId="77777777" w:rsidR="007F761C" w:rsidRPr="0007718C" w:rsidRDefault="007F761C" w:rsidP="00EE6C9D">
            <w:pPr>
              <w:pStyle w:val="MDPI39equation"/>
            </w:pPr>
            <m:oMath>
              <m:sSub>
                <m:e>
                  <m:r>
                    <m:rPr>
                      <m:scr m:val="script"/>
                      <m:sty m:val="p"/>
                    </m:rPr>
                    <m:t>L</m:t>
                  </m:r>
                </m:e>
                <m:sub>
                  <m:r>
                    <m:t>c</m:t>
                  </m:r>
                  <m:r>
                    <m:t>o</m:t>
                  </m:r>
                  <m:r>
                    <m:t>m</m:t>
                  </m:r>
                  <m:r>
                    <m:t>p</m:t>
                  </m:r>
                </m:sub>
              </m:sSub>
              <m:r>
                <m:rPr>
                  <m:sty m:val="p"/>
                </m:rPr>
                <m:t>=</m:t>
              </m:r>
              <m:r>
                <m:rPr>
                  <m:sty m:val="p"/>
                </m:rPr>
                <m:t>−</m:t>
              </m:r>
              <m:f>
                <m:fPr>
                  <m:type m:val="bar"/>
                </m:fPr>
                <m:num>
                  <m:r>
                    <m:t>1</m:t>
                  </m:r>
                </m:num>
                <m:den>
                  <m:r>
                    <m:t>7</m:t>
                  </m:r>
                </m:den>
              </m:f>
              <m:d>
                <m:dPr>
                  <m:begChr m:val="["/>
                  <m:sepChr m:val=""/>
                  <m:endChr m:val="]"/>
                  <m:grow/>
                </m:dPr>
                <m:e>
                  <m:r>
                    <m:rPr>
                      <m:sty m:val="p"/>
                    </m:rPr>
                    <m:t>ln</m:t>
                  </m:r>
                  <m:r>
                    <m:rPr>
                      <m:sty m:val="p"/>
                    </m:rPr>
                    <m:t>Γ</m:t>
                  </m:r>
                  <m:r>
                    <m:rPr>
                      <m:sty m:val="p"/>
                    </m:rPr>
                    <m:t>(</m:t>
                  </m:r>
                  <m:sSub>
                    <m:e>
                      <m:r>
                        <m:t>α</m:t>
                      </m:r>
                    </m:e>
                    <m:sub>
                      <m:r>
                        <m:t>0</m:t>
                      </m:r>
                    </m:sub>
                  </m:sSub>
                  <m:r>
                    <m:rPr>
                      <m:sty m:val="p"/>
                    </m:rPr>
                    <m:t>)</m:t>
                  </m:r>
                  <m:r>
                    <m:rPr>
                      <m:sty m:val="p"/>
                    </m:rPr>
                    <m:t>−</m:t>
                  </m:r>
                  <m:nary>
                    <m:naryPr>
                      <m:chr m:val="∑"/>
                      <m:limLoc m:val="undOvr"/>
                      <m:subHide m:val="off"/>
                      <m:supHide m:val="on"/>
                    </m:naryPr>
                    <m:sub>
                      <m:r>
                        <m:t>j</m:t>
                      </m:r>
                    </m:sub>
                    <m:sup>
                      <m:r>
                        <m:t>​</m:t>
                      </m:r>
                    </m:sup>
                    <m:e>
                      <m:r>
                        <m:rPr>
                          <m:sty m:val="p"/>
                        </m:rPr>
                        <m:t>ln</m:t>
                      </m:r>
                    </m:e>
                  </m:nary>
                  <m:r>
                    <m:rPr>
                      <m:sty m:val="p"/>
                    </m:rPr>
                    <m:t>Γ</m:t>
                  </m:r>
                  <m:r>
                    <m:rPr>
                      <m:sty m:val="p"/>
                    </m:rPr>
                    <m:t>(</m:t>
                  </m:r>
                  <m:sSub>
                    <m:e>
                      <m:r>
                        <m:t>α</m:t>
                      </m:r>
                    </m:e>
                    <m:sub>
                      <m:r>
                        <m:t>j</m:t>
                      </m:r>
                    </m:sub>
                  </m:sSub>
                  <m:r>
                    <m:rPr>
                      <m:sty m:val="p"/>
                    </m:rPr>
                    <m:t>)</m:t>
                  </m:r>
                  <m:r>
                    <m:rPr>
                      <m:sty m:val="p"/>
                    </m:rPr>
                    <m:t>+</m:t>
                  </m:r>
                  <m:nary>
                    <m:naryPr>
                      <m:chr m:val="∑"/>
                      <m:limLoc m:val="undOvr"/>
                      <m:subHide m:val="off"/>
                      <m:supHide m:val="on"/>
                    </m:naryPr>
                    <m:sub>
                      <m:r>
                        <m:t>j</m:t>
                      </m:r>
                    </m:sub>
                    <m:sup>
                      <m:r>
                        <m:t>​</m:t>
                      </m:r>
                    </m:sup>
                    <m:e>
                      <m:r>
                        <m:rPr>
                          <m:sty m:val="p"/>
                        </m:rPr>
                        <m:t>(</m:t>
                      </m:r>
                    </m:e>
                  </m:nary>
                  <m:sSub>
                    <m:e>
                      <m:r>
                        <m:t>α</m:t>
                      </m:r>
                    </m:e>
                    <m:sub>
                      <m:r>
                        <m:t>j</m:t>
                      </m:r>
                    </m:sub>
                  </m:sSub>
                  <m:r>
                    <m:rPr>
                      <m:sty m:val="p"/>
                    </m:rPr>
                    <m:t>−</m:t>
                  </m:r>
                  <m:r>
                    <m:t>1</m:t>
                  </m:r>
                  <m:r>
                    <m:rPr>
                      <m:sty m:val="p"/>
                    </m:rPr>
                    <m:t>)</m:t>
                  </m:r>
                  <m:r>
                    <m:rPr>
                      <m:sty m:val="p"/>
                    </m:rPr>
                    <m:t>ln</m:t>
                  </m:r>
                  <m:sSub>
                    <m:e>
                      <m:acc>
                        <m:accPr>
                          <m:chr m:val="̃"/>
                        </m:accPr>
                        <m:e>
                          <m:r>
                            <m:t>y</m:t>
                          </m:r>
                        </m:e>
                      </m:acc>
                    </m:e>
                    <m:sub>
                      <m:r>
                        <m:t>j</m:t>
                      </m:r>
                    </m:sub>
                  </m:sSub>
                </m:e>
              </m:d>
              <m:r>
                <m:rPr>
                  <m:sty m:val="p"/>
                </m:rPr>
                <m:t>+</m:t>
              </m:r>
              <m:sSub>
                <m:e>
                  <m:r>
                    <m:t>λ</m:t>
                  </m:r>
                </m:e>
                <m:sub>
                  <m:r>
                    <m:t>1</m:t>
                  </m:r>
                </m:sub>
              </m:sSub>
              <m:r>
                <m:t> </m:t>
              </m:r>
              <m:f>
                <m:fPr>
                  <m:type m:val="bar"/>
                </m:fPr>
                <m:num>
                  <m:r>
                    <m:t>1</m:t>
                  </m:r>
                </m:num>
                <m:den>
                  <m:r>
                    <m:t>7</m:t>
                  </m:r>
                </m:den>
              </m:f>
              <m:nary>
                <m:naryPr>
                  <m:chr m:val="∑"/>
                  <m:limLoc m:val="undOvr"/>
                  <m:subHide m:val="off"/>
                  <m:supHide m:val="on"/>
                </m:naryPr>
                <m:sub>
                  <m:r>
                    <m:t>j</m:t>
                  </m:r>
                </m:sub>
                <m:sup>
                  <m:r>
                    <m:t>​</m:t>
                  </m:r>
                </m:sup>
                <m:e>
                  <m:d>
                    <m:dPr>
                      <m:begChr m:val="|"/>
                      <m:sepChr m:val=""/>
                      <m:endChr m:val="|"/>
                      <m:grow/>
                    </m:dPr>
                    <m:e>
                      <m:f>
                        <m:fPr>
                          <m:type m:val="bar"/>
                        </m:fPr>
                        <m:num>
                          <m:sSub>
                            <m:e>
                              <m:r>
                                <m:t>α</m:t>
                              </m:r>
                            </m:e>
                            <m:sub>
                              <m:r>
                                <m:t>j</m:t>
                              </m:r>
                            </m:sub>
                          </m:sSub>
                        </m:num>
                        <m:den>
                          <m:sSub>
                            <m:e>
                              <m:r>
                                <m:t>α</m:t>
                              </m:r>
                            </m:e>
                            <m:sub>
                              <m:r>
                                <m:t>0</m:t>
                              </m:r>
                            </m:sub>
                          </m:sSub>
                        </m:den>
                      </m:f>
                      <m:r>
                        <m:rPr>
                          <m:sty m:val="p"/>
                        </m:rPr>
                        <m:t>−</m:t>
                      </m:r>
                      <m:sSub>
                        <m:e>
                          <m:r>
                            <m:t>y</m:t>
                          </m:r>
                        </m:e>
                        <m:sub>
                          <m:r>
                            <m:t>j</m:t>
                          </m:r>
                        </m:sub>
                      </m:sSub>
                    </m:e>
                  </m:d>
                </m:e>
              </m:nary>
            </m:oMath>
          </w:p>
        </w:tc>
        <w:tc>
          <w:tcPr>
            <w:tcW w:w="431" w:type="dxa"/>
            <w:vAlign w:val="center"/>
          </w:tcPr>
          <w:p w14:paraId="0E73E678" w14:textId="77777777" w:rsidR="007F761C" w:rsidRPr="0007718C" w:rsidRDefault="007F761C" w:rsidP="00EE6C9D">
            <w:pPr>
              <w:pStyle w:val="MDPI3aequationnumber"/>
            </w:pPr>
            <w:r>
              <w:t>(7)</w:t>
            </w:r>
          </w:p>
        </w:tc>
      </w:tr>
    </w:tbl>
    <w:p>
      <w:pPr>
        <w:pStyle w:val="MDPI32textnoindent"/>
      </w:pPr>
      <w:r>
        <w:rPr/>
        <w:t xml:space="preserve">using </w:t>
      </w:r>
      <m:oMath>
        <m:sSub>
          <m:e>
            <m:r>
              <m:t>λ</m:t>
            </m:r>
          </m:e>
          <m:sub>
            <m:r>
              <m:t>1</m:t>
            </m:r>
          </m:sub>
        </m:sSub>
        <m:r>
          <m:rPr>
            <m:sty m:val="p"/>
          </m:rPr>
          <m:t>=</m:t>
        </m:r>
        <m:r>
          <m:t>10</m:t>
        </m:r>
      </m:oMath>
      <w:r>
        <w:rPr/>
        <w:t xml:space="preserve"> with synthetic data only. Scalar output variables use β-log likelihood [35] for </w:t>
      </w:r>
      <m:oMath>
        <m:r>
          <m:t>β</m:t>
        </m:r>
        <m:r>
          <m:rPr>
            <m:sty m:val="p"/>
          </m:rPr>
          <m:t>=</m:t>
        </m:r>
        <m:r>
          <m:t>0.5</m:t>
        </m:r>
      </m:oMath>
      <w:r>
        <w:rPr/>
        <w:t xml:space="preserve"> to reduce the problem of underfitting of high variance data due to Gaussian likelihood.</w:t>
      </w:r>
    </w:p>
    <w:tbl>
      <w:tblPr>
        <w:tblW w:w="7859" w:type="dxa"/>
        <w:tblInd w:w="2608" w:type="dxa"/>
        <w:tblCellMar>
          <w:left w:w="0" w:type="dxa"/>
          <w:right w:w="0" w:type="dxa"/>
        </w:tblCellMar>
        <w:tblLook w:val="04A0" w:firstRow="1" w:lastRow="0" w:firstColumn="1" w:lastColumn="0" w:noHBand="0" w:noVBand="1"/>
      </w:tblPr>
      <w:tblGrid>
        <w:gridCol w:w="7428"/>
        <w:gridCol w:w="431"/>
      </w:tblGrid>
      <w:tr w:rsidR="007F761C" w:rsidRPr="0007718C" w14:paraId="0F5D3129" w14:textId="77777777" w:rsidTr="002B6F87">
        <w:tc>
          <w:tcPr>
            <w:tcW w:w="7428" w:type="dxa"/>
          </w:tcPr>
          <w:p w14:paraId="56A837DC" w14:textId="77777777" w:rsidR="007F761C" w:rsidRPr="0007718C" w:rsidRDefault="007F761C" w:rsidP="00EE6C9D">
            <w:pPr>
              <w:pStyle w:val="MDPI39equation"/>
            </w:pPr>
            <m:oMath>
              <m:sSub>
                <m:e>
                  <m:r>
                    <m:rPr>
                      <m:scr m:val="script"/>
                      <m:sty m:val="p"/>
                    </m:rPr>
                    <m:t>L</m:t>
                  </m:r>
                </m:e>
                <m:sub>
                  <m:r>
                    <m:t>s</m:t>
                  </m:r>
                  <m:r>
                    <m:t>c</m:t>
                  </m:r>
                  <m:r>
                    <m:t>a</m:t>
                  </m:r>
                  <m:r>
                    <m:t>l</m:t>
                  </m:r>
                </m:sub>
              </m:sSub>
              <m:r>
                <m:rPr>
                  <m:sty m:val="p"/>
                </m:rPr>
                <m:t>=</m:t>
              </m:r>
              <m:f>
                <m:fPr>
                  <m:type m:val="bar"/>
                </m:fPr>
                <m:num>
                  <m:nary>
                    <m:naryPr>
                      <m:chr m:val="∑"/>
                      <m:limLoc m:val="undOvr"/>
                      <m:subHide m:val="off"/>
                      <m:supHide m:val="on"/>
                    </m:naryPr>
                    <m:sub>
                      <m:r>
                        <m:t>t</m:t>
                      </m:r>
                    </m:sub>
                    <m:sup>
                      <m:r>
                        <m:t>​</m:t>
                      </m:r>
                    </m:sup>
                    <m:e>
                      <m:sSub>
                        <m:e>
                          <m:r>
                            <m:t>m</m:t>
                          </m:r>
                        </m:e>
                        <m:sub>
                          <m:r>
                            <m:t>t</m:t>
                          </m:r>
                        </m:sub>
                      </m:sSub>
                    </m:e>
                  </m:nary>
                  <m:r>
                    <m:t> </m:t>
                  </m:r>
                  <m:r>
                    <m:rPr>
                      <m:sty m:val="p"/>
                    </m:rPr>
                    <m:t>s</m:t>
                  </m:r>
                  <m:r>
                    <m:rPr>
                      <m:sty m:val="p"/>
                    </m:rPr>
                    <m:t>g</m:t>
                  </m:r>
                  <m:r>
                    <m:t>​</m:t>
                  </m:r>
                  <m:d>
                    <m:dPr>
                      <m:begChr m:val="["/>
                      <m:sepChr m:val=""/>
                      <m:endChr m:val="]"/>
                      <m:grow/>
                    </m:dPr>
                    <m:e>
                      <m:sSubSup>
                        <m:e>
                          <m:r>
                            <m:t>σ</m:t>
                          </m:r>
                        </m:e>
                        <m:sub>
                          <m:r>
                            <m:t>t</m:t>
                          </m:r>
                        </m:sub>
                        <m:sup>
                          <m:r>
                            <m:t>2</m:t>
                          </m:r>
                          <m:r>
                            <m:t>β</m:t>
                          </m:r>
                        </m:sup>
                      </m:sSubSup>
                    </m:e>
                  </m:d>
                  <m:f>
                    <m:fPr>
                      <m:type m:val="lin"/>
                    </m:fPr>
                    <m:num>
                      <m:r>
                        <m:t>1</m:t>
                      </m:r>
                    </m:num>
                    <m:den>
                      <m:r>
                        <m:t>2</m:t>
                      </m:r>
                    </m:den>
                  </m:f>
                  <m:d>
                    <m:dPr>
                      <m:begChr m:val="("/>
                      <m:sepChr m:val=""/>
                      <m:endChr m:val=")"/>
                      <m:grow/>
                    </m:dPr>
                    <m:e>
                      <m:r>
                        <m:rPr>
                          <m:sty m:val="p"/>
                        </m:rPr>
                        <m:t>ln</m:t>
                      </m:r>
                      <m:sSubSup>
                        <m:e>
                          <m:r>
                            <m:t>σ</m:t>
                          </m:r>
                        </m:e>
                        <m:sub>
                          <m:r>
                            <m:t>t</m:t>
                          </m:r>
                        </m:sub>
                        <m:sup>
                          <m:r>
                            <m:t>2</m:t>
                          </m:r>
                        </m:sup>
                      </m:sSubSup>
                      <m:r>
                        <m:rPr>
                          <m:sty m:val="p"/>
                        </m:rPr>
                        <m:t>+</m:t>
                      </m:r>
                      <m:f>
                        <m:fPr>
                          <m:type m:val="bar"/>
                        </m:fPr>
                        <m:num>
                          <m:r>
                            <m:rPr>
                              <m:sty m:val="p"/>
                            </m:rPr>
                            <m:t>(</m:t>
                          </m:r>
                          <m:sSub>
                            <m:e>
                              <m:r>
                                <m:t>y</m:t>
                              </m:r>
                            </m:e>
                            <m:sub>
                              <m:r>
                                <m:t>t</m:t>
                              </m:r>
                            </m:sub>
                          </m:sSub>
                          <m:r>
                            <m:rPr>
                              <m:sty m:val="p"/>
                            </m:rPr>
                            <m:t>−</m:t>
                          </m:r>
                          <m:sSub>
                            <m:e>
                              <m:r>
                                <m:t>μ</m:t>
                              </m:r>
                            </m:e>
                            <m:sub>
                              <m:r>
                                <m:t>t</m:t>
                              </m:r>
                            </m:sub>
                          </m:sSub>
                          <m:sSup>
                            <m:e>
                              <m:r>
                                <m:rPr>
                                  <m:sty m:val="p"/>
                                </m:rPr>
                                <m:t>)</m:t>
                              </m:r>
                            </m:e>
                            <m:sup>
                              <m:r>
                                <m:t>2</m:t>
                              </m:r>
                            </m:sup>
                          </m:sSup>
                        </m:num>
                        <m:den>
                          <m:sSubSup>
                            <m:e>
                              <m:r>
                                <m:t>σ</m:t>
                              </m:r>
                            </m:e>
                            <m:sub>
                              <m:r>
                                <m:t>t</m:t>
                              </m:r>
                            </m:sub>
                            <m:sup>
                              <m:r>
                                <m:t>2</m:t>
                              </m:r>
                            </m:sup>
                          </m:sSubSup>
                        </m:den>
                      </m:f>
                    </m:e>
                  </m:d>
                </m:num>
                <m:den>
                  <m:nary>
                    <m:naryPr>
                      <m:chr m:val="∑"/>
                      <m:limLoc m:val="undOvr"/>
                      <m:subHide m:val="off"/>
                      <m:supHide m:val="on"/>
                    </m:naryPr>
                    <m:sub>
                      <m:r>
                        <m:t>t</m:t>
                      </m:r>
                    </m:sub>
                    <m:sup>
                      <m:r>
                        <m:t>​</m:t>
                      </m:r>
                    </m:sup>
                    <m:e>
                      <m:sSub>
                        <m:e>
                          <m:r>
                            <m:t>m</m:t>
                          </m:r>
                        </m:e>
                        <m:sub>
                          <m:r>
                            <m:t>t</m:t>
                          </m:r>
                        </m:sub>
                      </m:sSub>
                    </m:e>
                  </m:nary>
                </m:den>
              </m:f>
            </m:oMath>
          </w:p>
        </w:tc>
        <w:tc>
          <w:tcPr>
            <w:tcW w:w="431" w:type="dxa"/>
            <w:vAlign w:val="center"/>
          </w:tcPr>
          <w:p w14:paraId="0E73E678" w14:textId="77777777" w:rsidR="007F761C" w:rsidRPr="0007718C" w:rsidRDefault="007F761C" w:rsidP="00EE6C9D">
            <w:pPr>
              <w:pStyle w:val="MDPI3aequationnumber"/>
            </w:pPr>
            <w:r>
              <w:t>(8)</w:t>
            </w:r>
          </w:p>
        </w:tc>
      </w:tr>
    </w:tbl>
    <w:p>
      <w:pPr>
        <w:pStyle w:val="MDPI32textnoindent"/>
      </w:pPr>
      <w:r>
        <w:rPr/>
        <w:t xml:space="preserve">In places where the gradient is blocked by </w:t>
      </w:r>
      <m:oMath>
        <m:r>
          <m:rPr>
            <m:sty m:val="p"/>
          </m:rPr>
          <m:t>s</m:t>
        </m:r>
        <m:r>
          <m:rPr>
            <m:sty m:val="p"/>
          </m:rPr>
          <m:t>g</m:t>
        </m:r>
      </m:oMath>
      <w:r>
        <w:rPr/>
        <w:t xml:space="preserve">, and </w:t>
      </w:r>
      <m:oMath>
        <m:sSub>
          <m:e>
            <m:r>
              <m:t>m</m:t>
            </m:r>
          </m:e>
          <m:sub>
            <m:r>
              <m:t>t</m:t>
            </m:r>
          </m:sub>
        </m:sSub>
      </m:oMath>
      <w:r>
        <w:rPr/>
        <w:t xml:space="preserve"> prevents those targets from being used which are not available for that particular sample (mineral composition of the &lt;45 µm size; all targets excluding FeO for orbital spectra). The total loss includes </w:t>
      </w:r>
      <m:oMath>
        <m:sSub>
          <m:e>
            <m:r>
              <m:rPr>
                <m:scr m:val="script"/>
                <m:sty m:val="p"/>
              </m:rPr>
              <m:t>L</m:t>
            </m:r>
          </m:e>
          <m:sub>
            <m:r>
              <m:t>c</m:t>
            </m:r>
            <m:r>
              <m:t>o</m:t>
            </m:r>
            <m:r>
              <m:t>m</m:t>
            </m:r>
            <m:r>
              <m:t>p</m:t>
            </m:r>
          </m:sub>
        </m:sSub>
      </m:oMath>
      <w:r>
        <w:rPr/>
        <w:t xml:space="preserve"> and </w:t>
      </w:r>
      <m:oMath>
        <m:sSub>
          <m:e>
            <m:r>
              <m:rPr>
                <m:scr m:val="script"/>
                <m:sty m:val="p"/>
              </m:rPr>
              <m:t>L</m:t>
            </m:r>
          </m:e>
          <m:sub>
            <m:r>
              <m:t>s</m:t>
            </m:r>
            <m:r>
              <m:t>c</m:t>
            </m:r>
            <m:r>
              <m:t>a</m:t>
            </m:r>
            <m:r>
              <m:t>l</m:t>
            </m:r>
          </m:sub>
        </m:sSub>
      </m:oMath>
      <w:r>
        <w:rPr/>
        <w:t xml:space="preserve"> along with β-NLL auxiliary terms during pretraining.</w:t>
      </w:r>
    </w:p>
    <w:p>
      <w:pPr>
        <w:pStyle w:val="MDPI23heading3"/>
        <w:keepNext/>
      </w:pPr>
      <w:r>
        <w:rPr/>
        <w:t>2.3.4. Training</w:t>
      </w:r>
    </w:p>
    <w:p>
      <w:pPr>
        <w:pStyle w:val="MDPI31text"/>
      </w:pPr>
      <w:r>
        <w:rPr/>
        <w:t>The five models comprising the ensemble were pretrained on the synthetic set with different random seed values (15 epochs, AdamW optimizer, one-cycle learning rate schedule, 20,000 spectra for validation), followed by fine-tuning for 1,500 steps per cross-validation split (cf. Table 1). For the complex setup (A4), each training step uses 16 spectra from real training samples, 16 synthetic replay spectra, and 32 spectra from mixup in SSA space, each being a combination of 2–3 training samples as defined by equation (6), precisely labeled (composition – volume fraction, chemistry – mass fractions of Is, FeO, with Is/FeO – by mass × FeO). Real and mixed spectra are passed through calibration and noise randomization in the simulator. The simple setup (A2) consists of just real training samples. The hyperparameter values for both setups were fixed based on the experiments on the synthetic data only.</w:t>
      </w:r>
    </w:p>
    <w:p>
      <w:pPr>
        <w:pStyle w:val="MDPI23heading3"/>
        <w:keepNext/>
      </w:pPr>
      <w:r>
        <w:rPr/>
        <w:t>2.3.5. Uncertainty and Identifiability</w:t>
      </w:r>
    </w:p>
    <w:p>
      <w:pPr>
        <w:pStyle w:val="MDPI31text"/>
      </w:pPr>
      <w:r>
        <w:rPr/>
        <w:t xml:space="preserve">The definition of an ensemble mean is the average of the means of all members, whereas that of an ensemble variance is the average of all member variances, plus the variance of the means of the member [36]. Raw ensemble prediction intervals are over-confident (Section 3.5) and hence conformally calibrated [37] using the normalized score, </w:t>
      </w:r>
      <m:oMath>
        <m:sSub>
          <m:e>
            <m:r>
              <m:t>s</m:t>
            </m:r>
          </m:e>
          <m:sub>
            <m:r>
              <m:t>i</m:t>
            </m:r>
          </m:sub>
        </m:sSub>
        <m:r>
          <m:rPr>
            <m:sty m:val="p"/>
          </m:rPr>
          <m:t>=</m:t>
        </m:r>
        <m:r>
          <m:rPr>
            <m:sty m:val="p"/>
          </m:rPr>
          <m:t>|</m:t>
        </m:r>
        <m:sSub>
          <m:e>
            <m:r>
              <m:t>y</m:t>
            </m:r>
          </m:e>
          <m:sub>
            <m:r>
              <m:t>i</m:t>
            </m:r>
          </m:sub>
        </m:sSub>
        <m:r>
          <m:rPr>
            <m:sty m:val="p"/>
          </m:rPr>
          <m:t>−</m:t>
        </m:r>
        <m:sSub>
          <m:e>
            <m:r>
              <m:t>μ</m:t>
            </m:r>
          </m:e>
          <m:sub>
            <m:r>
              <m:t>i</m:t>
            </m:r>
          </m:sub>
        </m:sSub>
        <m:r>
          <m:rPr>
            <m:sty m:val="p"/>
          </m:rPr>
          <m:t>|</m:t>
        </m:r>
        <m:r>
          <m:rPr>
            <m:sty m:val="p"/>
          </m:rPr>
          <m:t>/</m:t>
        </m:r>
        <m:sSub>
          <m:e>
            <m:r>
              <m:t>σ</m:t>
            </m:r>
          </m:e>
          <m:sub>
            <m:r>
              <m:t>i</m:t>
            </m:r>
          </m:sub>
        </m:sSub>
      </m:oMath>
      <w:r>
        <w:rPr/>
        <w:t xml:space="preserve">, that uses out-of-fold predictions of other soils to calculate the </w:t>
      </w:r>
      <m:oMath>
        <m:r>
          <m:rPr>
            <m:sty m:val="p"/>
          </m:rPr>
          <m:t>⌈</m:t>
        </m:r>
        <m:r>
          <m:rPr>
            <m:sty m:val="p"/>
          </m:rPr>
          <m:t>(</m:t>
        </m:r>
        <m:r>
          <m:t>1</m:t>
        </m:r>
        <m:r>
          <m:rPr>
            <m:sty m:val="p"/>
          </m:rPr>
          <m:t>−</m:t>
        </m:r>
        <m:r>
          <m:t>a</m:t>
        </m:r>
        <m:r>
          <m:rPr>
            <m:sty m:val="p"/>
          </m:rPr>
          <m:t>)</m:t>
        </m:r>
        <m:r>
          <m:rPr>
            <m:sty m:val="p"/>
          </m:rPr>
          <m:t>(</m:t>
        </m:r>
        <m:r>
          <m:t>n</m:t>
        </m:r>
        <m:r>
          <m:rPr>
            <m:sty m:val="p"/>
          </m:rPr>
          <m:t>+</m:t>
        </m:r>
        <m:r>
          <m:t>1</m:t>
        </m:r>
        <m:r>
          <m:rPr>
            <m:sty m:val="p"/>
          </m:rPr>
          <m:t>)</m:t>
        </m:r>
        <m:r>
          <m:rPr>
            <m:sty m:val="p"/>
          </m:rPr>
          <m:t>⌉</m:t>
        </m:r>
      </m:oMath>
      <w:r>
        <w:rPr/>
        <w:t xml:space="preserve">-th smallest value </w:t>
      </w:r>
      <m:oMath>
        <m:sSub>
          <m:e>
            <m:r>
              <m:t>q</m:t>
            </m:r>
          </m:e>
          <m:sub>
            <m:r>
              <m:t>1</m:t>
            </m:r>
            <m:r>
              <m:rPr>
                <m:sty m:val="p"/>
              </m:rPr>
              <m:t>−</m:t>
            </m:r>
            <m:r>
              <m:t>a</m:t>
            </m:r>
          </m:sub>
        </m:sSub>
      </m:oMath>
      <w:r>
        <w:rPr/>
        <w:t xml:space="preserve">, giving rise to the interval, </w:t>
      </w:r>
      <m:oMath>
        <m:r>
          <m:t>μ</m:t>
        </m:r>
        <m:r>
          <m:rPr>
            <m:sty m:val="p"/>
          </m:rPr>
          <m:t>±</m:t>
        </m:r>
        <m:sSub>
          <m:e>
            <m:r>
              <m:t>q</m:t>
            </m:r>
          </m:e>
          <m:sub>
            <m:r>
              <m:t>1</m:t>
            </m:r>
            <m:r>
              <m:rPr>
                <m:sty m:val="p"/>
              </m:rPr>
              <m:t>−</m:t>
            </m:r>
            <m:r>
              <m:t>a</m:t>
            </m:r>
          </m:sub>
        </m:sSub>
        <m:r>
          <m:t> </m:t>
        </m:r>
        <m:r>
          <m:t>σ</m:t>
        </m:r>
      </m:oMath>
      <w:r>
        <w:rPr/>
        <w:t>. The CV+ version uses models where not only the calibration soil but also the test soil was left out (930 more fine-tunes). Identifiability gates are used to determine the skill for every target.</w:t>
      </w:r>
    </w:p>
    <w:tbl>
      <w:tblPr>
        <w:tblW w:w="7859" w:type="dxa"/>
        <w:tblInd w:w="2608" w:type="dxa"/>
        <w:tblCellMar>
          <w:left w:w="0" w:type="dxa"/>
          <w:right w:w="0" w:type="dxa"/>
        </w:tblCellMar>
        <w:tblLook w:val="04A0" w:firstRow="1" w:lastRow="0" w:firstColumn="1" w:lastColumn="0" w:noHBand="0" w:noVBand="1"/>
      </w:tblPr>
      <w:tblGrid>
        <w:gridCol w:w="7428"/>
        <w:gridCol w:w="431"/>
      </w:tblGrid>
      <w:tr w:rsidR="007F761C" w:rsidRPr="0007718C" w14:paraId="0F5D3129" w14:textId="77777777" w:rsidTr="002B6F87">
        <w:tc>
          <w:tcPr>
            <w:tcW w:w="7428" w:type="dxa"/>
          </w:tcPr>
          <w:p w14:paraId="56A837DC" w14:textId="77777777" w:rsidR="007F761C" w:rsidRPr="0007718C" w:rsidRDefault="007F761C" w:rsidP="00EE6C9D">
            <w:pPr>
              <w:pStyle w:val="MDPI39equation"/>
            </w:pPr>
            <m:oMath>
              <m:r>
                <m:t>S</m:t>
              </m:r>
              <m:r>
                <m:rPr>
                  <m:sty m:val="p"/>
                </m:rPr>
                <m:t>=</m:t>
              </m:r>
              <m:r>
                <m:t>1</m:t>
              </m:r>
              <m:r>
                <m:rPr>
                  <m:sty m:val="p"/>
                </m:rPr>
                <m:t>−</m:t>
              </m:r>
              <m:f>
                <m:fPr>
                  <m:type m:val="bar"/>
                </m:fPr>
                <m:num>
                  <m:r>
                    <m:rPr>
                      <m:sty m:val="p"/>
                    </m:rPr>
                    <m:t>M</m:t>
                  </m:r>
                  <m:r>
                    <m:rPr>
                      <m:sty m:val="p"/>
                    </m:rPr>
                    <m:t>A</m:t>
                  </m:r>
                  <m:r>
                    <m:rPr>
                      <m:sty m:val="p"/>
                    </m:rPr>
                    <m:t>E</m:t>
                  </m:r>
                </m:num>
                <m:den>
                  <m:sSub>
                    <m:e>
                      <m:r>
                        <m:rPr>
                          <m:sty m:val="p"/>
                        </m:rPr>
                        <m:t>M</m:t>
                      </m:r>
                      <m:r>
                        <m:rPr>
                          <m:sty m:val="p"/>
                        </m:rPr>
                        <m:t>A</m:t>
                      </m:r>
                      <m:r>
                        <m:rPr>
                          <m:sty m:val="p"/>
                        </m:rPr>
                        <m:t>E</m:t>
                      </m:r>
                    </m:e>
                    <m:sub>
                      <m:r>
                        <m:t>r</m:t>
                      </m:r>
                      <m:r>
                        <m:t>e</m:t>
                      </m:r>
                      <m:r>
                        <m:t>f</m:t>
                      </m:r>
                    </m:sub>
                  </m:sSub>
                </m:den>
              </m:f>
            </m:oMath>
          </w:p>
        </w:tc>
        <w:tc>
          <w:tcPr>
            <w:tcW w:w="431" w:type="dxa"/>
            <w:vAlign w:val="center"/>
          </w:tcPr>
          <w:p w14:paraId="0E73E678" w14:textId="77777777" w:rsidR="007F761C" w:rsidRPr="0007718C" w:rsidRDefault="007F761C" w:rsidP="00EE6C9D">
            <w:pPr>
              <w:pStyle w:val="MDPI3aequationnumber"/>
            </w:pPr>
            <w:r>
              <w:t>(9)</w:t>
            </w:r>
          </w:p>
        </w:tc>
      </w:tr>
    </w:tbl>
    <w:p>
      <w:pPr>
        <w:pStyle w:val="MDPI32textnoindent"/>
      </w:pPr>
      <w:r>
        <w:rPr/>
        <w:t xml:space="preserve">In this case, </w:t>
      </w:r>
      <m:oMath>
        <m:sSub>
          <m:e>
            <m:r>
              <m:rPr>
                <m:sty m:val="p"/>
              </m:rPr>
              <m:t>M</m:t>
            </m:r>
            <m:r>
              <m:rPr>
                <m:sty m:val="p"/>
              </m:rPr>
              <m:t>A</m:t>
            </m:r>
            <m:r>
              <m:rPr>
                <m:sty m:val="p"/>
              </m:rPr>
              <m:t>E</m:t>
            </m:r>
          </m:e>
          <m:sub>
            <m:r>
              <m:t>r</m:t>
            </m:r>
            <m:r>
              <m:t>e</m:t>
            </m:r>
            <m:r>
              <m:t>f</m:t>
            </m:r>
          </m:sub>
        </m:sSub>
      </m:oMath>
      <w:r>
        <w:rPr/>
        <w:t xml:space="preserve"> represents the error of the fraction-matched mean of the other soils used as zero information, with 95% bootstrap confidence interval estimated across soils. Only those targets for which the lower end of the confidence interval is above zero are considered to be mapped.</w:t>
      </w:r>
    </w:p>
    <w:p>
      <w:pPr>
        <w:pStyle w:val="MDPI23heading3"/>
        <w:keepNext/>
      </w:pPr>
      <w:r>
        <w:rPr/>
        <w:t>2.3.6. Transfer to M³</w:t>
      </w:r>
    </w:p>
    <w:p>
      <w:pPr>
        <w:pStyle w:val="MDPI31text"/>
      </w:pPr>
      <w:r>
        <w:rPr/>
        <w:t>Laboratory and M³ reflectance differ in absolute scale. In zero-shot tasks, M³ spectral data is scaled to the laboratory scale based on the linear scaling algorithm suggested by Korokhin et al. [25].</w:t>
      </w:r>
    </w:p>
    <w:tbl>
      <w:tblPr>
        <w:tblW w:w="7859" w:type="dxa"/>
        <w:tblInd w:w="2608" w:type="dxa"/>
        <w:tblCellMar>
          <w:left w:w="0" w:type="dxa"/>
          <w:right w:w="0" w:type="dxa"/>
        </w:tblCellMar>
        <w:tblLook w:val="04A0" w:firstRow="1" w:lastRow="0" w:firstColumn="1" w:lastColumn="0" w:noHBand="0" w:noVBand="1"/>
      </w:tblPr>
      <w:tblGrid>
        <w:gridCol w:w="7428"/>
        <w:gridCol w:w="431"/>
      </w:tblGrid>
      <w:tr w:rsidR="007F761C" w:rsidRPr="0007718C" w14:paraId="0F5D3129" w14:textId="77777777" w:rsidTr="002B6F87">
        <w:tc>
          <w:tcPr>
            <w:tcW w:w="7428" w:type="dxa"/>
          </w:tcPr>
          <w:p w14:paraId="56A837DC" w14:textId="77777777" w:rsidR="007F761C" w:rsidRPr="0007718C" w:rsidRDefault="007F761C" w:rsidP="00EE6C9D">
            <w:pPr>
              <w:pStyle w:val="MDPI39equation"/>
            </w:pPr>
            <m:oMath>
              <m:sSub>
                <m:e>
                  <m:r>
                    <m:t>A</m:t>
                  </m:r>
                </m:e>
                <m:sub>
                  <m:r>
                    <m:t>l</m:t>
                  </m:r>
                  <m:r>
                    <m:t>a</m:t>
                  </m:r>
                  <m:r>
                    <m:t>b</m:t>
                  </m:r>
                </m:sub>
              </m:sSub>
              <m:r>
                <m:rPr>
                  <m:sty m:val="p"/>
                </m:rPr>
                <m:t>=</m:t>
              </m:r>
              <m:r>
                <m:t>1.685</m:t>
              </m:r>
              <m:r>
                <m:t> </m:t>
              </m:r>
              <m:sSub>
                <m:e>
                  <m:r>
                    <m:t>A</m:t>
                  </m:r>
                </m:e>
                <m:sub>
                  <m:sSup>
                    <m:e>
                      <m:r>
                        <m:t>M</m:t>
                      </m:r>
                    </m:e>
                    <m:sup>
                      <m:r>
                        <m:t>3</m:t>
                      </m:r>
                    </m:sup>
                  </m:sSup>
                </m:sub>
              </m:sSub>
              <m:r>
                <m:rPr>
                  <m:sty m:val="p"/>
                </m:rPr>
                <m:t>+</m:t>
              </m:r>
              <m:r>
                <m:t>0.0355</m:t>
              </m:r>
            </m:oMath>
          </w:p>
        </w:tc>
        <w:tc>
          <w:tcPr>
            <w:tcW w:w="431" w:type="dxa"/>
            <w:vAlign w:val="center"/>
          </w:tcPr>
          <w:p w14:paraId="0E73E678" w14:textId="77777777" w:rsidR="007F761C" w:rsidRPr="0007718C" w:rsidRDefault="007F761C" w:rsidP="00EE6C9D">
            <w:pPr>
              <w:pStyle w:val="MDPI3aequationnumber"/>
            </w:pPr>
            <w:r>
              <w:t>(10)</w:t>
            </w:r>
          </w:p>
        </w:tc>
      </w:tr>
    </w:tbl>
    <w:p>
      <w:pPr>
        <w:pStyle w:val="MDPI32textnoindent"/>
      </w:pPr>
      <w:r>
        <w:rPr/>
        <w:t>An outline of the site of mission X of the Apollo program is created with the help of the trained ensemble without mission X soils (in the case of the Luna and Chang'e sites, the ensemble is trained with all 19 soils). During the orbital fine-tuning procedure (LUMEN-M3-FT), the neural network receives an additional training of 600 steps (using AdamW optimizer, 10⁻⁴ learning rate and weight decay, cosine decay) with the batches of 16 M³ pixel spectra of the training sites labeled with the FeO content of the site while all the other targets are masked, as well as 16 laboratory spectra of the training soils with all targets.</w:t>
      </w:r>
    </w:p>
    <w:p>
      <w:pPr>
        <w:pStyle w:val="MDPI21heading1"/>
        <w:keepNext/>
      </w:pPr>
      <w:r>
        <w:rPr/>
        <w:t>3. Results</w:t>
      </w:r>
    </w:p>
    <w:p>
      <w:pPr>
        <w:pStyle w:val="MDPI22heading2"/>
        <w:keepNext/>
      </w:pPr>
      <w:r>
        <w:rPr/>
        <w:t>3.1. Experimental Setup</w:t>
      </w:r>
    </w:p>
    <w:p>
      <w:pPr>
        <w:pStyle w:val="MDPI23heading3"/>
        <w:keepNext/>
      </w:pPr>
      <w:r>
        <w:rPr/>
        <w:t>3.1.1. Comparison Algorithms</w:t>
      </w:r>
    </w:p>
    <w:p>
      <w:pPr>
        <w:pStyle w:val="MDPI31text"/>
      </w:pPr>
      <w:r>
        <w:rPr/>
        <w:t>In the spectra in the lab, all the methods use identical spectra and folds. Classical baselines are implemented using the fraction-matched average of the training soils (zero information baseline); partial least squares (PLS), ridge regression, and random forest (RF) run on LUMEN’s 142 inputs; RF on raw reflectance, all of which were optimized with inner grouped cross-validation. The Fernández-Díaz et al. pipeline [16] was completely reimplemented on the identical spectra (db4 A2 + D2 wavelets coefficients; 42 → 32 → 16 → 6 → 16 → 32 → 42 autoencoder trained on M³ pixels as described in the paper or on our synthetic spectra; Lasso, linear SVR, RBF SVR, and RF with search grids from the paper; and no autoencoder version), producing 12 variants, among which "FD as published" is the one that uses M³-trained autoencoder with RF. Outputs of Korokhin et al. [25] and Jung et al. [26] are derived from independent replications verified against the numbers reported in the respective paper (46 of 65 and 32 of 34 gated targets, respectively).</w:t>
      </w:r>
    </w:p>
    <w:p>
      <w:pPr>
        <w:pStyle w:val="MDPI31text"/>
      </w:pPr>
      <w:r>
        <w:rPr/>
        <w:t xml:space="preserve">For the M³ dataset (section 3.6), we consider the comparison between LUMEN zero-shot, zero-shot LUMEN plus a linear calibration of </w:t>
      </w:r>
      <m:oMath>
        <m:r>
          <m:t>y</m:t>
        </m:r>
        <m:r>
          <m:rPr>
            <m:sty m:val="p"/>
          </m:rPr>
          <m:t>=</m:t>
        </m:r>
        <m:r>
          <m:t>a</m:t>
        </m:r>
        <m:r>
          <m:rPr>
            <m:sty m:val="p"/>
          </m:rPr>
          <m:t>+</m:t>
        </m:r>
        <m:r>
          <m:t>b</m:t>
        </m:r>
        <m:acc>
          <m:accPr>
            <m:chr m:val="̂"/>
          </m:accPr>
          <m:e>
            <m:r>
              <m:t>y</m:t>
            </m:r>
          </m:e>
        </m:acc>
      </m:oMath>
      <w:r>
        <w:rPr/>
        <w:t xml:space="preserve"> based on the training sites, LUMEN-M3-FT, and LUMEN-M3-ridge using the 128-dimensional trunk embedding (referred to as "LUMEN-embed + ridge"), the Fernández-Díaz variations with a re-trained model on M³ site spectra, a linear model using two M³ bands (R950/R750 and R750), Lucey's θ parameter [3] trained on M³, Lucey et al.'s published constants with a re-trained two-band model on Clementine reflectances in the table, and the training fold mean.</w:t>
      </w:r>
    </w:p>
    <w:p>
      <w:pPr>
        <w:pStyle w:val="MDPI23heading3"/>
        <w:keepNext/>
      </w:pPr>
      <w:r>
        <w:rPr/>
        <w:t>3.1.2. Parameter Settings</w:t>
      </w:r>
    </w:p>
    <w:p>
      <w:pPr>
        <w:pStyle w:val="MDPI31text"/>
      </w:pPr>
      <w:r>
        <w:rPr/>
        <w:t>Table 1 contains the fixed parameters. All LUMEN hyperparameters were tuned using only the synthetic data development, and the evaluation method was fixed before applying the models to any real folds, and the following experiments (Sections 3.3, 3.6, and 3.7) were committed before performing them.</w:t>
      </w:r>
    </w:p>
    <w:p>
      <w:pPr>
        <w:pStyle w:val="MDPI41tablecaption"/>
        <w:keepNext/>
      </w:pPr>
      <w:r>
        <w:rPr>
          <w:b/>
        </w:rPr>
        <w:t>Table 1.</w:t>
      </w:r>
      <w:r>
        <w:rPr/>
        <w:t xml:space="preserve"> Fixed LUMEN settings.</w:t>
      </w:r>
    </w:p>
    <w:tbl>
      <w:tblPr>
        <w:tblW w:type="auto" w:w="0"/>
        <w:tblLook w:firstColumn="1" w:firstRow="1" w:lastColumn="0" w:lastRow="0" w:noHBand="0" w:noVBand="1" w:val="04A0"/>
        <w:tblW w:w="7859" w:type="dxa"/>
        <w:tblInd w:w="2608" w:type="dxa"/>
        <w:tblBorders>
          <w:top w:val="single" w:sz="8" w:space="0" w:color="000000"/>
          <w:bottom w:val="single" w:sz="8" w:space="0" w:color="000000"/>
        </w:tblBorders>
        <w:tblLayout w:type="fixed"/>
      </w:tblPr>
      <w:tblGrid>
        <w:gridCol w:w="1275"/>
        <w:gridCol w:w="6584"/>
      </w:tblGrid>
      <w:tr>
        <w:tc>
          <w:tcPr>
            <w:tcW w:type="dxa" w:w="1275"/>
            <w:tcBorders>
              <w:bottom w:val="single" w:sz="4" w:space="0" w:color="000000"/>
            </w:tcBorders>
          </w:tcPr>
          <w:p>
            <w:pPr>
              <w:pStyle w:val="MDPI42tablebody"/>
              <w:keepNext/>
            </w:pPr>
            <w:r>
              <w:rPr>
                <w:b/>
              </w:rPr>
              <w:t>Component</w:t>
            </w:r>
          </w:p>
        </w:tc>
        <w:tc>
          <w:tcPr>
            <w:tcW w:type="dxa" w:w="6584"/>
            <w:tcBorders>
              <w:bottom w:val="single" w:sz="4" w:space="0" w:color="000000"/>
            </w:tcBorders>
          </w:tcPr>
          <w:p>
            <w:pPr>
              <w:pStyle w:val="MDPI42tablebody"/>
              <w:keepNext/>
            </w:pPr>
            <w:r>
              <w:rPr>
                <w:b/>
              </w:rPr>
              <w:t>Setting</w:t>
            </w:r>
          </w:p>
        </w:tc>
      </w:tr>
      <w:tr>
        <w:tc>
          <w:tcPr>
            <w:tcW w:type="dxa" w:w="1275"/>
          </w:tcPr>
          <w:p>
            <w:pPr>
              <w:pStyle w:val="MDPI42tablebody"/>
              <w:keepNext/>
            </w:pPr>
            <w:r>
              <w:rPr/>
              <w:t>Simulator</w:t>
            </w:r>
          </w:p>
        </w:tc>
        <w:tc>
          <w:tcPr>
            <w:tcW w:type="dxa" w:w="6584"/>
          </w:tcPr>
          <w:p>
            <w:pPr>
              <w:pStyle w:val="MDPI42tablebody"/>
              <w:keepNext/>
            </w:pPr>
            <w:r>
              <w:rPr/>
              <w:t>400,000 spectra; 49 end-members; grain size 4–150 µm; scale ±7%; noise 0.2–0.8%</w:t>
            </w:r>
          </w:p>
        </w:tc>
      </w:tr>
      <w:tr>
        <w:tc>
          <w:tcPr>
            <w:tcW w:type="dxa" w:w="1275"/>
          </w:tcPr>
          <w:p>
            <w:pPr>
              <w:pStyle w:val="MDPI42tablebody"/>
              <w:keepNext/>
            </w:pPr>
            <w:r>
              <w:rPr/>
              <w:t>Input</w:t>
            </w:r>
          </w:p>
        </w:tc>
        <w:tc>
          <w:tcPr>
            <w:tcW w:type="dxa" w:w="6584"/>
          </w:tcPr>
          <w:p>
            <w:pPr>
              <w:pStyle w:val="MDPI42tablebody"/>
              <w:keepNext/>
            </w:pPr>
            <w:r>
              <w:rPr/>
              <w:t>2 × 71 (log R, continuum-removed R), standardised with synthetic statistics</w:t>
            </w:r>
          </w:p>
        </w:tc>
      </w:tr>
      <w:tr>
        <w:tc>
          <w:tcPr>
            <w:tcW w:type="dxa" w:w="1275"/>
          </w:tcPr>
          <w:p>
            <w:pPr>
              <w:pStyle w:val="MDPI42tablebody"/>
              <w:keepNext w:val="0"/>
            </w:pPr>
            <w:r>
              <w:rPr/>
              <w:t>Network</w:t>
            </w:r>
          </w:p>
        </w:tc>
        <w:tc>
          <w:tcPr>
            <w:tcW w:type="dxa" w:w="6584"/>
          </w:tcPr>
          <w:p>
            <w:pPr>
              <w:pStyle w:val="MDPI42tablebody"/>
              <w:keepNext w:val="0"/>
            </w:pPr>
            <w:r>
              <w:rPr/>
              <w:t>5 conv layers (32/32/64/64/64; kernels 7/5/5/3/3), GroupNorm, GELU, 2 max-pools, trunk 256→128; 0.36 M parameters</w:t>
            </w:r>
          </w:p>
        </w:tc>
      </w:tr>
      <w:tr>
        <w:tc>
          <w:tcPr>
            <w:tcW w:type="dxa" w:w="1275"/>
          </w:tcPr>
          <w:p>
            <w:pPr>
              <w:pStyle w:val="MDPI42tablebody"/>
              <w:keepNext w:val="0"/>
            </w:pPr>
            <w:r>
              <w:rPr/>
              <w:t>Losses</w:t>
            </w:r>
          </w:p>
        </w:tc>
        <w:tc>
          <w:tcPr>
            <w:tcW w:type="dxa" w:w="6584"/>
          </w:tcPr>
          <w:p>
            <w:pPr>
              <w:pStyle w:val="MDPI42tablebody"/>
              <w:keepNext w:val="0"/>
            </w:pPr>
            <w:r>
              <w:rPr/>
              <w:t>Dirichlet NLL + L1 (λ₁ = 10, ε = 0.005); β-NLL (β = 0.5)</w:t>
            </w:r>
          </w:p>
        </w:tc>
      </w:tr>
      <w:tr>
        <w:tc>
          <w:tcPr>
            <w:tcW w:type="dxa" w:w="1275"/>
          </w:tcPr>
          <w:p>
            <w:pPr>
              <w:pStyle w:val="MDPI42tablebody"/>
              <w:keepNext w:val="0"/>
            </w:pPr>
            <w:r>
              <w:rPr/>
              <w:t>Pretraining</w:t>
            </w:r>
          </w:p>
        </w:tc>
        <w:tc>
          <w:tcPr>
            <w:tcW w:type="dxa" w:w="6584"/>
          </w:tcPr>
          <w:p>
            <w:pPr>
              <w:pStyle w:val="MDPI42tablebody"/>
              <w:keepNext w:val="0"/>
            </w:pPr>
            <w:r>
              <w:rPr/>
              <w:t>5 members, 15 epochs, AdamW, one-cycle, batch 512</w:t>
            </w:r>
          </w:p>
        </w:tc>
      </w:tr>
      <w:tr>
        <w:tc>
          <w:tcPr>
            <w:tcW w:type="dxa" w:w="1275"/>
          </w:tcPr>
          <w:p>
            <w:pPr>
              <w:pStyle w:val="MDPI42tablebody"/>
              <w:keepNext w:val="0"/>
            </w:pPr>
            <w:r>
              <w:rPr/>
              <w:t>Fine-tuning</w:t>
            </w:r>
          </w:p>
        </w:tc>
        <w:tc>
          <w:tcPr>
            <w:tcW w:type="dxa" w:w="6584"/>
          </w:tcPr>
          <w:p>
            <w:pPr>
              <w:pStyle w:val="MDPI42tablebody"/>
              <w:keepNext w:val="0"/>
            </w:pPr>
            <w:r>
              <w:rPr/>
              <w:t>1500 steps, AdamW lr 3 × 10⁻⁴, wd 10⁻⁴, warm-up 100, cosine; batch 16 real + 32 SSA-mixup + 16 replay (A4)</w:t>
            </w:r>
          </w:p>
        </w:tc>
      </w:tr>
      <w:tr>
        <w:tc>
          <w:tcPr>
            <w:tcW w:type="dxa" w:w="1275"/>
          </w:tcPr>
          <w:p>
            <w:pPr>
              <w:pStyle w:val="MDPI42tablebody"/>
              <w:keepNext w:val="0"/>
            </w:pPr>
            <w:r>
              <w:rPr/>
              <w:t>Orbital fine-tuning</w:t>
            </w:r>
          </w:p>
        </w:tc>
        <w:tc>
          <w:tcPr>
            <w:tcW w:type="dxa" w:w="6584"/>
          </w:tcPr>
          <w:p>
            <w:pPr>
              <w:pStyle w:val="MDPI42tablebody"/>
              <w:keepNext w:val="0"/>
            </w:pPr>
            <w:r>
              <w:rPr/>
              <w:t>600 steps, lr 10⁻⁴, batch 16 M³ + 16 lab spectra</w:t>
            </w:r>
          </w:p>
        </w:tc>
      </w:tr>
      <w:tr>
        <w:tc>
          <w:tcPr>
            <w:tcW w:type="dxa" w:w="1275"/>
          </w:tcPr>
          <w:p>
            <w:pPr>
              <w:pStyle w:val="MDPI42tablebody"/>
              <w:keepNext w:val="0"/>
            </w:pPr>
            <w:r>
              <w:rPr/>
              <w:t>Uncertainty</w:t>
            </w:r>
          </w:p>
        </w:tc>
        <w:tc>
          <w:tcPr>
            <w:tcW w:type="dxa" w:w="6584"/>
          </w:tcPr>
          <w:p>
            <w:pPr>
              <w:pStyle w:val="MDPI42tablebody"/>
              <w:keepNext w:val="0"/>
            </w:pPr>
            <w:r>
              <w:rPr/>
              <w:t>5-member ensemble; normalised conformal (CV+) intervals; gate on bootstrap skill CI</w:t>
            </w:r>
          </w:p>
        </w:tc>
      </w:tr>
      <w:tr>
        <w:tc>
          <w:tcPr>
            <w:tcW w:type="dxa" w:w="1275"/>
          </w:tcPr>
          <w:p>
            <w:pPr>
              <w:pStyle w:val="MDPI42tablebody"/>
              <w:keepNext w:val="0"/>
            </w:pPr>
            <w:r>
              <w:rPr/>
              <w:t>Hardware</w:t>
            </w:r>
          </w:p>
        </w:tc>
        <w:tc>
          <w:tcPr>
            <w:tcW w:type="dxa" w:w="6584"/>
          </w:tcPr>
          <w:p>
            <w:pPr>
              <w:pStyle w:val="MDPI42tablebody"/>
              <w:keepNext w:val="0"/>
            </w:pPr>
            <w:r>
              <w:rPr/>
              <w:t>CPU only (4 cores); pretraining ≈ 45 min; one fine-tune ≈ 6 s</w:t>
            </w:r>
          </w:p>
        </w:tc>
      </w:tr>
    </w:tbl>
    <w:p>
      <w:pPr>
        <w:pStyle w:val="MDPI23heading3"/>
        <w:keepNext/>
      </w:pPr>
      <w:r>
        <w:rPr/>
        <w:t>3.1.3. Evaluation Protocols and Metrics</w:t>
      </w:r>
    </w:p>
    <w:p>
      <w:pPr>
        <w:pStyle w:val="MDPI31text"/>
      </w:pPr>
      <w:r>
        <w:rPr/>
        <w:t>Figure 4 shows the experimental design. Using leave-one-soil-out (LOSO; 19 folds) strategy, all four fractions of the held-out soil are left out of fine-tuning, mixup, and normalization calculations. Leave-one-mission-out (LOMO; 6 folds: A11, A12, A14, A15, A16, A17) is used as an out-of-distribution test – leaving A16 out removes all feldspathic soils, while leaving A17 out removes all high-Ti soils. The main measure is the mean absolute error (MAE) per soil: the averages of the fractions within each soil are taken, followed by averaging over the 19 soils, such that the number of independent units equals the number of soils rather than the number of spectra. R² and RMSE are calculated per spectrum. Comparisons of methods are made using paired Wilcoxon signed-rank tests per soil [38], with Holm corrections [39] per 13 target minerals or per comparators, and confidence intervals are bootstrapped over soils.</w:t>
      </w:r>
    </w:p>
    <w:p>
      <w:pPr>
        <w:pStyle w:val="MDPI52figure"/>
        <w:keepNext/>
        <w:ind w:left="0"/>
        <w:jc w:val="center"/>
      </w:pPr>
      <w:r>
        <w:drawing>
          <wp:inline xmlns:a="http://schemas.openxmlformats.org/drawingml/2006/main" xmlns:pic="http://schemas.openxmlformats.org/drawingml/2006/picture">
            <wp:extent cx="6120000" cy="2194831"/>
            <wp:docPr id="4" name="Picture 4"/>
            <wp:cNvGraphicFramePr>
              <a:graphicFrameLocks noChangeAspect="1"/>
            </wp:cNvGraphicFramePr>
            <a:graphic>
              <a:graphicData uri="http://schemas.openxmlformats.org/drawingml/2006/picture">
                <pic:pic>
                  <pic:nvPicPr>
                    <pic:cNvPr id="0" name="fig04_evaluation.png"/>
                    <pic:cNvPicPr/>
                  </pic:nvPicPr>
                  <pic:blipFill>
                    <a:blip r:embed="rId22"/>
                    <a:stretch>
                      <a:fillRect/>
                    </a:stretch>
                  </pic:blipFill>
                  <pic:spPr>
                    <a:xfrm>
                      <a:off x="0" y="0"/>
                      <a:ext cx="6120000" cy="2194831"/>
                    </a:xfrm>
                    <a:prstGeom prst="rect"/>
                  </pic:spPr>
                </pic:pic>
              </a:graphicData>
            </a:graphic>
          </wp:inline>
        </w:drawing>
      </w:r>
    </w:p>
    <w:p>
      <w:pPr>
        <w:pStyle w:val="MDPI511onefigurecaption"/>
      </w:pPr>
      <w:r>
        <w:rPr>
          <w:b/>
        </w:rPr>
        <w:t>Figure 4.</w:t>
      </w:r>
      <w:r>
        <w:rPr/>
        <w:t xml:space="preserve"> Evaluation design. The laboratory predictors are validated through leave-one-soil-out and leave-one-mission-out cross-validation, where the A2/A4 predictor is chosen through inner grouped five-fold cross-validation for each outer training set. The orbital FeO predictor is validated on the 49 sample-return sites through ten-fold cross-validation on the sites (P1, following [16]'s procedure) and leave-one-landing-site-out cross-validation (P2).</w:t>
      </w:r>
    </w:p>
    <w:p>
      <w:pPr>
        <w:pStyle w:val="MDPI22heading2"/>
        <w:keepNext/>
      </w:pPr>
      <w:r>
        <w:rPr/>
        <w:t>3.2. Simulator Validation</w:t>
      </w:r>
    </w:p>
    <w:p>
      <w:pPr>
        <w:pStyle w:val="MDPI31text"/>
      </w:pPr>
      <w:r>
        <w:rPr/>
        <w:t>All simulator's self-tests are passed. The k(λ) of each end-member reproduces its measured reflectance to 7.8 × 10⁻¹¹. Truncating the composition prior reduces the 99th percentile synthetic TiO₂ from 30.5 to 14.0 wt% (LSCC maximum 10.7) and FeO from 31.8 to 24.4 wt%. The LSCC bulk oxides are reproduced by modal composition × class-average phase chemistry with r = 0.93–0.98. Mare TiO₂ is biased by +2.9 wt% which only affects the scale of the pretraining labels. Mixing of their sieve fractions reproduces the measured &lt;45 µm spectra to 0.6% RMS. The median nearest synthetic neighbor distance of the 75 LSCC spectra is 0.102, compared to 0.144 between synthetic spectra, indicating that real data lie inside the synthetic distribution; yet a classifier separates real from synthetic spectra with an AUC of 0.97 (0.99 against noise-free synthetics), with real soils being redder than their nearest synthetic neighbors. Fine tuning must close this sim-to-real gap.</w:t>
      </w:r>
    </w:p>
    <w:p>
      <w:pPr>
        <w:pStyle w:val="MDPI22heading2"/>
        <w:keepNext/>
      </w:pPr>
      <w:r>
        <w:rPr/>
        <w:t>3.3. Accuracy on the LSCC Soils</w:t>
      </w:r>
    </w:p>
    <w:p>
      <w:pPr>
        <w:pStyle w:val="MDPI31text"/>
      </w:pPr>
      <w:r>
        <w:rPr/>
        <w:t>Table 2 shows per-soil MAE values. Under LOSO, LUMEN (A4) has a skill of 0.50 over the zero-information reference for composition and 0.72 for FeO. It has a lower error than all classical baselines on 12 of 13 targets, the exception always being olivine, and after Holm correction it is significantly better than PLS on 9 targets and than the mean of other soils on 10. A4 is lower than the strongest baseline, a random forest on the same inputs, for 12 out of 13 targets, but only maturity is significant after correction (for FeO, raw p = 0.005, Holm p = 0.064). Under LOMO all methods degrade, with A4’s composition MAE increasing from 2.66 to 4.70 vol% and its FeO MAE from 1.26 to 2.59 wt%. A4 is below RF for 10 of the 13 targets, significantly so for LCP, HCP and TiO₂. The zero-information reference is not beaten by any method of “other” class.</w:t>
      </w:r>
    </w:p>
    <w:p>
      <w:pPr>
        <w:pStyle w:val="MDPI411onetablecaption"/>
        <w:keepNext/>
      </w:pPr>
      <w:r>
        <w:rPr>
          <w:b/>
        </w:rPr>
        <w:t>Table 2.</w:t>
      </w:r>
      <w:r>
        <w:rPr/>
        <w:t xml:space="preserve"> Per-soil MAE, LOSO / LOMO (composition in vol%, oxides in wt%, maturity in log₁₀ Is/FeO). Bold: lowest per row and protocol.</w:t>
      </w:r>
    </w:p>
    <w:tbl>
      <w:tblPr>
        <w:tblW w:type="auto" w:w="0"/>
        <w:tblLook w:firstColumn="1" w:firstRow="1" w:lastColumn="0" w:lastRow="0" w:noHBand="0" w:noVBand="1" w:val="04A0"/>
        <w:tblW w:w="10466" w:type="dxa"/>
        <w:tblInd w:w="0" w:type="dxa"/>
        <w:tblBorders>
          <w:top w:val="single" w:sz="8" w:space="0" w:color="000000"/>
          <w:bottom w:val="single" w:sz="8" w:space="0" w:color="000000"/>
        </w:tblBorders>
        <w:tblLayout w:type="fixed"/>
      </w:tblPr>
      <w:tblGrid>
        <w:gridCol w:w="2203"/>
        <w:gridCol w:w="1693"/>
        <w:gridCol w:w="1693"/>
        <w:gridCol w:w="1693"/>
        <w:gridCol w:w="1591"/>
        <w:gridCol w:w="1593"/>
      </w:tblGrid>
      <w:tr>
        <w:tc>
          <w:tcPr>
            <w:tcW w:type="dxa" w:w="2203"/>
            <w:tcBorders>
              <w:bottom w:val="single" w:sz="4" w:space="0" w:color="000000"/>
            </w:tcBorders>
          </w:tcPr>
          <w:p>
            <w:pPr>
              <w:pStyle w:val="MDPI42tablebody"/>
              <w:keepNext/>
            </w:pPr>
            <w:r>
              <w:rPr>
                <w:b/>
              </w:rPr>
              <w:t>Target</w:t>
            </w:r>
          </w:p>
        </w:tc>
        <w:tc>
          <w:tcPr>
            <w:tcW w:type="dxa" w:w="1693"/>
            <w:tcBorders>
              <w:bottom w:val="single" w:sz="4" w:space="0" w:color="000000"/>
            </w:tcBorders>
          </w:tcPr>
          <w:p>
            <w:pPr>
              <w:pStyle w:val="MDPI42tablebody"/>
              <w:keepNext/>
            </w:pPr>
            <w:r>
              <w:rPr>
                <w:b/>
              </w:rPr>
              <w:t>Mean of others</w:t>
            </w:r>
          </w:p>
        </w:tc>
        <w:tc>
          <w:tcPr>
            <w:tcW w:type="dxa" w:w="1693"/>
            <w:tcBorders>
              <w:bottom w:val="single" w:sz="4" w:space="0" w:color="000000"/>
            </w:tcBorders>
          </w:tcPr>
          <w:p>
            <w:pPr>
              <w:pStyle w:val="MDPI42tablebody"/>
              <w:keepNext/>
            </w:pPr>
            <w:r>
              <w:rPr>
                <w:b/>
              </w:rPr>
              <w:t>PLS</w:t>
            </w:r>
          </w:p>
        </w:tc>
        <w:tc>
          <w:tcPr>
            <w:tcW w:type="dxa" w:w="1693"/>
            <w:tcBorders>
              <w:bottom w:val="single" w:sz="4" w:space="0" w:color="000000"/>
            </w:tcBorders>
          </w:tcPr>
          <w:p>
            <w:pPr>
              <w:pStyle w:val="MDPI42tablebody"/>
              <w:keepNext/>
            </w:pPr>
            <w:r>
              <w:rPr>
                <w:b/>
              </w:rPr>
              <w:t>Ridge</w:t>
            </w:r>
          </w:p>
        </w:tc>
        <w:tc>
          <w:tcPr>
            <w:tcW w:type="dxa" w:w="1591"/>
            <w:tcBorders>
              <w:bottom w:val="single" w:sz="4" w:space="0" w:color="000000"/>
            </w:tcBorders>
          </w:tcPr>
          <w:p>
            <w:pPr>
              <w:pStyle w:val="MDPI42tablebody"/>
              <w:keepNext/>
            </w:pPr>
            <w:r>
              <w:rPr>
                <w:b/>
              </w:rPr>
              <w:t>RF</w:t>
            </w:r>
          </w:p>
        </w:tc>
        <w:tc>
          <w:tcPr>
            <w:tcW w:type="dxa" w:w="1593"/>
            <w:tcBorders>
              <w:bottom w:val="single" w:sz="4" w:space="0" w:color="000000"/>
            </w:tcBorders>
          </w:tcPr>
          <w:p>
            <w:pPr>
              <w:pStyle w:val="MDPI42tablebody"/>
              <w:keepNext/>
            </w:pPr>
            <w:r>
              <w:rPr>
                <w:b/>
              </w:rPr>
              <w:t>LUMEN (A4)</w:t>
            </w:r>
          </w:p>
        </w:tc>
      </w:tr>
      <w:tr>
        <w:tc>
          <w:tcPr>
            <w:tcW w:type="dxa" w:w="2203"/>
          </w:tcPr>
          <w:p>
            <w:pPr>
              <w:pStyle w:val="MDPI42tablebody"/>
              <w:keepNext/>
            </w:pPr>
            <w:r>
              <w:rPr/>
              <w:t>PLG</w:t>
            </w:r>
          </w:p>
        </w:tc>
        <w:tc>
          <w:tcPr>
            <w:tcW w:type="dxa" w:w="1693"/>
          </w:tcPr>
          <w:p>
            <w:pPr>
              <w:pStyle w:val="MDPI42tablebody"/>
              <w:keepNext/>
            </w:pPr>
            <w:r>
              <w:rPr/>
              <w:t>14.09 / 17.74</w:t>
            </w:r>
          </w:p>
        </w:tc>
        <w:tc>
          <w:tcPr>
            <w:tcW w:type="dxa" w:w="1693"/>
          </w:tcPr>
          <w:p>
            <w:pPr>
              <w:pStyle w:val="MDPI42tablebody"/>
              <w:keepNext/>
            </w:pPr>
            <w:r>
              <w:rPr/>
              <w:t>11.13 / 16.66</w:t>
            </w:r>
          </w:p>
        </w:tc>
        <w:tc>
          <w:tcPr>
            <w:tcW w:type="dxa" w:w="1693"/>
          </w:tcPr>
          <w:p>
            <w:pPr>
              <w:pStyle w:val="MDPI42tablebody"/>
              <w:keepNext/>
            </w:pPr>
            <w:r>
              <w:rPr/>
              <w:t>10.58 / 16.68</w:t>
            </w:r>
          </w:p>
        </w:tc>
        <w:tc>
          <w:tcPr>
            <w:tcW w:type="dxa" w:w="1591"/>
          </w:tcPr>
          <w:p>
            <w:pPr>
              <w:pStyle w:val="MDPI42tablebody"/>
              <w:keepNext/>
            </w:pPr>
            <w:r>
              <w:rPr/>
              <w:t>7.13 / 12.45</w:t>
            </w:r>
          </w:p>
        </w:tc>
        <w:tc>
          <w:tcPr>
            <w:tcW w:type="dxa" w:w="1593"/>
          </w:tcPr>
          <w:p>
            <w:pPr>
              <w:pStyle w:val="MDPI42tablebody"/>
              <w:keepNext/>
            </w:pPr>
            <w:r>
              <w:rPr>
                <w:b/>
              </w:rPr>
              <w:t>4.82 / 11.31</w:t>
            </w:r>
          </w:p>
        </w:tc>
      </w:tr>
      <w:tr>
        <w:tc>
          <w:tcPr>
            <w:tcW w:type="dxa" w:w="2203"/>
          </w:tcPr>
          <w:p>
            <w:pPr>
              <w:pStyle w:val="MDPI42tablebody"/>
              <w:keepNext/>
            </w:pPr>
            <w:r>
              <w:rPr/>
              <w:t>LCP</w:t>
            </w:r>
          </w:p>
        </w:tc>
        <w:tc>
          <w:tcPr>
            <w:tcW w:type="dxa" w:w="1693"/>
          </w:tcPr>
          <w:p>
            <w:pPr>
              <w:pStyle w:val="MDPI42tablebody"/>
              <w:keepNext/>
            </w:pPr>
            <w:r>
              <w:rPr/>
              <w:t>3.23 / 3.89</w:t>
            </w:r>
          </w:p>
        </w:tc>
        <w:tc>
          <w:tcPr>
            <w:tcW w:type="dxa" w:w="1693"/>
          </w:tcPr>
          <w:p>
            <w:pPr>
              <w:pStyle w:val="MDPI42tablebody"/>
              <w:keepNext/>
            </w:pPr>
            <w:r>
              <w:rPr/>
              <w:t>2.40 / 3.69</w:t>
            </w:r>
          </w:p>
        </w:tc>
        <w:tc>
          <w:tcPr>
            <w:tcW w:type="dxa" w:w="1693"/>
          </w:tcPr>
          <w:p>
            <w:pPr>
              <w:pStyle w:val="MDPI42tablebody"/>
              <w:keepNext/>
            </w:pPr>
            <w:r>
              <w:rPr/>
              <w:t>2.38 / 3.47</w:t>
            </w:r>
          </w:p>
        </w:tc>
        <w:tc>
          <w:tcPr>
            <w:tcW w:type="dxa" w:w="1591"/>
          </w:tcPr>
          <w:p>
            <w:pPr>
              <w:pStyle w:val="MDPI42tablebody"/>
              <w:keepNext/>
            </w:pPr>
            <w:r>
              <w:rPr/>
              <w:t>2.23 / 3.33</w:t>
            </w:r>
          </w:p>
        </w:tc>
        <w:tc>
          <w:tcPr>
            <w:tcW w:type="dxa" w:w="1593"/>
          </w:tcPr>
          <w:p>
            <w:pPr>
              <w:pStyle w:val="MDPI42tablebody"/>
              <w:keepNext/>
            </w:pPr>
            <w:r>
              <w:rPr>
                <w:b/>
              </w:rPr>
              <w:t>1.75 / 2.50</w:t>
            </w:r>
          </w:p>
        </w:tc>
      </w:tr>
      <w:tr>
        <w:tc>
          <w:tcPr>
            <w:tcW w:type="dxa" w:w="2203"/>
          </w:tcPr>
          <w:p>
            <w:pPr>
              <w:pStyle w:val="MDPI42tablebody"/>
              <w:keepNext w:val="0"/>
            </w:pPr>
            <w:r>
              <w:rPr/>
              <w:t>HCP</w:t>
            </w:r>
          </w:p>
        </w:tc>
        <w:tc>
          <w:tcPr>
            <w:tcW w:type="dxa" w:w="1693"/>
          </w:tcPr>
          <w:p>
            <w:pPr>
              <w:pStyle w:val="MDPI42tablebody"/>
              <w:keepNext w:val="0"/>
            </w:pPr>
            <w:r>
              <w:rPr/>
              <w:t>2.89 / 3.49</w:t>
            </w:r>
          </w:p>
        </w:tc>
        <w:tc>
          <w:tcPr>
            <w:tcW w:type="dxa" w:w="1693"/>
          </w:tcPr>
          <w:p>
            <w:pPr>
              <w:pStyle w:val="MDPI42tablebody"/>
              <w:keepNext w:val="0"/>
            </w:pPr>
            <w:r>
              <w:rPr/>
              <w:t>1.92 / 1.72</w:t>
            </w:r>
          </w:p>
        </w:tc>
        <w:tc>
          <w:tcPr>
            <w:tcW w:type="dxa" w:w="1693"/>
          </w:tcPr>
          <w:p>
            <w:pPr>
              <w:pStyle w:val="MDPI42tablebody"/>
              <w:keepNext w:val="0"/>
            </w:pPr>
            <w:r>
              <w:rPr/>
              <w:t>1.78 / 1.78</w:t>
            </w:r>
          </w:p>
        </w:tc>
        <w:tc>
          <w:tcPr>
            <w:tcW w:type="dxa" w:w="1591"/>
          </w:tcPr>
          <w:p>
            <w:pPr>
              <w:pStyle w:val="MDPI42tablebody"/>
              <w:keepNext w:val="0"/>
            </w:pPr>
            <w:r>
              <w:rPr/>
              <w:t>1.57 / 1.93</w:t>
            </w:r>
          </w:p>
        </w:tc>
        <w:tc>
          <w:tcPr>
            <w:tcW w:type="dxa" w:w="1593"/>
          </w:tcPr>
          <w:p>
            <w:pPr>
              <w:pStyle w:val="MDPI42tablebody"/>
              <w:keepNext w:val="0"/>
            </w:pPr>
            <w:r>
              <w:rPr>
                <w:b/>
              </w:rPr>
              <w:t>1.07 / 1.22</w:t>
            </w:r>
          </w:p>
        </w:tc>
      </w:tr>
      <w:tr>
        <w:tc>
          <w:tcPr>
            <w:tcW w:type="dxa" w:w="2203"/>
          </w:tcPr>
          <w:p>
            <w:pPr>
              <w:pStyle w:val="MDPI42tablebody"/>
              <w:keepNext w:val="0"/>
            </w:pPr>
            <w:r>
              <w:rPr/>
              <w:t>OLV</w:t>
            </w:r>
          </w:p>
        </w:tc>
        <w:tc>
          <w:tcPr>
            <w:tcW w:type="dxa" w:w="1693"/>
          </w:tcPr>
          <w:p>
            <w:pPr>
              <w:pStyle w:val="MDPI42tablebody"/>
              <w:keepNext w:val="0"/>
            </w:pPr>
            <w:r>
              <w:rPr/>
              <w:t>0.93 / 1.05</w:t>
            </w:r>
          </w:p>
        </w:tc>
        <w:tc>
          <w:tcPr>
            <w:tcW w:type="dxa" w:w="1693"/>
          </w:tcPr>
          <w:p>
            <w:pPr>
              <w:pStyle w:val="MDPI42tablebody"/>
              <w:keepNext w:val="0"/>
            </w:pPr>
            <w:r>
              <w:rPr/>
              <w:t>0.87 / 1.06</w:t>
            </w:r>
          </w:p>
        </w:tc>
        <w:tc>
          <w:tcPr>
            <w:tcW w:type="dxa" w:w="1693"/>
          </w:tcPr>
          <w:p>
            <w:pPr>
              <w:pStyle w:val="MDPI42tablebody"/>
              <w:keepNext w:val="0"/>
            </w:pPr>
            <w:r>
              <w:rPr/>
              <w:t>0.87 / 1.03</w:t>
            </w:r>
          </w:p>
        </w:tc>
        <w:tc>
          <w:tcPr>
            <w:tcW w:type="dxa" w:w="1591"/>
          </w:tcPr>
          <w:p>
            <w:pPr>
              <w:pStyle w:val="MDPI42tablebody"/>
              <w:keepNext w:val="0"/>
            </w:pPr>
            <w:r>
              <w:rPr>
                <w:b/>
              </w:rPr>
              <w:t>0.84 / 0.98</w:t>
            </w:r>
          </w:p>
        </w:tc>
        <w:tc>
          <w:tcPr>
            <w:tcW w:type="dxa" w:w="1593"/>
          </w:tcPr>
          <w:p>
            <w:pPr>
              <w:pStyle w:val="MDPI42tablebody"/>
              <w:keepNext w:val="0"/>
            </w:pPr>
            <w:r>
              <w:rPr/>
              <w:t>0.98 / 1.13</w:t>
            </w:r>
          </w:p>
        </w:tc>
      </w:tr>
      <w:tr>
        <w:tc>
          <w:tcPr>
            <w:tcW w:type="dxa" w:w="2203"/>
          </w:tcPr>
          <w:p>
            <w:pPr>
              <w:pStyle w:val="MDPI42tablebody"/>
              <w:keepNext w:val="0"/>
            </w:pPr>
            <w:r>
              <w:rPr/>
              <w:t>ILM</w:t>
            </w:r>
          </w:p>
        </w:tc>
        <w:tc>
          <w:tcPr>
            <w:tcW w:type="dxa" w:w="1693"/>
          </w:tcPr>
          <w:p>
            <w:pPr>
              <w:pStyle w:val="MDPI42tablebody"/>
              <w:keepNext w:val="0"/>
            </w:pPr>
            <w:r>
              <w:rPr/>
              <w:t>2.63 / 3.22</w:t>
            </w:r>
          </w:p>
        </w:tc>
        <w:tc>
          <w:tcPr>
            <w:tcW w:type="dxa" w:w="1693"/>
          </w:tcPr>
          <w:p>
            <w:pPr>
              <w:pStyle w:val="MDPI42tablebody"/>
              <w:keepNext w:val="0"/>
            </w:pPr>
            <w:r>
              <w:rPr/>
              <w:t>1.89 / 2.18</w:t>
            </w:r>
          </w:p>
        </w:tc>
        <w:tc>
          <w:tcPr>
            <w:tcW w:type="dxa" w:w="1693"/>
          </w:tcPr>
          <w:p>
            <w:pPr>
              <w:pStyle w:val="MDPI42tablebody"/>
              <w:keepNext w:val="0"/>
            </w:pPr>
            <w:r>
              <w:rPr/>
              <w:t>1.81 / 2.10</w:t>
            </w:r>
          </w:p>
        </w:tc>
        <w:tc>
          <w:tcPr>
            <w:tcW w:type="dxa" w:w="1591"/>
          </w:tcPr>
          <w:p>
            <w:pPr>
              <w:pStyle w:val="MDPI42tablebody"/>
              <w:keepNext w:val="0"/>
            </w:pPr>
            <w:r>
              <w:rPr/>
              <w:t>1.68 / 2.30</w:t>
            </w:r>
          </w:p>
        </w:tc>
        <w:tc>
          <w:tcPr>
            <w:tcW w:type="dxa" w:w="1593"/>
          </w:tcPr>
          <w:p>
            <w:pPr>
              <w:pStyle w:val="MDPI42tablebody"/>
              <w:keepNext w:val="0"/>
            </w:pPr>
            <w:r>
              <w:rPr>
                <w:b/>
              </w:rPr>
              <w:t>1.22 / 1.69</w:t>
            </w:r>
          </w:p>
        </w:tc>
      </w:tr>
      <w:tr>
        <w:tc>
          <w:tcPr>
            <w:tcW w:type="dxa" w:w="2203"/>
          </w:tcPr>
          <w:p>
            <w:pPr>
              <w:pStyle w:val="MDPI42tablebody"/>
              <w:keepNext w:val="0"/>
            </w:pPr>
            <w:r>
              <w:rPr/>
              <w:t>AGG</w:t>
            </w:r>
          </w:p>
        </w:tc>
        <w:tc>
          <w:tcPr>
            <w:tcW w:type="dxa" w:w="1693"/>
          </w:tcPr>
          <w:p>
            <w:pPr>
              <w:pStyle w:val="MDPI42tablebody"/>
              <w:keepNext w:val="0"/>
            </w:pPr>
            <w:r>
              <w:rPr/>
              <w:t>9.60 / 9.53</w:t>
            </w:r>
          </w:p>
        </w:tc>
        <w:tc>
          <w:tcPr>
            <w:tcW w:type="dxa" w:w="1693"/>
          </w:tcPr>
          <w:p>
            <w:pPr>
              <w:pStyle w:val="MDPI42tablebody"/>
              <w:keepNext w:val="0"/>
            </w:pPr>
            <w:r>
              <w:rPr/>
              <w:t>9.85 / 12.29</w:t>
            </w:r>
          </w:p>
        </w:tc>
        <w:tc>
          <w:tcPr>
            <w:tcW w:type="dxa" w:w="1693"/>
          </w:tcPr>
          <w:p>
            <w:pPr>
              <w:pStyle w:val="MDPI42tablebody"/>
              <w:keepNext w:val="0"/>
            </w:pPr>
            <w:r>
              <w:rPr/>
              <w:t>9.29 / 11.86</w:t>
            </w:r>
          </w:p>
        </w:tc>
        <w:tc>
          <w:tcPr>
            <w:tcW w:type="dxa" w:w="1591"/>
          </w:tcPr>
          <w:p>
            <w:pPr>
              <w:pStyle w:val="MDPI42tablebody"/>
              <w:keepNext w:val="0"/>
            </w:pPr>
            <w:r>
              <w:rPr/>
              <w:t>7.14 / 9.94</w:t>
            </w:r>
          </w:p>
        </w:tc>
        <w:tc>
          <w:tcPr>
            <w:tcW w:type="dxa" w:w="1593"/>
          </w:tcPr>
          <w:p>
            <w:pPr>
              <w:pStyle w:val="MDPI42tablebody"/>
              <w:keepNext w:val="0"/>
            </w:pPr>
            <w:r>
              <w:rPr>
                <w:b/>
              </w:rPr>
              <w:t>5.78 / 9.18</w:t>
            </w:r>
          </w:p>
        </w:tc>
      </w:tr>
      <w:tr>
        <w:tc>
          <w:tcPr>
            <w:tcW w:type="dxa" w:w="2203"/>
          </w:tcPr>
          <w:p>
            <w:pPr>
              <w:pStyle w:val="MDPI42tablebody"/>
              <w:keepNext w:val="0"/>
            </w:pPr>
            <w:r>
              <w:rPr/>
              <w:t>OTH</w:t>
            </w:r>
          </w:p>
        </w:tc>
        <w:tc>
          <w:tcPr>
            <w:tcW w:type="dxa" w:w="1693"/>
          </w:tcPr>
          <w:p>
            <w:pPr>
              <w:pStyle w:val="MDPI42tablebody"/>
              <w:keepNext w:val="0"/>
            </w:pPr>
            <w:r>
              <w:rPr/>
              <w:t xml:space="preserve">3.85 / </w:t>
            </w:r>
            <w:r>
              <w:rPr>
                <w:b/>
              </w:rPr>
              <w:t>4.81</w:t>
            </w:r>
          </w:p>
        </w:tc>
        <w:tc>
          <w:tcPr>
            <w:tcW w:type="dxa" w:w="1693"/>
          </w:tcPr>
          <w:p>
            <w:pPr>
              <w:pStyle w:val="MDPI42tablebody"/>
              <w:keepNext w:val="0"/>
            </w:pPr>
            <w:r>
              <w:rPr/>
              <w:t>3.62 / 5.34</w:t>
            </w:r>
          </w:p>
        </w:tc>
        <w:tc>
          <w:tcPr>
            <w:tcW w:type="dxa" w:w="1693"/>
          </w:tcPr>
          <w:p>
            <w:pPr>
              <w:pStyle w:val="MDPI42tablebody"/>
              <w:keepNext w:val="0"/>
            </w:pPr>
            <w:r>
              <w:rPr/>
              <w:t>3.45 / 5.22</w:t>
            </w:r>
          </w:p>
        </w:tc>
        <w:tc>
          <w:tcPr>
            <w:tcW w:type="dxa" w:w="1591"/>
          </w:tcPr>
          <w:p>
            <w:pPr>
              <w:pStyle w:val="MDPI42tablebody"/>
              <w:keepNext w:val="0"/>
            </w:pPr>
            <w:r>
              <w:rPr/>
              <w:t>3.37 / 5.41</w:t>
            </w:r>
          </w:p>
        </w:tc>
        <w:tc>
          <w:tcPr>
            <w:tcW w:type="dxa" w:w="1593"/>
          </w:tcPr>
          <w:p>
            <w:pPr>
              <w:pStyle w:val="MDPI42tablebody"/>
              <w:keepNext w:val="0"/>
            </w:pPr>
            <w:r>
              <w:rPr>
                <w:b/>
              </w:rPr>
              <w:t>3.02</w:t>
            </w:r>
            <w:r>
              <w:rPr/>
              <w:t xml:space="preserve"> / 5.88</w:t>
            </w:r>
          </w:p>
        </w:tc>
      </w:tr>
      <w:tr>
        <w:tc>
          <w:tcPr>
            <w:tcW w:type="dxa" w:w="2203"/>
          </w:tcPr>
          <w:p>
            <w:pPr>
              <w:pStyle w:val="MDPI42tablebody"/>
              <w:keepNext w:val="0"/>
            </w:pPr>
            <w:r>
              <w:rPr/>
              <w:t>FeO</w:t>
            </w:r>
          </w:p>
        </w:tc>
        <w:tc>
          <w:tcPr>
            <w:tcW w:type="dxa" w:w="1693"/>
          </w:tcPr>
          <w:p>
            <w:pPr>
              <w:pStyle w:val="MDPI42tablebody"/>
              <w:keepNext w:val="0"/>
            </w:pPr>
            <w:r>
              <w:rPr/>
              <w:t>4.47 / 5.56</w:t>
            </w:r>
          </w:p>
        </w:tc>
        <w:tc>
          <w:tcPr>
            <w:tcW w:type="dxa" w:w="1693"/>
          </w:tcPr>
          <w:p>
            <w:pPr>
              <w:pStyle w:val="MDPI42tablebody"/>
              <w:keepNext w:val="0"/>
            </w:pPr>
            <w:r>
              <w:rPr/>
              <w:t>2.77 / 3.58</w:t>
            </w:r>
          </w:p>
        </w:tc>
        <w:tc>
          <w:tcPr>
            <w:tcW w:type="dxa" w:w="1693"/>
          </w:tcPr>
          <w:p>
            <w:pPr>
              <w:pStyle w:val="MDPI42tablebody"/>
              <w:keepNext w:val="0"/>
            </w:pPr>
            <w:r>
              <w:rPr/>
              <w:t>2.64 / 4.39</w:t>
            </w:r>
          </w:p>
        </w:tc>
        <w:tc>
          <w:tcPr>
            <w:tcW w:type="dxa" w:w="1591"/>
          </w:tcPr>
          <w:p>
            <w:pPr>
              <w:pStyle w:val="MDPI42tablebody"/>
              <w:keepNext w:val="0"/>
            </w:pPr>
            <w:r>
              <w:rPr/>
              <w:t>2.13 / 3.69</w:t>
            </w:r>
          </w:p>
        </w:tc>
        <w:tc>
          <w:tcPr>
            <w:tcW w:type="dxa" w:w="1593"/>
          </w:tcPr>
          <w:p>
            <w:pPr>
              <w:pStyle w:val="MDPI42tablebody"/>
              <w:keepNext w:val="0"/>
            </w:pPr>
            <w:r>
              <w:rPr>
                <w:b/>
              </w:rPr>
              <w:t>1.26 / 2.59</w:t>
            </w:r>
          </w:p>
        </w:tc>
      </w:tr>
      <w:tr>
        <w:tc>
          <w:tcPr>
            <w:tcW w:type="dxa" w:w="2203"/>
          </w:tcPr>
          <w:p>
            <w:pPr>
              <w:pStyle w:val="MDPI42tablebody"/>
              <w:keepNext w:val="0"/>
            </w:pPr>
            <w:r>
              <w:rPr/>
              <w:t>TiO₂</w:t>
            </w:r>
          </w:p>
        </w:tc>
        <w:tc>
          <w:tcPr>
            <w:tcW w:type="dxa" w:w="1693"/>
          </w:tcPr>
          <w:p>
            <w:pPr>
              <w:pStyle w:val="MDPI42tablebody"/>
              <w:keepNext w:val="0"/>
            </w:pPr>
            <w:r>
              <w:rPr/>
              <w:t>2.67 / 3.28</w:t>
            </w:r>
          </w:p>
        </w:tc>
        <w:tc>
          <w:tcPr>
            <w:tcW w:type="dxa" w:w="1693"/>
          </w:tcPr>
          <w:p>
            <w:pPr>
              <w:pStyle w:val="MDPI42tablebody"/>
              <w:keepNext w:val="0"/>
            </w:pPr>
            <w:r>
              <w:rPr/>
              <w:t>1.70 / 2.30</w:t>
            </w:r>
          </w:p>
        </w:tc>
        <w:tc>
          <w:tcPr>
            <w:tcW w:type="dxa" w:w="1693"/>
          </w:tcPr>
          <w:p>
            <w:pPr>
              <w:pStyle w:val="MDPI42tablebody"/>
              <w:keepNext w:val="0"/>
            </w:pPr>
            <w:r>
              <w:rPr/>
              <w:t>1.63 / 1.90</w:t>
            </w:r>
          </w:p>
        </w:tc>
        <w:tc>
          <w:tcPr>
            <w:tcW w:type="dxa" w:w="1591"/>
          </w:tcPr>
          <w:p>
            <w:pPr>
              <w:pStyle w:val="MDPI42tablebody"/>
              <w:keepNext w:val="0"/>
            </w:pPr>
            <w:r>
              <w:rPr/>
              <w:t>1.43 / 2.27</w:t>
            </w:r>
          </w:p>
        </w:tc>
        <w:tc>
          <w:tcPr>
            <w:tcW w:type="dxa" w:w="1593"/>
          </w:tcPr>
          <w:p>
            <w:pPr>
              <w:pStyle w:val="MDPI42tablebody"/>
              <w:keepNext w:val="0"/>
            </w:pPr>
            <w:r>
              <w:rPr>
                <w:b/>
              </w:rPr>
              <w:t>0.70 / 1.37</w:t>
            </w:r>
          </w:p>
        </w:tc>
      </w:tr>
      <w:tr>
        <w:tc>
          <w:tcPr>
            <w:tcW w:type="dxa" w:w="2203"/>
          </w:tcPr>
          <w:p>
            <w:pPr>
              <w:pStyle w:val="MDPI42tablebody"/>
              <w:keepNext w:val="0"/>
            </w:pPr>
            <w:r>
              <w:rPr/>
              <w:t>Al₂O₃</w:t>
            </w:r>
          </w:p>
        </w:tc>
        <w:tc>
          <w:tcPr>
            <w:tcW w:type="dxa" w:w="1693"/>
          </w:tcPr>
          <w:p>
            <w:pPr>
              <w:pStyle w:val="MDPI42tablebody"/>
              <w:keepNext w:val="0"/>
            </w:pPr>
            <w:r>
              <w:rPr/>
              <w:t>6.00 / 7.53</w:t>
            </w:r>
          </w:p>
        </w:tc>
        <w:tc>
          <w:tcPr>
            <w:tcW w:type="dxa" w:w="1693"/>
          </w:tcPr>
          <w:p>
            <w:pPr>
              <w:pStyle w:val="MDPI42tablebody"/>
              <w:keepNext w:val="0"/>
            </w:pPr>
            <w:r>
              <w:rPr/>
              <w:t>4.03 / 5.90</w:t>
            </w:r>
          </w:p>
        </w:tc>
        <w:tc>
          <w:tcPr>
            <w:tcW w:type="dxa" w:w="1693"/>
          </w:tcPr>
          <w:p>
            <w:pPr>
              <w:pStyle w:val="MDPI42tablebody"/>
              <w:keepNext w:val="0"/>
            </w:pPr>
            <w:r>
              <w:rPr/>
              <w:t>3.65 / 6.44</w:t>
            </w:r>
          </w:p>
        </w:tc>
        <w:tc>
          <w:tcPr>
            <w:tcW w:type="dxa" w:w="1591"/>
          </w:tcPr>
          <w:p>
            <w:pPr>
              <w:pStyle w:val="MDPI42tablebody"/>
              <w:keepNext w:val="0"/>
            </w:pPr>
            <w:r>
              <w:rPr/>
              <w:t>2.84 / 5.41</w:t>
            </w:r>
          </w:p>
        </w:tc>
        <w:tc>
          <w:tcPr>
            <w:tcW w:type="dxa" w:w="1593"/>
          </w:tcPr>
          <w:p>
            <w:pPr>
              <w:pStyle w:val="MDPI42tablebody"/>
              <w:keepNext w:val="0"/>
            </w:pPr>
            <w:r>
              <w:rPr>
                <w:b/>
              </w:rPr>
              <w:t>1.71 / 4.33</w:t>
            </w:r>
          </w:p>
        </w:tc>
      </w:tr>
      <w:tr>
        <w:tc>
          <w:tcPr>
            <w:tcW w:type="dxa" w:w="2203"/>
          </w:tcPr>
          <w:p>
            <w:pPr>
              <w:pStyle w:val="MDPI42tablebody"/>
              <w:keepNext w:val="0"/>
            </w:pPr>
            <w:r>
              <w:rPr/>
              <w:t>CaO</w:t>
            </w:r>
          </w:p>
        </w:tc>
        <w:tc>
          <w:tcPr>
            <w:tcW w:type="dxa" w:w="1693"/>
          </w:tcPr>
          <w:p>
            <w:pPr>
              <w:pStyle w:val="MDPI42tablebody"/>
              <w:keepNext w:val="0"/>
            </w:pPr>
            <w:r>
              <w:rPr/>
              <w:t>2.41 / 3.04</w:t>
            </w:r>
          </w:p>
        </w:tc>
        <w:tc>
          <w:tcPr>
            <w:tcW w:type="dxa" w:w="1693"/>
          </w:tcPr>
          <w:p>
            <w:pPr>
              <w:pStyle w:val="MDPI42tablebody"/>
              <w:keepNext w:val="0"/>
            </w:pPr>
            <w:r>
              <w:rPr/>
              <w:t>1.87 / 2.98</w:t>
            </w:r>
          </w:p>
        </w:tc>
        <w:tc>
          <w:tcPr>
            <w:tcW w:type="dxa" w:w="1693"/>
          </w:tcPr>
          <w:p>
            <w:pPr>
              <w:pStyle w:val="MDPI42tablebody"/>
              <w:keepNext w:val="0"/>
            </w:pPr>
            <w:r>
              <w:rPr/>
              <w:t>1.72 / 3.20</w:t>
            </w:r>
          </w:p>
        </w:tc>
        <w:tc>
          <w:tcPr>
            <w:tcW w:type="dxa" w:w="1591"/>
          </w:tcPr>
          <w:p>
            <w:pPr>
              <w:pStyle w:val="MDPI42tablebody"/>
              <w:keepNext w:val="0"/>
            </w:pPr>
            <w:r>
              <w:rPr/>
              <w:t>1.23 / 2.43</w:t>
            </w:r>
          </w:p>
        </w:tc>
        <w:tc>
          <w:tcPr>
            <w:tcW w:type="dxa" w:w="1593"/>
          </w:tcPr>
          <w:p>
            <w:pPr>
              <w:pStyle w:val="MDPI42tablebody"/>
              <w:keepNext w:val="0"/>
            </w:pPr>
            <w:r>
              <w:rPr>
                <w:b/>
              </w:rPr>
              <w:t>0.87 / 2.20</w:t>
            </w:r>
          </w:p>
        </w:tc>
      </w:tr>
      <w:tr>
        <w:tc>
          <w:tcPr>
            <w:tcW w:type="dxa" w:w="2203"/>
          </w:tcPr>
          <w:p>
            <w:pPr>
              <w:pStyle w:val="MDPI42tablebody"/>
              <w:keepNext w:val="0"/>
            </w:pPr>
            <w:r>
              <w:rPr/>
              <w:t>MgO</w:t>
            </w:r>
          </w:p>
        </w:tc>
        <w:tc>
          <w:tcPr>
            <w:tcW w:type="dxa" w:w="1693"/>
          </w:tcPr>
          <w:p>
            <w:pPr>
              <w:pStyle w:val="MDPI42tablebody"/>
              <w:keepNext w:val="0"/>
            </w:pPr>
            <w:r>
              <w:rPr/>
              <w:t>1.99 / 2.50</w:t>
            </w:r>
          </w:p>
        </w:tc>
        <w:tc>
          <w:tcPr>
            <w:tcW w:type="dxa" w:w="1693"/>
          </w:tcPr>
          <w:p>
            <w:pPr>
              <w:pStyle w:val="MDPI42tablebody"/>
              <w:keepNext w:val="0"/>
            </w:pPr>
            <w:r>
              <w:rPr/>
              <w:t>1.40 / 2.21</w:t>
            </w:r>
          </w:p>
        </w:tc>
        <w:tc>
          <w:tcPr>
            <w:tcW w:type="dxa" w:w="1693"/>
          </w:tcPr>
          <w:p>
            <w:pPr>
              <w:pStyle w:val="MDPI42tablebody"/>
              <w:keepNext w:val="0"/>
            </w:pPr>
            <w:r>
              <w:rPr/>
              <w:t>1.31 / 2.12</w:t>
            </w:r>
          </w:p>
        </w:tc>
        <w:tc>
          <w:tcPr>
            <w:tcW w:type="dxa" w:w="1591"/>
          </w:tcPr>
          <w:p>
            <w:pPr>
              <w:pStyle w:val="MDPI42tablebody"/>
              <w:keepNext w:val="0"/>
            </w:pPr>
            <w:r>
              <w:rPr/>
              <w:t xml:space="preserve">0.92 / </w:t>
            </w:r>
            <w:r>
              <w:rPr>
                <w:b/>
              </w:rPr>
              <w:t>1.71</w:t>
            </w:r>
          </w:p>
        </w:tc>
        <w:tc>
          <w:tcPr>
            <w:tcW w:type="dxa" w:w="1593"/>
          </w:tcPr>
          <w:p>
            <w:pPr>
              <w:pStyle w:val="MDPI42tablebody"/>
              <w:keepNext w:val="0"/>
            </w:pPr>
            <w:r>
              <w:rPr>
                <w:b/>
              </w:rPr>
              <w:t>0.78</w:t>
            </w:r>
            <w:r>
              <w:rPr/>
              <w:t xml:space="preserve"> / 1.74</w:t>
            </w:r>
          </w:p>
        </w:tc>
      </w:tr>
      <w:tr>
        <w:tc>
          <w:tcPr>
            <w:tcW w:type="dxa" w:w="2203"/>
          </w:tcPr>
          <w:p>
            <w:pPr>
              <w:pStyle w:val="MDPI42tablebody"/>
              <w:keepNext w:val="0"/>
            </w:pPr>
            <w:r>
              <w:rPr/>
              <w:t>log₁₀ Is/FeO</w:t>
            </w:r>
          </w:p>
        </w:tc>
        <w:tc>
          <w:tcPr>
            <w:tcW w:type="dxa" w:w="1693"/>
          </w:tcPr>
          <w:p>
            <w:pPr>
              <w:pStyle w:val="MDPI42tablebody"/>
              <w:keepNext w:val="0"/>
            </w:pPr>
            <w:r>
              <w:rPr/>
              <w:t>0.31 / 0.30</w:t>
            </w:r>
          </w:p>
        </w:tc>
        <w:tc>
          <w:tcPr>
            <w:tcW w:type="dxa" w:w="1693"/>
          </w:tcPr>
          <w:p>
            <w:pPr>
              <w:pStyle w:val="MDPI42tablebody"/>
              <w:keepNext w:val="0"/>
            </w:pPr>
            <w:r>
              <w:rPr/>
              <w:t>0.20 / 0.24</w:t>
            </w:r>
          </w:p>
        </w:tc>
        <w:tc>
          <w:tcPr>
            <w:tcW w:type="dxa" w:w="1693"/>
          </w:tcPr>
          <w:p>
            <w:pPr>
              <w:pStyle w:val="MDPI42tablebody"/>
              <w:keepNext w:val="0"/>
            </w:pPr>
            <w:r>
              <w:rPr/>
              <w:t>0.22 / 0.21</w:t>
            </w:r>
          </w:p>
        </w:tc>
        <w:tc>
          <w:tcPr>
            <w:tcW w:type="dxa" w:w="1591"/>
          </w:tcPr>
          <w:p>
            <w:pPr>
              <w:pStyle w:val="MDPI42tablebody"/>
              <w:keepNext w:val="0"/>
            </w:pPr>
            <w:r>
              <w:rPr/>
              <w:t>0.20 / 0.23</w:t>
            </w:r>
          </w:p>
        </w:tc>
        <w:tc>
          <w:tcPr>
            <w:tcW w:type="dxa" w:w="1593"/>
          </w:tcPr>
          <w:p>
            <w:pPr>
              <w:pStyle w:val="MDPI42tablebody"/>
              <w:keepNext w:val="0"/>
            </w:pPr>
            <w:r>
              <w:rPr>
                <w:b/>
              </w:rPr>
              <w:t>0.11 / 0.15</w:t>
            </w:r>
          </w:p>
        </w:tc>
      </w:tr>
      <w:tr>
        <w:tc>
          <w:tcPr>
            <w:tcW w:type="dxa" w:w="2203"/>
          </w:tcPr>
          <w:p>
            <w:pPr>
              <w:pStyle w:val="MDPI42tablebody"/>
              <w:keepNext w:val="0"/>
            </w:pPr>
            <w:r>
              <w:rPr/>
              <w:t>Composition (mean)</w:t>
            </w:r>
          </w:p>
        </w:tc>
        <w:tc>
          <w:tcPr>
            <w:tcW w:type="dxa" w:w="1693"/>
          </w:tcPr>
          <w:p>
            <w:pPr>
              <w:pStyle w:val="MDPI42tablebody"/>
              <w:keepNext w:val="0"/>
            </w:pPr>
            <w:r>
              <w:rPr/>
              <w:t>5.32 / 6.25</w:t>
            </w:r>
          </w:p>
        </w:tc>
        <w:tc>
          <w:tcPr>
            <w:tcW w:type="dxa" w:w="1693"/>
          </w:tcPr>
          <w:p>
            <w:pPr>
              <w:pStyle w:val="MDPI42tablebody"/>
              <w:keepNext w:val="0"/>
            </w:pPr>
            <w:r>
              <w:rPr/>
              <w:t>4.53 / 6.13</w:t>
            </w:r>
          </w:p>
        </w:tc>
        <w:tc>
          <w:tcPr>
            <w:tcW w:type="dxa" w:w="1693"/>
          </w:tcPr>
          <w:p>
            <w:pPr>
              <w:pStyle w:val="MDPI42tablebody"/>
              <w:keepNext w:val="0"/>
            </w:pPr>
            <w:r>
              <w:rPr/>
              <w:t>4.31 / 6.02</w:t>
            </w:r>
          </w:p>
        </w:tc>
        <w:tc>
          <w:tcPr>
            <w:tcW w:type="dxa" w:w="1591"/>
          </w:tcPr>
          <w:p>
            <w:pPr>
              <w:pStyle w:val="MDPI42tablebody"/>
              <w:keepNext w:val="0"/>
            </w:pPr>
            <w:r>
              <w:rPr/>
              <w:t>3.42 / 5.19</w:t>
            </w:r>
          </w:p>
        </w:tc>
        <w:tc>
          <w:tcPr>
            <w:tcW w:type="dxa" w:w="1593"/>
          </w:tcPr>
          <w:p>
            <w:pPr>
              <w:pStyle w:val="MDPI42tablebody"/>
              <w:keepNext w:val="0"/>
            </w:pPr>
            <w:r>
              <w:rPr>
                <w:b/>
              </w:rPr>
              <w:t>2.66 / 4.70</w:t>
            </w:r>
          </w:p>
        </w:tc>
      </w:tr>
    </w:tbl>
    <w:p>
      <w:pPr>
        <w:pStyle w:val="MDPI31text"/>
      </w:pPr>
      <w:r>
        <w:rPr/>
        <w:t>As the pre-trained primary model A4 was not optimal (Section 3.7) the A4/A2 model selection was performed using an inner 5-fold stratified cross-validation for each of the outer folds so that the outer estimates remained confirmatory. A2 was chosen in all cases (19/19 and 6/6 for LOSO and LOMO respectively). This model predicted 1.23 wt% FeO, 0.55 wt% TiO₂ and 2.35 vol%. When compared to the RF model, the A2 performs worse than A4 on 12/13 targets but is not olivine. It performs better than the RF on 8 targets when corrected for multiple comparisons using the Holm method. These include PLG, LCP, HCP, ILM, FeO (1.23 vs 2.13 wt%), TiO₂, Al₂O₃ and maturity (Holm p = 0.011). When compared to PLS and ridge regression it performs better on 11/13 targets and performs better than the mean of the other soils on 10/13 targets. The LOMO model performs better than the RF model on 6 targets (LCP, HCP, FeO (2.63 wt%), TiO₂, Al₂O₃ and maturity). No differences were found between the A4 and A2 models using either protocol. The models used here have been re-generated using the pre-trained ensemble members on a different machine. This resulted in all the MAE values for each soil being reproduced within 0.06 for all targets, models and protocols. The predictions made by LOSO protocol for 4 key targets are shown in Figure 5.</w:t>
      </w:r>
    </w:p>
    <w:p>
      <w:pPr>
        <w:pStyle w:val="MDPI52figure"/>
        <w:keepNext/>
        <w:ind w:left="0"/>
        <w:jc w:val="center"/>
      </w:pPr>
      <w:r>
        <w:drawing>
          <wp:inline xmlns:a="http://schemas.openxmlformats.org/drawingml/2006/main" xmlns:pic="http://schemas.openxmlformats.org/drawingml/2006/picture">
            <wp:extent cx="6120000" cy="1767041"/>
            <wp:docPr id="5" name="Picture 5"/>
            <wp:cNvGraphicFramePr>
              <a:graphicFrameLocks noChangeAspect="1"/>
            </wp:cNvGraphicFramePr>
            <a:graphic>
              <a:graphicData uri="http://schemas.openxmlformats.org/drawingml/2006/picture">
                <pic:pic>
                  <pic:nvPicPr>
                    <pic:cNvPr id="0" name="fig05_pred_true.png"/>
                    <pic:cNvPicPr/>
                  </pic:nvPicPr>
                  <pic:blipFill>
                    <a:blip r:embed="rId23"/>
                    <a:stretch>
                      <a:fillRect/>
                    </a:stretch>
                  </pic:blipFill>
                  <pic:spPr>
                    <a:xfrm>
                      <a:off x="0" y="0"/>
                      <a:ext cx="6120000" cy="1767041"/>
                    </a:xfrm>
                    <a:prstGeom prst="rect"/>
                  </pic:spPr>
                </pic:pic>
              </a:graphicData>
            </a:graphic>
          </wp:inline>
        </w:drawing>
      </w:r>
    </w:p>
    <w:p>
      <w:pPr>
        <w:pStyle w:val="MDPI511onefigurecaption"/>
      </w:pPr>
      <w:r>
        <w:rPr>
          <w:b/>
        </w:rPr>
        <w:t>Figure 5.</w:t>
      </w:r>
      <w:r>
        <w:rPr/>
        <w:t xml:space="preserve"> Prediction of LUMEN (A4) against observed values of 19 LSCC soils for each of FeO, TiO₂, plagioclase and maturity using Leave One Out Cross Validation. Each dot represents a sieve fraction. The line shows a 1:1 relationship.</w:t>
      </w:r>
    </w:p>
    <w:p>
      <w:pPr>
        <w:pStyle w:val="MDPI22heading2"/>
        <w:keepNext/>
      </w:pPr>
      <w:r>
        <w:rPr/>
        <w:t>3.4. Comparison with Published Methods</w:t>
      </w:r>
    </w:p>
    <w:p>
      <w:pPr>
        <w:pStyle w:val="MDPI23heading3"/>
        <w:keepNext/>
      </w:pPr>
      <w:r>
        <w:rPr/>
        <w:t>3.4.1. Wavelet–Autoencoder FeO Regression [16]</w:t>
      </w:r>
    </w:p>
    <w:p>
      <w:pPr>
        <w:pStyle w:val="MDPI31text"/>
      </w:pPr>
      <w:r>
        <w:rPr/>
        <w:t>This is the fairest comparison, since the pipeline was trained using the identical set of spectra and folds (Table 3, Figure 6). For LOSO, LUMEN outperforms FD as published in FeO prediction with 1.26 wt% (R² = 0.85) and is better by 42% compared to FD as published (error = 2.17 wt%, R² = 0.62) and all twelve variants, the best of which was wavelet → RBF SVR without the autoencoder (error = 1.91 wt%). In each paired test, p &lt; 0.05 (the test is fixed in the protocol); with an extra Holm correction across the twelve variants, 3 out of 12 are significant (vs FD as published, Holm p = 0.069). For LOMO, LUMEN gives 2.59 wt% versus 3.48 for FD as published (p = 0.018) and 2.91 wt% for the best variant (p = 0.49). For LOSO, the autoencoder trained on M³ data performs worse for each of four regressors, just like in our reproduction of the original paper (RF 1.55 wt% vs. 1.95 wt% with the autoencoder), while for LOMO, it is beneficial the two linear regressors.</w:t>
      </w:r>
    </w:p>
    <w:p>
      <w:pPr>
        <w:pStyle w:val="MDPI411onetablecaption"/>
        <w:keepNext/>
      </w:pPr>
      <w:r>
        <w:rPr>
          <w:b/>
        </w:rPr>
        <w:t>Table 3.</w:t>
      </w:r>
      <w:r>
        <w:rPr/>
        <w:t xml:space="preserve"> Values for FeO (wt%) have been provided for similar spectra and folds. "FD-AE-M3" is the tag associated with the published autoencoder model which is trained using M³ pixels, whereas "FD-AE-synth" means that autoencoder is trained using our synthetic spectra. "FD-wavelet" represents a model with no autoencoder. Other variants of FD can be found in tables of the repository.</w:t>
      </w:r>
    </w:p>
    <w:tbl>
      <w:tblPr>
        <w:tblW w:type="auto" w:w="0"/>
        <w:tblLook w:firstColumn="1" w:firstRow="1" w:lastColumn="0" w:lastRow="0" w:noHBand="0" w:noVBand="1" w:val="04A0"/>
        <w:tblW w:w="10466" w:type="dxa"/>
        <w:tblInd w:w="0" w:type="dxa"/>
        <w:tblBorders>
          <w:top w:val="single" w:sz="8" w:space="0" w:color="000000"/>
          <w:bottom w:val="single" w:sz="8" w:space="0" w:color="000000"/>
        </w:tblBorders>
        <w:tblLayout w:type="fixed"/>
      </w:tblPr>
      <w:tblGrid>
        <w:gridCol w:w="5085"/>
        <w:gridCol w:w="1261"/>
        <w:gridCol w:w="1428"/>
        <w:gridCol w:w="1261"/>
        <w:gridCol w:w="1431"/>
      </w:tblGrid>
      <w:tr>
        <w:tc>
          <w:tcPr>
            <w:tcW w:type="dxa" w:w="5085"/>
            <w:tcBorders>
              <w:bottom w:val="single" w:sz="4" w:space="0" w:color="000000"/>
            </w:tcBorders>
          </w:tcPr>
          <w:p>
            <w:pPr>
              <w:pStyle w:val="MDPI42tablebody"/>
              <w:keepNext/>
            </w:pPr>
            <w:r>
              <w:rPr>
                <w:b/>
              </w:rPr>
              <w:t>Method</w:t>
            </w:r>
          </w:p>
        </w:tc>
        <w:tc>
          <w:tcPr>
            <w:tcW w:type="dxa" w:w="1261"/>
            <w:tcBorders>
              <w:bottom w:val="single" w:sz="4" w:space="0" w:color="000000"/>
            </w:tcBorders>
          </w:tcPr>
          <w:p>
            <w:pPr>
              <w:pStyle w:val="MDPI42tablebody"/>
              <w:keepNext/>
            </w:pPr>
            <w:r>
              <w:rPr>
                <w:b/>
              </w:rPr>
              <w:t>MAE LOSO</w:t>
            </w:r>
          </w:p>
        </w:tc>
        <w:tc>
          <w:tcPr>
            <w:tcW w:type="dxa" w:w="1428"/>
            <w:tcBorders>
              <w:bottom w:val="single" w:sz="4" w:space="0" w:color="000000"/>
            </w:tcBorders>
          </w:tcPr>
          <w:p>
            <w:pPr>
              <w:pStyle w:val="MDPI42tablebody"/>
              <w:keepNext/>
            </w:pPr>
            <w:r>
              <w:rPr>
                <w:b/>
              </w:rPr>
              <w:t>R² LOSO</w:t>
            </w:r>
          </w:p>
        </w:tc>
        <w:tc>
          <w:tcPr>
            <w:tcW w:type="dxa" w:w="1261"/>
            <w:tcBorders>
              <w:bottom w:val="single" w:sz="4" w:space="0" w:color="000000"/>
            </w:tcBorders>
          </w:tcPr>
          <w:p>
            <w:pPr>
              <w:pStyle w:val="MDPI42tablebody"/>
              <w:keepNext/>
            </w:pPr>
            <w:r>
              <w:rPr>
                <w:b/>
              </w:rPr>
              <w:t>MAE LOMO</w:t>
            </w:r>
          </w:p>
        </w:tc>
        <w:tc>
          <w:tcPr>
            <w:tcW w:type="dxa" w:w="1431"/>
            <w:tcBorders>
              <w:bottom w:val="single" w:sz="4" w:space="0" w:color="000000"/>
            </w:tcBorders>
          </w:tcPr>
          <w:p>
            <w:pPr>
              <w:pStyle w:val="MDPI42tablebody"/>
              <w:keepNext/>
            </w:pPr>
            <w:r>
              <w:rPr>
                <w:b/>
              </w:rPr>
              <w:t>R² LOMO</w:t>
            </w:r>
          </w:p>
        </w:tc>
      </w:tr>
      <w:tr>
        <w:tc>
          <w:tcPr>
            <w:tcW w:type="dxa" w:w="5085"/>
          </w:tcPr>
          <w:p>
            <w:pPr>
              <w:pStyle w:val="MDPI42tablebody"/>
              <w:keepNext/>
            </w:pPr>
            <w:r>
              <w:rPr>
                <w:b/>
              </w:rPr>
              <w:t>LUMEN (A4)</w:t>
            </w:r>
          </w:p>
        </w:tc>
        <w:tc>
          <w:tcPr>
            <w:tcW w:type="dxa" w:w="1261"/>
          </w:tcPr>
          <w:p>
            <w:pPr>
              <w:pStyle w:val="MDPI42tablebody"/>
              <w:keepNext/>
            </w:pPr>
            <w:r>
              <w:rPr>
                <w:b/>
              </w:rPr>
              <w:t>1.26</w:t>
            </w:r>
          </w:p>
        </w:tc>
        <w:tc>
          <w:tcPr>
            <w:tcW w:type="dxa" w:w="1428"/>
          </w:tcPr>
          <w:p>
            <w:pPr>
              <w:pStyle w:val="MDPI42tablebody"/>
              <w:keepNext/>
            </w:pPr>
            <w:r>
              <w:rPr>
                <w:b/>
              </w:rPr>
              <w:t>0.85</w:t>
            </w:r>
          </w:p>
        </w:tc>
        <w:tc>
          <w:tcPr>
            <w:tcW w:type="dxa" w:w="1261"/>
          </w:tcPr>
          <w:p>
            <w:pPr>
              <w:pStyle w:val="MDPI42tablebody"/>
              <w:keepNext/>
            </w:pPr>
            <w:r>
              <w:rPr>
                <w:b/>
              </w:rPr>
              <w:t>2.59</w:t>
            </w:r>
          </w:p>
        </w:tc>
        <w:tc>
          <w:tcPr>
            <w:tcW w:type="dxa" w:w="1431"/>
          </w:tcPr>
          <w:p>
            <w:pPr>
              <w:pStyle w:val="MDPI42tablebody"/>
              <w:keepNext/>
            </w:pPr>
            <w:r>
              <w:rPr/>
              <w:t>0.57</w:t>
            </w:r>
          </w:p>
        </w:tc>
      </w:tr>
      <w:tr>
        <w:tc>
          <w:tcPr>
            <w:tcW w:type="dxa" w:w="5085"/>
          </w:tcPr>
          <w:p>
            <w:pPr>
              <w:pStyle w:val="MDPI42tablebody"/>
              <w:keepNext/>
            </w:pPr>
            <w:r>
              <w:rPr/>
              <w:t>LUMEN (A2, pretrain + real)</w:t>
            </w:r>
          </w:p>
        </w:tc>
        <w:tc>
          <w:tcPr>
            <w:tcW w:type="dxa" w:w="1261"/>
          </w:tcPr>
          <w:p>
            <w:pPr>
              <w:pStyle w:val="MDPI42tablebody"/>
              <w:keepNext/>
            </w:pPr>
            <w:r>
              <w:rPr/>
              <w:t>1.23</w:t>
            </w:r>
          </w:p>
        </w:tc>
        <w:tc>
          <w:tcPr>
            <w:tcW w:type="dxa" w:w="1428"/>
          </w:tcPr>
          <w:p>
            <w:pPr>
              <w:pStyle w:val="MDPI42tablebody"/>
              <w:keepNext/>
            </w:pPr>
            <w:r>
              <w:rPr/>
              <w:t>0.86</w:t>
            </w:r>
          </w:p>
        </w:tc>
        <w:tc>
          <w:tcPr>
            <w:tcW w:type="dxa" w:w="1261"/>
          </w:tcPr>
          <w:p>
            <w:pPr>
              <w:pStyle w:val="MDPI42tablebody"/>
              <w:keepNext/>
            </w:pPr>
            <w:r>
              <w:rPr/>
              <w:t>2.64</w:t>
            </w:r>
          </w:p>
        </w:tc>
        <w:tc>
          <w:tcPr>
            <w:tcW w:type="dxa" w:w="1431"/>
          </w:tcPr>
          <w:p>
            <w:pPr>
              <w:pStyle w:val="MDPI42tablebody"/>
              <w:keepNext/>
            </w:pPr>
            <w:r>
              <w:rPr/>
              <w:t>0.58</w:t>
            </w:r>
          </w:p>
        </w:tc>
      </w:tr>
      <w:tr>
        <w:tc>
          <w:tcPr>
            <w:tcW w:type="dxa" w:w="5085"/>
          </w:tcPr>
          <w:p>
            <w:pPr>
              <w:pStyle w:val="MDPI42tablebody"/>
              <w:keepNext w:val="0"/>
            </w:pPr>
            <w:r>
              <w:rPr/>
              <w:t>FD-AE-M3 / RF (published)</w:t>
            </w:r>
          </w:p>
        </w:tc>
        <w:tc>
          <w:tcPr>
            <w:tcW w:type="dxa" w:w="1261"/>
          </w:tcPr>
          <w:p>
            <w:pPr>
              <w:pStyle w:val="MDPI42tablebody"/>
              <w:keepNext w:val="0"/>
            </w:pPr>
            <w:r>
              <w:rPr/>
              <w:t>2.17</w:t>
            </w:r>
          </w:p>
        </w:tc>
        <w:tc>
          <w:tcPr>
            <w:tcW w:type="dxa" w:w="1428"/>
          </w:tcPr>
          <w:p>
            <w:pPr>
              <w:pStyle w:val="MDPI42tablebody"/>
              <w:keepNext w:val="0"/>
            </w:pPr>
            <w:r>
              <w:rPr/>
              <w:t>0.62</w:t>
            </w:r>
          </w:p>
        </w:tc>
        <w:tc>
          <w:tcPr>
            <w:tcW w:type="dxa" w:w="1261"/>
          </w:tcPr>
          <w:p>
            <w:pPr>
              <w:pStyle w:val="MDPI42tablebody"/>
              <w:keepNext w:val="0"/>
            </w:pPr>
            <w:r>
              <w:rPr/>
              <w:t>3.48</w:t>
            </w:r>
          </w:p>
        </w:tc>
        <w:tc>
          <w:tcPr>
            <w:tcW w:type="dxa" w:w="1431"/>
          </w:tcPr>
          <w:p>
            <w:pPr>
              <w:pStyle w:val="MDPI42tablebody"/>
              <w:keepNext w:val="0"/>
            </w:pPr>
            <w:r>
              <w:rPr/>
              <w:t>0.25</w:t>
            </w:r>
          </w:p>
        </w:tc>
      </w:tr>
      <w:tr>
        <w:tc>
          <w:tcPr>
            <w:tcW w:type="dxa" w:w="5085"/>
          </w:tcPr>
          <w:p>
            <w:pPr>
              <w:pStyle w:val="MDPI42tablebody"/>
              <w:keepNext w:val="0"/>
            </w:pPr>
            <w:r>
              <w:rPr/>
              <w:t>FD-AE-M3 / Lasso</w:t>
            </w:r>
          </w:p>
        </w:tc>
        <w:tc>
          <w:tcPr>
            <w:tcW w:type="dxa" w:w="1261"/>
          </w:tcPr>
          <w:p>
            <w:pPr>
              <w:pStyle w:val="MDPI42tablebody"/>
              <w:keepNext w:val="0"/>
            </w:pPr>
            <w:r>
              <w:rPr/>
              <w:t>2.48</w:t>
            </w:r>
          </w:p>
        </w:tc>
        <w:tc>
          <w:tcPr>
            <w:tcW w:type="dxa" w:w="1428"/>
          </w:tcPr>
          <w:p>
            <w:pPr>
              <w:pStyle w:val="MDPI42tablebody"/>
              <w:keepNext w:val="0"/>
            </w:pPr>
            <w:r>
              <w:rPr/>
              <w:t>0.55</w:t>
            </w:r>
          </w:p>
        </w:tc>
        <w:tc>
          <w:tcPr>
            <w:tcW w:type="dxa" w:w="1261"/>
          </w:tcPr>
          <w:p>
            <w:pPr>
              <w:pStyle w:val="MDPI42tablebody"/>
              <w:keepNext w:val="0"/>
            </w:pPr>
            <w:r>
              <w:rPr/>
              <w:t>3.09</w:t>
            </w:r>
          </w:p>
        </w:tc>
        <w:tc>
          <w:tcPr>
            <w:tcW w:type="dxa" w:w="1431"/>
          </w:tcPr>
          <w:p>
            <w:pPr>
              <w:pStyle w:val="MDPI42tablebody"/>
              <w:keepNext w:val="0"/>
            </w:pPr>
            <w:r>
              <w:rPr/>
              <w:t>0.39</w:t>
            </w:r>
          </w:p>
        </w:tc>
      </w:tr>
      <w:tr>
        <w:tc>
          <w:tcPr>
            <w:tcW w:type="dxa" w:w="5085"/>
          </w:tcPr>
          <w:p>
            <w:pPr>
              <w:pStyle w:val="MDPI42tablebody"/>
              <w:keepNext w:val="0"/>
            </w:pPr>
            <w:r>
              <w:rPr/>
              <w:t>FD-AE-M3 / SVR-lin</w:t>
            </w:r>
          </w:p>
        </w:tc>
        <w:tc>
          <w:tcPr>
            <w:tcW w:type="dxa" w:w="1261"/>
          </w:tcPr>
          <w:p>
            <w:pPr>
              <w:pStyle w:val="MDPI42tablebody"/>
              <w:keepNext w:val="0"/>
            </w:pPr>
            <w:r>
              <w:rPr/>
              <w:t>2.19</w:t>
            </w:r>
          </w:p>
        </w:tc>
        <w:tc>
          <w:tcPr>
            <w:tcW w:type="dxa" w:w="1428"/>
          </w:tcPr>
          <w:p>
            <w:pPr>
              <w:pStyle w:val="MDPI42tablebody"/>
              <w:keepNext w:val="0"/>
            </w:pPr>
            <w:r>
              <w:rPr/>
              <w:t>0.65</w:t>
            </w:r>
          </w:p>
        </w:tc>
        <w:tc>
          <w:tcPr>
            <w:tcW w:type="dxa" w:w="1261"/>
          </w:tcPr>
          <w:p>
            <w:pPr>
              <w:pStyle w:val="MDPI42tablebody"/>
              <w:keepNext w:val="0"/>
            </w:pPr>
            <w:r>
              <w:rPr/>
              <w:t>3.06</w:t>
            </w:r>
          </w:p>
        </w:tc>
        <w:tc>
          <w:tcPr>
            <w:tcW w:type="dxa" w:w="1431"/>
          </w:tcPr>
          <w:p>
            <w:pPr>
              <w:pStyle w:val="MDPI42tablebody"/>
              <w:keepNext w:val="0"/>
            </w:pPr>
            <w:r>
              <w:rPr/>
              <w:t>0.41</w:t>
            </w:r>
          </w:p>
        </w:tc>
      </w:tr>
      <w:tr>
        <w:tc>
          <w:tcPr>
            <w:tcW w:type="dxa" w:w="5085"/>
          </w:tcPr>
          <w:p>
            <w:pPr>
              <w:pStyle w:val="MDPI42tablebody"/>
              <w:keepNext w:val="0"/>
            </w:pPr>
            <w:r>
              <w:rPr/>
              <w:t>FD-AE-M3 / SVR-RBF</w:t>
            </w:r>
          </w:p>
        </w:tc>
        <w:tc>
          <w:tcPr>
            <w:tcW w:type="dxa" w:w="1261"/>
          </w:tcPr>
          <w:p>
            <w:pPr>
              <w:pStyle w:val="MDPI42tablebody"/>
              <w:keepNext w:val="0"/>
            </w:pPr>
            <w:r>
              <w:rPr/>
              <w:t>2.06</w:t>
            </w:r>
          </w:p>
        </w:tc>
        <w:tc>
          <w:tcPr>
            <w:tcW w:type="dxa" w:w="1428"/>
          </w:tcPr>
          <w:p>
            <w:pPr>
              <w:pStyle w:val="MDPI42tablebody"/>
              <w:keepNext w:val="0"/>
            </w:pPr>
            <w:r>
              <w:rPr/>
              <w:t>0.62</w:t>
            </w:r>
          </w:p>
        </w:tc>
        <w:tc>
          <w:tcPr>
            <w:tcW w:type="dxa" w:w="1261"/>
          </w:tcPr>
          <w:p>
            <w:pPr>
              <w:pStyle w:val="MDPI42tablebody"/>
              <w:keepNext w:val="0"/>
            </w:pPr>
            <w:r>
              <w:rPr/>
              <w:t>3.79</w:t>
            </w:r>
          </w:p>
        </w:tc>
        <w:tc>
          <w:tcPr>
            <w:tcW w:type="dxa" w:w="1431"/>
          </w:tcPr>
          <w:p>
            <w:pPr>
              <w:pStyle w:val="MDPI42tablebody"/>
              <w:keepNext w:val="0"/>
            </w:pPr>
            <w:r>
              <w:rPr/>
              <w:t>0.07</w:t>
            </w:r>
          </w:p>
        </w:tc>
      </w:tr>
      <w:tr>
        <w:tc>
          <w:tcPr>
            <w:tcW w:type="dxa" w:w="5085"/>
          </w:tcPr>
          <w:p>
            <w:pPr>
              <w:pStyle w:val="MDPI42tablebody"/>
              <w:keepNext w:val="0"/>
            </w:pPr>
            <w:r>
              <w:rPr/>
              <w:t>FD-AE-synth / SVR-lin</w:t>
            </w:r>
          </w:p>
        </w:tc>
        <w:tc>
          <w:tcPr>
            <w:tcW w:type="dxa" w:w="1261"/>
          </w:tcPr>
          <w:p>
            <w:pPr>
              <w:pStyle w:val="MDPI42tablebody"/>
              <w:keepNext w:val="0"/>
            </w:pPr>
            <w:r>
              <w:rPr/>
              <w:t>2.09</w:t>
            </w:r>
          </w:p>
        </w:tc>
        <w:tc>
          <w:tcPr>
            <w:tcW w:type="dxa" w:w="1428"/>
          </w:tcPr>
          <w:p>
            <w:pPr>
              <w:pStyle w:val="MDPI42tablebody"/>
              <w:keepNext w:val="0"/>
            </w:pPr>
            <w:r>
              <w:rPr/>
              <w:t>0.65</w:t>
            </w:r>
          </w:p>
        </w:tc>
        <w:tc>
          <w:tcPr>
            <w:tcW w:type="dxa" w:w="1261"/>
          </w:tcPr>
          <w:p>
            <w:pPr>
              <w:pStyle w:val="MDPI42tablebody"/>
              <w:keepNext w:val="0"/>
            </w:pPr>
            <w:r>
              <w:rPr/>
              <w:t>2.91</w:t>
            </w:r>
          </w:p>
        </w:tc>
        <w:tc>
          <w:tcPr>
            <w:tcW w:type="dxa" w:w="1431"/>
          </w:tcPr>
          <w:p>
            <w:pPr>
              <w:pStyle w:val="MDPI42tablebody"/>
              <w:keepNext w:val="0"/>
            </w:pPr>
            <w:r>
              <w:rPr/>
              <w:t>0.48</w:t>
            </w:r>
          </w:p>
        </w:tc>
      </w:tr>
      <w:tr>
        <w:tc>
          <w:tcPr>
            <w:tcW w:type="dxa" w:w="5085"/>
          </w:tcPr>
          <w:p>
            <w:pPr>
              <w:pStyle w:val="MDPI42tablebody"/>
              <w:keepNext w:val="0"/>
            </w:pPr>
            <w:r>
              <w:rPr/>
              <w:t>FD-wavelet / SVR-RBF</w:t>
            </w:r>
          </w:p>
        </w:tc>
        <w:tc>
          <w:tcPr>
            <w:tcW w:type="dxa" w:w="1261"/>
          </w:tcPr>
          <w:p>
            <w:pPr>
              <w:pStyle w:val="MDPI42tablebody"/>
              <w:keepNext w:val="0"/>
            </w:pPr>
            <w:r>
              <w:rPr/>
              <w:t>1.91</w:t>
            </w:r>
          </w:p>
        </w:tc>
        <w:tc>
          <w:tcPr>
            <w:tcW w:type="dxa" w:w="1428"/>
          </w:tcPr>
          <w:p>
            <w:pPr>
              <w:pStyle w:val="MDPI42tablebody"/>
              <w:keepNext w:val="0"/>
            </w:pPr>
            <w:r>
              <w:rPr/>
              <w:t>0.67</w:t>
            </w:r>
          </w:p>
        </w:tc>
        <w:tc>
          <w:tcPr>
            <w:tcW w:type="dxa" w:w="1261"/>
          </w:tcPr>
          <w:p>
            <w:pPr>
              <w:pStyle w:val="MDPI42tablebody"/>
              <w:keepNext w:val="0"/>
            </w:pPr>
            <w:r>
              <w:rPr/>
              <w:t>3.28</w:t>
            </w:r>
          </w:p>
        </w:tc>
        <w:tc>
          <w:tcPr>
            <w:tcW w:type="dxa" w:w="1431"/>
          </w:tcPr>
          <w:p>
            <w:pPr>
              <w:pStyle w:val="MDPI42tablebody"/>
              <w:keepNext w:val="0"/>
            </w:pPr>
            <w:r>
              <w:rPr/>
              <w:t>0.17</w:t>
            </w:r>
          </w:p>
        </w:tc>
      </w:tr>
      <w:tr>
        <w:tc>
          <w:tcPr>
            <w:tcW w:type="dxa" w:w="5085"/>
          </w:tcPr>
          <w:p>
            <w:pPr>
              <w:pStyle w:val="MDPI42tablebody"/>
              <w:keepNext w:val="0"/>
            </w:pPr>
            <w:r>
              <w:rPr/>
              <w:t>FD-wavelet / Lasso</w:t>
            </w:r>
          </w:p>
        </w:tc>
        <w:tc>
          <w:tcPr>
            <w:tcW w:type="dxa" w:w="1261"/>
          </w:tcPr>
          <w:p>
            <w:pPr>
              <w:pStyle w:val="MDPI42tablebody"/>
              <w:keepNext w:val="0"/>
            </w:pPr>
            <w:r>
              <w:rPr/>
              <w:t>2.07</w:t>
            </w:r>
          </w:p>
        </w:tc>
        <w:tc>
          <w:tcPr>
            <w:tcW w:type="dxa" w:w="1428"/>
          </w:tcPr>
          <w:p>
            <w:pPr>
              <w:pStyle w:val="MDPI42tablebody"/>
              <w:keepNext w:val="0"/>
            </w:pPr>
            <w:r>
              <w:rPr/>
              <w:t>0.70</w:t>
            </w:r>
          </w:p>
        </w:tc>
        <w:tc>
          <w:tcPr>
            <w:tcW w:type="dxa" w:w="1261"/>
          </w:tcPr>
          <w:p>
            <w:pPr>
              <w:pStyle w:val="MDPI42tablebody"/>
              <w:keepNext w:val="0"/>
            </w:pPr>
            <w:r>
              <w:rPr/>
              <w:t>3.95</w:t>
            </w:r>
          </w:p>
        </w:tc>
        <w:tc>
          <w:tcPr>
            <w:tcW w:type="dxa" w:w="1431"/>
          </w:tcPr>
          <w:p>
            <w:pPr>
              <w:pStyle w:val="MDPI42tablebody"/>
              <w:keepNext w:val="0"/>
            </w:pPr>
            <w:r>
              <w:rPr/>
              <w:t>−0.01</w:t>
            </w:r>
          </w:p>
        </w:tc>
      </w:tr>
      <w:tr>
        <w:tc>
          <w:tcPr>
            <w:tcW w:type="dxa" w:w="5085"/>
          </w:tcPr>
          <w:p>
            <w:pPr>
              <w:pStyle w:val="MDPI42tablebody"/>
              <w:keepNext w:val="0"/>
            </w:pPr>
            <w:r>
              <w:rPr/>
              <w:t>RF (LUMEN inputs)</w:t>
            </w:r>
          </w:p>
        </w:tc>
        <w:tc>
          <w:tcPr>
            <w:tcW w:type="dxa" w:w="1261"/>
          </w:tcPr>
          <w:p>
            <w:pPr>
              <w:pStyle w:val="MDPI42tablebody"/>
              <w:keepNext w:val="0"/>
            </w:pPr>
            <w:r>
              <w:rPr/>
              <w:t>2.13</w:t>
            </w:r>
          </w:p>
        </w:tc>
        <w:tc>
          <w:tcPr>
            <w:tcW w:type="dxa" w:w="1428"/>
          </w:tcPr>
          <w:p>
            <w:pPr>
              <w:pStyle w:val="MDPI42tablebody"/>
              <w:keepNext w:val="0"/>
            </w:pPr>
            <w:r>
              <w:rPr/>
              <w:t>0.62</w:t>
            </w:r>
          </w:p>
        </w:tc>
        <w:tc>
          <w:tcPr>
            <w:tcW w:type="dxa" w:w="1261"/>
          </w:tcPr>
          <w:p>
            <w:pPr>
              <w:pStyle w:val="MDPI42tablebody"/>
              <w:keepNext w:val="0"/>
            </w:pPr>
            <w:r>
              <w:rPr/>
              <w:t>3.69</w:t>
            </w:r>
          </w:p>
        </w:tc>
        <w:tc>
          <w:tcPr>
            <w:tcW w:type="dxa" w:w="1431"/>
          </w:tcPr>
          <w:p>
            <w:pPr>
              <w:pStyle w:val="MDPI42tablebody"/>
              <w:keepNext w:val="0"/>
            </w:pPr>
            <w:r>
              <w:rPr/>
              <w:t>0.16</w:t>
            </w:r>
          </w:p>
        </w:tc>
      </w:tr>
      <w:tr>
        <w:tc>
          <w:tcPr>
            <w:tcW w:type="dxa" w:w="5085"/>
          </w:tcPr>
          <w:p>
            <w:pPr>
              <w:pStyle w:val="MDPI42tablebody"/>
              <w:keepNext w:val="0"/>
            </w:pPr>
            <w:r>
              <w:rPr/>
              <w:t>RF (raw reflectance)</w:t>
            </w:r>
          </w:p>
        </w:tc>
        <w:tc>
          <w:tcPr>
            <w:tcW w:type="dxa" w:w="1261"/>
          </w:tcPr>
          <w:p>
            <w:pPr>
              <w:pStyle w:val="MDPI42tablebody"/>
              <w:keepNext w:val="0"/>
            </w:pPr>
            <w:r>
              <w:rPr/>
              <w:t>2.19</w:t>
            </w:r>
          </w:p>
        </w:tc>
        <w:tc>
          <w:tcPr>
            <w:tcW w:type="dxa" w:w="1428"/>
          </w:tcPr>
          <w:p>
            <w:pPr>
              <w:pStyle w:val="MDPI42tablebody"/>
              <w:keepNext w:val="0"/>
            </w:pPr>
            <w:r>
              <w:rPr/>
              <w:t>0.58</w:t>
            </w:r>
          </w:p>
        </w:tc>
        <w:tc>
          <w:tcPr>
            <w:tcW w:type="dxa" w:w="1261"/>
          </w:tcPr>
          <w:p>
            <w:pPr>
              <w:pStyle w:val="MDPI42tablebody"/>
              <w:keepNext w:val="0"/>
            </w:pPr>
            <w:r>
              <w:rPr/>
              <w:t>3.45</w:t>
            </w:r>
          </w:p>
        </w:tc>
        <w:tc>
          <w:tcPr>
            <w:tcW w:type="dxa" w:w="1431"/>
          </w:tcPr>
          <w:p>
            <w:pPr>
              <w:pStyle w:val="MDPI42tablebody"/>
              <w:keepNext w:val="0"/>
            </w:pPr>
            <w:r>
              <w:rPr/>
              <w:t>0.27</w:t>
            </w:r>
          </w:p>
        </w:tc>
      </w:tr>
      <w:tr>
        <w:tc>
          <w:tcPr>
            <w:tcW w:type="dxa" w:w="5085"/>
          </w:tcPr>
          <w:p>
            <w:pPr>
              <w:pStyle w:val="MDPI42tablebody"/>
              <w:keepNext w:val="0"/>
            </w:pPr>
            <w:r>
              <w:rPr/>
              <w:t>Mean of other soils</w:t>
            </w:r>
          </w:p>
        </w:tc>
        <w:tc>
          <w:tcPr>
            <w:tcW w:type="dxa" w:w="1261"/>
          </w:tcPr>
          <w:p>
            <w:pPr>
              <w:pStyle w:val="MDPI42tablebody"/>
              <w:keepNext w:val="0"/>
            </w:pPr>
            <w:r>
              <w:rPr/>
              <w:t>4.47</w:t>
            </w:r>
          </w:p>
        </w:tc>
        <w:tc>
          <w:tcPr>
            <w:tcW w:type="dxa" w:w="1428"/>
          </w:tcPr>
          <w:p>
            <w:pPr>
              <w:pStyle w:val="MDPI42tablebody"/>
              <w:keepNext w:val="0"/>
            </w:pPr>
            <w:r>
              <w:rPr/>
              <w:t>−0.06</w:t>
            </w:r>
          </w:p>
        </w:tc>
        <w:tc>
          <w:tcPr>
            <w:tcW w:type="dxa" w:w="1261"/>
          </w:tcPr>
          <w:p>
            <w:pPr>
              <w:pStyle w:val="MDPI42tablebody"/>
              <w:keepNext w:val="0"/>
            </w:pPr>
            <w:r>
              <w:rPr/>
              <w:t>5.56</w:t>
            </w:r>
          </w:p>
        </w:tc>
        <w:tc>
          <w:tcPr>
            <w:tcW w:type="dxa" w:w="1431"/>
          </w:tcPr>
          <w:p>
            <w:pPr>
              <w:pStyle w:val="MDPI42tablebody"/>
              <w:keepNext w:val="0"/>
            </w:pPr>
            <w:r>
              <w:rPr/>
              <w:t>−0.70</w:t>
            </w:r>
          </w:p>
        </w:tc>
      </w:tr>
    </w:tbl>
    <w:p>
      <w:pPr>
        <w:pStyle w:val="MDPI52figure"/>
        <w:keepNext/>
        <w:ind w:left="0"/>
        <w:jc w:val="center"/>
      </w:pPr>
      <w:r>
        <w:drawing>
          <wp:inline xmlns:a="http://schemas.openxmlformats.org/drawingml/2006/main" xmlns:pic="http://schemas.openxmlformats.org/drawingml/2006/picture">
            <wp:extent cx="6120000" cy="3361690"/>
            <wp:docPr id="6" name="Picture 6"/>
            <wp:cNvGraphicFramePr>
              <a:graphicFrameLocks noChangeAspect="1"/>
            </wp:cNvGraphicFramePr>
            <a:graphic>
              <a:graphicData uri="http://schemas.openxmlformats.org/drawingml/2006/picture">
                <pic:pic>
                  <pic:nvPicPr>
                    <pic:cNvPr id="0" name="fig06_fd_feo.png"/>
                    <pic:cNvPicPr/>
                  </pic:nvPicPr>
                  <pic:blipFill>
                    <a:blip r:embed="rId24"/>
                    <a:stretch>
                      <a:fillRect/>
                    </a:stretch>
                  </pic:blipFill>
                  <pic:spPr>
                    <a:xfrm>
                      <a:off x="0" y="0"/>
                      <a:ext cx="6120000" cy="3361690"/>
                    </a:xfrm>
                    <a:prstGeom prst="rect"/>
                  </pic:spPr>
                </pic:pic>
              </a:graphicData>
            </a:graphic>
          </wp:inline>
        </w:drawing>
      </w:r>
    </w:p>
    <w:p>
      <w:pPr>
        <w:pStyle w:val="MDPI511onefigurecaption"/>
      </w:pPr>
      <w:r>
        <w:rPr>
          <w:b/>
        </w:rPr>
        <w:t>Figure 6.</w:t>
      </w:r>
      <w:r>
        <w:rPr/>
        <w:t xml:space="preserve"> Per-soil FeO error of LUMEN, the Fernández-Díaz et al. variants and the classical baselines on identical folds, under leave-one-soil-out (left) and leave-one-mission-out (right).</w:t>
      </w:r>
    </w:p>
    <w:p>
      <w:pPr>
        <w:pStyle w:val="MDPI23heading3"/>
        <w:keepNext/>
      </w:pPr>
      <w:r>
        <w:rPr/>
        <w:t>3.4.2. Shkuratov-Model Inversion [25]</w:t>
      </w:r>
    </w:p>
    <w:p>
      <w:pPr>
        <w:pStyle w:val="MDPI31text"/>
      </w:pPr>
      <w:r>
        <w:rPr/>
        <w:t>For each method, there are scores in five minerals (CPX, OPX, OLV, PLG, ILM) in proportions of 100% renormalized among three sieved fractions of soils according to the replication from Korokhin et al. (see Table 4). In the LOSO validation, LUMEN achieves an improvement in scores of the same order –54 to 74 percent for each mineral (all Holm-significant); for example, olivine gets the score 1.91 versus 7.44 and plagioclase – 5.55 versus 12.08. In the LOMO validation, LUMEN again obtains better scores for four of the five minerals, being only significant for olivine, but is slightly inferior for plagioclase with the score 12.64 versus 12.08. The inversion method does not produce LSCC soils at all, but LUMEN is fine-tuned on the rest soils; therefore, the fair comparison would be for LUMEN without training on A0 (only physics): LUMEN has lower scores in three of the five minerals (being significant for olivine). Is/FeO parameter from LUMEN soils has also greater soil ranking than the nFe parameter from the inverted soils in correlation coefficients (ρ) equal 0.72, 0.81, and 0.96 for &lt;10, 10–20, and 20–45 µm fractions respectively against 0.55, 0.37, and 0.44.</w:t>
      </w:r>
    </w:p>
    <w:p>
      <w:pPr>
        <w:pStyle w:val="MDPI411onetablecaption"/>
        <w:keepNext/>
      </w:pPr>
      <w:r>
        <w:rPr>
          <w:b/>
        </w:rPr>
        <w:t>Table 4.</w:t>
      </w:r>
      <w:r>
        <w:rPr/>
        <w:t xml:space="preserve"> MAE of five-mineral proportions (percentage points), 19 soils.</w:t>
      </w:r>
    </w:p>
    <w:tbl>
      <w:tblPr>
        <w:tblW w:type="auto" w:w="0"/>
        <w:tblLook w:firstColumn="1" w:firstRow="1" w:lastColumn="0" w:lastRow="0" w:noHBand="0" w:noVBand="1" w:val="04A0"/>
        <w:tblW w:w="10466" w:type="dxa"/>
        <w:tblInd w:w="0" w:type="dxa"/>
        <w:tblBorders>
          <w:top w:val="single" w:sz="8" w:space="0" w:color="000000"/>
          <w:bottom w:val="single" w:sz="8" w:space="0" w:color="000000"/>
        </w:tblBorders>
        <w:tblLayout w:type="fixed"/>
      </w:tblPr>
      <w:tblGrid>
        <w:gridCol w:w="1475"/>
        <w:gridCol w:w="1335"/>
        <w:gridCol w:w="1614"/>
        <w:gridCol w:w="2032"/>
        <w:gridCol w:w="1335"/>
        <w:gridCol w:w="1335"/>
        <w:gridCol w:w="1340"/>
      </w:tblGrid>
      <w:tr>
        <w:tc>
          <w:tcPr>
            <w:tcW w:type="dxa" w:w="1475"/>
            <w:tcBorders>
              <w:bottom w:val="single" w:sz="4" w:space="0" w:color="000000"/>
            </w:tcBorders>
          </w:tcPr>
          <w:p>
            <w:pPr>
              <w:pStyle w:val="MDPI42tablebody"/>
              <w:keepNext/>
            </w:pPr>
            <w:r>
              <w:rPr>
                <w:b/>
              </w:rPr>
              <w:t>Mineral</w:t>
            </w:r>
          </w:p>
        </w:tc>
        <w:tc>
          <w:tcPr>
            <w:tcW w:type="dxa" w:w="1335"/>
            <w:tcBorders>
              <w:bottom w:val="single" w:sz="4" w:space="0" w:color="000000"/>
            </w:tcBorders>
          </w:tcPr>
          <w:p>
            <w:pPr>
              <w:pStyle w:val="MDPI42tablebody"/>
              <w:keepNext/>
            </w:pPr>
            <w:r>
              <w:rPr>
                <w:b/>
              </w:rPr>
              <w:t>Mean of others</w:t>
            </w:r>
          </w:p>
        </w:tc>
        <w:tc>
          <w:tcPr>
            <w:tcW w:type="dxa" w:w="1614"/>
            <w:tcBorders>
              <w:bottom w:val="single" w:sz="4" w:space="0" w:color="000000"/>
            </w:tcBorders>
          </w:tcPr>
          <w:p>
            <w:pPr>
              <w:pStyle w:val="MDPI42tablebody"/>
              <w:keepNext/>
            </w:pPr>
            <w:r>
              <w:rPr>
                <w:b/>
              </w:rPr>
              <w:t>Korokhin fit</w:t>
            </w:r>
          </w:p>
        </w:tc>
        <w:tc>
          <w:tcPr>
            <w:tcW w:type="dxa" w:w="2032"/>
            <w:tcBorders>
              <w:bottom w:val="single" w:sz="4" w:space="0" w:color="000000"/>
            </w:tcBorders>
          </w:tcPr>
          <w:p>
            <w:pPr>
              <w:pStyle w:val="MDPI42tablebody"/>
              <w:keepNext/>
            </w:pPr>
            <w:r>
              <w:rPr>
                <w:b/>
              </w:rPr>
              <w:t>LUMEN A0 (zero-shot)</w:t>
            </w:r>
          </w:p>
        </w:tc>
        <w:tc>
          <w:tcPr>
            <w:tcW w:type="dxa" w:w="1335"/>
            <w:tcBorders>
              <w:bottom w:val="single" w:sz="4" w:space="0" w:color="000000"/>
            </w:tcBorders>
          </w:tcPr>
          <w:p>
            <w:pPr>
              <w:pStyle w:val="MDPI42tablebody"/>
              <w:keepNext/>
            </w:pPr>
            <w:r>
              <w:rPr>
                <w:b/>
              </w:rPr>
              <w:t>LUMEN A4 (LOSO)</w:t>
            </w:r>
          </w:p>
        </w:tc>
        <w:tc>
          <w:tcPr>
            <w:tcW w:type="dxa" w:w="1335"/>
            <w:tcBorders>
              <w:bottom w:val="single" w:sz="4" w:space="0" w:color="000000"/>
            </w:tcBorders>
          </w:tcPr>
          <w:p>
            <w:pPr>
              <w:pStyle w:val="MDPI42tablebody"/>
              <w:keepNext/>
            </w:pPr>
            <w:r>
              <w:rPr>
                <w:b/>
              </w:rPr>
              <w:t>LUMEN A4 (LOMO)</w:t>
            </w:r>
          </w:p>
        </w:tc>
        <w:tc>
          <w:tcPr>
            <w:tcW w:type="dxa" w:w="1340"/>
            <w:tcBorders>
              <w:bottom w:val="single" w:sz="4" w:space="0" w:color="000000"/>
            </w:tcBorders>
          </w:tcPr>
          <w:p>
            <w:pPr>
              <w:pStyle w:val="MDPI42tablebody"/>
              <w:keepNext/>
            </w:pPr>
            <w:r>
              <w:rPr>
                <w:b/>
              </w:rPr>
              <w:t>Holm p, A4 vs fit (LOSO)</w:t>
            </w:r>
          </w:p>
        </w:tc>
      </w:tr>
      <w:tr>
        <w:tc>
          <w:tcPr>
            <w:tcW w:type="dxa" w:w="1475"/>
          </w:tcPr>
          <w:p>
            <w:pPr>
              <w:pStyle w:val="MDPI42tablebody"/>
              <w:keepNext/>
            </w:pPr>
            <w:r>
              <w:rPr/>
              <w:t>CPX</w:t>
            </w:r>
          </w:p>
        </w:tc>
        <w:tc>
          <w:tcPr>
            <w:tcW w:type="dxa" w:w="1335"/>
          </w:tcPr>
          <w:p>
            <w:pPr>
              <w:pStyle w:val="MDPI42tablebody"/>
              <w:keepNext/>
            </w:pPr>
            <w:r>
              <w:rPr/>
              <w:t>6.78</w:t>
            </w:r>
          </w:p>
        </w:tc>
        <w:tc>
          <w:tcPr>
            <w:tcW w:type="dxa" w:w="1614"/>
          </w:tcPr>
          <w:p>
            <w:pPr>
              <w:pStyle w:val="MDPI42tablebody"/>
              <w:keepNext/>
            </w:pPr>
            <w:r>
              <w:rPr/>
              <w:t>5.30</w:t>
            </w:r>
          </w:p>
        </w:tc>
        <w:tc>
          <w:tcPr>
            <w:tcW w:type="dxa" w:w="2032"/>
          </w:tcPr>
          <w:p>
            <w:pPr>
              <w:pStyle w:val="MDPI42tablebody"/>
              <w:keepNext/>
            </w:pPr>
            <w:r>
              <w:rPr/>
              <w:t>8.18</w:t>
            </w:r>
          </w:p>
        </w:tc>
        <w:tc>
          <w:tcPr>
            <w:tcW w:type="dxa" w:w="1335"/>
          </w:tcPr>
          <w:p>
            <w:pPr>
              <w:pStyle w:val="MDPI42tablebody"/>
              <w:keepNext/>
            </w:pPr>
            <w:r>
              <w:rPr>
                <w:b/>
              </w:rPr>
              <w:t>2.24</w:t>
            </w:r>
          </w:p>
        </w:tc>
        <w:tc>
          <w:tcPr>
            <w:tcW w:type="dxa" w:w="1335"/>
          </w:tcPr>
          <w:p>
            <w:pPr>
              <w:pStyle w:val="MDPI42tablebody"/>
              <w:keepNext/>
            </w:pPr>
            <w:r>
              <w:rPr/>
              <w:t>3.14</w:t>
            </w:r>
          </w:p>
        </w:tc>
        <w:tc>
          <w:tcPr>
            <w:tcW w:type="dxa" w:w="1340"/>
          </w:tcPr>
          <w:p>
            <w:pPr>
              <w:pStyle w:val="MDPI42tablebody"/>
              <w:keepNext/>
            </w:pPr>
            <w:r>
              <w:rPr/>
              <w:t>0.007</w:t>
            </w:r>
          </w:p>
        </w:tc>
      </w:tr>
      <w:tr>
        <w:tc>
          <w:tcPr>
            <w:tcW w:type="dxa" w:w="1475"/>
          </w:tcPr>
          <w:p>
            <w:pPr>
              <w:pStyle w:val="MDPI42tablebody"/>
              <w:keepNext/>
            </w:pPr>
            <w:r>
              <w:rPr/>
              <w:t>OPX</w:t>
            </w:r>
          </w:p>
        </w:tc>
        <w:tc>
          <w:tcPr>
            <w:tcW w:type="dxa" w:w="1335"/>
          </w:tcPr>
          <w:p>
            <w:pPr>
              <w:pStyle w:val="MDPI42tablebody"/>
              <w:keepNext/>
            </w:pPr>
            <w:r>
              <w:rPr/>
              <w:t>9.18</w:t>
            </w:r>
          </w:p>
        </w:tc>
        <w:tc>
          <w:tcPr>
            <w:tcW w:type="dxa" w:w="1614"/>
          </w:tcPr>
          <w:p>
            <w:pPr>
              <w:pStyle w:val="MDPI42tablebody"/>
              <w:keepNext/>
            </w:pPr>
            <w:r>
              <w:rPr/>
              <w:t>8.37</w:t>
            </w:r>
          </w:p>
        </w:tc>
        <w:tc>
          <w:tcPr>
            <w:tcW w:type="dxa" w:w="2032"/>
          </w:tcPr>
          <w:p>
            <w:pPr>
              <w:pStyle w:val="MDPI42tablebody"/>
              <w:keepNext/>
            </w:pPr>
            <w:r>
              <w:rPr/>
              <w:t>8.98</w:t>
            </w:r>
          </w:p>
        </w:tc>
        <w:tc>
          <w:tcPr>
            <w:tcW w:type="dxa" w:w="1335"/>
          </w:tcPr>
          <w:p>
            <w:pPr>
              <w:pStyle w:val="MDPI42tablebody"/>
              <w:keepNext/>
            </w:pPr>
            <w:r>
              <w:rPr>
                <w:b/>
              </w:rPr>
              <w:t>3.25</w:t>
            </w:r>
          </w:p>
        </w:tc>
        <w:tc>
          <w:tcPr>
            <w:tcW w:type="dxa" w:w="1335"/>
          </w:tcPr>
          <w:p>
            <w:pPr>
              <w:pStyle w:val="MDPI42tablebody"/>
              <w:keepNext/>
            </w:pPr>
            <w:r>
              <w:rPr/>
              <w:t>6.86</w:t>
            </w:r>
          </w:p>
        </w:tc>
        <w:tc>
          <w:tcPr>
            <w:tcW w:type="dxa" w:w="1340"/>
          </w:tcPr>
          <w:p>
            <w:pPr>
              <w:pStyle w:val="MDPI42tablebody"/>
              <w:keepNext/>
            </w:pPr>
            <w:r>
              <w:rPr/>
              <w:t>0.007</w:t>
            </w:r>
          </w:p>
        </w:tc>
      </w:tr>
      <w:tr>
        <w:tc>
          <w:tcPr>
            <w:tcW w:type="dxa" w:w="1475"/>
          </w:tcPr>
          <w:p>
            <w:pPr>
              <w:pStyle w:val="MDPI42tablebody"/>
              <w:keepNext w:val="0"/>
            </w:pPr>
            <w:r>
              <w:rPr/>
              <w:t>OLV</w:t>
            </w:r>
          </w:p>
        </w:tc>
        <w:tc>
          <w:tcPr>
            <w:tcW w:type="dxa" w:w="1335"/>
          </w:tcPr>
          <w:p>
            <w:pPr>
              <w:pStyle w:val="MDPI42tablebody"/>
              <w:keepNext w:val="0"/>
            </w:pPr>
            <w:r>
              <w:rPr/>
              <w:t>2.21</w:t>
            </w:r>
          </w:p>
        </w:tc>
        <w:tc>
          <w:tcPr>
            <w:tcW w:type="dxa" w:w="1614"/>
          </w:tcPr>
          <w:p>
            <w:pPr>
              <w:pStyle w:val="MDPI42tablebody"/>
              <w:keepNext w:val="0"/>
            </w:pPr>
            <w:r>
              <w:rPr/>
              <w:t>7.44</w:t>
            </w:r>
          </w:p>
        </w:tc>
        <w:tc>
          <w:tcPr>
            <w:tcW w:type="dxa" w:w="2032"/>
          </w:tcPr>
          <w:p>
            <w:pPr>
              <w:pStyle w:val="MDPI42tablebody"/>
              <w:keepNext w:val="0"/>
            </w:pPr>
            <w:r>
              <w:rPr/>
              <w:t>2.58</w:t>
            </w:r>
          </w:p>
        </w:tc>
        <w:tc>
          <w:tcPr>
            <w:tcW w:type="dxa" w:w="1335"/>
          </w:tcPr>
          <w:p>
            <w:pPr>
              <w:pStyle w:val="MDPI42tablebody"/>
              <w:keepNext w:val="0"/>
            </w:pPr>
            <w:r>
              <w:rPr>
                <w:b/>
              </w:rPr>
              <w:t>1.91</w:t>
            </w:r>
          </w:p>
        </w:tc>
        <w:tc>
          <w:tcPr>
            <w:tcW w:type="dxa" w:w="1335"/>
          </w:tcPr>
          <w:p>
            <w:pPr>
              <w:pStyle w:val="MDPI42tablebody"/>
              <w:keepNext w:val="0"/>
            </w:pPr>
            <w:r>
              <w:rPr/>
              <w:t>2.50</w:t>
            </w:r>
          </w:p>
        </w:tc>
        <w:tc>
          <w:tcPr>
            <w:tcW w:type="dxa" w:w="1340"/>
          </w:tcPr>
          <w:p>
            <w:pPr>
              <w:pStyle w:val="MDPI42tablebody"/>
              <w:keepNext w:val="0"/>
            </w:pPr>
            <w:r>
              <w:rPr/>
              <w:t>&lt;0.001</w:t>
            </w:r>
          </w:p>
        </w:tc>
      </w:tr>
      <w:tr>
        <w:tc>
          <w:tcPr>
            <w:tcW w:type="dxa" w:w="1475"/>
          </w:tcPr>
          <w:p>
            <w:pPr>
              <w:pStyle w:val="MDPI42tablebody"/>
              <w:keepNext w:val="0"/>
            </w:pPr>
            <w:r>
              <w:rPr/>
              <w:t>PLG</w:t>
            </w:r>
          </w:p>
        </w:tc>
        <w:tc>
          <w:tcPr>
            <w:tcW w:type="dxa" w:w="1335"/>
          </w:tcPr>
          <w:p>
            <w:pPr>
              <w:pStyle w:val="MDPI42tablebody"/>
              <w:keepNext w:val="0"/>
            </w:pPr>
            <w:r>
              <w:rPr/>
              <w:t>18.44</w:t>
            </w:r>
          </w:p>
        </w:tc>
        <w:tc>
          <w:tcPr>
            <w:tcW w:type="dxa" w:w="1614"/>
          </w:tcPr>
          <w:p>
            <w:pPr>
              <w:pStyle w:val="MDPI42tablebody"/>
              <w:keepNext w:val="0"/>
            </w:pPr>
            <w:r>
              <w:rPr/>
              <w:t>12.08</w:t>
            </w:r>
          </w:p>
        </w:tc>
        <w:tc>
          <w:tcPr>
            <w:tcW w:type="dxa" w:w="2032"/>
          </w:tcPr>
          <w:p>
            <w:pPr>
              <w:pStyle w:val="MDPI42tablebody"/>
              <w:keepNext w:val="0"/>
            </w:pPr>
            <w:r>
              <w:rPr/>
              <w:t>10.40</w:t>
            </w:r>
          </w:p>
        </w:tc>
        <w:tc>
          <w:tcPr>
            <w:tcW w:type="dxa" w:w="1335"/>
          </w:tcPr>
          <w:p>
            <w:pPr>
              <w:pStyle w:val="MDPI42tablebody"/>
              <w:keepNext w:val="0"/>
            </w:pPr>
            <w:r>
              <w:rPr>
                <w:b/>
              </w:rPr>
              <w:t>5.55</w:t>
            </w:r>
          </w:p>
        </w:tc>
        <w:tc>
          <w:tcPr>
            <w:tcW w:type="dxa" w:w="1335"/>
          </w:tcPr>
          <w:p>
            <w:pPr>
              <w:pStyle w:val="MDPI42tablebody"/>
              <w:keepNext w:val="0"/>
            </w:pPr>
            <w:r>
              <w:rPr/>
              <w:t>12.64</w:t>
            </w:r>
          </w:p>
        </w:tc>
        <w:tc>
          <w:tcPr>
            <w:tcW w:type="dxa" w:w="1340"/>
          </w:tcPr>
          <w:p>
            <w:pPr>
              <w:pStyle w:val="MDPI42tablebody"/>
              <w:keepNext w:val="0"/>
            </w:pPr>
            <w:r>
              <w:rPr/>
              <w:t>0.007</w:t>
            </w:r>
          </w:p>
        </w:tc>
      </w:tr>
      <w:tr>
        <w:tc>
          <w:tcPr>
            <w:tcW w:type="dxa" w:w="1475"/>
          </w:tcPr>
          <w:p>
            <w:pPr>
              <w:pStyle w:val="MDPI42tablebody"/>
              <w:keepNext w:val="0"/>
            </w:pPr>
            <w:r>
              <w:rPr/>
              <w:t>ILM</w:t>
            </w:r>
          </w:p>
        </w:tc>
        <w:tc>
          <w:tcPr>
            <w:tcW w:type="dxa" w:w="1335"/>
          </w:tcPr>
          <w:p>
            <w:pPr>
              <w:pStyle w:val="MDPI42tablebody"/>
              <w:keepNext w:val="0"/>
            </w:pPr>
            <w:r>
              <w:rPr/>
              <w:t>6.26</w:t>
            </w:r>
          </w:p>
        </w:tc>
        <w:tc>
          <w:tcPr>
            <w:tcW w:type="dxa" w:w="1614"/>
          </w:tcPr>
          <w:p>
            <w:pPr>
              <w:pStyle w:val="MDPI42tablebody"/>
              <w:keepNext w:val="0"/>
            </w:pPr>
            <w:r>
              <w:rPr/>
              <w:t>5.24</w:t>
            </w:r>
          </w:p>
        </w:tc>
        <w:tc>
          <w:tcPr>
            <w:tcW w:type="dxa" w:w="2032"/>
          </w:tcPr>
          <w:p>
            <w:pPr>
              <w:pStyle w:val="MDPI42tablebody"/>
              <w:keepNext w:val="0"/>
            </w:pPr>
            <w:r>
              <w:rPr/>
              <w:t>3.06</w:t>
            </w:r>
          </w:p>
        </w:tc>
        <w:tc>
          <w:tcPr>
            <w:tcW w:type="dxa" w:w="1335"/>
          </w:tcPr>
          <w:p>
            <w:pPr>
              <w:pStyle w:val="MDPI42tablebody"/>
              <w:keepNext w:val="0"/>
            </w:pPr>
            <w:r>
              <w:rPr>
                <w:b/>
              </w:rPr>
              <w:t>2.39</w:t>
            </w:r>
          </w:p>
        </w:tc>
        <w:tc>
          <w:tcPr>
            <w:tcW w:type="dxa" w:w="1335"/>
          </w:tcPr>
          <w:p>
            <w:pPr>
              <w:pStyle w:val="MDPI42tablebody"/>
              <w:keepNext w:val="0"/>
            </w:pPr>
            <w:r>
              <w:rPr/>
              <w:t>4.06</w:t>
            </w:r>
          </w:p>
        </w:tc>
        <w:tc>
          <w:tcPr>
            <w:tcW w:type="dxa" w:w="1340"/>
          </w:tcPr>
          <w:p>
            <w:pPr>
              <w:pStyle w:val="MDPI42tablebody"/>
              <w:keepNext w:val="0"/>
            </w:pPr>
            <w:r>
              <w:rPr/>
              <w:t>0.007</w:t>
            </w:r>
          </w:p>
        </w:tc>
      </w:tr>
    </w:tbl>
    <w:p>
      <w:pPr>
        <w:pStyle w:val="MDPI23heading3"/>
        <w:keepNext/>
      </w:pPr>
      <w:r>
        <w:rPr/>
        <w:t>3.4.3. Hapke–Bayesian Inversion [26]</w:t>
      </w:r>
    </w:p>
    <w:p>
      <w:pPr>
        <w:pStyle w:val="MDPI31text"/>
      </w:pPr>
      <w:r>
        <w:rPr/>
        <w:t>For the four soils investigated by Jung et al. (samples 12001, 12030, 15071, and 71061; grain size 20–45 µm), arranged in descending order according to the amount of crystalline phases, the LOSS error of LUMEN is 1.00 for olivine, 1.24 for ilmenite, and 7.95 for plagioclase, and thus satisfies all three known accuracy levels (7, 10, and 30 points). On the other hand, the inverted maturity index results in 17.56 points for ilmenite. Considering that only four soils have been examined, this provides lacking evidence: the zero-shot model satisfies all conditions simultaneously, while the average result for other soils does not satisfy the limits of ilmenite and plagioclase. The Is/FeO ratio from LUMEN compares to the measured one at r = 0.99, while the maturity index from the inversion is at approximately r = 0.00.</w:t>
      </w:r>
    </w:p>
    <w:p>
      <w:pPr>
        <w:pStyle w:val="MDPI22heading2"/>
        <w:keepNext/>
      </w:pPr>
      <w:r>
        <w:rPr/>
        <w:t>3.5. Uncertainty and Identifiability</w:t>
      </w:r>
    </w:p>
    <w:p>
      <w:pPr>
        <w:pStyle w:val="MDPI31text"/>
      </w:pPr>
      <w:r>
        <w:rPr/>
        <w:t>Raw ensemble confidence intervals are overconfident (Figure 7): the actual 68/90/95% confidence intervals have means of 0.59/0.82/0.89 when using LOSO and 0.33/0.55/0.64 when using LOMO. Normalised conformal calibration restores the 0.68/0.90/0.95 intervals for LOSO and 0.64/0.86/0.92 for LOMO. Exact CV+, where models were trained without both calibration soil and test soil, produces 0.69/0.90/0.96 (LOSO) and 0.70/0.88/0.93 (LOMO), suggesting that the approximation is somewhat conservative when generalising out-of-distribution. Identifiability gate meets 11 of 13 targets (Table 5). It does not include olivine, which had a LOSO skill of −0.06 (−0.40 to 0.22) and “other” class soil, which had a LOSO skill of 0.22 (−0.03 to 0.42). Agglutinate fraction soil was also excluded due to its lack of significance in LOMO.</w:t>
      </w:r>
    </w:p>
    <w:p>
      <w:pPr>
        <w:pStyle w:val="MDPI41tablecaption"/>
        <w:keepNext/>
      </w:pPr>
      <w:r>
        <w:rPr>
          <w:b/>
        </w:rPr>
        <w:t>Table 5.</w:t>
      </w:r>
      <w:r>
        <w:rPr/>
        <w:t xml:space="preserve"> Skill over the zero-information reference with 95% bootstrap CI.</w:t>
      </w:r>
    </w:p>
    <w:tbl>
      <w:tblPr>
        <w:tblW w:type="auto" w:w="0"/>
        <w:tblLook w:firstColumn="1" w:firstRow="1" w:lastColumn="0" w:lastRow="0" w:noHBand="0" w:noVBand="1" w:val="04A0"/>
        <w:tblW w:w="7859" w:type="dxa"/>
        <w:tblInd w:w="2608" w:type="dxa"/>
        <w:tblBorders>
          <w:top w:val="single" w:sz="8" w:space="0" w:color="000000"/>
          <w:bottom w:val="single" w:sz="8" w:space="0" w:color="000000"/>
        </w:tblBorders>
        <w:tblLayout w:type="fixed"/>
      </w:tblPr>
      <w:tblGrid>
        <w:gridCol w:w="1716"/>
        <w:gridCol w:w="2487"/>
        <w:gridCol w:w="2597"/>
        <w:gridCol w:w="1059"/>
      </w:tblGrid>
      <w:tr>
        <w:tc>
          <w:tcPr>
            <w:tcW w:type="dxa" w:w="1716"/>
            <w:tcBorders>
              <w:bottom w:val="single" w:sz="4" w:space="0" w:color="000000"/>
            </w:tcBorders>
          </w:tcPr>
          <w:p>
            <w:pPr>
              <w:pStyle w:val="MDPI42tablebody"/>
              <w:keepNext/>
            </w:pPr>
            <w:r>
              <w:rPr>
                <w:b/>
              </w:rPr>
              <w:t>Target</w:t>
            </w:r>
          </w:p>
        </w:tc>
        <w:tc>
          <w:tcPr>
            <w:tcW w:type="dxa" w:w="2487"/>
            <w:tcBorders>
              <w:bottom w:val="single" w:sz="4" w:space="0" w:color="000000"/>
            </w:tcBorders>
          </w:tcPr>
          <w:p>
            <w:pPr>
              <w:pStyle w:val="MDPI42tablebody"/>
              <w:keepNext/>
            </w:pPr>
            <w:r>
              <w:rPr>
                <w:b/>
              </w:rPr>
              <w:t>LOSO skill [CI]</w:t>
            </w:r>
          </w:p>
        </w:tc>
        <w:tc>
          <w:tcPr>
            <w:tcW w:type="dxa" w:w="2597"/>
            <w:tcBorders>
              <w:bottom w:val="single" w:sz="4" w:space="0" w:color="000000"/>
            </w:tcBorders>
          </w:tcPr>
          <w:p>
            <w:pPr>
              <w:pStyle w:val="MDPI42tablebody"/>
              <w:keepNext/>
            </w:pPr>
            <w:r>
              <w:rPr>
                <w:b/>
              </w:rPr>
              <w:t>LOMO skill [CI]</w:t>
            </w:r>
          </w:p>
        </w:tc>
        <w:tc>
          <w:tcPr>
            <w:tcW w:type="dxa" w:w="1059"/>
            <w:tcBorders>
              <w:bottom w:val="single" w:sz="4" w:space="0" w:color="000000"/>
            </w:tcBorders>
          </w:tcPr>
          <w:p>
            <w:pPr>
              <w:pStyle w:val="MDPI42tablebody"/>
              <w:keepNext/>
            </w:pPr>
            <w:r>
              <w:rPr>
                <w:b/>
              </w:rPr>
              <w:t>Mapped</w:t>
            </w:r>
          </w:p>
        </w:tc>
      </w:tr>
      <w:tr>
        <w:tc>
          <w:tcPr>
            <w:tcW w:type="dxa" w:w="1716"/>
          </w:tcPr>
          <w:p>
            <w:pPr>
              <w:pStyle w:val="MDPI42tablebody"/>
              <w:keepNext/>
            </w:pPr>
            <w:r>
              <w:rPr/>
              <w:t>PLG</w:t>
            </w:r>
          </w:p>
        </w:tc>
        <w:tc>
          <w:tcPr>
            <w:tcW w:type="dxa" w:w="2487"/>
          </w:tcPr>
          <w:p>
            <w:pPr>
              <w:pStyle w:val="MDPI42tablebody"/>
              <w:keepNext/>
            </w:pPr>
            <w:r>
              <w:rPr/>
              <w:t>0.66 [0.47, 0.78]</w:t>
            </w:r>
          </w:p>
        </w:tc>
        <w:tc>
          <w:tcPr>
            <w:tcW w:type="dxa" w:w="2597"/>
          </w:tcPr>
          <w:p>
            <w:pPr>
              <w:pStyle w:val="MDPI42tablebody"/>
              <w:keepNext/>
            </w:pPr>
            <w:r>
              <w:rPr/>
              <w:t>0.36 [0.19, 0.52]</w:t>
            </w:r>
          </w:p>
        </w:tc>
        <w:tc>
          <w:tcPr>
            <w:tcW w:type="dxa" w:w="1059"/>
          </w:tcPr>
          <w:p>
            <w:pPr>
              <w:pStyle w:val="MDPI42tablebody"/>
              <w:keepNext/>
            </w:pPr>
            <w:r>
              <w:rPr/>
              <w:t>yes</w:t>
            </w:r>
          </w:p>
        </w:tc>
      </w:tr>
      <w:tr>
        <w:tc>
          <w:tcPr>
            <w:tcW w:type="dxa" w:w="1716"/>
          </w:tcPr>
          <w:p>
            <w:pPr>
              <w:pStyle w:val="MDPI42tablebody"/>
              <w:keepNext/>
            </w:pPr>
            <w:r>
              <w:rPr/>
              <w:t>LCP</w:t>
            </w:r>
          </w:p>
        </w:tc>
        <w:tc>
          <w:tcPr>
            <w:tcW w:type="dxa" w:w="2487"/>
          </w:tcPr>
          <w:p>
            <w:pPr>
              <w:pStyle w:val="MDPI42tablebody"/>
              <w:keepNext/>
            </w:pPr>
            <w:r>
              <w:rPr/>
              <w:t>0.46 [0.32, 0.59]</w:t>
            </w:r>
          </w:p>
        </w:tc>
        <w:tc>
          <w:tcPr>
            <w:tcW w:type="dxa" w:w="2597"/>
          </w:tcPr>
          <w:p>
            <w:pPr>
              <w:pStyle w:val="MDPI42tablebody"/>
              <w:keepNext/>
            </w:pPr>
            <w:r>
              <w:rPr/>
              <w:t>0.36 [0.20, 0.50]</w:t>
            </w:r>
          </w:p>
        </w:tc>
        <w:tc>
          <w:tcPr>
            <w:tcW w:type="dxa" w:w="1059"/>
          </w:tcPr>
          <w:p>
            <w:pPr>
              <w:pStyle w:val="MDPI42tablebody"/>
              <w:keepNext/>
            </w:pPr>
            <w:r>
              <w:rPr/>
              <w:t>yes</w:t>
            </w:r>
          </w:p>
        </w:tc>
      </w:tr>
      <w:tr>
        <w:tc>
          <w:tcPr>
            <w:tcW w:type="dxa" w:w="1716"/>
          </w:tcPr>
          <w:p>
            <w:pPr>
              <w:pStyle w:val="MDPI42tablebody"/>
              <w:keepNext w:val="0"/>
            </w:pPr>
            <w:r>
              <w:rPr/>
              <w:t>HCP</w:t>
            </w:r>
          </w:p>
        </w:tc>
        <w:tc>
          <w:tcPr>
            <w:tcW w:type="dxa" w:w="2487"/>
          </w:tcPr>
          <w:p>
            <w:pPr>
              <w:pStyle w:val="MDPI42tablebody"/>
              <w:keepNext w:val="0"/>
            </w:pPr>
            <w:r>
              <w:rPr/>
              <w:t>0.63 [0.53, 0.71]</w:t>
            </w:r>
          </w:p>
        </w:tc>
        <w:tc>
          <w:tcPr>
            <w:tcW w:type="dxa" w:w="2597"/>
          </w:tcPr>
          <w:p>
            <w:pPr>
              <w:pStyle w:val="MDPI42tablebody"/>
              <w:keepNext w:val="0"/>
            </w:pPr>
            <w:r>
              <w:rPr/>
              <w:t>0.65 [0.55, 0.74]</w:t>
            </w:r>
          </w:p>
        </w:tc>
        <w:tc>
          <w:tcPr>
            <w:tcW w:type="dxa" w:w="1059"/>
          </w:tcPr>
          <w:p>
            <w:pPr>
              <w:pStyle w:val="MDPI42tablebody"/>
              <w:keepNext w:val="0"/>
            </w:pPr>
            <w:r>
              <w:rPr/>
              <w:t>yes</w:t>
            </w:r>
          </w:p>
        </w:tc>
      </w:tr>
      <w:tr>
        <w:tc>
          <w:tcPr>
            <w:tcW w:type="dxa" w:w="1716"/>
          </w:tcPr>
          <w:p>
            <w:pPr>
              <w:pStyle w:val="MDPI42tablebody"/>
              <w:keepNext w:val="0"/>
            </w:pPr>
            <w:r>
              <w:rPr/>
              <w:t>OLV</w:t>
            </w:r>
          </w:p>
        </w:tc>
        <w:tc>
          <w:tcPr>
            <w:tcW w:type="dxa" w:w="2487"/>
          </w:tcPr>
          <w:p>
            <w:pPr>
              <w:pStyle w:val="MDPI42tablebody"/>
              <w:keepNext w:val="0"/>
            </w:pPr>
            <w:r>
              <w:rPr/>
              <w:t>−0.06 [−0.40, 0.22]</w:t>
            </w:r>
          </w:p>
        </w:tc>
        <w:tc>
          <w:tcPr>
            <w:tcW w:type="dxa" w:w="2597"/>
          </w:tcPr>
          <w:p>
            <w:pPr>
              <w:pStyle w:val="MDPI42tablebody"/>
              <w:keepNext w:val="0"/>
            </w:pPr>
            <w:r>
              <w:rPr/>
              <w:t>−0.08 [−0.38, 0.16]</w:t>
            </w:r>
          </w:p>
        </w:tc>
        <w:tc>
          <w:tcPr>
            <w:tcW w:type="dxa" w:w="1059"/>
          </w:tcPr>
          <w:p>
            <w:pPr>
              <w:pStyle w:val="MDPI42tablebody"/>
              <w:keepNext w:val="0"/>
            </w:pPr>
            <w:r>
              <w:rPr>
                <w:b/>
              </w:rPr>
              <w:t>no</w:t>
            </w:r>
          </w:p>
        </w:tc>
      </w:tr>
      <w:tr>
        <w:tc>
          <w:tcPr>
            <w:tcW w:type="dxa" w:w="1716"/>
          </w:tcPr>
          <w:p>
            <w:pPr>
              <w:pStyle w:val="MDPI42tablebody"/>
              <w:keepNext w:val="0"/>
            </w:pPr>
            <w:r>
              <w:rPr/>
              <w:t>ILM</w:t>
            </w:r>
          </w:p>
        </w:tc>
        <w:tc>
          <w:tcPr>
            <w:tcW w:type="dxa" w:w="2487"/>
          </w:tcPr>
          <w:p>
            <w:pPr>
              <w:pStyle w:val="MDPI42tablebody"/>
              <w:keepNext w:val="0"/>
            </w:pPr>
            <w:r>
              <w:rPr/>
              <w:t>0.54 [0.40, 0.64]</w:t>
            </w:r>
          </w:p>
        </w:tc>
        <w:tc>
          <w:tcPr>
            <w:tcW w:type="dxa" w:w="2597"/>
          </w:tcPr>
          <w:p>
            <w:pPr>
              <w:pStyle w:val="MDPI42tablebody"/>
              <w:keepNext w:val="0"/>
            </w:pPr>
            <w:r>
              <w:rPr/>
              <w:t>0.47 [0.36, 0.57]</w:t>
            </w:r>
          </w:p>
        </w:tc>
        <w:tc>
          <w:tcPr>
            <w:tcW w:type="dxa" w:w="1059"/>
          </w:tcPr>
          <w:p>
            <w:pPr>
              <w:pStyle w:val="MDPI42tablebody"/>
              <w:keepNext w:val="0"/>
            </w:pPr>
            <w:r>
              <w:rPr/>
              <w:t>yes</w:t>
            </w:r>
          </w:p>
        </w:tc>
      </w:tr>
      <w:tr>
        <w:tc>
          <w:tcPr>
            <w:tcW w:type="dxa" w:w="1716"/>
          </w:tcPr>
          <w:p>
            <w:pPr>
              <w:pStyle w:val="MDPI42tablebody"/>
              <w:keepNext w:val="0"/>
            </w:pPr>
            <w:r>
              <w:rPr/>
              <w:t>AGG</w:t>
            </w:r>
          </w:p>
        </w:tc>
        <w:tc>
          <w:tcPr>
            <w:tcW w:type="dxa" w:w="2487"/>
          </w:tcPr>
          <w:p>
            <w:pPr>
              <w:pStyle w:val="MDPI42tablebody"/>
              <w:keepNext w:val="0"/>
            </w:pPr>
            <w:r>
              <w:rPr/>
              <w:t>0.40 [0.16, 0.54]</w:t>
            </w:r>
          </w:p>
        </w:tc>
        <w:tc>
          <w:tcPr>
            <w:tcW w:type="dxa" w:w="2597"/>
          </w:tcPr>
          <w:p>
            <w:pPr>
              <w:pStyle w:val="MDPI42tablebody"/>
              <w:keepNext w:val="0"/>
            </w:pPr>
            <w:r>
              <w:rPr/>
              <w:t>0.04 [−0.34, 0.25]</w:t>
            </w:r>
          </w:p>
        </w:tc>
        <w:tc>
          <w:tcPr>
            <w:tcW w:type="dxa" w:w="1059"/>
          </w:tcPr>
          <w:p>
            <w:pPr>
              <w:pStyle w:val="MDPI42tablebody"/>
              <w:keepNext w:val="0"/>
            </w:pPr>
            <w:r>
              <w:rPr/>
              <w:t>yes</w:t>
            </w:r>
          </w:p>
        </w:tc>
      </w:tr>
      <w:tr>
        <w:tc>
          <w:tcPr>
            <w:tcW w:type="dxa" w:w="1716"/>
          </w:tcPr>
          <w:p>
            <w:pPr>
              <w:pStyle w:val="MDPI42tablebody"/>
              <w:keepNext w:val="0"/>
            </w:pPr>
            <w:r>
              <w:rPr/>
              <w:t>OTH</w:t>
            </w:r>
          </w:p>
        </w:tc>
        <w:tc>
          <w:tcPr>
            <w:tcW w:type="dxa" w:w="2487"/>
          </w:tcPr>
          <w:p>
            <w:pPr>
              <w:pStyle w:val="MDPI42tablebody"/>
              <w:keepNext w:val="0"/>
            </w:pPr>
            <w:r>
              <w:rPr/>
              <w:t>0.22 [−0.03, 0.42]</w:t>
            </w:r>
          </w:p>
        </w:tc>
        <w:tc>
          <w:tcPr>
            <w:tcW w:type="dxa" w:w="2597"/>
          </w:tcPr>
          <w:p>
            <w:pPr>
              <w:pStyle w:val="MDPI42tablebody"/>
              <w:keepNext w:val="0"/>
            </w:pPr>
            <w:r>
              <w:rPr/>
              <w:t>−0.22 [−0.51, −0.03]</w:t>
            </w:r>
          </w:p>
        </w:tc>
        <w:tc>
          <w:tcPr>
            <w:tcW w:type="dxa" w:w="1059"/>
          </w:tcPr>
          <w:p>
            <w:pPr>
              <w:pStyle w:val="MDPI42tablebody"/>
              <w:keepNext w:val="0"/>
            </w:pPr>
            <w:r>
              <w:rPr>
                <w:b/>
              </w:rPr>
              <w:t>no</w:t>
            </w:r>
          </w:p>
        </w:tc>
      </w:tr>
      <w:tr>
        <w:tc>
          <w:tcPr>
            <w:tcW w:type="dxa" w:w="1716"/>
          </w:tcPr>
          <w:p>
            <w:pPr>
              <w:pStyle w:val="MDPI42tablebody"/>
              <w:keepNext w:val="0"/>
            </w:pPr>
            <w:r>
              <w:rPr/>
              <w:t>FeO</w:t>
            </w:r>
          </w:p>
        </w:tc>
        <w:tc>
          <w:tcPr>
            <w:tcW w:type="dxa" w:w="2487"/>
          </w:tcPr>
          <w:p>
            <w:pPr>
              <w:pStyle w:val="MDPI42tablebody"/>
              <w:keepNext w:val="0"/>
            </w:pPr>
            <w:r>
              <w:rPr/>
              <w:t>0.72 [0.61, 0.80]</w:t>
            </w:r>
          </w:p>
        </w:tc>
        <w:tc>
          <w:tcPr>
            <w:tcW w:type="dxa" w:w="2597"/>
          </w:tcPr>
          <w:p>
            <w:pPr>
              <w:pStyle w:val="MDPI42tablebody"/>
              <w:keepNext w:val="0"/>
            </w:pPr>
            <w:r>
              <w:rPr/>
              <w:t>0.53 [0.44, 0.60]</w:t>
            </w:r>
          </w:p>
        </w:tc>
        <w:tc>
          <w:tcPr>
            <w:tcW w:type="dxa" w:w="1059"/>
          </w:tcPr>
          <w:p>
            <w:pPr>
              <w:pStyle w:val="MDPI42tablebody"/>
              <w:keepNext w:val="0"/>
            </w:pPr>
            <w:r>
              <w:rPr/>
              <w:t>yes</w:t>
            </w:r>
          </w:p>
        </w:tc>
      </w:tr>
      <w:tr>
        <w:tc>
          <w:tcPr>
            <w:tcW w:type="dxa" w:w="1716"/>
          </w:tcPr>
          <w:p>
            <w:pPr>
              <w:pStyle w:val="MDPI42tablebody"/>
              <w:keepNext w:val="0"/>
            </w:pPr>
            <w:r>
              <w:rPr/>
              <w:t>TiO₂</w:t>
            </w:r>
          </w:p>
        </w:tc>
        <w:tc>
          <w:tcPr>
            <w:tcW w:type="dxa" w:w="2487"/>
          </w:tcPr>
          <w:p>
            <w:pPr>
              <w:pStyle w:val="MDPI42tablebody"/>
              <w:keepNext w:val="0"/>
            </w:pPr>
            <w:r>
              <w:rPr/>
              <w:t>0.74 [0.61, 0.82]</w:t>
            </w:r>
          </w:p>
        </w:tc>
        <w:tc>
          <w:tcPr>
            <w:tcW w:type="dxa" w:w="2597"/>
          </w:tcPr>
          <w:p>
            <w:pPr>
              <w:pStyle w:val="MDPI42tablebody"/>
              <w:keepNext w:val="0"/>
            </w:pPr>
            <w:r>
              <w:rPr/>
              <w:t>0.58 [0.45, 0.65]</w:t>
            </w:r>
          </w:p>
        </w:tc>
        <w:tc>
          <w:tcPr>
            <w:tcW w:type="dxa" w:w="1059"/>
          </w:tcPr>
          <w:p>
            <w:pPr>
              <w:pStyle w:val="MDPI42tablebody"/>
              <w:keepNext w:val="0"/>
            </w:pPr>
            <w:r>
              <w:rPr/>
              <w:t>yes</w:t>
            </w:r>
          </w:p>
        </w:tc>
      </w:tr>
      <w:tr>
        <w:tc>
          <w:tcPr>
            <w:tcW w:type="dxa" w:w="1716"/>
          </w:tcPr>
          <w:p>
            <w:pPr>
              <w:pStyle w:val="MDPI42tablebody"/>
              <w:keepNext w:val="0"/>
            </w:pPr>
            <w:r>
              <w:rPr/>
              <w:t>Al₂O₃</w:t>
            </w:r>
          </w:p>
        </w:tc>
        <w:tc>
          <w:tcPr>
            <w:tcW w:type="dxa" w:w="2487"/>
          </w:tcPr>
          <w:p>
            <w:pPr>
              <w:pStyle w:val="MDPI42tablebody"/>
              <w:keepNext w:val="0"/>
            </w:pPr>
            <w:r>
              <w:rPr/>
              <w:t>0.71 [0.56, 0.82]</w:t>
            </w:r>
          </w:p>
        </w:tc>
        <w:tc>
          <w:tcPr>
            <w:tcW w:type="dxa" w:w="2597"/>
          </w:tcPr>
          <w:p>
            <w:pPr>
              <w:pStyle w:val="MDPI42tablebody"/>
              <w:keepNext w:val="0"/>
            </w:pPr>
            <w:r>
              <w:rPr/>
              <w:t>0.43 [0.28, 0.54]</w:t>
            </w:r>
          </w:p>
        </w:tc>
        <w:tc>
          <w:tcPr>
            <w:tcW w:type="dxa" w:w="1059"/>
          </w:tcPr>
          <w:p>
            <w:pPr>
              <w:pStyle w:val="MDPI42tablebody"/>
              <w:keepNext w:val="0"/>
            </w:pPr>
            <w:r>
              <w:rPr/>
              <w:t>yes</w:t>
            </w:r>
          </w:p>
        </w:tc>
      </w:tr>
      <w:tr>
        <w:tc>
          <w:tcPr>
            <w:tcW w:type="dxa" w:w="1716"/>
          </w:tcPr>
          <w:p>
            <w:pPr>
              <w:pStyle w:val="MDPI42tablebody"/>
              <w:keepNext w:val="0"/>
            </w:pPr>
            <w:r>
              <w:rPr/>
              <w:t>CaO</w:t>
            </w:r>
          </w:p>
        </w:tc>
        <w:tc>
          <w:tcPr>
            <w:tcW w:type="dxa" w:w="2487"/>
          </w:tcPr>
          <w:p>
            <w:pPr>
              <w:pStyle w:val="MDPI42tablebody"/>
              <w:keepNext w:val="0"/>
            </w:pPr>
            <w:r>
              <w:rPr/>
              <w:t>0.64 [0.50, 0.75]</w:t>
            </w:r>
          </w:p>
        </w:tc>
        <w:tc>
          <w:tcPr>
            <w:tcW w:type="dxa" w:w="2597"/>
          </w:tcPr>
          <w:p>
            <w:pPr>
              <w:pStyle w:val="MDPI42tablebody"/>
              <w:keepNext w:val="0"/>
            </w:pPr>
            <w:r>
              <w:rPr/>
              <w:t>0.28 [0.16, 0.38]</w:t>
            </w:r>
          </w:p>
        </w:tc>
        <w:tc>
          <w:tcPr>
            <w:tcW w:type="dxa" w:w="1059"/>
          </w:tcPr>
          <w:p>
            <w:pPr>
              <w:pStyle w:val="MDPI42tablebody"/>
              <w:keepNext w:val="0"/>
            </w:pPr>
            <w:r>
              <w:rPr/>
              <w:t>yes</w:t>
            </w:r>
          </w:p>
        </w:tc>
      </w:tr>
      <w:tr>
        <w:tc>
          <w:tcPr>
            <w:tcW w:type="dxa" w:w="1716"/>
          </w:tcPr>
          <w:p>
            <w:pPr>
              <w:pStyle w:val="MDPI42tablebody"/>
              <w:keepNext w:val="0"/>
            </w:pPr>
            <w:r>
              <w:rPr/>
              <w:t>MgO</w:t>
            </w:r>
          </w:p>
        </w:tc>
        <w:tc>
          <w:tcPr>
            <w:tcW w:type="dxa" w:w="2487"/>
          </w:tcPr>
          <w:p>
            <w:pPr>
              <w:pStyle w:val="MDPI42tablebody"/>
              <w:keepNext w:val="0"/>
            </w:pPr>
            <w:r>
              <w:rPr/>
              <w:t>0.61 [0.37, 0.77]</w:t>
            </w:r>
          </w:p>
        </w:tc>
        <w:tc>
          <w:tcPr>
            <w:tcW w:type="dxa" w:w="2597"/>
          </w:tcPr>
          <w:p>
            <w:pPr>
              <w:pStyle w:val="MDPI42tablebody"/>
              <w:keepNext w:val="0"/>
            </w:pPr>
            <w:r>
              <w:rPr/>
              <w:t>0.31 [0.05, 0.47]</w:t>
            </w:r>
          </w:p>
        </w:tc>
        <w:tc>
          <w:tcPr>
            <w:tcW w:type="dxa" w:w="1059"/>
          </w:tcPr>
          <w:p>
            <w:pPr>
              <w:pStyle w:val="MDPI42tablebody"/>
              <w:keepNext w:val="0"/>
            </w:pPr>
            <w:r>
              <w:rPr/>
              <w:t>yes</w:t>
            </w:r>
          </w:p>
        </w:tc>
      </w:tr>
      <w:tr>
        <w:tc>
          <w:tcPr>
            <w:tcW w:type="dxa" w:w="1716"/>
          </w:tcPr>
          <w:p>
            <w:pPr>
              <w:pStyle w:val="MDPI42tablebody"/>
              <w:keepNext w:val="0"/>
            </w:pPr>
            <w:r>
              <w:rPr/>
              <w:t>log₁₀ Is/FeO</w:t>
            </w:r>
          </w:p>
        </w:tc>
        <w:tc>
          <w:tcPr>
            <w:tcW w:type="dxa" w:w="2487"/>
          </w:tcPr>
          <w:p>
            <w:pPr>
              <w:pStyle w:val="MDPI42tablebody"/>
              <w:keepNext w:val="0"/>
            </w:pPr>
            <w:r>
              <w:rPr/>
              <w:t>0.63 [0.56, 0.71]</w:t>
            </w:r>
          </w:p>
        </w:tc>
        <w:tc>
          <w:tcPr>
            <w:tcW w:type="dxa" w:w="2597"/>
          </w:tcPr>
          <w:p>
            <w:pPr>
              <w:pStyle w:val="MDPI42tablebody"/>
              <w:keepNext w:val="0"/>
            </w:pPr>
            <w:r>
              <w:rPr/>
              <w:t>0.50 [0.32, 0.61]</w:t>
            </w:r>
          </w:p>
        </w:tc>
        <w:tc>
          <w:tcPr>
            <w:tcW w:type="dxa" w:w="1059"/>
          </w:tcPr>
          <w:p>
            <w:pPr>
              <w:pStyle w:val="MDPI42tablebody"/>
              <w:keepNext w:val="0"/>
            </w:pPr>
            <w:r>
              <w:rPr/>
              <w:t>yes</w:t>
            </w:r>
          </w:p>
        </w:tc>
      </w:tr>
    </w:tbl>
    <w:p>
      <w:pPr>
        <w:pStyle w:val="MDPI52figure"/>
        <w:keepNext/>
        <w:ind w:left="0"/>
        <w:jc w:val="center"/>
      </w:pPr>
      <w:r>
        <w:drawing>
          <wp:inline xmlns:a="http://schemas.openxmlformats.org/drawingml/2006/main" xmlns:pic="http://schemas.openxmlformats.org/drawingml/2006/picture">
            <wp:extent cx="6120000" cy="2783270"/>
            <wp:docPr id="7" name="Picture 7"/>
            <wp:cNvGraphicFramePr>
              <a:graphicFrameLocks noChangeAspect="1"/>
            </wp:cNvGraphicFramePr>
            <a:graphic>
              <a:graphicData uri="http://schemas.openxmlformats.org/drawingml/2006/picture">
                <pic:pic>
                  <pic:nvPicPr>
                    <pic:cNvPr id="0" name="step05_coverage.png"/>
                    <pic:cNvPicPr/>
                  </pic:nvPicPr>
                  <pic:blipFill>
                    <a:blip r:embed="rId25"/>
                    <a:stretch>
                      <a:fillRect/>
                    </a:stretch>
                  </pic:blipFill>
                  <pic:spPr>
                    <a:xfrm>
                      <a:off x="0" y="0"/>
                      <a:ext cx="6120000" cy="2783270"/>
                    </a:xfrm>
                    <a:prstGeom prst="rect"/>
                  </pic:spPr>
                </pic:pic>
              </a:graphicData>
            </a:graphic>
          </wp:inline>
        </w:drawing>
      </w:r>
    </w:p>
    <w:p>
      <w:pPr>
        <w:pStyle w:val="MDPI511onefigurecaption"/>
      </w:pPr>
      <w:r>
        <w:rPr>
          <w:b/>
        </w:rPr>
        <w:t>Figure 7.</w:t>
      </w:r>
      <w:r>
        <w:rPr/>
        <w:t xml:space="preserve"> Empirical against nominal interval coverage for the raw ensemble and after conformal calibration, under leave-one-soil-out and leave-one-mission-out.</w:t>
      </w:r>
    </w:p>
    <w:p>
      <w:pPr>
        <w:pStyle w:val="MDPI22heading2"/>
        <w:keepNext/>
      </w:pPr>
      <w:r>
        <w:rPr/>
        <w:t>3.6. FeO from M³ Spectra at Returned-Sample Sites</w:t>
      </w:r>
    </w:p>
    <w:p>
      <w:pPr>
        <w:pStyle w:val="MDPI31text"/>
      </w:pPr>
      <w:r>
        <w:rPr/>
        <w:t>The base method is assessed for its performance for its assigned task of FeO in orbits employing its ground truth data [16,31], according to two different schemes of tests, P1 and P2 (Figure 4), where P1 represents the internal 10-fold cross validation within each site of the base study, which is consistent with the MAE of 2.29 wt% reported; and P2 represents leave-one-landing site out test in which all sites from one mission is left out because of common terrain and spatial autocorrelation.</w:t>
      </w:r>
    </w:p>
    <w:p>
      <w:pPr>
        <w:pStyle w:val="MDPI411onetablecaption"/>
        <w:keepNext/>
      </w:pPr>
      <w:r>
        <w:rPr>
          <w:b/>
        </w:rPr>
        <w:t>Table 6.</w:t>
      </w:r>
      <w:r>
        <w:rPr/>
        <w:t xml:space="preserve"> The FeO (wt%) data was taken from 49 returned sample sites using both P1 (10-fold cross-validation with seed 42) and P2 (leave one landing site out) approaches based on spectra of the 3 × 3-pixel site. The bias here means the discrepancy between the predicted FeO and laboratory FeO. All models except the zero-shot model and constants by Lucey et al. were trained for each fold.</w:t>
      </w:r>
    </w:p>
    <w:tbl>
      <w:tblPr>
        <w:tblW w:type="auto" w:w="0"/>
        <w:tblLook w:firstColumn="1" w:firstRow="1" w:lastColumn="0" w:lastRow="0" w:noHBand="0" w:noVBand="1" w:val="04A0"/>
        <w:tblW w:w="10466" w:type="dxa"/>
        <w:tblInd w:w="0" w:type="dxa"/>
        <w:tblBorders>
          <w:top w:val="single" w:sz="8" w:space="0" w:color="000000"/>
          <w:bottom w:val="single" w:sz="8" w:space="0" w:color="000000"/>
        </w:tblBorders>
        <w:tblLayout w:type="fixed"/>
      </w:tblPr>
      <w:tblGrid>
        <w:gridCol w:w="3469"/>
        <w:gridCol w:w="820"/>
        <w:gridCol w:w="820"/>
        <w:gridCol w:w="928"/>
        <w:gridCol w:w="928"/>
        <w:gridCol w:w="820"/>
        <w:gridCol w:w="820"/>
        <w:gridCol w:w="928"/>
        <w:gridCol w:w="933"/>
      </w:tblGrid>
      <w:tr>
        <w:tc>
          <w:tcPr>
            <w:tcW w:type="dxa" w:w="3469"/>
            <w:tcBorders>
              <w:bottom w:val="single" w:sz="4" w:space="0" w:color="000000"/>
            </w:tcBorders>
          </w:tcPr>
          <w:p>
            <w:pPr>
              <w:pStyle w:val="MDPI42tablebody"/>
              <w:keepNext/>
            </w:pPr>
            <w:r>
              <w:rPr>
                <w:b/>
              </w:rPr>
              <w:t>Method</w:t>
            </w:r>
          </w:p>
        </w:tc>
        <w:tc>
          <w:tcPr>
            <w:tcW w:type="dxa" w:w="820"/>
            <w:tcBorders>
              <w:bottom w:val="single" w:sz="4" w:space="0" w:color="000000"/>
            </w:tcBorders>
          </w:tcPr>
          <w:p>
            <w:pPr>
              <w:pStyle w:val="MDPI42tablebody"/>
              <w:keepNext/>
            </w:pPr>
            <w:r>
              <w:rPr>
                <w:b/>
              </w:rPr>
              <w:t>P1 MAE</w:t>
            </w:r>
          </w:p>
        </w:tc>
        <w:tc>
          <w:tcPr>
            <w:tcW w:type="dxa" w:w="820"/>
            <w:tcBorders>
              <w:bottom w:val="single" w:sz="4" w:space="0" w:color="000000"/>
            </w:tcBorders>
          </w:tcPr>
          <w:p>
            <w:pPr>
              <w:pStyle w:val="MDPI42tablebody"/>
              <w:keepNext/>
            </w:pPr>
            <w:r>
              <w:rPr>
                <w:b/>
              </w:rPr>
              <w:t>P1 RMSE</w:t>
            </w:r>
          </w:p>
        </w:tc>
        <w:tc>
          <w:tcPr>
            <w:tcW w:type="dxa" w:w="928"/>
            <w:tcBorders>
              <w:bottom w:val="single" w:sz="4" w:space="0" w:color="000000"/>
            </w:tcBorders>
          </w:tcPr>
          <w:p>
            <w:pPr>
              <w:pStyle w:val="MDPI42tablebody"/>
              <w:keepNext/>
            </w:pPr>
            <w:r>
              <w:rPr>
                <w:b/>
              </w:rPr>
              <w:t>P1 R²</w:t>
            </w:r>
          </w:p>
        </w:tc>
        <w:tc>
          <w:tcPr>
            <w:tcW w:type="dxa" w:w="928"/>
            <w:tcBorders>
              <w:bottom w:val="single" w:sz="4" w:space="0" w:color="000000"/>
            </w:tcBorders>
          </w:tcPr>
          <w:p>
            <w:pPr>
              <w:pStyle w:val="MDPI42tablebody"/>
              <w:keepNext/>
            </w:pPr>
            <w:r>
              <w:rPr>
                <w:b/>
              </w:rPr>
              <w:t>P1 bias</w:t>
            </w:r>
          </w:p>
        </w:tc>
        <w:tc>
          <w:tcPr>
            <w:tcW w:type="dxa" w:w="820"/>
            <w:tcBorders>
              <w:bottom w:val="single" w:sz="4" w:space="0" w:color="000000"/>
            </w:tcBorders>
          </w:tcPr>
          <w:p>
            <w:pPr>
              <w:pStyle w:val="MDPI42tablebody"/>
              <w:keepNext/>
            </w:pPr>
            <w:r>
              <w:rPr>
                <w:b/>
              </w:rPr>
              <w:t>P2 MAE</w:t>
            </w:r>
          </w:p>
        </w:tc>
        <w:tc>
          <w:tcPr>
            <w:tcW w:type="dxa" w:w="820"/>
            <w:tcBorders>
              <w:bottom w:val="single" w:sz="4" w:space="0" w:color="000000"/>
            </w:tcBorders>
          </w:tcPr>
          <w:p>
            <w:pPr>
              <w:pStyle w:val="MDPI42tablebody"/>
              <w:keepNext/>
            </w:pPr>
            <w:r>
              <w:rPr>
                <w:b/>
              </w:rPr>
              <w:t>P2 RMSE</w:t>
            </w:r>
          </w:p>
        </w:tc>
        <w:tc>
          <w:tcPr>
            <w:tcW w:type="dxa" w:w="928"/>
            <w:tcBorders>
              <w:bottom w:val="single" w:sz="4" w:space="0" w:color="000000"/>
            </w:tcBorders>
          </w:tcPr>
          <w:p>
            <w:pPr>
              <w:pStyle w:val="MDPI42tablebody"/>
              <w:keepNext/>
            </w:pPr>
            <w:r>
              <w:rPr>
                <w:b/>
              </w:rPr>
              <w:t>P2 R²</w:t>
            </w:r>
          </w:p>
        </w:tc>
        <w:tc>
          <w:tcPr>
            <w:tcW w:type="dxa" w:w="933"/>
            <w:tcBorders>
              <w:bottom w:val="single" w:sz="4" w:space="0" w:color="000000"/>
            </w:tcBorders>
          </w:tcPr>
          <w:p>
            <w:pPr>
              <w:pStyle w:val="MDPI42tablebody"/>
              <w:keepNext/>
            </w:pPr>
            <w:r>
              <w:rPr>
                <w:b/>
              </w:rPr>
              <w:t>P2 bias</w:t>
            </w:r>
          </w:p>
        </w:tc>
      </w:tr>
      <w:tr>
        <w:tc>
          <w:tcPr>
            <w:tcW w:type="dxa" w:w="3469"/>
          </w:tcPr>
          <w:p>
            <w:pPr>
              <w:pStyle w:val="MDPI42tablebody"/>
              <w:keepNext/>
            </w:pPr>
            <w:r>
              <w:rPr/>
              <w:t>LUMEN-M3 (zero-shot)</w:t>
            </w:r>
          </w:p>
        </w:tc>
        <w:tc>
          <w:tcPr>
            <w:tcW w:type="dxa" w:w="820"/>
          </w:tcPr>
          <w:p>
            <w:pPr>
              <w:pStyle w:val="MDPI42tablebody"/>
              <w:keepNext/>
            </w:pPr>
            <w:r>
              <w:rPr/>
              <w:t>6.81</w:t>
            </w:r>
          </w:p>
        </w:tc>
        <w:tc>
          <w:tcPr>
            <w:tcW w:type="dxa" w:w="820"/>
          </w:tcPr>
          <w:p>
            <w:pPr>
              <w:pStyle w:val="MDPI42tablebody"/>
              <w:keepNext/>
            </w:pPr>
            <w:r>
              <w:rPr/>
              <w:t>7.52</w:t>
            </w:r>
          </w:p>
        </w:tc>
        <w:tc>
          <w:tcPr>
            <w:tcW w:type="dxa" w:w="928"/>
          </w:tcPr>
          <w:p>
            <w:pPr>
              <w:pStyle w:val="MDPI42tablebody"/>
              <w:keepNext/>
            </w:pPr>
            <w:r>
              <w:rPr/>
              <w:t>−1.30</w:t>
            </w:r>
          </w:p>
        </w:tc>
        <w:tc>
          <w:tcPr>
            <w:tcW w:type="dxa" w:w="928"/>
          </w:tcPr>
          <w:p>
            <w:pPr>
              <w:pStyle w:val="MDPI42tablebody"/>
              <w:keepNext/>
            </w:pPr>
            <w:r>
              <w:rPr/>
              <w:t>−5.29</w:t>
            </w:r>
          </w:p>
        </w:tc>
        <w:tc>
          <w:tcPr>
            <w:tcW w:type="dxa" w:w="820"/>
          </w:tcPr>
          <w:p>
            <w:pPr>
              <w:pStyle w:val="MDPI42tablebody"/>
              <w:keepNext/>
            </w:pPr>
            <w:r>
              <w:rPr/>
              <w:t>6.81</w:t>
            </w:r>
          </w:p>
        </w:tc>
        <w:tc>
          <w:tcPr>
            <w:tcW w:type="dxa" w:w="820"/>
          </w:tcPr>
          <w:p>
            <w:pPr>
              <w:pStyle w:val="MDPI42tablebody"/>
              <w:keepNext/>
            </w:pPr>
            <w:r>
              <w:rPr/>
              <w:t>7.52</w:t>
            </w:r>
          </w:p>
        </w:tc>
        <w:tc>
          <w:tcPr>
            <w:tcW w:type="dxa" w:w="928"/>
          </w:tcPr>
          <w:p>
            <w:pPr>
              <w:pStyle w:val="MDPI42tablebody"/>
              <w:keepNext/>
            </w:pPr>
            <w:r>
              <w:rPr/>
              <w:t>−1.30</w:t>
            </w:r>
          </w:p>
        </w:tc>
        <w:tc>
          <w:tcPr>
            <w:tcW w:type="dxa" w:w="933"/>
          </w:tcPr>
          <w:p>
            <w:pPr>
              <w:pStyle w:val="MDPI42tablebody"/>
              <w:keepNext/>
            </w:pPr>
            <w:r>
              <w:rPr/>
              <w:t>−5.29</w:t>
            </w:r>
          </w:p>
        </w:tc>
      </w:tr>
      <w:tr>
        <w:tc>
          <w:tcPr>
            <w:tcW w:type="dxa" w:w="3469"/>
          </w:tcPr>
          <w:p>
            <w:pPr>
              <w:pStyle w:val="MDPI42tablebody"/>
              <w:keepNext/>
            </w:pPr>
            <w:r>
              <w:rPr/>
              <w:t>LUMEN-M3 + recalibration</w:t>
            </w:r>
          </w:p>
        </w:tc>
        <w:tc>
          <w:tcPr>
            <w:tcW w:type="dxa" w:w="820"/>
          </w:tcPr>
          <w:p>
            <w:pPr>
              <w:pStyle w:val="MDPI42tablebody"/>
              <w:keepNext/>
            </w:pPr>
            <w:r>
              <w:rPr/>
              <w:t>4.39</w:t>
            </w:r>
          </w:p>
        </w:tc>
        <w:tc>
          <w:tcPr>
            <w:tcW w:type="dxa" w:w="820"/>
          </w:tcPr>
          <w:p>
            <w:pPr>
              <w:pStyle w:val="MDPI42tablebody"/>
              <w:keepNext/>
            </w:pPr>
            <w:r>
              <w:rPr/>
              <w:t>5.17</w:t>
            </w:r>
          </w:p>
        </w:tc>
        <w:tc>
          <w:tcPr>
            <w:tcW w:type="dxa" w:w="928"/>
          </w:tcPr>
          <w:p>
            <w:pPr>
              <w:pStyle w:val="MDPI42tablebody"/>
              <w:keepNext/>
            </w:pPr>
            <w:r>
              <w:rPr/>
              <w:t>−0.09</w:t>
            </w:r>
          </w:p>
        </w:tc>
        <w:tc>
          <w:tcPr>
            <w:tcW w:type="dxa" w:w="928"/>
          </w:tcPr>
          <w:p>
            <w:pPr>
              <w:pStyle w:val="MDPI42tablebody"/>
              <w:keepNext/>
            </w:pPr>
            <w:r>
              <w:rPr/>
              <w:t>−0.04</w:t>
            </w:r>
          </w:p>
        </w:tc>
        <w:tc>
          <w:tcPr>
            <w:tcW w:type="dxa" w:w="820"/>
          </w:tcPr>
          <w:p>
            <w:pPr>
              <w:pStyle w:val="MDPI42tablebody"/>
              <w:keepNext/>
            </w:pPr>
            <w:r>
              <w:rPr/>
              <w:t>5.11</w:t>
            </w:r>
          </w:p>
        </w:tc>
        <w:tc>
          <w:tcPr>
            <w:tcW w:type="dxa" w:w="820"/>
          </w:tcPr>
          <w:p>
            <w:pPr>
              <w:pStyle w:val="MDPI42tablebody"/>
              <w:keepNext/>
            </w:pPr>
            <w:r>
              <w:rPr/>
              <w:t>6.34</w:t>
            </w:r>
          </w:p>
        </w:tc>
        <w:tc>
          <w:tcPr>
            <w:tcW w:type="dxa" w:w="928"/>
          </w:tcPr>
          <w:p>
            <w:pPr>
              <w:pStyle w:val="MDPI42tablebody"/>
              <w:keepNext/>
            </w:pPr>
            <w:r>
              <w:rPr/>
              <w:t>−0.63</w:t>
            </w:r>
          </w:p>
        </w:tc>
        <w:tc>
          <w:tcPr>
            <w:tcW w:type="dxa" w:w="933"/>
          </w:tcPr>
          <w:p>
            <w:pPr>
              <w:pStyle w:val="MDPI42tablebody"/>
              <w:keepNext/>
            </w:pPr>
            <w:r>
              <w:rPr/>
              <w:t>0.17</w:t>
            </w:r>
          </w:p>
        </w:tc>
      </w:tr>
      <w:tr>
        <w:tc>
          <w:tcPr>
            <w:tcW w:type="dxa" w:w="3469"/>
          </w:tcPr>
          <w:p>
            <w:pPr>
              <w:pStyle w:val="MDPI42tablebody"/>
              <w:keepNext w:val="0"/>
            </w:pPr>
            <w:r>
              <w:rPr>
                <w:b/>
              </w:rPr>
              <w:t>LUMEN-M3-FT</w:t>
            </w:r>
          </w:p>
        </w:tc>
        <w:tc>
          <w:tcPr>
            <w:tcW w:type="dxa" w:w="820"/>
          </w:tcPr>
          <w:p>
            <w:pPr>
              <w:pStyle w:val="MDPI42tablebody"/>
              <w:keepNext w:val="0"/>
            </w:pPr>
            <w:r>
              <w:rPr/>
              <w:t>2.20</w:t>
            </w:r>
          </w:p>
        </w:tc>
        <w:tc>
          <w:tcPr>
            <w:tcW w:type="dxa" w:w="820"/>
          </w:tcPr>
          <w:p>
            <w:pPr>
              <w:pStyle w:val="MDPI42tablebody"/>
              <w:keepNext w:val="0"/>
            </w:pPr>
            <w:r>
              <w:rPr/>
              <w:t>3.01</w:t>
            </w:r>
          </w:p>
        </w:tc>
        <w:tc>
          <w:tcPr>
            <w:tcW w:type="dxa" w:w="928"/>
          </w:tcPr>
          <w:p>
            <w:pPr>
              <w:pStyle w:val="MDPI42tablebody"/>
              <w:keepNext w:val="0"/>
            </w:pPr>
            <w:r>
              <w:rPr/>
              <w:t>0.63</w:t>
            </w:r>
          </w:p>
        </w:tc>
        <w:tc>
          <w:tcPr>
            <w:tcW w:type="dxa" w:w="928"/>
          </w:tcPr>
          <w:p>
            <w:pPr>
              <w:pStyle w:val="MDPI42tablebody"/>
              <w:keepNext w:val="0"/>
            </w:pPr>
            <w:r>
              <w:rPr/>
              <w:t>−1.19</w:t>
            </w:r>
          </w:p>
        </w:tc>
        <w:tc>
          <w:tcPr>
            <w:tcW w:type="dxa" w:w="820"/>
          </w:tcPr>
          <w:p>
            <w:pPr>
              <w:pStyle w:val="MDPI42tablebody"/>
              <w:keepNext w:val="0"/>
            </w:pPr>
            <w:r>
              <w:rPr/>
              <w:t>3.27</w:t>
            </w:r>
          </w:p>
        </w:tc>
        <w:tc>
          <w:tcPr>
            <w:tcW w:type="dxa" w:w="820"/>
          </w:tcPr>
          <w:p>
            <w:pPr>
              <w:pStyle w:val="MDPI42tablebody"/>
              <w:keepNext w:val="0"/>
            </w:pPr>
            <w:r>
              <w:rPr/>
              <w:t>4.02</w:t>
            </w:r>
          </w:p>
        </w:tc>
        <w:tc>
          <w:tcPr>
            <w:tcW w:type="dxa" w:w="928"/>
          </w:tcPr>
          <w:p>
            <w:pPr>
              <w:pStyle w:val="MDPI42tablebody"/>
              <w:keepNext w:val="0"/>
            </w:pPr>
            <w:r>
              <w:rPr/>
              <w:t>0.34</w:t>
            </w:r>
          </w:p>
        </w:tc>
        <w:tc>
          <w:tcPr>
            <w:tcW w:type="dxa" w:w="933"/>
          </w:tcPr>
          <w:p>
            <w:pPr>
              <w:pStyle w:val="MDPI42tablebody"/>
              <w:keepNext w:val="0"/>
            </w:pPr>
            <w:r>
              <w:rPr/>
              <w:t>−1.01</w:t>
            </w:r>
          </w:p>
        </w:tc>
      </w:tr>
      <w:tr>
        <w:tc>
          <w:tcPr>
            <w:tcW w:type="dxa" w:w="3469"/>
          </w:tcPr>
          <w:p>
            <w:pPr>
              <w:pStyle w:val="MDPI42tablebody"/>
              <w:keepNext w:val="0"/>
            </w:pPr>
            <w:r>
              <w:rPr/>
              <w:t>LUMEN-embed + ridge</w:t>
            </w:r>
          </w:p>
        </w:tc>
        <w:tc>
          <w:tcPr>
            <w:tcW w:type="dxa" w:w="820"/>
          </w:tcPr>
          <w:p>
            <w:pPr>
              <w:pStyle w:val="MDPI42tablebody"/>
              <w:keepNext w:val="0"/>
            </w:pPr>
            <w:r>
              <w:rPr/>
              <w:t>2.01</w:t>
            </w:r>
          </w:p>
        </w:tc>
        <w:tc>
          <w:tcPr>
            <w:tcW w:type="dxa" w:w="820"/>
          </w:tcPr>
          <w:p>
            <w:pPr>
              <w:pStyle w:val="MDPI42tablebody"/>
              <w:keepNext w:val="0"/>
            </w:pPr>
            <w:r>
              <w:rPr/>
              <w:t>2.56</w:t>
            </w:r>
          </w:p>
        </w:tc>
        <w:tc>
          <w:tcPr>
            <w:tcW w:type="dxa" w:w="928"/>
          </w:tcPr>
          <w:p>
            <w:pPr>
              <w:pStyle w:val="MDPI42tablebody"/>
              <w:keepNext w:val="0"/>
            </w:pPr>
            <w:r>
              <w:rPr/>
              <w:t>0.73</w:t>
            </w:r>
          </w:p>
        </w:tc>
        <w:tc>
          <w:tcPr>
            <w:tcW w:type="dxa" w:w="928"/>
          </w:tcPr>
          <w:p>
            <w:pPr>
              <w:pStyle w:val="MDPI42tablebody"/>
              <w:keepNext w:val="0"/>
            </w:pPr>
            <w:r>
              <w:rPr/>
              <w:t>−0.60</w:t>
            </w:r>
          </w:p>
        </w:tc>
        <w:tc>
          <w:tcPr>
            <w:tcW w:type="dxa" w:w="820"/>
          </w:tcPr>
          <w:p>
            <w:pPr>
              <w:pStyle w:val="MDPI42tablebody"/>
              <w:keepNext w:val="0"/>
            </w:pPr>
            <w:r>
              <w:rPr/>
              <w:t>2.60</w:t>
            </w:r>
          </w:p>
        </w:tc>
        <w:tc>
          <w:tcPr>
            <w:tcW w:type="dxa" w:w="820"/>
          </w:tcPr>
          <w:p>
            <w:pPr>
              <w:pStyle w:val="MDPI42tablebody"/>
              <w:keepNext w:val="0"/>
            </w:pPr>
            <w:r>
              <w:rPr/>
              <w:t>3.16</w:t>
            </w:r>
          </w:p>
        </w:tc>
        <w:tc>
          <w:tcPr>
            <w:tcW w:type="dxa" w:w="928"/>
          </w:tcPr>
          <w:p>
            <w:pPr>
              <w:pStyle w:val="MDPI42tablebody"/>
              <w:keepNext w:val="0"/>
            </w:pPr>
            <w:r>
              <w:rPr/>
              <w:t>0.59</w:t>
            </w:r>
          </w:p>
        </w:tc>
        <w:tc>
          <w:tcPr>
            <w:tcW w:type="dxa" w:w="933"/>
          </w:tcPr>
          <w:p>
            <w:pPr>
              <w:pStyle w:val="MDPI42tablebody"/>
              <w:keepNext w:val="0"/>
            </w:pPr>
            <w:r>
              <w:rPr/>
              <w:t>−0.38</w:t>
            </w:r>
          </w:p>
        </w:tc>
      </w:tr>
      <w:tr>
        <w:tc>
          <w:tcPr>
            <w:tcW w:type="dxa" w:w="3469"/>
          </w:tcPr>
          <w:p>
            <w:pPr>
              <w:pStyle w:val="MDPI42tablebody"/>
              <w:keepNext w:val="0"/>
            </w:pPr>
            <w:r>
              <w:rPr/>
              <w:t>FD-AE-M3 / RF (published)</w:t>
            </w:r>
          </w:p>
        </w:tc>
        <w:tc>
          <w:tcPr>
            <w:tcW w:type="dxa" w:w="820"/>
          </w:tcPr>
          <w:p>
            <w:pPr>
              <w:pStyle w:val="MDPI42tablebody"/>
              <w:keepNext w:val="0"/>
            </w:pPr>
            <w:r>
              <w:rPr/>
              <w:t>1.90</w:t>
            </w:r>
          </w:p>
        </w:tc>
        <w:tc>
          <w:tcPr>
            <w:tcW w:type="dxa" w:w="820"/>
          </w:tcPr>
          <w:p>
            <w:pPr>
              <w:pStyle w:val="MDPI42tablebody"/>
              <w:keepNext w:val="0"/>
            </w:pPr>
            <w:r>
              <w:rPr/>
              <w:t>2.71</w:t>
            </w:r>
          </w:p>
        </w:tc>
        <w:tc>
          <w:tcPr>
            <w:tcW w:type="dxa" w:w="928"/>
          </w:tcPr>
          <w:p>
            <w:pPr>
              <w:pStyle w:val="MDPI42tablebody"/>
              <w:keepNext w:val="0"/>
            </w:pPr>
            <w:r>
              <w:rPr/>
              <w:t>0.70</w:t>
            </w:r>
          </w:p>
        </w:tc>
        <w:tc>
          <w:tcPr>
            <w:tcW w:type="dxa" w:w="928"/>
          </w:tcPr>
          <w:p>
            <w:pPr>
              <w:pStyle w:val="MDPI42tablebody"/>
              <w:keepNext w:val="0"/>
            </w:pPr>
            <w:r>
              <w:rPr/>
              <w:t>0.01</w:t>
            </w:r>
          </w:p>
        </w:tc>
        <w:tc>
          <w:tcPr>
            <w:tcW w:type="dxa" w:w="820"/>
          </w:tcPr>
          <w:p>
            <w:pPr>
              <w:pStyle w:val="MDPI42tablebody"/>
              <w:keepNext w:val="0"/>
            </w:pPr>
            <w:r>
              <w:rPr/>
              <w:t>3.58</w:t>
            </w:r>
          </w:p>
        </w:tc>
        <w:tc>
          <w:tcPr>
            <w:tcW w:type="dxa" w:w="820"/>
          </w:tcPr>
          <w:p>
            <w:pPr>
              <w:pStyle w:val="MDPI42tablebody"/>
              <w:keepNext w:val="0"/>
            </w:pPr>
            <w:r>
              <w:rPr/>
              <w:t>4.21</w:t>
            </w:r>
          </w:p>
        </w:tc>
        <w:tc>
          <w:tcPr>
            <w:tcW w:type="dxa" w:w="928"/>
          </w:tcPr>
          <w:p>
            <w:pPr>
              <w:pStyle w:val="MDPI42tablebody"/>
              <w:keepNext w:val="0"/>
            </w:pPr>
            <w:r>
              <w:rPr/>
              <w:t>0.28</w:t>
            </w:r>
          </w:p>
        </w:tc>
        <w:tc>
          <w:tcPr>
            <w:tcW w:type="dxa" w:w="933"/>
          </w:tcPr>
          <w:p>
            <w:pPr>
              <w:pStyle w:val="MDPI42tablebody"/>
              <w:keepNext w:val="0"/>
            </w:pPr>
            <w:r>
              <w:rPr/>
              <w:t>1.29</w:t>
            </w:r>
          </w:p>
        </w:tc>
      </w:tr>
      <w:tr>
        <w:tc>
          <w:tcPr>
            <w:tcW w:type="dxa" w:w="3469"/>
          </w:tcPr>
          <w:p>
            <w:pPr>
              <w:pStyle w:val="MDPI42tablebody"/>
              <w:keepNext w:val="0"/>
            </w:pPr>
            <w:r>
              <w:rPr/>
              <w:t>FD-AE-M3 / Lasso</w:t>
            </w:r>
          </w:p>
        </w:tc>
        <w:tc>
          <w:tcPr>
            <w:tcW w:type="dxa" w:w="820"/>
          </w:tcPr>
          <w:p>
            <w:pPr>
              <w:pStyle w:val="MDPI42tablebody"/>
              <w:keepNext w:val="0"/>
            </w:pPr>
            <w:r>
              <w:rPr/>
              <w:t>2.11</w:t>
            </w:r>
          </w:p>
        </w:tc>
        <w:tc>
          <w:tcPr>
            <w:tcW w:type="dxa" w:w="820"/>
          </w:tcPr>
          <w:p>
            <w:pPr>
              <w:pStyle w:val="MDPI42tablebody"/>
              <w:keepNext w:val="0"/>
            </w:pPr>
            <w:r>
              <w:rPr/>
              <w:t>2.71</w:t>
            </w:r>
          </w:p>
        </w:tc>
        <w:tc>
          <w:tcPr>
            <w:tcW w:type="dxa" w:w="928"/>
          </w:tcPr>
          <w:p>
            <w:pPr>
              <w:pStyle w:val="MDPI42tablebody"/>
              <w:keepNext w:val="0"/>
            </w:pPr>
            <w:r>
              <w:rPr/>
              <w:t>0.70</w:t>
            </w:r>
          </w:p>
        </w:tc>
        <w:tc>
          <w:tcPr>
            <w:tcW w:type="dxa" w:w="928"/>
          </w:tcPr>
          <w:p>
            <w:pPr>
              <w:pStyle w:val="MDPI42tablebody"/>
              <w:keepNext w:val="0"/>
            </w:pPr>
            <w:r>
              <w:rPr/>
              <w:t>0.01</w:t>
            </w:r>
          </w:p>
        </w:tc>
        <w:tc>
          <w:tcPr>
            <w:tcW w:type="dxa" w:w="820"/>
          </w:tcPr>
          <w:p>
            <w:pPr>
              <w:pStyle w:val="MDPI42tablebody"/>
              <w:keepNext w:val="0"/>
            </w:pPr>
            <w:r>
              <w:rPr/>
              <w:t>3.07</w:t>
            </w:r>
          </w:p>
        </w:tc>
        <w:tc>
          <w:tcPr>
            <w:tcW w:type="dxa" w:w="820"/>
          </w:tcPr>
          <w:p>
            <w:pPr>
              <w:pStyle w:val="MDPI42tablebody"/>
              <w:keepNext w:val="0"/>
            </w:pPr>
            <w:r>
              <w:rPr/>
              <w:t>3.78</w:t>
            </w:r>
          </w:p>
        </w:tc>
        <w:tc>
          <w:tcPr>
            <w:tcW w:type="dxa" w:w="928"/>
          </w:tcPr>
          <w:p>
            <w:pPr>
              <w:pStyle w:val="MDPI42tablebody"/>
              <w:keepNext w:val="0"/>
            </w:pPr>
            <w:r>
              <w:rPr/>
              <w:t>0.42</w:t>
            </w:r>
          </w:p>
        </w:tc>
        <w:tc>
          <w:tcPr>
            <w:tcW w:type="dxa" w:w="933"/>
          </w:tcPr>
          <w:p>
            <w:pPr>
              <w:pStyle w:val="MDPI42tablebody"/>
              <w:keepNext w:val="0"/>
            </w:pPr>
            <w:r>
              <w:rPr/>
              <w:t>0.78</w:t>
            </w:r>
          </w:p>
        </w:tc>
      </w:tr>
      <w:tr>
        <w:tc>
          <w:tcPr>
            <w:tcW w:type="dxa" w:w="3469"/>
          </w:tcPr>
          <w:p>
            <w:pPr>
              <w:pStyle w:val="MDPI42tablebody"/>
              <w:keepNext w:val="0"/>
            </w:pPr>
            <w:r>
              <w:rPr/>
              <w:t>FD-AE-M3 / SVR-lin</w:t>
            </w:r>
          </w:p>
        </w:tc>
        <w:tc>
          <w:tcPr>
            <w:tcW w:type="dxa" w:w="820"/>
          </w:tcPr>
          <w:p>
            <w:pPr>
              <w:pStyle w:val="MDPI42tablebody"/>
              <w:keepNext w:val="0"/>
            </w:pPr>
            <w:r>
              <w:rPr/>
              <w:t>2.30</w:t>
            </w:r>
          </w:p>
        </w:tc>
        <w:tc>
          <w:tcPr>
            <w:tcW w:type="dxa" w:w="820"/>
          </w:tcPr>
          <w:p>
            <w:pPr>
              <w:pStyle w:val="MDPI42tablebody"/>
              <w:keepNext w:val="0"/>
            </w:pPr>
            <w:r>
              <w:rPr/>
              <w:t>2.95</w:t>
            </w:r>
          </w:p>
        </w:tc>
        <w:tc>
          <w:tcPr>
            <w:tcW w:type="dxa" w:w="928"/>
          </w:tcPr>
          <w:p>
            <w:pPr>
              <w:pStyle w:val="MDPI42tablebody"/>
              <w:keepNext w:val="0"/>
            </w:pPr>
            <w:r>
              <w:rPr/>
              <w:t>0.65</w:t>
            </w:r>
          </w:p>
        </w:tc>
        <w:tc>
          <w:tcPr>
            <w:tcW w:type="dxa" w:w="928"/>
          </w:tcPr>
          <w:p>
            <w:pPr>
              <w:pStyle w:val="MDPI42tablebody"/>
              <w:keepNext w:val="0"/>
            </w:pPr>
            <w:r>
              <w:rPr/>
              <w:t>−0.37</w:t>
            </w:r>
          </w:p>
        </w:tc>
        <w:tc>
          <w:tcPr>
            <w:tcW w:type="dxa" w:w="820"/>
          </w:tcPr>
          <w:p>
            <w:pPr>
              <w:pStyle w:val="MDPI42tablebody"/>
              <w:keepNext w:val="0"/>
            </w:pPr>
            <w:r>
              <w:rPr/>
              <w:t>2.27</w:t>
            </w:r>
          </w:p>
        </w:tc>
        <w:tc>
          <w:tcPr>
            <w:tcW w:type="dxa" w:w="820"/>
          </w:tcPr>
          <w:p>
            <w:pPr>
              <w:pStyle w:val="MDPI42tablebody"/>
              <w:keepNext w:val="0"/>
            </w:pPr>
            <w:r>
              <w:rPr/>
              <w:t>2.86</w:t>
            </w:r>
          </w:p>
        </w:tc>
        <w:tc>
          <w:tcPr>
            <w:tcW w:type="dxa" w:w="928"/>
          </w:tcPr>
          <w:p>
            <w:pPr>
              <w:pStyle w:val="MDPI42tablebody"/>
              <w:keepNext w:val="0"/>
            </w:pPr>
            <w:r>
              <w:rPr/>
              <w:t>0.67</w:t>
            </w:r>
          </w:p>
        </w:tc>
        <w:tc>
          <w:tcPr>
            <w:tcW w:type="dxa" w:w="933"/>
          </w:tcPr>
          <w:p>
            <w:pPr>
              <w:pStyle w:val="MDPI42tablebody"/>
              <w:keepNext w:val="0"/>
            </w:pPr>
            <w:r>
              <w:rPr/>
              <w:t>−0.44</w:t>
            </w:r>
          </w:p>
        </w:tc>
      </w:tr>
      <w:tr>
        <w:tc>
          <w:tcPr>
            <w:tcW w:type="dxa" w:w="3469"/>
          </w:tcPr>
          <w:p>
            <w:pPr>
              <w:pStyle w:val="MDPI42tablebody"/>
              <w:keepNext w:val="0"/>
            </w:pPr>
            <w:r>
              <w:rPr/>
              <w:t>FD-AE-M3 / SVR-RBF</w:t>
            </w:r>
          </w:p>
        </w:tc>
        <w:tc>
          <w:tcPr>
            <w:tcW w:type="dxa" w:w="820"/>
          </w:tcPr>
          <w:p>
            <w:pPr>
              <w:pStyle w:val="MDPI42tablebody"/>
              <w:keepNext w:val="0"/>
            </w:pPr>
            <w:r>
              <w:rPr/>
              <w:t>2.12</w:t>
            </w:r>
          </w:p>
        </w:tc>
        <w:tc>
          <w:tcPr>
            <w:tcW w:type="dxa" w:w="820"/>
          </w:tcPr>
          <w:p>
            <w:pPr>
              <w:pStyle w:val="MDPI42tablebody"/>
              <w:keepNext w:val="0"/>
            </w:pPr>
            <w:r>
              <w:rPr/>
              <w:t>2.85</w:t>
            </w:r>
          </w:p>
        </w:tc>
        <w:tc>
          <w:tcPr>
            <w:tcW w:type="dxa" w:w="928"/>
          </w:tcPr>
          <w:p>
            <w:pPr>
              <w:pStyle w:val="MDPI42tablebody"/>
              <w:keepNext w:val="0"/>
            </w:pPr>
            <w:r>
              <w:rPr/>
              <w:t>0.67</w:t>
            </w:r>
          </w:p>
        </w:tc>
        <w:tc>
          <w:tcPr>
            <w:tcW w:type="dxa" w:w="928"/>
          </w:tcPr>
          <w:p>
            <w:pPr>
              <w:pStyle w:val="MDPI42tablebody"/>
              <w:keepNext w:val="0"/>
            </w:pPr>
            <w:r>
              <w:rPr/>
              <w:t>−0.02</w:t>
            </w:r>
          </w:p>
        </w:tc>
        <w:tc>
          <w:tcPr>
            <w:tcW w:type="dxa" w:w="820"/>
          </w:tcPr>
          <w:p>
            <w:pPr>
              <w:pStyle w:val="MDPI42tablebody"/>
              <w:keepNext w:val="0"/>
            </w:pPr>
            <w:r>
              <w:rPr/>
              <w:t>3.27</w:t>
            </w:r>
          </w:p>
        </w:tc>
        <w:tc>
          <w:tcPr>
            <w:tcW w:type="dxa" w:w="820"/>
          </w:tcPr>
          <w:p>
            <w:pPr>
              <w:pStyle w:val="MDPI42tablebody"/>
              <w:keepNext w:val="0"/>
            </w:pPr>
            <w:r>
              <w:rPr/>
              <w:t>3.86</w:t>
            </w:r>
          </w:p>
        </w:tc>
        <w:tc>
          <w:tcPr>
            <w:tcW w:type="dxa" w:w="928"/>
          </w:tcPr>
          <w:p>
            <w:pPr>
              <w:pStyle w:val="MDPI42tablebody"/>
              <w:keepNext w:val="0"/>
            </w:pPr>
            <w:r>
              <w:rPr/>
              <w:t>0.40</w:t>
            </w:r>
          </w:p>
        </w:tc>
        <w:tc>
          <w:tcPr>
            <w:tcW w:type="dxa" w:w="933"/>
          </w:tcPr>
          <w:p>
            <w:pPr>
              <w:pStyle w:val="MDPI42tablebody"/>
              <w:keepNext w:val="0"/>
            </w:pPr>
            <w:r>
              <w:rPr/>
              <w:t>0.56</w:t>
            </w:r>
          </w:p>
        </w:tc>
      </w:tr>
      <w:tr>
        <w:tc>
          <w:tcPr>
            <w:tcW w:type="dxa" w:w="3469"/>
          </w:tcPr>
          <w:p>
            <w:pPr>
              <w:pStyle w:val="MDPI42tablebody"/>
              <w:keepNext w:val="0"/>
            </w:pPr>
            <w:r>
              <w:rPr/>
              <w:t>FD-wavelet / RF</w:t>
            </w:r>
          </w:p>
        </w:tc>
        <w:tc>
          <w:tcPr>
            <w:tcW w:type="dxa" w:w="820"/>
          </w:tcPr>
          <w:p>
            <w:pPr>
              <w:pStyle w:val="MDPI42tablebody"/>
              <w:keepNext w:val="0"/>
            </w:pPr>
            <w:r>
              <w:rPr/>
              <w:t>1.96</w:t>
            </w:r>
          </w:p>
        </w:tc>
        <w:tc>
          <w:tcPr>
            <w:tcW w:type="dxa" w:w="820"/>
          </w:tcPr>
          <w:p>
            <w:pPr>
              <w:pStyle w:val="MDPI42tablebody"/>
              <w:keepNext w:val="0"/>
            </w:pPr>
            <w:r>
              <w:rPr/>
              <w:t>2.72</w:t>
            </w:r>
          </w:p>
        </w:tc>
        <w:tc>
          <w:tcPr>
            <w:tcW w:type="dxa" w:w="928"/>
          </w:tcPr>
          <w:p>
            <w:pPr>
              <w:pStyle w:val="MDPI42tablebody"/>
              <w:keepNext w:val="0"/>
            </w:pPr>
            <w:r>
              <w:rPr/>
              <w:t>0.70</w:t>
            </w:r>
          </w:p>
        </w:tc>
        <w:tc>
          <w:tcPr>
            <w:tcW w:type="dxa" w:w="928"/>
          </w:tcPr>
          <w:p>
            <w:pPr>
              <w:pStyle w:val="MDPI42tablebody"/>
              <w:keepNext w:val="0"/>
            </w:pPr>
            <w:r>
              <w:rPr/>
              <w:t>−0.32</w:t>
            </w:r>
          </w:p>
        </w:tc>
        <w:tc>
          <w:tcPr>
            <w:tcW w:type="dxa" w:w="820"/>
          </w:tcPr>
          <w:p>
            <w:pPr>
              <w:pStyle w:val="MDPI42tablebody"/>
              <w:keepNext w:val="0"/>
            </w:pPr>
            <w:r>
              <w:rPr/>
              <w:t>3.21</w:t>
            </w:r>
          </w:p>
        </w:tc>
        <w:tc>
          <w:tcPr>
            <w:tcW w:type="dxa" w:w="820"/>
          </w:tcPr>
          <w:p>
            <w:pPr>
              <w:pStyle w:val="MDPI42tablebody"/>
              <w:keepNext w:val="0"/>
            </w:pPr>
            <w:r>
              <w:rPr/>
              <w:t>3.88</w:t>
            </w:r>
          </w:p>
        </w:tc>
        <w:tc>
          <w:tcPr>
            <w:tcW w:type="dxa" w:w="928"/>
          </w:tcPr>
          <w:p>
            <w:pPr>
              <w:pStyle w:val="MDPI42tablebody"/>
              <w:keepNext w:val="0"/>
            </w:pPr>
            <w:r>
              <w:rPr/>
              <w:t>0.39</w:t>
            </w:r>
          </w:p>
        </w:tc>
        <w:tc>
          <w:tcPr>
            <w:tcW w:type="dxa" w:w="933"/>
          </w:tcPr>
          <w:p>
            <w:pPr>
              <w:pStyle w:val="MDPI42tablebody"/>
              <w:keepNext w:val="0"/>
            </w:pPr>
            <w:r>
              <w:rPr/>
              <w:t>0.72</w:t>
            </w:r>
          </w:p>
        </w:tc>
      </w:tr>
      <w:tr>
        <w:tc>
          <w:tcPr>
            <w:tcW w:type="dxa" w:w="3469"/>
          </w:tcPr>
          <w:p>
            <w:pPr>
              <w:pStyle w:val="MDPI42tablebody"/>
              <w:keepNext w:val="0"/>
            </w:pPr>
            <w:r>
              <w:rPr/>
              <w:t>FD-wavelet / Lasso</w:t>
            </w:r>
          </w:p>
        </w:tc>
        <w:tc>
          <w:tcPr>
            <w:tcW w:type="dxa" w:w="820"/>
          </w:tcPr>
          <w:p>
            <w:pPr>
              <w:pStyle w:val="MDPI42tablebody"/>
              <w:keepNext w:val="0"/>
            </w:pPr>
            <w:r>
              <w:rPr/>
              <w:t>2.19</w:t>
            </w:r>
          </w:p>
        </w:tc>
        <w:tc>
          <w:tcPr>
            <w:tcW w:type="dxa" w:w="820"/>
          </w:tcPr>
          <w:p>
            <w:pPr>
              <w:pStyle w:val="MDPI42tablebody"/>
              <w:keepNext w:val="0"/>
            </w:pPr>
            <w:r>
              <w:rPr/>
              <w:t>2.81</w:t>
            </w:r>
          </w:p>
        </w:tc>
        <w:tc>
          <w:tcPr>
            <w:tcW w:type="dxa" w:w="928"/>
          </w:tcPr>
          <w:p>
            <w:pPr>
              <w:pStyle w:val="MDPI42tablebody"/>
              <w:keepNext w:val="0"/>
            </w:pPr>
            <w:r>
              <w:rPr/>
              <w:t>0.68</w:t>
            </w:r>
          </w:p>
        </w:tc>
        <w:tc>
          <w:tcPr>
            <w:tcW w:type="dxa" w:w="928"/>
          </w:tcPr>
          <w:p>
            <w:pPr>
              <w:pStyle w:val="MDPI42tablebody"/>
              <w:keepNext w:val="0"/>
            </w:pPr>
            <w:r>
              <w:rPr/>
              <w:t>−0.24</w:t>
            </w:r>
          </w:p>
        </w:tc>
        <w:tc>
          <w:tcPr>
            <w:tcW w:type="dxa" w:w="820"/>
          </w:tcPr>
          <w:p>
            <w:pPr>
              <w:pStyle w:val="MDPI42tablebody"/>
              <w:keepNext w:val="0"/>
            </w:pPr>
            <w:r>
              <w:rPr/>
              <w:t>2.44</w:t>
            </w:r>
          </w:p>
        </w:tc>
        <w:tc>
          <w:tcPr>
            <w:tcW w:type="dxa" w:w="820"/>
          </w:tcPr>
          <w:p>
            <w:pPr>
              <w:pStyle w:val="MDPI42tablebody"/>
              <w:keepNext w:val="0"/>
            </w:pPr>
            <w:r>
              <w:rPr/>
              <w:t>3.49</w:t>
            </w:r>
          </w:p>
        </w:tc>
        <w:tc>
          <w:tcPr>
            <w:tcW w:type="dxa" w:w="928"/>
          </w:tcPr>
          <w:p>
            <w:pPr>
              <w:pStyle w:val="MDPI42tablebody"/>
              <w:keepNext w:val="0"/>
            </w:pPr>
            <w:r>
              <w:rPr/>
              <w:t>0.50</w:t>
            </w:r>
          </w:p>
        </w:tc>
        <w:tc>
          <w:tcPr>
            <w:tcW w:type="dxa" w:w="933"/>
          </w:tcPr>
          <w:p>
            <w:pPr>
              <w:pStyle w:val="MDPI42tablebody"/>
              <w:keepNext w:val="0"/>
            </w:pPr>
            <w:r>
              <w:rPr/>
              <w:t>0.20</w:t>
            </w:r>
          </w:p>
        </w:tc>
      </w:tr>
      <w:tr>
        <w:tc>
          <w:tcPr>
            <w:tcW w:type="dxa" w:w="3469"/>
          </w:tcPr>
          <w:p>
            <w:pPr>
              <w:pStyle w:val="MDPI42tablebody"/>
              <w:keepNext w:val="0"/>
            </w:pPr>
            <w:r>
              <w:rPr/>
              <w:t>FD-wavelet / SVR-lin</w:t>
            </w:r>
          </w:p>
        </w:tc>
        <w:tc>
          <w:tcPr>
            <w:tcW w:type="dxa" w:w="820"/>
          </w:tcPr>
          <w:p>
            <w:pPr>
              <w:pStyle w:val="MDPI42tablebody"/>
              <w:keepNext w:val="0"/>
            </w:pPr>
            <w:r>
              <w:rPr/>
              <w:t>2.49</w:t>
            </w:r>
          </w:p>
        </w:tc>
        <w:tc>
          <w:tcPr>
            <w:tcW w:type="dxa" w:w="820"/>
          </w:tcPr>
          <w:p>
            <w:pPr>
              <w:pStyle w:val="MDPI42tablebody"/>
              <w:keepNext w:val="0"/>
            </w:pPr>
            <w:r>
              <w:rPr/>
              <w:t>3.16</w:t>
            </w:r>
          </w:p>
        </w:tc>
        <w:tc>
          <w:tcPr>
            <w:tcW w:type="dxa" w:w="928"/>
          </w:tcPr>
          <w:p>
            <w:pPr>
              <w:pStyle w:val="MDPI42tablebody"/>
              <w:keepNext w:val="0"/>
            </w:pPr>
            <w:r>
              <w:rPr/>
              <w:t>0.59</w:t>
            </w:r>
          </w:p>
        </w:tc>
        <w:tc>
          <w:tcPr>
            <w:tcW w:type="dxa" w:w="928"/>
          </w:tcPr>
          <w:p>
            <w:pPr>
              <w:pStyle w:val="MDPI42tablebody"/>
              <w:keepNext w:val="0"/>
            </w:pPr>
            <w:r>
              <w:rPr/>
              <w:t>−0.61</w:t>
            </w:r>
          </w:p>
        </w:tc>
        <w:tc>
          <w:tcPr>
            <w:tcW w:type="dxa" w:w="820"/>
          </w:tcPr>
          <w:p>
            <w:pPr>
              <w:pStyle w:val="MDPI42tablebody"/>
              <w:keepNext w:val="0"/>
            </w:pPr>
            <w:r>
              <w:rPr/>
              <w:t>2.54</w:t>
            </w:r>
          </w:p>
        </w:tc>
        <w:tc>
          <w:tcPr>
            <w:tcW w:type="dxa" w:w="820"/>
          </w:tcPr>
          <w:p>
            <w:pPr>
              <w:pStyle w:val="MDPI42tablebody"/>
              <w:keepNext w:val="0"/>
            </w:pPr>
            <w:r>
              <w:rPr/>
              <w:t>3.41</w:t>
            </w:r>
          </w:p>
        </w:tc>
        <w:tc>
          <w:tcPr>
            <w:tcW w:type="dxa" w:w="928"/>
          </w:tcPr>
          <w:p>
            <w:pPr>
              <w:pStyle w:val="MDPI42tablebody"/>
              <w:keepNext w:val="0"/>
            </w:pPr>
            <w:r>
              <w:rPr/>
              <w:t>0.53</w:t>
            </w:r>
          </w:p>
        </w:tc>
        <w:tc>
          <w:tcPr>
            <w:tcW w:type="dxa" w:w="933"/>
          </w:tcPr>
          <w:p>
            <w:pPr>
              <w:pStyle w:val="MDPI42tablebody"/>
              <w:keepNext w:val="0"/>
            </w:pPr>
            <w:r>
              <w:rPr/>
              <w:t>−0.02</w:t>
            </w:r>
          </w:p>
        </w:tc>
      </w:tr>
      <w:tr>
        <w:tc>
          <w:tcPr>
            <w:tcW w:type="dxa" w:w="3469"/>
          </w:tcPr>
          <w:p>
            <w:pPr>
              <w:pStyle w:val="MDPI42tablebody"/>
              <w:keepNext w:val="0"/>
            </w:pPr>
            <w:r>
              <w:rPr/>
              <w:t>FD-wavelet / SVR-RBF</w:t>
            </w:r>
          </w:p>
        </w:tc>
        <w:tc>
          <w:tcPr>
            <w:tcW w:type="dxa" w:w="820"/>
          </w:tcPr>
          <w:p>
            <w:pPr>
              <w:pStyle w:val="MDPI42tablebody"/>
              <w:keepNext w:val="0"/>
            </w:pPr>
            <w:r>
              <w:rPr/>
              <w:t>2.40</w:t>
            </w:r>
          </w:p>
        </w:tc>
        <w:tc>
          <w:tcPr>
            <w:tcW w:type="dxa" w:w="820"/>
          </w:tcPr>
          <w:p>
            <w:pPr>
              <w:pStyle w:val="MDPI42tablebody"/>
              <w:keepNext w:val="0"/>
            </w:pPr>
            <w:r>
              <w:rPr/>
              <w:t>3.39</w:t>
            </w:r>
          </w:p>
        </w:tc>
        <w:tc>
          <w:tcPr>
            <w:tcW w:type="dxa" w:w="928"/>
          </w:tcPr>
          <w:p>
            <w:pPr>
              <w:pStyle w:val="MDPI42tablebody"/>
              <w:keepNext w:val="0"/>
            </w:pPr>
            <w:r>
              <w:rPr/>
              <w:t>0.53</w:t>
            </w:r>
          </w:p>
        </w:tc>
        <w:tc>
          <w:tcPr>
            <w:tcW w:type="dxa" w:w="928"/>
          </w:tcPr>
          <w:p>
            <w:pPr>
              <w:pStyle w:val="MDPI42tablebody"/>
              <w:keepNext w:val="0"/>
            </w:pPr>
            <w:r>
              <w:rPr/>
              <w:t>−0.03</w:t>
            </w:r>
          </w:p>
        </w:tc>
        <w:tc>
          <w:tcPr>
            <w:tcW w:type="dxa" w:w="820"/>
          </w:tcPr>
          <w:p>
            <w:pPr>
              <w:pStyle w:val="MDPI42tablebody"/>
              <w:keepNext w:val="0"/>
            </w:pPr>
            <w:r>
              <w:rPr/>
              <w:t>4.39</w:t>
            </w:r>
          </w:p>
        </w:tc>
        <w:tc>
          <w:tcPr>
            <w:tcW w:type="dxa" w:w="820"/>
          </w:tcPr>
          <w:p>
            <w:pPr>
              <w:pStyle w:val="MDPI42tablebody"/>
              <w:keepNext w:val="0"/>
            </w:pPr>
            <w:r>
              <w:rPr/>
              <w:t>5.94</w:t>
            </w:r>
          </w:p>
        </w:tc>
        <w:tc>
          <w:tcPr>
            <w:tcW w:type="dxa" w:w="928"/>
          </w:tcPr>
          <w:p>
            <w:pPr>
              <w:pStyle w:val="MDPI42tablebody"/>
              <w:keepNext w:val="0"/>
            </w:pPr>
            <w:r>
              <w:rPr/>
              <w:t>−0.44</w:t>
            </w:r>
          </w:p>
        </w:tc>
        <w:tc>
          <w:tcPr>
            <w:tcW w:type="dxa" w:w="933"/>
          </w:tcPr>
          <w:p>
            <w:pPr>
              <w:pStyle w:val="MDPI42tablebody"/>
              <w:keepNext w:val="0"/>
            </w:pPr>
            <w:r>
              <w:rPr/>
              <w:t>1.31</w:t>
            </w:r>
          </w:p>
        </w:tc>
      </w:tr>
      <w:tr>
        <w:tc>
          <w:tcPr>
            <w:tcW w:type="dxa" w:w="3469"/>
          </w:tcPr>
          <w:p>
            <w:pPr>
              <w:pStyle w:val="MDPI42tablebody"/>
              <w:keepNext w:val="0"/>
            </w:pPr>
            <w:r>
              <w:rPr/>
              <w:t>Two M³ bands (R950/R750, R750)</w:t>
            </w:r>
          </w:p>
        </w:tc>
        <w:tc>
          <w:tcPr>
            <w:tcW w:type="dxa" w:w="820"/>
          </w:tcPr>
          <w:p>
            <w:pPr>
              <w:pStyle w:val="MDPI42tablebody"/>
              <w:keepNext w:val="0"/>
            </w:pPr>
            <w:r>
              <w:rPr/>
              <w:t>1.99</w:t>
            </w:r>
          </w:p>
        </w:tc>
        <w:tc>
          <w:tcPr>
            <w:tcW w:type="dxa" w:w="820"/>
          </w:tcPr>
          <w:p>
            <w:pPr>
              <w:pStyle w:val="MDPI42tablebody"/>
              <w:keepNext w:val="0"/>
            </w:pPr>
            <w:r>
              <w:rPr/>
              <w:t>2.43</w:t>
            </w:r>
          </w:p>
        </w:tc>
        <w:tc>
          <w:tcPr>
            <w:tcW w:type="dxa" w:w="928"/>
          </w:tcPr>
          <w:p>
            <w:pPr>
              <w:pStyle w:val="MDPI42tablebody"/>
              <w:keepNext w:val="0"/>
            </w:pPr>
            <w:r>
              <w:rPr/>
              <w:t>0.76</w:t>
            </w:r>
          </w:p>
        </w:tc>
        <w:tc>
          <w:tcPr>
            <w:tcW w:type="dxa" w:w="928"/>
          </w:tcPr>
          <w:p>
            <w:pPr>
              <w:pStyle w:val="MDPI42tablebody"/>
              <w:keepNext w:val="0"/>
            </w:pPr>
            <w:r>
              <w:rPr/>
              <w:t>0.00</w:t>
            </w:r>
          </w:p>
        </w:tc>
        <w:tc>
          <w:tcPr>
            <w:tcW w:type="dxa" w:w="820"/>
          </w:tcPr>
          <w:p>
            <w:pPr>
              <w:pStyle w:val="MDPI42tablebody"/>
              <w:keepNext w:val="0"/>
            </w:pPr>
            <w:r>
              <w:rPr/>
              <w:t>2.11</w:t>
            </w:r>
          </w:p>
        </w:tc>
        <w:tc>
          <w:tcPr>
            <w:tcW w:type="dxa" w:w="820"/>
          </w:tcPr>
          <w:p>
            <w:pPr>
              <w:pStyle w:val="MDPI42tablebody"/>
              <w:keepNext w:val="0"/>
            </w:pPr>
            <w:r>
              <w:rPr/>
              <w:t>2.54</w:t>
            </w:r>
          </w:p>
        </w:tc>
        <w:tc>
          <w:tcPr>
            <w:tcW w:type="dxa" w:w="928"/>
          </w:tcPr>
          <w:p>
            <w:pPr>
              <w:pStyle w:val="MDPI42tablebody"/>
              <w:keepNext w:val="0"/>
            </w:pPr>
            <w:r>
              <w:rPr/>
              <w:t>0.74</w:t>
            </w:r>
          </w:p>
        </w:tc>
        <w:tc>
          <w:tcPr>
            <w:tcW w:type="dxa" w:w="933"/>
          </w:tcPr>
          <w:p>
            <w:pPr>
              <w:pStyle w:val="MDPI42tablebody"/>
              <w:keepNext w:val="0"/>
            </w:pPr>
            <w:r>
              <w:rPr/>
              <w:t>−0.16</w:t>
            </w:r>
          </w:p>
        </w:tc>
      </w:tr>
      <w:tr>
        <w:tc>
          <w:tcPr>
            <w:tcW w:type="dxa" w:w="3469"/>
          </w:tcPr>
          <w:p>
            <w:pPr>
              <w:pStyle w:val="MDPI42tablebody"/>
              <w:keepNext w:val="0"/>
            </w:pPr>
            <w:r>
              <w:rPr/>
              <w:t>Lucey θ (M³, refitted)</w:t>
            </w:r>
          </w:p>
        </w:tc>
        <w:tc>
          <w:tcPr>
            <w:tcW w:type="dxa" w:w="820"/>
          </w:tcPr>
          <w:p>
            <w:pPr>
              <w:pStyle w:val="MDPI42tablebody"/>
              <w:keepNext w:val="0"/>
            </w:pPr>
            <w:r>
              <w:rPr/>
              <w:t>3.26</w:t>
            </w:r>
          </w:p>
        </w:tc>
        <w:tc>
          <w:tcPr>
            <w:tcW w:type="dxa" w:w="820"/>
          </w:tcPr>
          <w:p>
            <w:pPr>
              <w:pStyle w:val="MDPI42tablebody"/>
              <w:keepNext w:val="0"/>
            </w:pPr>
            <w:r>
              <w:rPr/>
              <w:t>3.70</w:t>
            </w:r>
          </w:p>
        </w:tc>
        <w:tc>
          <w:tcPr>
            <w:tcW w:type="dxa" w:w="928"/>
          </w:tcPr>
          <w:p>
            <w:pPr>
              <w:pStyle w:val="MDPI42tablebody"/>
              <w:keepNext w:val="0"/>
            </w:pPr>
            <w:r>
              <w:rPr/>
              <w:t>0.44</w:t>
            </w:r>
          </w:p>
        </w:tc>
        <w:tc>
          <w:tcPr>
            <w:tcW w:type="dxa" w:w="928"/>
          </w:tcPr>
          <w:p>
            <w:pPr>
              <w:pStyle w:val="MDPI42tablebody"/>
              <w:keepNext w:val="0"/>
            </w:pPr>
            <w:r>
              <w:rPr/>
              <w:t>0.00</w:t>
            </w:r>
          </w:p>
        </w:tc>
        <w:tc>
          <w:tcPr>
            <w:tcW w:type="dxa" w:w="820"/>
          </w:tcPr>
          <w:p>
            <w:pPr>
              <w:pStyle w:val="MDPI42tablebody"/>
              <w:keepNext w:val="0"/>
            </w:pPr>
            <w:r>
              <w:rPr/>
              <w:t>4.30</w:t>
            </w:r>
          </w:p>
        </w:tc>
        <w:tc>
          <w:tcPr>
            <w:tcW w:type="dxa" w:w="820"/>
          </w:tcPr>
          <w:p>
            <w:pPr>
              <w:pStyle w:val="MDPI42tablebody"/>
              <w:keepNext w:val="0"/>
            </w:pPr>
            <w:r>
              <w:rPr/>
              <w:t>5.04</w:t>
            </w:r>
          </w:p>
        </w:tc>
        <w:tc>
          <w:tcPr>
            <w:tcW w:type="dxa" w:w="928"/>
          </w:tcPr>
          <w:p>
            <w:pPr>
              <w:pStyle w:val="MDPI42tablebody"/>
              <w:keepNext w:val="0"/>
            </w:pPr>
            <w:r>
              <w:rPr/>
              <w:t>−0.03</w:t>
            </w:r>
          </w:p>
        </w:tc>
        <w:tc>
          <w:tcPr>
            <w:tcW w:type="dxa" w:w="933"/>
          </w:tcPr>
          <w:p>
            <w:pPr>
              <w:pStyle w:val="MDPI42tablebody"/>
              <w:keepNext w:val="0"/>
            </w:pPr>
            <w:r>
              <w:rPr/>
              <w:t>−0.03</w:t>
            </w:r>
          </w:p>
        </w:tc>
      </w:tr>
      <w:tr>
        <w:tc>
          <w:tcPr>
            <w:tcW w:type="dxa" w:w="3469"/>
          </w:tcPr>
          <w:p>
            <w:pPr>
              <w:pStyle w:val="MDPI42tablebody"/>
              <w:keepNext w:val="0"/>
            </w:pPr>
            <w:r>
              <w:rPr/>
              <w:t>Lucey et al. constants (Clementine) ᵃ</w:t>
            </w:r>
          </w:p>
        </w:tc>
        <w:tc>
          <w:tcPr>
            <w:tcW w:type="dxa" w:w="820"/>
          </w:tcPr>
          <w:p>
            <w:pPr>
              <w:pStyle w:val="MDPI42tablebody"/>
              <w:keepNext w:val="0"/>
            </w:pPr>
            <w:r>
              <w:rPr/>
              <w:t>1.25</w:t>
            </w:r>
          </w:p>
        </w:tc>
        <w:tc>
          <w:tcPr>
            <w:tcW w:type="dxa" w:w="820"/>
          </w:tcPr>
          <w:p>
            <w:pPr>
              <w:pStyle w:val="MDPI42tablebody"/>
              <w:keepNext w:val="0"/>
            </w:pPr>
            <w:r>
              <w:rPr/>
              <w:t>1.72</w:t>
            </w:r>
          </w:p>
        </w:tc>
        <w:tc>
          <w:tcPr>
            <w:tcW w:type="dxa" w:w="928"/>
          </w:tcPr>
          <w:p>
            <w:pPr>
              <w:pStyle w:val="MDPI42tablebody"/>
              <w:keepNext w:val="0"/>
            </w:pPr>
            <w:r>
              <w:rPr/>
              <w:t>0.88</w:t>
            </w:r>
          </w:p>
        </w:tc>
        <w:tc>
          <w:tcPr>
            <w:tcW w:type="dxa" w:w="928"/>
          </w:tcPr>
          <w:p>
            <w:pPr>
              <w:pStyle w:val="MDPI42tablebody"/>
              <w:keepNext w:val="0"/>
            </w:pPr>
            <w:r>
              <w:rPr/>
              <w:t>−0.17</w:t>
            </w:r>
          </w:p>
        </w:tc>
        <w:tc>
          <w:tcPr>
            <w:tcW w:type="dxa" w:w="820"/>
          </w:tcPr>
          <w:p>
            <w:pPr>
              <w:pStyle w:val="MDPI42tablebody"/>
              <w:keepNext w:val="0"/>
            </w:pPr>
            <w:r>
              <w:rPr/>
              <w:t>1.25</w:t>
            </w:r>
          </w:p>
        </w:tc>
        <w:tc>
          <w:tcPr>
            <w:tcW w:type="dxa" w:w="820"/>
          </w:tcPr>
          <w:p>
            <w:pPr>
              <w:pStyle w:val="MDPI42tablebody"/>
              <w:keepNext w:val="0"/>
            </w:pPr>
            <w:r>
              <w:rPr/>
              <w:t>1.72</w:t>
            </w:r>
          </w:p>
        </w:tc>
        <w:tc>
          <w:tcPr>
            <w:tcW w:type="dxa" w:w="928"/>
          </w:tcPr>
          <w:p>
            <w:pPr>
              <w:pStyle w:val="MDPI42tablebody"/>
              <w:keepNext w:val="0"/>
            </w:pPr>
            <w:r>
              <w:rPr/>
              <w:t>0.88</w:t>
            </w:r>
          </w:p>
        </w:tc>
        <w:tc>
          <w:tcPr>
            <w:tcW w:type="dxa" w:w="933"/>
          </w:tcPr>
          <w:p>
            <w:pPr>
              <w:pStyle w:val="MDPI42tablebody"/>
              <w:keepNext w:val="0"/>
            </w:pPr>
            <w:r>
              <w:rPr/>
              <w:t>−0.17</w:t>
            </w:r>
          </w:p>
        </w:tc>
      </w:tr>
      <w:tr>
        <w:tc>
          <w:tcPr>
            <w:tcW w:type="dxa" w:w="3469"/>
          </w:tcPr>
          <w:p>
            <w:pPr>
              <w:pStyle w:val="MDPI42tablebody"/>
              <w:keepNext w:val="0"/>
            </w:pPr>
            <w:r>
              <w:rPr/>
              <w:t>Two Clementine bands (refitted)</w:t>
            </w:r>
          </w:p>
        </w:tc>
        <w:tc>
          <w:tcPr>
            <w:tcW w:type="dxa" w:w="820"/>
          </w:tcPr>
          <w:p>
            <w:pPr>
              <w:pStyle w:val="MDPI42tablebody"/>
              <w:keepNext w:val="0"/>
            </w:pPr>
            <w:r>
              <w:rPr/>
              <w:t>1.34</w:t>
            </w:r>
          </w:p>
        </w:tc>
        <w:tc>
          <w:tcPr>
            <w:tcW w:type="dxa" w:w="820"/>
          </w:tcPr>
          <w:p>
            <w:pPr>
              <w:pStyle w:val="MDPI42tablebody"/>
              <w:keepNext w:val="0"/>
            </w:pPr>
            <w:r>
              <w:rPr/>
              <w:t>1.74</w:t>
            </w:r>
          </w:p>
        </w:tc>
        <w:tc>
          <w:tcPr>
            <w:tcW w:type="dxa" w:w="928"/>
          </w:tcPr>
          <w:p>
            <w:pPr>
              <w:pStyle w:val="MDPI42tablebody"/>
              <w:keepNext w:val="0"/>
            </w:pPr>
            <w:r>
              <w:rPr/>
              <w:t>0.88</w:t>
            </w:r>
          </w:p>
        </w:tc>
        <w:tc>
          <w:tcPr>
            <w:tcW w:type="dxa" w:w="928"/>
          </w:tcPr>
          <w:p>
            <w:pPr>
              <w:pStyle w:val="MDPI42tablebody"/>
              <w:keepNext w:val="0"/>
            </w:pPr>
            <w:r>
              <w:rPr/>
              <w:t>0.03</w:t>
            </w:r>
          </w:p>
        </w:tc>
        <w:tc>
          <w:tcPr>
            <w:tcW w:type="dxa" w:w="820"/>
          </w:tcPr>
          <w:p>
            <w:pPr>
              <w:pStyle w:val="MDPI42tablebody"/>
              <w:keepNext w:val="0"/>
            </w:pPr>
            <w:r>
              <w:rPr/>
              <w:t>1.82</w:t>
            </w:r>
          </w:p>
        </w:tc>
        <w:tc>
          <w:tcPr>
            <w:tcW w:type="dxa" w:w="820"/>
          </w:tcPr>
          <w:p>
            <w:pPr>
              <w:pStyle w:val="MDPI42tablebody"/>
              <w:keepNext w:val="0"/>
            </w:pPr>
            <w:r>
              <w:rPr/>
              <w:t>2.32</w:t>
            </w:r>
          </w:p>
        </w:tc>
        <w:tc>
          <w:tcPr>
            <w:tcW w:type="dxa" w:w="928"/>
          </w:tcPr>
          <w:p>
            <w:pPr>
              <w:pStyle w:val="MDPI42tablebody"/>
              <w:keepNext w:val="0"/>
            </w:pPr>
            <w:r>
              <w:rPr/>
              <w:t>0.78</w:t>
            </w:r>
          </w:p>
        </w:tc>
        <w:tc>
          <w:tcPr>
            <w:tcW w:type="dxa" w:w="933"/>
          </w:tcPr>
          <w:p>
            <w:pPr>
              <w:pStyle w:val="MDPI42tablebody"/>
              <w:keepNext w:val="0"/>
            </w:pPr>
            <w:r>
              <w:rPr/>
              <w:t>−0.31</w:t>
            </w:r>
          </w:p>
        </w:tc>
      </w:tr>
      <w:tr>
        <w:tc>
          <w:tcPr>
            <w:tcW w:type="dxa" w:w="3469"/>
          </w:tcPr>
          <w:p>
            <w:pPr>
              <w:pStyle w:val="MDPI42tablebody"/>
              <w:keepNext w:val="0"/>
            </w:pPr>
            <w:r>
              <w:rPr/>
              <w:t>Training-fold mean</w:t>
            </w:r>
          </w:p>
        </w:tc>
        <w:tc>
          <w:tcPr>
            <w:tcW w:type="dxa" w:w="820"/>
          </w:tcPr>
          <w:p>
            <w:pPr>
              <w:pStyle w:val="MDPI42tablebody"/>
              <w:keepNext w:val="0"/>
            </w:pPr>
            <w:r>
              <w:rPr/>
              <w:t>4.34</w:t>
            </w:r>
          </w:p>
        </w:tc>
        <w:tc>
          <w:tcPr>
            <w:tcW w:type="dxa" w:w="820"/>
          </w:tcPr>
          <w:p>
            <w:pPr>
              <w:pStyle w:val="MDPI42tablebody"/>
              <w:keepNext w:val="0"/>
            </w:pPr>
            <w:r>
              <w:rPr/>
              <w:t>5.07</w:t>
            </w:r>
          </w:p>
        </w:tc>
        <w:tc>
          <w:tcPr>
            <w:tcW w:type="dxa" w:w="928"/>
          </w:tcPr>
          <w:p>
            <w:pPr>
              <w:pStyle w:val="MDPI42tablebody"/>
              <w:keepNext w:val="0"/>
            </w:pPr>
            <w:r>
              <w:rPr/>
              <w:t>−0.04</w:t>
            </w:r>
          </w:p>
        </w:tc>
        <w:tc>
          <w:tcPr>
            <w:tcW w:type="dxa" w:w="928"/>
          </w:tcPr>
          <w:p>
            <w:pPr>
              <w:pStyle w:val="MDPI42tablebody"/>
              <w:keepNext w:val="0"/>
            </w:pPr>
            <w:r>
              <w:rPr/>
              <w:t>0.00</w:t>
            </w:r>
          </w:p>
        </w:tc>
        <w:tc>
          <w:tcPr>
            <w:tcW w:type="dxa" w:w="820"/>
          </w:tcPr>
          <w:p>
            <w:pPr>
              <w:pStyle w:val="MDPI42tablebody"/>
              <w:keepNext w:val="0"/>
            </w:pPr>
            <w:r>
              <w:rPr/>
              <w:t>4.78</w:t>
            </w:r>
          </w:p>
        </w:tc>
        <w:tc>
          <w:tcPr>
            <w:tcW w:type="dxa" w:w="820"/>
          </w:tcPr>
          <w:p>
            <w:pPr>
              <w:pStyle w:val="MDPI42tablebody"/>
              <w:keepNext w:val="0"/>
            </w:pPr>
            <w:r>
              <w:rPr/>
              <w:t>5.69</w:t>
            </w:r>
          </w:p>
        </w:tc>
        <w:tc>
          <w:tcPr>
            <w:tcW w:type="dxa" w:w="928"/>
          </w:tcPr>
          <w:p>
            <w:pPr>
              <w:pStyle w:val="MDPI42tablebody"/>
              <w:keepNext w:val="0"/>
            </w:pPr>
            <w:r>
              <w:rPr/>
              <w:t>−0.32</w:t>
            </w:r>
          </w:p>
        </w:tc>
        <w:tc>
          <w:tcPr>
            <w:tcW w:type="dxa" w:w="933"/>
          </w:tcPr>
          <w:p>
            <w:pPr>
              <w:pStyle w:val="MDPI42tablebody"/>
              <w:keepNext w:val="0"/>
            </w:pPr>
            <w:r>
              <w:rPr/>
              <w:t>0.03</w:t>
            </w:r>
          </w:p>
        </w:tc>
      </w:tr>
    </w:tbl>
    <w:p>
      <w:pPr>
        <w:pStyle w:val="MDPI43tablefooter"/>
      </w:pPr>
      <w:r>
        <w:rPr/>
        <w:t>ᵃ In-sample. The published constants [3] were derived from returned-sample sites, and nothing is fitted here, so this row is not a held-out estimate and is not comparable with the others.</w:t>
      </w:r>
    </w:p>
    <w:p>
      <w:pPr>
        <w:pStyle w:val="MDPI31text"/>
      </w:pPr>
      <w:r>
        <w:rPr/>
        <w:t>In the primary assessment (P2), LUMEN-M3-FT shows a smaller MAE than the published FD (3.27 vs 3.58 wt%), but it is more accurate than the latter only at 24 out of 49 locations, and the result does not reach statistical significance (Wilcoxon p = 0.74; Holm p = 1.00 for 13 comparisons). Statistical superiority is shown only against the training-fold mean (Holm p &lt; 0.001), and it is statistically inferior to the two M³ bands (Holm p = 0.009), FD-AE-M3 / SVR-lin (Holm p = 0.029), the two Clementine bands (Holm p = 0.001), and the in-sample Lucey et al. constants (Holm p &lt; 0.001). According to P1, the published FD value (1.90 wt%) correlates well with the reproduced results of the original paper (1.95 wt%) and is lower than its previously reported 2.29 wt% [16]. The LUMEN-M3-FT value (2.20 wt%) significantly differs from no-FD values and the two M³ bands, is significantly less accurate than the two Clementine bands (Holm p = 0.020), and at the same time, is significantly more accurate than the refitted Lucey θ on M³ (Holm p = 0.020).</w:t>
      </w:r>
    </w:p>
    <w:p>
      <w:pPr>
        <w:pStyle w:val="MDPI31text"/>
      </w:pPr>
      <w:r>
        <w:rPr/>
        <w:t>For the six P1 seeds LUMEN-M3-FT gives an average of 2.13 wt% (2.08 to 2.20) and FD as published is 1.91 wt% (1.81 to 1.97) with FD being lower in every seed and with each strip's centre pixel rather than the 3 × 3 block. LUMEN-M3-FT has 3.26 wt% (vs 3.35 wt% for the published FD, Holm p = 1.00) and is still significantly worse than the two M³ bands (2.02 wt%, Holm p = 0.006). Under P2 the conformal intervals for LUMEN-M3-FT cover 0.63, 0.92 and 0.98 of the sites at the nominal 68, 90 and 95% (raw ensemble 0.51, 0.76 and 0.86) with mean half widths of 4.6 wt% at 68% and 10.6 wt% at 95%.</w:t>
      </w:r>
    </w:p>
    <w:p>
      <w:pPr>
        <w:pStyle w:val="MDPI52figure"/>
        <w:keepNext/>
        <w:ind w:left="0"/>
        <w:jc w:val="center"/>
      </w:pPr>
      <w:r>
        <w:drawing>
          <wp:inline xmlns:a="http://schemas.openxmlformats.org/drawingml/2006/main" xmlns:pic="http://schemas.openxmlformats.org/drawingml/2006/picture">
            <wp:extent cx="6120000" cy="2156571"/>
            <wp:docPr id="8" name="Picture 8"/>
            <wp:cNvGraphicFramePr>
              <a:graphicFrameLocks noChangeAspect="1"/>
            </wp:cNvGraphicFramePr>
            <a:graphic>
              <a:graphicData uri="http://schemas.openxmlformats.org/drawingml/2006/picture">
                <pic:pic>
                  <pic:nvPicPr>
                    <pic:cNvPr id="0" name="fig05_m3_sites.png"/>
                    <pic:cNvPicPr/>
                  </pic:nvPicPr>
                  <pic:blipFill>
                    <a:blip r:embed="rId26"/>
                    <a:stretch>
                      <a:fillRect/>
                    </a:stretch>
                  </pic:blipFill>
                  <pic:spPr>
                    <a:xfrm>
                      <a:off x="0" y="0"/>
                      <a:ext cx="6120000" cy="2156571"/>
                    </a:xfrm>
                    <a:prstGeom prst="rect"/>
                  </pic:spPr>
                </pic:pic>
              </a:graphicData>
            </a:graphic>
          </wp:inline>
        </w:drawing>
      </w:r>
    </w:p>
    <w:p>
      <w:pPr>
        <w:pStyle w:val="MDPI511onefigurecaption"/>
      </w:pPr>
      <w:r>
        <w:rPr>
          <w:b/>
        </w:rPr>
        <w:t>Figure 8.</w:t>
      </w:r>
      <w:r>
        <w:rPr/>
        <w:t xml:space="preserve"> Predicted against lab FeO at 49 returned-sample sites for P2 (leave one landing site out). The plots show the predictions of LUMEN-M3-FT, FD (as published) and the two M³ band linear model. The symbol indicates the landing site. The red line represents 1:1.</w:t>
      </w:r>
    </w:p>
    <w:p>
      <w:pPr>
        <w:pStyle w:val="MDPI22heading2"/>
        <w:keepNext/>
      </w:pPr>
      <w:r>
        <w:rPr/>
        <w:t>3.7. Ablations and Parameter Analysis</w:t>
      </w:r>
    </w:p>
    <w:p>
      <w:pPr>
        <w:pStyle w:val="MDPI31text"/>
      </w:pPr>
      <w:r>
        <w:rPr/>
        <w:t>The pretraining does improve performance, yet the pre-registered primary model is not the optimal configuration (Table 7). Pretrained A2 has a lower error than the same model trained from scratch (A1) on all 13 targets under LOSO, though, due to the correlation of the targets, none of the differences are statistically significant after Holm correction; under LOMO, two are (HCP and maturity). The SSA-mixup and synthetic replay decrease the error of the pretrained model (A4 vs A2) on only one out of 13 targets, without any statistically significant difference, and help a model trained from scratch under LOSO (12 of 13 targets), but not under LOMO (2 of 13). The zero-shot A0, the physics-only equivalent of a simulator-trained inversion, has an MAE of 9.1 vol%.</w:t>
      </w:r>
    </w:p>
    <w:p>
      <w:pPr>
        <w:pStyle w:val="MDPI411onetablecaption"/>
        <w:keepNext/>
      </w:pPr>
      <w:r>
        <w:rPr>
          <w:b/>
        </w:rPr>
        <w:t>Table 7.</w:t>
      </w:r>
      <w:r>
        <w:rPr/>
        <w:t xml:space="preserve"> Ablations: per-soil MAE, LOSO / LOMO. A4 is the pre-registered primary model.</w:t>
      </w:r>
    </w:p>
    <w:tbl>
      <w:tblPr>
        <w:tblW w:type="auto" w:w="0"/>
        <w:tblLook w:firstColumn="1" w:firstRow="1" w:lastColumn="0" w:lastRow="0" w:noHBand="0" w:noVBand="1" w:val="04A0"/>
        <w:tblW w:w="10466" w:type="dxa"/>
        <w:tblInd w:w="0" w:type="dxa"/>
        <w:tblBorders>
          <w:top w:val="single" w:sz="8" w:space="0" w:color="000000"/>
          <w:bottom w:val="single" w:sz="8" w:space="0" w:color="000000"/>
        </w:tblBorders>
        <w:tblLayout w:type="fixed"/>
      </w:tblPr>
      <w:tblGrid>
        <w:gridCol w:w="1945"/>
        <w:gridCol w:w="1495"/>
        <w:gridCol w:w="1405"/>
        <w:gridCol w:w="1405"/>
        <w:gridCol w:w="1405"/>
        <w:gridCol w:w="1405"/>
        <w:gridCol w:w="1406"/>
      </w:tblGrid>
      <w:tr>
        <w:tc>
          <w:tcPr>
            <w:tcW w:type="dxa" w:w="1945"/>
            <w:tcBorders>
              <w:bottom w:val="single" w:sz="4" w:space="0" w:color="000000"/>
            </w:tcBorders>
          </w:tcPr>
          <w:p>
            <w:pPr>
              <w:pStyle w:val="MDPI42tablebody"/>
              <w:keepNext/>
            </w:pPr>
            <w:r>
              <w:rPr>
                <w:b/>
              </w:rPr>
              <w:t>Target</w:t>
            </w:r>
          </w:p>
        </w:tc>
        <w:tc>
          <w:tcPr>
            <w:tcW w:type="dxa" w:w="1495"/>
            <w:tcBorders>
              <w:bottom w:val="single" w:sz="4" w:space="0" w:color="000000"/>
            </w:tcBorders>
          </w:tcPr>
          <w:p>
            <w:pPr>
              <w:pStyle w:val="MDPI42tablebody"/>
              <w:keepNext/>
            </w:pPr>
            <w:r>
              <w:rPr>
                <w:b/>
              </w:rPr>
              <w:t>A0 zero-shot</w:t>
            </w:r>
          </w:p>
        </w:tc>
        <w:tc>
          <w:tcPr>
            <w:tcW w:type="dxa" w:w="1405"/>
            <w:tcBorders>
              <w:bottom w:val="single" w:sz="4" w:space="0" w:color="000000"/>
            </w:tcBorders>
          </w:tcPr>
          <w:p>
            <w:pPr>
              <w:pStyle w:val="MDPI42tablebody"/>
              <w:keepNext/>
            </w:pPr>
            <w:r>
              <w:rPr>
                <w:b/>
              </w:rPr>
              <w:t>A1 scratch, real</w:t>
            </w:r>
          </w:p>
        </w:tc>
        <w:tc>
          <w:tcPr>
            <w:tcW w:type="dxa" w:w="1405"/>
            <w:tcBorders>
              <w:bottom w:val="single" w:sz="4" w:space="0" w:color="000000"/>
            </w:tcBorders>
          </w:tcPr>
          <w:p>
            <w:pPr>
              <w:pStyle w:val="MDPI42tablebody"/>
              <w:keepNext/>
            </w:pPr>
            <w:r>
              <w:rPr>
                <w:b/>
              </w:rPr>
              <w:t>A1m scratch + mixup</w:t>
            </w:r>
          </w:p>
        </w:tc>
        <w:tc>
          <w:tcPr>
            <w:tcW w:type="dxa" w:w="1405"/>
            <w:tcBorders>
              <w:bottom w:val="single" w:sz="4" w:space="0" w:color="000000"/>
            </w:tcBorders>
          </w:tcPr>
          <w:p>
            <w:pPr>
              <w:pStyle w:val="MDPI42tablebody"/>
              <w:keepNext/>
            </w:pPr>
            <w:r>
              <w:rPr>
                <w:b/>
              </w:rPr>
              <w:t>A2 pretrain + real</w:t>
            </w:r>
          </w:p>
        </w:tc>
        <w:tc>
          <w:tcPr>
            <w:tcW w:type="dxa" w:w="1405"/>
            <w:tcBorders>
              <w:bottom w:val="single" w:sz="4" w:space="0" w:color="000000"/>
            </w:tcBorders>
          </w:tcPr>
          <w:p>
            <w:pPr>
              <w:pStyle w:val="MDPI42tablebody"/>
              <w:keepNext/>
            </w:pPr>
            <w:r>
              <w:rPr>
                <w:b/>
              </w:rPr>
              <w:t>A3 pretrain + mixup</w:t>
            </w:r>
          </w:p>
        </w:tc>
        <w:tc>
          <w:tcPr>
            <w:tcW w:type="dxa" w:w="1406"/>
            <w:tcBorders>
              <w:bottom w:val="single" w:sz="4" w:space="0" w:color="000000"/>
            </w:tcBorders>
          </w:tcPr>
          <w:p>
            <w:pPr>
              <w:pStyle w:val="MDPI42tablebody"/>
              <w:keepNext/>
            </w:pPr>
            <w:r>
              <w:rPr>
                <w:b/>
              </w:rPr>
              <w:t>A4 full</w:t>
            </w:r>
          </w:p>
        </w:tc>
      </w:tr>
      <w:tr>
        <w:tc>
          <w:tcPr>
            <w:tcW w:type="dxa" w:w="1945"/>
          </w:tcPr>
          <w:p>
            <w:pPr>
              <w:pStyle w:val="MDPI42tablebody"/>
              <w:keepNext/>
            </w:pPr>
            <w:r>
              <w:rPr/>
              <w:t>PLG</w:t>
            </w:r>
          </w:p>
        </w:tc>
        <w:tc>
          <w:tcPr>
            <w:tcW w:type="dxa" w:w="1495"/>
          </w:tcPr>
          <w:p>
            <w:pPr>
              <w:pStyle w:val="MDPI42tablebody"/>
              <w:keepNext/>
            </w:pPr>
            <w:r>
              <w:rPr/>
              <w:t>13.99 / 13.99</w:t>
            </w:r>
          </w:p>
        </w:tc>
        <w:tc>
          <w:tcPr>
            <w:tcW w:type="dxa" w:w="1405"/>
          </w:tcPr>
          <w:p>
            <w:pPr>
              <w:pStyle w:val="MDPI42tablebody"/>
              <w:keepNext/>
            </w:pPr>
            <w:r>
              <w:rPr/>
              <w:t>4.84 / 11.76</w:t>
            </w:r>
          </w:p>
        </w:tc>
        <w:tc>
          <w:tcPr>
            <w:tcW w:type="dxa" w:w="1405"/>
          </w:tcPr>
          <w:p>
            <w:pPr>
              <w:pStyle w:val="MDPI42tablebody"/>
              <w:keepNext/>
            </w:pPr>
            <w:r>
              <w:rPr/>
              <w:t>4.21 / 12.01</w:t>
            </w:r>
          </w:p>
        </w:tc>
        <w:tc>
          <w:tcPr>
            <w:tcW w:type="dxa" w:w="1405"/>
          </w:tcPr>
          <w:p>
            <w:pPr>
              <w:pStyle w:val="MDPI42tablebody"/>
              <w:keepNext/>
            </w:pPr>
            <w:r>
              <w:rPr/>
              <w:t>4.17 / 12.01</w:t>
            </w:r>
          </w:p>
        </w:tc>
        <w:tc>
          <w:tcPr>
            <w:tcW w:type="dxa" w:w="1405"/>
          </w:tcPr>
          <w:p>
            <w:pPr>
              <w:pStyle w:val="MDPI42tablebody"/>
              <w:keepNext/>
            </w:pPr>
            <w:r>
              <w:rPr/>
              <w:t>4.25 / 12.31</w:t>
            </w:r>
          </w:p>
        </w:tc>
        <w:tc>
          <w:tcPr>
            <w:tcW w:type="dxa" w:w="1406"/>
          </w:tcPr>
          <w:p>
            <w:pPr>
              <w:pStyle w:val="MDPI42tablebody"/>
              <w:keepNext/>
            </w:pPr>
            <w:r>
              <w:rPr/>
              <w:t>4.82 / 11.31</w:t>
            </w:r>
          </w:p>
        </w:tc>
      </w:tr>
      <w:tr>
        <w:tc>
          <w:tcPr>
            <w:tcW w:type="dxa" w:w="1945"/>
          </w:tcPr>
          <w:p>
            <w:pPr>
              <w:pStyle w:val="MDPI42tablebody"/>
              <w:keepNext/>
            </w:pPr>
            <w:r>
              <w:rPr/>
              <w:t>LCP</w:t>
            </w:r>
          </w:p>
        </w:tc>
        <w:tc>
          <w:tcPr>
            <w:tcW w:type="dxa" w:w="1495"/>
          </w:tcPr>
          <w:p>
            <w:pPr>
              <w:pStyle w:val="MDPI42tablebody"/>
              <w:keepNext/>
            </w:pPr>
            <w:r>
              <w:rPr/>
              <w:t>4.88 / 4.88</w:t>
            </w:r>
          </w:p>
        </w:tc>
        <w:tc>
          <w:tcPr>
            <w:tcW w:type="dxa" w:w="1405"/>
          </w:tcPr>
          <w:p>
            <w:pPr>
              <w:pStyle w:val="MDPI42tablebody"/>
              <w:keepNext/>
            </w:pPr>
            <w:r>
              <w:rPr/>
              <w:t>1.58 / 2.45</w:t>
            </w:r>
          </w:p>
        </w:tc>
        <w:tc>
          <w:tcPr>
            <w:tcW w:type="dxa" w:w="1405"/>
          </w:tcPr>
          <w:p>
            <w:pPr>
              <w:pStyle w:val="MDPI42tablebody"/>
              <w:keepNext/>
            </w:pPr>
            <w:r>
              <w:rPr/>
              <w:t>1.57 / 2.57</w:t>
            </w:r>
          </w:p>
        </w:tc>
        <w:tc>
          <w:tcPr>
            <w:tcW w:type="dxa" w:w="1405"/>
          </w:tcPr>
          <w:p>
            <w:pPr>
              <w:pStyle w:val="MDPI42tablebody"/>
              <w:keepNext/>
            </w:pPr>
            <w:r>
              <w:rPr/>
              <w:t>1.42 / 2.12</w:t>
            </w:r>
          </w:p>
        </w:tc>
        <w:tc>
          <w:tcPr>
            <w:tcW w:type="dxa" w:w="1405"/>
          </w:tcPr>
          <w:p>
            <w:pPr>
              <w:pStyle w:val="MDPI42tablebody"/>
              <w:keepNext/>
            </w:pPr>
            <w:r>
              <w:rPr/>
              <w:t>1.41 / 2.15</w:t>
            </w:r>
          </w:p>
        </w:tc>
        <w:tc>
          <w:tcPr>
            <w:tcW w:type="dxa" w:w="1406"/>
          </w:tcPr>
          <w:p>
            <w:pPr>
              <w:pStyle w:val="MDPI42tablebody"/>
              <w:keepNext/>
            </w:pPr>
            <w:r>
              <w:rPr/>
              <w:t>1.75 / 2.50</w:t>
            </w:r>
          </w:p>
        </w:tc>
      </w:tr>
      <w:tr>
        <w:tc>
          <w:tcPr>
            <w:tcW w:type="dxa" w:w="1945"/>
          </w:tcPr>
          <w:p>
            <w:pPr>
              <w:pStyle w:val="MDPI42tablebody"/>
              <w:keepNext w:val="0"/>
            </w:pPr>
            <w:r>
              <w:rPr/>
              <w:t>HCP</w:t>
            </w:r>
          </w:p>
        </w:tc>
        <w:tc>
          <w:tcPr>
            <w:tcW w:type="dxa" w:w="1495"/>
          </w:tcPr>
          <w:p>
            <w:pPr>
              <w:pStyle w:val="MDPI42tablebody"/>
              <w:keepNext w:val="0"/>
            </w:pPr>
            <w:r>
              <w:rPr/>
              <w:t>4.51 / 4.51</w:t>
            </w:r>
          </w:p>
        </w:tc>
        <w:tc>
          <w:tcPr>
            <w:tcW w:type="dxa" w:w="1405"/>
          </w:tcPr>
          <w:p>
            <w:pPr>
              <w:pStyle w:val="MDPI42tablebody"/>
              <w:keepNext w:val="0"/>
            </w:pPr>
            <w:r>
              <w:rPr/>
              <w:t>1.21 / 1.72</w:t>
            </w:r>
          </w:p>
        </w:tc>
        <w:tc>
          <w:tcPr>
            <w:tcW w:type="dxa" w:w="1405"/>
          </w:tcPr>
          <w:p>
            <w:pPr>
              <w:pStyle w:val="MDPI42tablebody"/>
              <w:keepNext w:val="0"/>
            </w:pPr>
            <w:r>
              <w:rPr/>
              <w:t>1.19 / 1.82</w:t>
            </w:r>
          </w:p>
        </w:tc>
        <w:tc>
          <w:tcPr>
            <w:tcW w:type="dxa" w:w="1405"/>
          </w:tcPr>
          <w:p>
            <w:pPr>
              <w:pStyle w:val="MDPI42tablebody"/>
              <w:keepNext w:val="0"/>
            </w:pPr>
            <w:r>
              <w:rPr/>
              <w:t>0.85 / 1.09</w:t>
            </w:r>
          </w:p>
        </w:tc>
        <w:tc>
          <w:tcPr>
            <w:tcW w:type="dxa" w:w="1405"/>
          </w:tcPr>
          <w:p>
            <w:pPr>
              <w:pStyle w:val="MDPI42tablebody"/>
              <w:keepNext w:val="0"/>
            </w:pPr>
            <w:r>
              <w:rPr/>
              <w:t>0.94 / 1.15</w:t>
            </w:r>
          </w:p>
        </w:tc>
        <w:tc>
          <w:tcPr>
            <w:tcW w:type="dxa" w:w="1406"/>
          </w:tcPr>
          <w:p>
            <w:pPr>
              <w:pStyle w:val="MDPI42tablebody"/>
              <w:keepNext w:val="0"/>
            </w:pPr>
            <w:r>
              <w:rPr/>
              <w:t>1.07 / 1.22</w:t>
            </w:r>
          </w:p>
        </w:tc>
      </w:tr>
      <w:tr>
        <w:tc>
          <w:tcPr>
            <w:tcW w:type="dxa" w:w="1945"/>
          </w:tcPr>
          <w:p>
            <w:pPr>
              <w:pStyle w:val="MDPI42tablebody"/>
              <w:keepNext w:val="0"/>
            </w:pPr>
            <w:r>
              <w:rPr/>
              <w:t>OLV</w:t>
            </w:r>
          </w:p>
        </w:tc>
        <w:tc>
          <w:tcPr>
            <w:tcW w:type="dxa" w:w="1495"/>
          </w:tcPr>
          <w:p>
            <w:pPr>
              <w:pStyle w:val="MDPI42tablebody"/>
              <w:keepNext w:val="0"/>
            </w:pPr>
            <w:r>
              <w:rPr/>
              <w:t>1.22 / 1.22</w:t>
            </w:r>
          </w:p>
        </w:tc>
        <w:tc>
          <w:tcPr>
            <w:tcW w:type="dxa" w:w="1405"/>
          </w:tcPr>
          <w:p>
            <w:pPr>
              <w:pStyle w:val="MDPI42tablebody"/>
              <w:keepNext w:val="0"/>
            </w:pPr>
            <w:r>
              <w:rPr/>
              <w:t>0.91 / 1.02</w:t>
            </w:r>
          </w:p>
        </w:tc>
        <w:tc>
          <w:tcPr>
            <w:tcW w:type="dxa" w:w="1405"/>
          </w:tcPr>
          <w:p>
            <w:pPr>
              <w:pStyle w:val="MDPI42tablebody"/>
              <w:keepNext w:val="0"/>
            </w:pPr>
            <w:r>
              <w:rPr/>
              <w:t>0.92 / 1.04</w:t>
            </w:r>
          </w:p>
        </w:tc>
        <w:tc>
          <w:tcPr>
            <w:tcW w:type="dxa" w:w="1405"/>
          </w:tcPr>
          <w:p>
            <w:pPr>
              <w:pStyle w:val="MDPI42tablebody"/>
              <w:keepNext w:val="0"/>
            </w:pPr>
            <w:r>
              <w:rPr/>
              <w:t>0.86 / 1.03</w:t>
            </w:r>
          </w:p>
        </w:tc>
        <w:tc>
          <w:tcPr>
            <w:tcW w:type="dxa" w:w="1405"/>
          </w:tcPr>
          <w:p>
            <w:pPr>
              <w:pStyle w:val="MDPI42tablebody"/>
              <w:keepNext w:val="0"/>
            </w:pPr>
            <w:r>
              <w:rPr/>
              <w:t>0.93 / 1.06</w:t>
            </w:r>
          </w:p>
        </w:tc>
        <w:tc>
          <w:tcPr>
            <w:tcW w:type="dxa" w:w="1406"/>
          </w:tcPr>
          <w:p>
            <w:pPr>
              <w:pStyle w:val="MDPI42tablebody"/>
              <w:keepNext w:val="0"/>
            </w:pPr>
            <w:r>
              <w:rPr/>
              <w:t>0.98 / 1.13</w:t>
            </w:r>
          </w:p>
        </w:tc>
      </w:tr>
      <w:tr>
        <w:tc>
          <w:tcPr>
            <w:tcW w:type="dxa" w:w="1945"/>
          </w:tcPr>
          <w:p>
            <w:pPr>
              <w:pStyle w:val="MDPI42tablebody"/>
              <w:keepNext w:val="0"/>
            </w:pPr>
            <w:r>
              <w:rPr/>
              <w:t>ILM</w:t>
            </w:r>
          </w:p>
        </w:tc>
        <w:tc>
          <w:tcPr>
            <w:tcW w:type="dxa" w:w="1495"/>
          </w:tcPr>
          <w:p>
            <w:pPr>
              <w:pStyle w:val="MDPI42tablebody"/>
              <w:keepNext w:val="0"/>
            </w:pPr>
            <w:r>
              <w:rPr/>
              <w:t>1.83 / 1.83</w:t>
            </w:r>
          </w:p>
        </w:tc>
        <w:tc>
          <w:tcPr>
            <w:tcW w:type="dxa" w:w="1405"/>
          </w:tcPr>
          <w:p>
            <w:pPr>
              <w:pStyle w:val="MDPI42tablebody"/>
              <w:keepNext w:val="0"/>
            </w:pPr>
            <w:r>
              <w:rPr/>
              <w:t>1.30 / 1.95</w:t>
            </w:r>
          </w:p>
        </w:tc>
        <w:tc>
          <w:tcPr>
            <w:tcW w:type="dxa" w:w="1405"/>
          </w:tcPr>
          <w:p>
            <w:pPr>
              <w:pStyle w:val="MDPI42tablebody"/>
              <w:keepNext w:val="0"/>
            </w:pPr>
            <w:r>
              <w:rPr/>
              <w:t>1.30 / 2.07</w:t>
            </w:r>
          </w:p>
        </w:tc>
        <w:tc>
          <w:tcPr>
            <w:tcW w:type="dxa" w:w="1405"/>
          </w:tcPr>
          <w:p>
            <w:pPr>
              <w:pStyle w:val="MDPI42tablebody"/>
              <w:keepNext w:val="0"/>
            </w:pPr>
            <w:r>
              <w:rPr/>
              <w:t>1.08 / 1.70</w:t>
            </w:r>
          </w:p>
        </w:tc>
        <w:tc>
          <w:tcPr>
            <w:tcW w:type="dxa" w:w="1405"/>
          </w:tcPr>
          <w:p>
            <w:pPr>
              <w:pStyle w:val="MDPI42tablebody"/>
              <w:keepNext w:val="0"/>
            </w:pPr>
            <w:r>
              <w:rPr/>
              <w:t>1.22 / 1.90</w:t>
            </w:r>
          </w:p>
        </w:tc>
        <w:tc>
          <w:tcPr>
            <w:tcW w:type="dxa" w:w="1406"/>
          </w:tcPr>
          <w:p>
            <w:pPr>
              <w:pStyle w:val="MDPI42tablebody"/>
              <w:keepNext w:val="0"/>
            </w:pPr>
            <w:r>
              <w:rPr/>
              <w:t>1.22 / 1.69</w:t>
            </w:r>
          </w:p>
        </w:tc>
      </w:tr>
      <w:tr>
        <w:tc>
          <w:tcPr>
            <w:tcW w:type="dxa" w:w="1945"/>
          </w:tcPr>
          <w:p>
            <w:pPr>
              <w:pStyle w:val="MDPI42tablebody"/>
              <w:keepNext w:val="0"/>
            </w:pPr>
            <w:r>
              <w:rPr/>
              <w:t>AGG</w:t>
            </w:r>
          </w:p>
        </w:tc>
        <w:tc>
          <w:tcPr>
            <w:tcW w:type="dxa" w:w="1495"/>
          </w:tcPr>
          <w:p>
            <w:pPr>
              <w:pStyle w:val="MDPI42tablebody"/>
              <w:keepNext w:val="0"/>
            </w:pPr>
            <w:r>
              <w:rPr/>
              <w:t>25.53 / 25.53</w:t>
            </w:r>
          </w:p>
        </w:tc>
        <w:tc>
          <w:tcPr>
            <w:tcW w:type="dxa" w:w="1405"/>
          </w:tcPr>
          <w:p>
            <w:pPr>
              <w:pStyle w:val="MDPI42tablebody"/>
              <w:keepNext w:val="0"/>
            </w:pPr>
            <w:r>
              <w:rPr/>
              <w:t>6.19 / 9.61</w:t>
            </w:r>
          </w:p>
        </w:tc>
        <w:tc>
          <w:tcPr>
            <w:tcW w:type="dxa" w:w="1405"/>
          </w:tcPr>
          <w:p>
            <w:pPr>
              <w:pStyle w:val="MDPI42tablebody"/>
              <w:keepNext w:val="0"/>
            </w:pPr>
            <w:r>
              <w:rPr/>
              <w:t>5.68 / 9.34</w:t>
            </w:r>
          </w:p>
        </w:tc>
        <w:tc>
          <w:tcPr>
            <w:tcW w:type="dxa" w:w="1405"/>
          </w:tcPr>
          <w:p>
            <w:pPr>
              <w:pStyle w:val="MDPI42tablebody"/>
              <w:keepNext w:val="0"/>
            </w:pPr>
            <w:r>
              <w:rPr/>
              <w:t>5.42 / 9.64</w:t>
            </w:r>
          </w:p>
        </w:tc>
        <w:tc>
          <w:tcPr>
            <w:tcW w:type="dxa" w:w="1405"/>
          </w:tcPr>
          <w:p>
            <w:pPr>
              <w:pStyle w:val="MDPI42tablebody"/>
              <w:keepNext w:val="0"/>
            </w:pPr>
            <w:r>
              <w:rPr/>
              <w:t>5.50 / 9.45</w:t>
            </w:r>
          </w:p>
        </w:tc>
        <w:tc>
          <w:tcPr>
            <w:tcW w:type="dxa" w:w="1406"/>
          </w:tcPr>
          <w:p>
            <w:pPr>
              <w:pStyle w:val="MDPI42tablebody"/>
              <w:keepNext w:val="0"/>
            </w:pPr>
            <w:r>
              <w:rPr/>
              <w:t>5.78 / 9.18</w:t>
            </w:r>
          </w:p>
        </w:tc>
      </w:tr>
      <w:tr>
        <w:tc>
          <w:tcPr>
            <w:tcW w:type="dxa" w:w="1945"/>
          </w:tcPr>
          <w:p>
            <w:pPr>
              <w:pStyle w:val="MDPI42tablebody"/>
              <w:keepNext w:val="0"/>
            </w:pPr>
            <w:r>
              <w:rPr/>
              <w:t>OTH</w:t>
            </w:r>
          </w:p>
        </w:tc>
        <w:tc>
          <w:tcPr>
            <w:tcW w:type="dxa" w:w="1495"/>
          </w:tcPr>
          <w:p>
            <w:pPr>
              <w:pStyle w:val="MDPI42tablebody"/>
              <w:keepNext w:val="0"/>
            </w:pPr>
            <w:r>
              <w:rPr/>
              <w:t>12.00 / 12.00</w:t>
            </w:r>
          </w:p>
        </w:tc>
        <w:tc>
          <w:tcPr>
            <w:tcW w:type="dxa" w:w="1405"/>
          </w:tcPr>
          <w:p>
            <w:pPr>
              <w:pStyle w:val="MDPI42tablebody"/>
              <w:keepNext w:val="0"/>
            </w:pPr>
            <w:r>
              <w:rPr/>
              <w:t>2.78 / 5.63</w:t>
            </w:r>
          </w:p>
        </w:tc>
        <w:tc>
          <w:tcPr>
            <w:tcW w:type="dxa" w:w="1405"/>
          </w:tcPr>
          <w:p>
            <w:pPr>
              <w:pStyle w:val="MDPI42tablebody"/>
              <w:keepNext w:val="0"/>
            </w:pPr>
            <w:r>
              <w:rPr/>
              <w:t>2.70 / 5.82</w:t>
            </w:r>
          </w:p>
        </w:tc>
        <w:tc>
          <w:tcPr>
            <w:tcW w:type="dxa" w:w="1405"/>
          </w:tcPr>
          <w:p>
            <w:pPr>
              <w:pStyle w:val="MDPI42tablebody"/>
              <w:keepNext w:val="0"/>
            </w:pPr>
            <w:r>
              <w:rPr/>
              <w:t>2.69 / 5.82</w:t>
            </w:r>
          </w:p>
        </w:tc>
        <w:tc>
          <w:tcPr>
            <w:tcW w:type="dxa" w:w="1405"/>
          </w:tcPr>
          <w:p>
            <w:pPr>
              <w:pStyle w:val="MDPI42tablebody"/>
              <w:keepNext w:val="0"/>
            </w:pPr>
            <w:r>
              <w:rPr/>
              <w:t>2.77 / 6.06</w:t>
            </w:r>
          </w:p>
        </w:tc>
        <w:tc>
          <w:tcPr>
            <w:tcW w:type="dxa" w:w="1406"/>
          </w:tcPr>
          <w:p>
            <w:pPr>
              <w:pStyle w:val="MDPI42tablebody"/>
              <w:keepNext w:val="0"/>
            </w:pPr>
            <w:r>
              <w:rPr/>
              <w:t>3.02 / 5.88</w:t>
            </w:r>
          </w:p>
        </w:tc>
      </w:tr>
      <w:tr>
        <w:tc>
          <w:tcPr>
            <w:tcW w:type="dxa" w:w="1945"/>
          </w:tcPr>
          <w:p>
            <w:pPr>
              <w:pStyle w:val="MDPI42tablebody"/>
              <w:keepNext w:val="0"/>
            </w:pPr>
            <w:r>
              <w:rPr/>
              <w:t>FeO</w:t>
            </w:r>
          </w:p>
        </w:tc>
        <w:tc>
          <w:tcPr>
            <w:tcW w:type="dxa" w:w="1495"/>
          </w:tcPr>
          <w:p>
            <w:pPr>
              <w:pStyle w:val="MDPI42tablebody"/>
              <w:keepNext w:val="0"/>
            </w:pPr>
            <w:r>
              <w:rPr/>
              <w:t>4.57 / 4.57</w:t>
            </w:r>
          </w:p>
        </w:tc>
        <w:tc>
          <w:tcPr>
            <w:tcW w:type="dxa" w:w="1405"/>
          </w:tcPr>
          <w:p>
            <w:pPr>
              <w:pStyle w:val="MDPI42tablebody"/>
              <w:keepNext w:val="0"/>
            </w:pPr>
            <w:r>
              <w:rPr/>
              <w:t>1.46 / 2.75</w:t>
            </w:r>
          </w:p>
        </w:tc>
        <w:tc>
          <w:tcPr>
            <w:tcW w:type="dxa" w:w="1405"/>
          </w:tcPr>
          <w:p>
            <w:pPr>
              <w:pStyle w:val="MDPI42tablebody"/>
              <w:keepNext w:val="0"/>
            </w:pPr>
            <w:r>
              <w:rPr/>
              <w:t>1.32 / 3.00</w:t>
            </w:r>
          </w:p>
        </w:tc>
        <w:tc>
          <w:tcPr>
            <w:tcW w:type="dxa" w:w="1405"/>
          </w:tcPr>
          <w:p>
            <w:pPr>
              <w:pStyle w:val="MDPI42tablebody"/>
              <w:keepNext w:val="0"/>
            </w:pPr>
            <w:r>
              <w:rPr/>
              <w:t>1.23 / 2.64</w:t>
            </w:r>
          </w:p>
        </w:tc>
        <w:tc>
          <w:tcPr>
            <w:tcW w:type="dxa" w:w="1405"/>
          </w:tcPr>
          <w:p>
            <w:pPr>
              <w:pStyle w:val="MDPI42tablebody"/>
              <w:keepNext w:val="0"/>
            </w:pPr>
            <w:r>
              <w:rPr/>
              <w:t>1.23 / 2.71</w:t>
            </w:r>
          </w:p>
        </w:tc>
        <w:tc>
          <w:tcPr>
            <w:tcW w:type="dxa" w:w="1406"/>
          </w:tcPr>
          <w:p>
            <w:pPr>
              <w:pStyle w:val="MDPI42tablebody"/>
              <w:keepNext w:val="0"/>
            </w:pPr>
            <w:r>
              <w:rPr/>
              <w:t>1.26 / 2.59</w:t>
            </w:r>
          </w:p>
        </w:tc>
      </w:tr>
      <w:tr>
        <w:tc>
          <w:tcPr>
            <w:tcW w:type="dxa" w:w="1945"/>
          </w:tcPr>
          <w:p>
            <w:pPr>
              <w:pStyle w:val="MDPI42tablebody"/>
              <w:keepNext w:val="0"/>
            </w:pPr>
            <w:r>
              <w:rPr/>
              <w:t>TiO₂</w:t>
            </w:r>
          </w:p>
        </w:tc>
        <w:tc>
          <w:tcPr>
            <w:tcW w:type="dxa" w:w="1495"/>
          </w:tcPr>
          <w:p>
            <w:pPr>
              <w:pStyle w:val="MDPI42tablebody"/>
              <w:keepNext w:val="0"/>
            </w:pPr>
            <w:r>
              <w:rPr/>
              <w:t>3.91 / 3.91</w:t>
            </w:r>
          </w:p>
        </w:tc>
        <w:tc>
          <w:tcPr>
            <w:tcW w:type="dxa" w:w="1405"/>
          </w:tcPr>
          <w:p>
            <w:pPr>
              <w:pStyle w:val="MDPI42tablebody"/>
              <w:keepNext w:val="0"/>
            </w:pPr>
            <w:r>
              <w:rPr/>
              <w:t>0.82 / 1.43</w:t>
            </w:r>
          </w:p>
        </w:tc>
        <w:tc>
          <w:tcPr>
            <w:tcW w:type="dxa" w:w="1405"/>
          </w:tcPr>
          <w:p>
            <w:pPr>
              <w:pStyle w:val="MDPI42tablebody"/>
              <w:keepNext w:val="0"/>
            </w:pPr>
            <w:r>
              <w:rPr/>
              <w:t>0.76 / 1.57</w:t>
            </w:r>
          </w:p>
        </w:tc>
        <w:tc>
          <w:tcPr>
            <w:tcW w:type="dxa" w:w="1405"/>
          </w:tcPr>
          <w:p>
            <w:pPr>
              <w:pStyle w:val="MDPI42tablebody"/>
              <w:keepNext w:val="0"/>
            </w:pPr>
            <w:r>
              <w:rPr/>
              <w:t>0.56 / 1.08</w:t>
            </w:r>
          </w:p>
        </w:tc>
        <w:tc>
          <w:tcPr>
            <w:tcW w:type="dxa" w:w="1405"/>
          </w:tcPr>
          <w:p>
            <w:pPr>
              <w:pStyle w:val="MDPI42tablebody"/>
              <w:keepNext w:val="0"/>
            </w:pPr>
            <w:r>
              <w:rPr/>
              <w:t>0.66 / 1.36</w:t>
            </w:r>
          </w:p>
        </w:tc>
        <w:tc>
          <w:tcPr>
            <w:tcW w:type="dxa" w:w="1406"/>
          </w:tcPr>
          <w:p>
            <w:pPr>
              <w:pStyle w:val="MDPI42tablebody"/>
              <w:keepNext w:val="0"/>
            </w:pPr>
            <w:r>
              <w:rPr/>
              <w:t>0.70 / 1.37</w:t>
            </w:r>
          </w:p>
        </w:tc>
      </w:tr>
      <w:tr>
        <w:tc>
          <w:tcPr>
            <w:tcW w:type="dxa" w:w="1945"/>
          </w:tcPr>
          <w:p>
            <w:pPr>
              <w:pStyle w:val="MDPI42tablebody"/>
              <w:keepNext w:val="0"/>
            </w:pPr>
            <w:r>
              <w:rPr/>
              <w:t>Al₂O₃</w:t>
            </w:r>
          </w:p>
        </w:tc>
        <w:tc>
          <w:tcPr>
            <w:tcW w:type="dxa" w:w="1495"/>
          </w:tcPr>
          <w:p>
            <w:pPr>
              <w:pStyle w:val="MDPI42tablebody"/>
              <w:keepNext w:val="0"/>
            </w:pPr>
            <w:r>
              <w:rPr/>
              <w:t>3.79 / 3.79</w:t>
            </w:r>
          </w:p>
        </w:tc>
        <w:tc>
          <w:tcPr>
            <w:tcW w:type="dxa" w:w="1405"/>
          </w:tcPr>
          <w:p>
            <w:pPr>
              <w:pStyle w:val="MDPI42tablebody"/>
              <w:keepNext w:val="0"/>
            </w:pPr>
            <w:r>
              <w:rPr/>
              <w:t>1.74 / 4.35</w:t>
            </w:r>
          </w:p>
        </w:tc>
        <w:tc>
          <w:tcPr>
            <w:tcW w:type="dxa" w:w="1405"/>
          </w:tcPr>
          <w:p>
            <w:pPr>
              <w:pStyle w:val="MDPI42tablebody"/>
              <w:keepNext w:val="0"/>
            </w:pPr>
            <w:r>
              <w:rPr/>
              <w:t>1.58 / 4.62</w:t>
            </w:r>
          </w:p>
        </w:tc>
        <w:tc>
          <w:tcPr>
            <w:tcW w:type="dxa" w:w="1405"/>
          </w:tcPr>
          <w:p>
            <w:pPr>
              <w:pStyle w:val="MDPI42tablebody"/>
              <w:keepNext w:val="0"/>
            </w:pPr>
            <w:r>
              <w:rPr/>
              <w:t>1.51 / 4.24</w:t>
            </w:r>
          </w:p>
        </w:tc>
        <w:tc>
          <w:tcPr>
            <w:tcW w:type="dxa" w:w="1405"/>
          </w:tcPr>
          <w:p>
            <w:pPr>
              <w:pStyle w:val="MDPI42tablebody"/>
              <w:keepNext w:val="0"/>
            </w:pPr>
            <w:r>
              <w:rPr/>
              <w:t>1.61 / 4.54</w:t>
            </w:r>
          </w:p>
        </w:tc>
        <w:tc>
          <w:tcPr>
            <w:tcW w:type="dxa" w:w="1406"/>
          </w:tcPr>
          <w:p>
            <w:pPr>
              <w:pStyle w:val="MDPI42tablebody"/>
              <w:keepNext w:val="0"/>
            </w:pPr>
            <w:r>
              <w:rPr/>
              <w:t>1.71 / 4.33</w:t>
            </w:r>
          </w:p>
        </w:tc>
      </w:tr>
      <w:tr>
        <w:tc>
          <w:tcPr>
            <w:tcW w:type="dxa" w:w="1945"/>
          </w:tcPr>
          <w:p>
            <w:pPr>
              <w:pStyle w:val="MDPI42tablebody"/>
              <w:keepNext w:val="0"/>
            </w:pPr>
            <w:r>
              <w:rPr/>
              <w:t>CaO</w:t>
            </w:r>
          </w:p>
        </w:tc>
        <w:tc>
          <w:tcPr>
            <w:tcW w:type="dxa" w:w="1495"/>
          </w:tcPr>
          <w:p>
            <w:pPr>
              <w:pStyle w:val="MDPI42tablebody"/>
              <w:keepNext w:val="0"/>
            </w:pPr>
            <w:r>
              <w:rPr/>
              <w:t>1.69 / 1.69</w:t>
            </w:r>
          </w:p>
        </w:tc>
        <w:tc>
          <w:tcPr>
            <w:tcW w:type="dxa" w:w="1405"/>
          </w:tcPr>
          <w:p>
            <w:pPr>
              <w:pStyle w:val="MDPI42tablebody"/>
              <w:keepNext w:val="0"/>
            </w:pPr>
            <w:r>
              <w:rPr/>
              <w:t>0.76 / 2.12</w:t>
            </w:r>
          </w:p>
        </w:tc>
        <w:tc>
          <w:tcPr>
            <w:tcW w:type="dxa" w:w="1405"/>
          </w:tcPr>
          <w:p>
            <w:pPr>
              <w:pStyle w:val="MDPI42tablebody"/>
              <w:keepNext w:val="0"/>
            </w:pPr>
            <w:r>
              <w:rPr/>
              <w:t>0.74 / 2.29</w:t>
            </w:r>
          </w:p>
        </w:tc>
        <w:tc>
          <w:tcPr>
            <w:tcW w:type="dxa" w:w="1405"/>
          </w:tcPr>
          <w:p>
            <w:pPr>
              <w:pStyle w:val="MDPI42tablebody"/>
              <w:keepNext w:val="0"/>
            </w:pPr>
            <w:r>
              <w:rPr/>
              <w:t>0.73 / 2.20</w:t>
            </w:r>
          </w:p>
        </w:tc>
        <w:tc>
          <w:tcPr>
            <w:tcW w:type="dxa" w:w="1405"/>
          </w:tcPr>
          <w:p>
            <w:pPr>
              <w:pStyle w:val="MDPI42tablebody"/>
              <w:keepNext w:val="0"/>
            </w:pPr>
            <w:r>
              <w:rPr/>
              <w:t>0.76 / 2.29</w:t>
            </w:r>
          </w:p>
        </w:tc>
        <w:tc>
          <w:tcPr>
            <w:tcW w:type="dxa" w:w="1406"/>
          </w:tcPr>
          <w:p>
            <w:pPr>
              <w:pStyle w:val="MDPI42tablebody"/>
              <w:keepNext w:val="0"/>
            </w:pPr>
            <w:r>
              <w:rPr/>
              <w:t>0.87 / 2.20</w:t>
            </w:r>
          </w:p>
        </w:tc>
      </w:tr>
      <w:tr>
        <w:tc>
          <w:tcPr>
            <w:tcW w:type="dxa" w:w="1945"/>
          </w:tcPr>
          <w:p>
            <w:pPr>
              <w:pStyle w:val="MDPI42tablebody"/>
              <w:keepNext w:val="0"/>
            </w:pPr>
            <w:r>
              <w:rPr/>
              <w:t>MgO</w:t>
            </w:r>
          </w:p>
        </w:tc>
        <w:tc>
          <w:tcPr>
            <w:tcW w:type="dxa" w:w="1495"/>
          </w:tcPr>
          <w:p>
            <w:pPr>
              <w:pStyle w:val="MDPI42tablebody"/>
              <w:keepNext w:val="0"/>
            </w:pPr>
            <w:r>
              <w:rPr/>
              <w:t>1.84 / 1.84</w:t>
            </w:r>
          </w:p>
        </w:tc>
        <w:tc>
          <w:tcPr>
            <w:tcW w:type="dxa" w:w="1405"/>
          </w:tcPr>
          <w:p>
            <w:pPr>
              <w:pStyle w:val="MDPI42tablebody"/>
              <w:keepNext w:val="0"/>
            </w:pPr>
            <w:r>
              <w:rPr/>
              <w:t>0.82 / 1.58</w:t>
            </w:r>
          </w:p>
        </w:tc>
        <w:tc>
          <w:tcPr>
            <w:tcW w:type="dxa" w:w="1405"/>
          </w:tcPr>
          <w:p>
            <w:pPr>
              <w:pStyle w:val="MDPI42tablebody"/>
              <w:keepNext w:val="0"/>
            </w:pPr>
            <w:r>
              <w:rPr/>
              <w:t>0.69 / 1.69</w:t>
            </w:r>
          </w:p>
        </w:tc>
        <w:tc>
          <w:tcPr>
            <w:tcW w:type="dxa" w:w="1405"/>
          </w:tcPr>
          <w:p>
            <w:pPr>
              <w:pStyle w:val="MDPI42tablebody"/>
              <w:keepNext w:val="0"/>
            </w:pPr>
            <w:r>
              <w:rPr/>
              <w:t>0.71 / 1.74</w:t>
            </w:r>
          </w:p>
        </w:tc>
        <w:tc>
          <w:tcPr>
            <w:tcW w:type="dxa" w:w="1405"/>
          </w:tcPr>
          <w:p>
            <w:pPr>
              <w:pStyle w:val="MDPI42tablebody"/>
              <w:keepNext w:val="0"/>
            </w:pPr>
            <w:r>
              <w:rPr/>
              <w:t>0.71 / 1.75</w:t>
            </w:r>
          </w:p>
        </w:tc>
        <w:tc>
          <w:tcPr>
            <w:tcW w:type="dxa" w:w="1406"/>
          </w:tcPr>
          <w:p>
            <w:pPr>
              <w:pStyle w:val="MDPI42tablebody"/>
              <w:keepNext w:val="0"/>
            </w:pPr>
            <w:r>
              <w:rPr/>
              <w:t>0.78 / 1.74</w:t>
            </w:r>
          </w:p>
        </w:tc>
      </w:tr>
      <w:tr>
        <w:tc>
          <w:tcPr>
            <w:tcW w:type="dxa" w:w="1945"/>
          </w:tcPr>
          <w:p>
            <w:pPr>
              <w:pStyle w:val="MDPI42tablebody"/>
              <w:keepNext w:val="0"/>
            </w:pPr>
            <w:r>
              <w:rPr/>
              <w:t>log₁₀ Is/FeO</w:t>
            </w:r>
          </w:p>
        </w:tc>
        <w:tc>
          <w:tcPr>
            <w:tcW w:type="dxa" w:w="1495"/>
          </w:tcPr>
          <w:p>
            <w:pPr>
              <w:pStyle w:val="MDPI42tablebody"/>
              <w:keepNext w:val="0"/>
            </w:pPr>
            <w:r>
              <w:rPr/>
              <w:t>0.30 / 0.30</w:t>
            </w:r>
          </w:p>
        </w:tc>
        <w:tc>
          <w:tcPr>
            <w:tcW w:type="dxa" w:w="1405"/>
          </w:tcPr>
          <w:p>
            <w:pPr>
              <w:pStyle w:val="MDPI42tablebody"/>
              <w:keepNext w:val="0"/>
            </w:pPr>
            <w:r>
              <w:rPr/>
              <w:t>0.15 / 0.19</w:t>
            </w:r>
          </w:p>
        </w:tc>
        <w:tc>
          <w:tcPr>
            <w:tcW w:type="dxa" w:w="1405"/>
          </w:tcPr>
          <w:p>
            <w:pPr>
              <w:pStyle w:val="MDPI42tablebody"/>
              <w:keepNext w:val="0"/>
            </w:pPr>
            <w:r>
              <w:rPr/>
              <w:t>0.14 / 0.18</w:t>
            </w:r>
          </w:p>
        </w:tc>
        <w:tc>
          <w:tcPr>
            <w:tcW w:type="dxa" w:w="1405"/>
          </w:tcPr>
          <w:p>
            <w:pPr>
              <w:pStyle w:val="MDPI42tablebody"/>
              <w:keepNext w:val="0"/>
            </w:pPr>
            <w:r>
              <w:rPr/>
              <w:t>0.12 / 0.14</w:t>
            </w:r>
          </w:p>
        </w:tc>
        <w:tc>
          <w:tcPr>
            <w:tcW w:type="dxa" w:w="1405"/>
          </w:tcPr>
          <w:p>
            <w:pPr>
              <w:pStyle w:val="MDPI42tablebody"/>
              <w:keepNext w:val="0"/>
            </w:pPr>
            <w:r>
              <w:rPr/>
              <w:t>0.13 / 0.15</w:t>
            </w:r>
          </w:p>
        </w:tc>
        <w:tc>
          <w:tcPr>
            <w:tcW w:type="dxa" w:w="1406"/>
          </w:tcPr>
          <w:p>
            <w:pPr>
              <w:pStyle w:val="MDPI42tablebody"/>
              <w:keepNext w:val="0"/>
            </w:pPr>
            <w:r>
              <w:rPr/>
              <w:t>0.11 / 0.15</w:t>
            </w:r>
          </w:p>
        </w:tc>
      </w:tr>
      <w:tr>
        <w:tc>
          <w:tcPr>
            <w:tcW w:type="dxa" w:w="1945"/>
          </w:tcPr>
          <w:p>
            <w:pPr>
              <w:pStyle w:val="MDPI42tablebody"/>
              <w:keepNext w:val="0"/>
            </w:pPr>
            <w:r>
              <w:rPr/>
              <w:t>Composition (mean)</w:t>
            </w:r>
          </w:p>
        </w:tc>
        <w:tc>
          <w:tcPr>
            <w:tcW w:type="dxa" w:w="1495"/>
          </w:tcPr>
          <w:p>
            <w:pPr>
              <w:pStyle w:val="MDPI42tablebody"/>
              <w:keepNext w:val="0"/>
            </w:pPr>
            <w:r>
              <w:rPr/>
              <w:t>9.14 / 9.14</w:t>
            </w:r>
          </w:p>
        </w:tc>
        <w:tc>
          <w:tcPr>
            <w:tcW w:type="dxa" w:w="1405"/>
          </w:tcPr>
          <w:p>
            <w:pPr>
              <w:pStyle w:val="MDPI42tablebody"/>
              <w:keepNext w:val="0"/>
            </w:pPr>
            <w:r>
              <w:rPr/>
              <w:t>2.69 / 4.88</w:t>
            </w:r>
          </w:p>
        </w:tc>
        <w:tc>
          <w:tcPr>
            <w:tcW w:type="dxa" w:w="1405"/>
          </w:tcPr>
          <w:p>
            <w:pPr>
              <w:pStyle w:val="MDPI42tablebody"/>
              <w:keepNext w:val="0"/>
            </w:pPr>
            <w:r>
              <w:rPr/>
              <w:t>2.51 / 4.95</w:t>
            </w:r>
          </w:p>
        </w:tc>
        <w:tc>
          <w:tcPr>
            <w:tcW w:type="dxa" w:w="1405"/>
          </w:tcPr>
          <w:p>
            <w:pPr>
              <w:pStyle w:val="MDPI42tablebody"/>
              <w:keepNext w:val="0"/>
            </w:pPr>
            <w:r>
              <w:rPr/>
              <w:t>2.36 / 4.77</w:t>
            </w:r>
          </w:p>
        </w:tc>
        <w:tc>
          <w:tcPr>
            <w:tcW w:type="dxa" w:w="1405"/>
          </w:tcPr>
          <w:p>
            <w:pPr>
              <w:pStyle w:val="MDPI42tablebody"/>
              <w:keepNext w:val="0"/>
            </w:pPr>
            <w:r>
              <w:rPr/>
              <w:t>2.43 / 4.87</w:t>
            </w:r>
          </w:p>
        </w:tc>
        <w:tc>
          <w:tcPr>
            <w:tcW w:type="dxa" w:w="1406"/>
          </w:tcPr>
          <w:p>
            <w:pPr>
              <w:pStyle w:val="MDPI42tablebody"/>
              <w:keepNext w:val="0"/>
            </w:pPr>
            <w:r>
              <w:rPr/>
              <w:t>2.66 / 4.70</w:t>
            </w:r>
          </w:p>
        </w:tc>
      </w:tr>
    </w:tbl>
    <w:p>
      <w:pPr>
        <w:pStyle w:val="MDPI31text"/>
      </w:pPr>
      <w:r>
        <w:rPr/>
        <w:t>Even without physics, however, the network provides superior performance to classical regression methods in 5 of 13 targets for LOSO (PLG, ILM, FeO, TiO₂, and Al₂O₃) and 3 for LOMO, and in 8 and 6 targets with the pretrained network A2; this is why the network selection is shifted inside the cross-validation procedure (Section 3.3).</w:t>
      </w:r>
    </w:p>
    <w:p>
      <w:pPr>
        <w:pStyle w:val="MDPI31text"/>
      </w:pPr>
      <w:r>
        <w:rPr/>
        <w:t>There are four design alternatives which were pre-trained and fine-tuned using the A4 recipe, each with two members, relative to members 0–1 of the baseline network (Table 8; FeO 1.32 wt% under LOSO and 2.62 wt% under LOMO). The log reflectance feature on its own already achieves non-significantly different performance compared to the other designs, suggesting that the continuum-removed channel does not add any significant advantage; similarly on other side, the continuum-removed channel on its own achieves significantly lower accuracy on six targets under LOSO and eight targets under LOMO (FeO 2.09 and 3.86 wt%, respectively). The multilayer perceptron (MLP) design is significantly inferior to the LCP design under LOSO, but significantly superior to it on four targets under LOMO (PLG, FeO, Al₂O₃, and CaO; FeO 2.30 wt%).</w:t>
      </w:r>
    </w:p>
    <w:p>
      <w:pPr>
        <w:pStyle w:val="MDPI411onetablecaption"/>
        <w:keepNext/>
      </w:pPr>
      <w:r>
        <w:rPr>
          <w:b/>
        </w:rPr>
        <w:t>Table 8.</w:t>
      </w:r>
      <w:r>
        <w:rPr/>
        <w:t xml:space="preserve"> Alternative designs compared with the main network (alternative: two members, target: thirteen sites, Holm adjustment performed on targets): "Lower MAE": The number of targets in which the MAE of the variant is lower than the one from the main network per soil. "Better / Worse": The number of targets where a Holm significant difference in favor of or against the variant exists.</w:t>
      </w:r>
    </w:p>
    <w:tbl>
      <w:tblPr>
        <w:tblW w:type="auto" w:w="0"/>
        <w:tblLook w:firstColumn="1" w:firstRow="1" w:lastColumn="0" w:lastRow="0" w:noHBand="0" w:noVBand="1" w:val="04A0"/>
        <w:tblW w:w="10466" w:type="dxa"/>
        <w:tblInd w:w="0" w:type="dxa"/>
        <w:tblBorders>
          <w:top w:val="single" w:sz="8" w:space="0" w:color="000000"/>
          <w:bottom w:val="single" w:sz="8" w:space="0" w:color="000000"/>
        </w:tblBorders>
        <w:tblLayout w:type="fixed"/>
      </w:tblPr>
      <w:tblGrid>
        <w:gridCol w:w="3949"/>
        <w:gridCol w:w="1672"/>
        <w:gridCol w:w="1303"/>
        <w:gridCol w:w="1180"/>
        <w:gridCol w:w="1180"/>
        <w:gridCol w:w="1182"/>
      </w:tblGrid>
      <w:tr>
        <w:tc>
          <w:tcPr>
            <w:tcW w:type="dxa" w:w="3949"/>
            <w:tcBorders>
              <w:bottom w:val="single" w:sz="4" w:space="0" w:color="000000"/>
            </w:tcBorders>
          </w:tcPr>
          <w:p>
            <w:pPr>
              <w:pStyle w:val="MDPI42tablebody"/>
              <w:keepNext/>
            </w:pPr>
            <w:r>
              <w:rPr>
                <w:b/>
              </w:rPr>
              <w:t>Variant</w:t>
            </w:r>
          </w:p>
        </w:tc>
        <w:tc>
          <w:tcPr>
            <w:tcW w:type="dxa" w:w="1672"/>
            <w:tcBorders>
              <w:bottom w:val="single" w:sz="4" w:space="0" w:color="000000"/>
            </w:tcBorders>
          </w:tcPr>
          <w:p>
            <w:pPr>
              <w:pStyle w:val="MDPI42tablebody"/>
              <w:keepNext/>
            </w:pPr>
            <w:r>
              <w:rPr>
                <w:b/>
              </w:rPr>
              <w:t>Parameters</w:t>
            </w:r>
          </w:p>
        </w:tc>
        <w:tc>
          <w:tcPr>
            <w:tcW w:type="dxa" w:w="1303"/>
            <w:tcBorders>
              <w:bottom w:val="single" w:sz="4" w:space="0" w:color="000000"/>
            </w:tcBorders>
          </w:tcPr>
          <w:p>
            <w:pPr>
              <w:pStyle w:val="MDPI42tablebody"/>
              <w:keepNext/>
            </w:pPr>
            <w:r>
              <w:rPr>
                <w:b/>
              </w:rPr>
              <w:t>LOSO: lower MAE</w:t>
            </w:r>
          </w:p>
        </w:tc>
        <w:tc>
          <w:tcPr>
            <w:tcW w:type="dxa" w:w="1180"/>
            <w:tcBorders>
              <w:bottom w:val="single" w:sz="4" w:space="0" w:color="000000"/>
            </w:tcBorders>
          </w:tcPr>
          <w:p>
            <w:pPr>
              <w:pStyle w:val="MDPI42tablebody"/>
              <w:keepNext/>
            </w:pPr>
            <w:r>
              <w:rPr>
                <w:b/>
              </w:rPr>
              <w:t>LOSO: better / worse</w:t>
            </w:r>
          </w:p>
        </w:tc>
        <w:tc>
          <w:tcPr>
            <w:tcW w:type="dxa" w:w="1180"/>
            <w:tcBorders>
              <w:bottom w:val="single" w:sz="4" w:space="0" w:color="000000"/>
            </w:tcBorders>
          </w:tcPr>
          <w:p>
            <w:pPr>
              <w:pStyle w:val="MDPI42tablebody"/>
              <w:keepNext/>
            </w:pPr>
            <w:r>
              <w:rPr>
                <w:b/>
              </w:rPr>
              <w:t>LOMO: lower MAE</w:t>
            </w:r>
          </w:p>
        </w:tc>
        <w:tc>
          <w:tcPr>
            <w:tcW w:type="dxa" w:w="1182"/>
            <w:tcBorders>
              <w:bottom w:val="single" w:sz="4" w:space="0" w:color="000000"/>
            </w:tcBorders>
          </w:tcPr>
          <w:p>
            <w:pPr>
              <w:pStyle w:val="MDPI42tablebody"/>
              <w:keepNext/>
            </w:pPr>
            <w:r>
              <w:rPr>
                <w:b/>
              </w:rPr>
              <w:t>LOMO: better / worse</w:t>
            </w:r>
          </w:p>
        </w:tc>
      </w:tr>
      <w:tr>
        <w:tc>
          <w:tcPr>
            <w:tcW w:type="dxa" w:w="3949"/>
          </w:tcPr>
          <w:p>
            <w:pPr>
              <w:pStyle w:val="MDPI42tablebody"/>
              <w:keepNext/>
            </w:pPr>
            <w:r>
              <w:rPr/>
              <w:t>Main network (log R + continuum-removed, CNN)</w:t>
            </w:r>
          </w:p>
        </w:tc>
        <w:tc>
          <w:tcPr>
            <w:tcW w:type="dxa" w:w="1672"/>
          </w:tcPr>
          <w:p>
            <w:pPr>
              <w:pStyle w:val="MDPI42tablebody"/>
              <w:keepNext/>
            </w:pPr>
            <w:r>
              <w:rPr/>
              <w:t>0.36 M</w:t>
            </w:r>
          </w:p>
        </w:tc>
        <w:tc>
          <w:tcPr>
            <w:tcW w:type="dxa" w:w="1303"/>
          </w:tcPr>
          <w:p>
            <w:pPr>
              <w:pStyle w:val="MDPI42tablebody"/>
              <w:keepNext/>
            </w:pPr>
            <w:r>
              <w:rPr/>
              <w:t>—</w:t>
            </w:r>
          </w:p>
        </w:tc>
        <w:tc>
          <w:tcPr>
            <w:tcW w:type="dxa" w:w="1180"/>
          </w:tcPr>
          <w:p>
            <w:pPr>
              <w:pStyle w:val="MDPI42tablebody"/>
              <w:keepNext/>
            </w:pPr>
            <w:r>
              <w:rPr/>
              <w:t>—</w:t>
            </w:r>
          </w:p>
        </w:tc>
        <w:tc>
          <w:tcPr>
            <w:tcW w:type="dxa" w:w="1180"/>
          </w:tcPr>
          <w:p>
            <w:pPr>
              <w:pStyle w:val="MDPI42tablebody"/>
              <w:keepNext/>
            </w:pPr>
            <w:r>
              <w:rPr/>
              <w:t>—</w:t>
            </w:r>
          </w:p>
        </w:tc>
        <w:tc>
          <w:tcPr>
            <w:tcW w:type="dxa" w:w="1182"/>
          </w:tcPr>
          <w:p>
            <w:pPr>
              <w:pStyle w:val="MDPI42tablebody"/>
              <w:keepNext/>
            </w:pPr>
            <w:r>
              <w:rPr/>
              <w:t>—</w:t>
            </w:r>
          </w:p>
        </w:tc>
      </w:tr>
      <w:tr>
        <w:tc>
          <w:tcPr>
            <w:tcW w:type="dxa" w:w="3949"/>
          </w:tcPr>
          <w:p>
            <w:pPr>
              <w:pStyle w:val="MDPI42tablebody"/>
              <w:keepNext/>
            </w:pPr>
            <w:r>
              <w:rPr/>
              <w:t>Log R only</w:t>
            </w:r>
          </w:p>
        </w:tc>
        <w:tc>
          <w:tcPr>
            <w:tcW w:type="dxa" w:w="1672"/>
          </w:tcPr>
          <w:p>
            <w:pPr>
              <w:pStyle w:val="MDPI42tablebody"/>
              <w:keepNext/>
            </w:pPr>
            <w:r>
              <w:rPr/>
              <w:t>0.36 M</w:t>
            </w:r>
          </w:p>
        </w:tc>
        <w:tc>
          <w:tcPr>
            <w:tcW w:type="dxa" w:w="1303"/>
          </w:tcPr>
          <w:p>
            <w:pPr>
              <w:pStyle w:val="MDPI42tablebody"/>
              <w:keepNext/>
            </w:pPr>
            <w:r>
              <w:rPr/>
              <w:t>10 / 13</w:t>
            </w:r>
          </w:p>
        </w:tc>
        <w:tc>
          <w:tcPr>
            <w:tcW w:type="dxa" w:w="1180"/>
          </w:tcPr>
          <w:p>
            <w:pPr>
              <w:pStyle w:val="MDPI42tablebody"/>
              <w:keepNext/>
            </w:pPr>
            <w:r>
              <w:rPr/>
              <w:t>0 / 0</w:t>
            </w:r>
          </w:p>
        </w:tc>
        <w:tc>
          <w:tcPr>
            <w:tcW w:type="dxa" w:w="1180"/>
          </w:tcPr>
          <w:p>
            <w:pPr>
              <w:pStyle w:val="MDPI42tablebody"/>
              <w:keepNext/>
            </w:pPr>
            <w:r>
              <w:rPr/>
              <w:t>5 / 13</w:t>
            </w:r>
          </w:p>
        </w:tc>
        <w:tc>
          <w:tcPr>
            <w:tcW w:type="dxa" w:w="1182"/>
          </w:tcPr>
          <w:p>
            <w:pPr>
              <w:pStyle w:val="MDPI42tablebody"/>
              <w:keepNext/>
            </w:pPr>
            <w:r>
              <w:rPr/>
              <w:t>0 / 0</w:t>
            </w:r>
          </w:p>
        </w:tc>
      </w:tr>
      <w:tr>
        <w:tc>
          <w:tcPr>
            <w:tcW w:type="dxa" w:w="3949"/>
          </w:tcPr>
          <w:p>
            <w:pPr>
              <w:pStyle w:val="MDPI42tablebody"/>
              <w:keepNext w:val="0"/>
            </w:pPr>
            <w:r>
              <w:rPr/>
              <w:t>Continuum-removed only</w:t>
            </w:r>
          </w:p>
        </w:tc>
        <w:tc>
          <w:tcPr>
            <w:tcW w:type="dxa" w:w="1672"/>
          </w:tcPr>
          <w:p>
            <w:pPr>
              <w:pStyle w:val="MDPI42tablebody"/>
              <w:keepNext w:val="0"/>
            </w:pPr>
            <w:r>
              <w:rPr/>
              <w:t>0.36 M</w:t>
            </w:r>
          </w:p>
        </w:tc>
        <w:tc>
          <w:tcPr>
            <w:tcW w:type="dxa" w:w="1303"/>
          </w:tcPr>
          <w:p>
            <w:pPr>
              <w:pStyle w:val="MDPI42tablebody"/>
              <w:keepNext w:val="0"/>
            </w:pPr>
            <w:r>
              <w:rPr/>
              <w:t>0 / 13</w:t>
            </w:r>
          </w:p>
        </w:tc>
        <w:tc>
          <w:tcPr>
            <w:tcW w:type="dxa" w:w="1180"/>
          </w:tcPr>
          <w:p>
            <w:pPr>
              <w:pStyle w:val="MDPI42tablebody"/>
              <w:keepNext w:val="0"/>
            </w:pPr>
            <w:r>
              <w:rPr/>
              <w:t>0 / 6</w:t>
            </w:r>
          </w:p>
        </w:tc>
        <w:tc>
          <w:tcPr>
            <w:tcW w:type="dxa" w:w="1180"/>
          </w:tcPr>
          <w:p>
            <w:pPr>
              <w:pStyle w:val="MDPI42tablebody"/>
              <w:keepNext w:val="0"/>
            </w:pPr>
            <w:r>
              <w:rPr/>
              <w:t>1 / 13</w:t>
            </w:r>
          </w:p>
        </w:tc>
        <w:tc>
          <w:tcPr>
            <w:tcW w:type="dxa" w:w="1182"/>
          </w:tcPr>
          <w:p>
            <w:pPr>
              <w:pStyle w:val="MDPI42tablebody"/>
              <w:keepNext w:val="0"/>
            </w:pPr>
            <w:r>
              <w:rPr/>
              <w:t>0 / 8</w:t>
            </w:r>
          </w:p>
        </w:tc>
      </w:tr>
      <w:tr>
        <w:tc>
          <w:tcPr>
            <w:tcW w:type="dxa" w:w="3949"/>
          </w:tcPr>
          <w:p>
            <w:pPr>
              <w:pStyle w:val="MDPI42tablebody"/>
              <w:keepNext w:val="0"/>
            </w:pPr>
            <w:r>
              <w:rPr/>
              <w:t>MLP</w:t>
            </w:r>
          </w:p>
        </w:tc>
        <w:tc>
          <w:tcPr>
            <w:tcW w:type="dxa" w:w="1672"/>
          </w:tcPr>
          <w:p>
            <w:pPr>
              <w:pStyle w:val="MDPI42tablebody"/>
              <w:keepNext w:val="0"/>
            </w:pPr>
            <w:r>
              <w:rPr/>
              <w:t>0.07 M</w:t>
            </w:r>
          </w:p>
        </w:tc>
        <w:tc>
          <w:tcPr>
            <w:tcW w:type="dxa" w:w="1303"/>
          </w:tcPr>
          <w:p>
            <w:pPr>
              <w:pStyle w:val="MDPI42tablebody"/>
              <w:keepNext w:val="0"/>
            </w:pPr>
            <w:r>
              <w:rPr/>
              <w:t>0 / 13</w:t>
            </w:r>
          </w:p>
        </w:tc>
        <w:tc>
          <w:tcPr>
            <w:tcW w:type="dxa" w:w="1180"/>
          </w:tcPr>
          <w:p>
            <w:pPr>
              <w:pStyle w:val="MDPI42tablebody"/>
              <w:keepNext w:val="0"/>
            </w:pPr>
            <w:r>
              <w:rPr/>
              <w:t>0 / 1</w:t>
            </w:r>
          </w:p>
        </w:tc>
        <w:tc>
          <w:tcPr>
            <w:tcW w:type="dxa" w:w="1180"/>
          </w:tcPr>
          <w:p>
            <w:pPr>
              <w:pStyle w:val="MDPI42tablebody"/>
              <w:keepNext w:val="0"/>
            </w:pPr>
            <w:r>
              <w:rPr/>
              <w:t>9 / 13</w:t>
            </w:r>
          </w:p>
        </w:tc>
        <w:tc>
          <w:tcPr>
            <w:tcW w:type="dxa" w:w="1182"/>
          </w:tcPr>
          <w:p>
            <w:pPr>
              <w:pStyle w:val="MDPI42tablebody"/>
              <w:keepNext w:val="0"/>
            </w:pPr>
            <w:r>
              <w:rPr/>
              <w:t>4 / 0</w:t>
            </w:r>
          </w:p>
        </w:tc>
      </w:tr>
      <w:tr>
        <w:tc>
          <w:tcPr>
            <w:tcW w:type="dxa" w:w="3949"/>
          </w:tcPr>
          <w:p>
            <w:pPr>
              <w:pStyle w:val="MDPI42tablebody"/>
              <w:keepNext w:val="0"/>
            </w:pPr>
            <w:r>
              <w:rPr/>
              <w:t>1-D ResNet</w:t>
            </w:r>
          </w:p>
        </w:tc>
        <w:tc>
          <w:tcPr>
            <w:tcW w:type="dxa" w:w="1672"/>
          </w:tcPr>
          <w:p>
            <w:pPr>
              <w:pStyle w:val="MDPI42tablebody"/>
              <w:keepNext w:val="0"/>
            </w:pPr>
            <w:r>
              <w:rPr/>
              <w:t>0.42 M</w:t>
            </w:r>
          </w:p>
        </w:tc>
        <w:tc>
          <w:tcPr>
            <w:tcW w:type="dxa" w:w="1303"/>
          </w:tcPr>
          <w:p>
            <w:pPr>
              <w:pStyle w:val="MDPI42tablebody"/>
              <w:keepNext w:val="0"/>
            </w:pPr>
            <w:r>
              <w:rPr/>
              <w:t>7 / 13</w:t>
            </w:r>
          </w:p>
        </w:tc>
        <w:tc>
          <w:tcPr>
            <w:tcW w:type="dxa" w:w="1180"/>
          </w:tcPr>
          <w:p>
            <w:pPr>
              <w:pStyle w:val="MDPI42tablebody"/>
              <w:keepNext w:val="0"/>
            </w:pPr>
            <w:r>
              <w:rPr/>
              <w:t>0 / 0</w:t>
            </w:r>
          </w:p>
        </w:tc>
        <w:tc>
          <w:tcPr>
            <w:tcW w:type="dxa" w:w="1180"/>
          </w:tcPr>
          <w:p>
            <w:pPr>
              <w:pStyle w:val="MDPI42tablebody"/>
              <w:keepNext w:val="0"/>
            </w:pPr>
            <w:r>
              <w:rPr/>
              <w:t>8 / 13</w:t>
            </w:r>
          </w:p>
        </w:tc>
        <w:tc>
          <w:tcPr>
            <w:tcW w:type="dxa" w:w="1182"/>
          </w:tcPr>
          <w:p>
            <w:pPr>
              <w:pStyle w:val="MDPI42tablebody"/>
              <w:keepNext w:val="0"/>
            </w:pPr>
            <w:r>
              <w:rPr/>
              <w:t>0 / 0</w:t>
            </w:r>
          </w:p>
        </w:tc>
      </w:tr>
    </w:tbl>
    <w:p>
      <w:pPr>
        <w:pStyle w:val="MDPI22heading2"/>
        <w:keepNext/>
      </w:pPr>
      <w:r>
        <w:rPr/>
        <w:t>3.8. Application to M³ Scenes</w:t>
      </w:r>
    </w:p>
    <w:p>
      <w:pPr>
        <w:pStyle w:val="MDPI31text"/>
      </w:pPr>
      <w:r>
        <w:rPr/>
        <w:t>At the Apollo 16 landing-site pixel, the published calibration (eqn. 10) reproduces the LSCC 62231 spectrum to 9.1% rms and the lines re-derived from this pixel to 1.4%; LUMEN estimates 5.0 wt% FeO here (62231: 4.9 wt%; Apollo 16 mean: 4.6 wt%) and over-estimates TiO₂ (2.1 vs 0.6 wt%), only a sanity check, since 62231 is in the final training set. In the Shapley scene (Figure 9) the 11 identifiable targets show the expected contrasts (FeO 10.2 wt% on mare and 6.6 wt% on highland; Al₂O₃ 20.0 and 24.3 wt%) and fresh craters stand out as immature. The published high-Ca pyroxene map of the same strip [25] is anti-correlated with LUMEN's (r = −0.79), placing more clinopyroxene in the highlands than in the mare, and its maturity parameter is nearly unrelated to LUMEN's Is/FeO (r = −0.28). Destriping lowers stripe amplitude by 26–47% and leaves the maps correlated at r = 0.90–0.99 with the undestriped ones. At Aristarchus, LUMEN detects much less olivine and more plagioclase within the crystalline fraction than the posterior values of Jung et al. [26] (52% vs 29% plagioclase in region B); because the LUMEN olivine fraction does not pass the identifiability gate, this is a domain-shift warning, not a refutation of that paper.</w:t>
      </w:r>
    </w:p>
    <w:p>
      <w:pPr>
        <w:pStyle w:val="MDPI52figure"/>
        <w:keepNext/>
        <w:ind w:left="0"/>
        <w:jc w:val="center"/>
      </w:pPr>
      <w:r>
        <w:drawing>
          <wp:inline xmlns:a="http://schemas.openxmlformats.org/drawingml/2006/main" xmlns:pic="http://schemas.openxmlformats.org/drawingml/2006/picture">
            <wp:extent cx="6120000" cy="3610528"/>
            <wp:docPr id="9" name="Picture 9"/>
            <wp:cNvGraphicFramePr>
              <a:graphicFrameLocks noChangeAspect="1"/>
            </wp:cNvGraphicFramePr>
            <a:graphic>
              <a:graphicData uri="http://schemas.openxmlformats.org/drawingml/2006/picture">
                <pic:pic>
                  <pic:nvPicPr>
                    <pic:cNvPr id="0" name="step07_shapley_maps.png"/>
                    <pic:cNvPicPr/>
                  </pic:nvPicPr>
                  <pic:blipFill>
                    <a:blip r:embed="rId27"/>
                    <a:stretch>
                      <a:fillRect/>
                    </a:stretch>
                  </pic:blipFill>
                  <pic:spPr>
                    <a:xfrm>
                      <a:off x="0" y="0"/>
                      <a:ext cx="6120000" cy="3610528"/>
                    </a:xfrm>
                    <a:prstGeom prst="rect"/>
                  </pic:spPr>
                </pic:pic>
              </a:graphicData>
            </a:graphic>
          </wp:inline>
        </w:drawing>
      </w:r>
    </w:p>
    <w:p>
      <w:pPr>
        <w:pStyle w:val="MDPI511onefigurecaption"/>
      </w:pPr>
      <w:r>
        <w:rPr>
          <w:b/>
        </w:rPr>
        <w:t>Figure 9.</w:t>
      </w:r>
      <w:r>
        <w:rPr/>
        <w:t xml:space="preserve"> LUMEN maps of the Shapley-region M³ strip for identifiable targets, with conformal interval half-widths. Olivine and "other" are withheld by the identifiability gate.</w:t>
      </w:r>
    </w:p>
    <w:p>
      <w:pPr>
        <w:pStyle w:val="MDPI21heading1"/>
        <w:keepNext/>
      </w:pPr>
      <w:r>
        <w:rPr/>
        <w:t>4. Discussion</w:t>
      </w:r>
    </w:p>
    <w:p>
      <w:pPr>
        <w:pStyle w:val="MDPI22heading2"/>
        <w:keepNext/>
      </w:pPr>
      <w:r>
        <w:rPr/>
        <w:t>4.1. What Carries the Gain on Laboratory Spectra</w:t>
      </w:r>
    </w:p>
    <w:p>
      <w:pPr>
        <w:pStyle w:val="MDPI31text"/>
      </w:pPr>
      <w:r>
        <w:rPr/>
        <w:t>Most importantly, calibration to real soils. The zero-shot network is the weakest LUMEN model and, composition-wise, below the zero-information reference, while any fine-tuning on returned soils reduces the error by a factor of 2 to 4. This, combined with the simulator analysis, where the LSCC spectra are within the synthetic distribution while still being distinguishable from it, demonstrates that a physics model accurate enough to span the data is not necessarily accurate enough to be inverted.</w:t>
      </w:r>
    </w:p>
    <w:p>
      <w:pPr>
        <w:pStyle w:val="MDPI31text"/>
      </w:pPr>
      <w:r>
        <w:rPr/>
        <w:t>The rest add in various ways. Total learning through the entire range is a real component in the performance gain since even a network trained from scratch is already better than a tuned random forest. But the convolutional architecture is a good but not an optimal design – the continuum removed channel gives no improvement at all, a one-dimensional ResNet works equally well, and an MLP better generalizes to an unseen target comprising four channels. Physics pretraining is consistently beneficial but its importance is significant only for out-of-distribution tasks, which makes the simulator not a calibrated forward model, but a source for an improved starting representation instead. Neither SSA-space mixup nor replay brought anything after pretraining, whether due to smoothness over the composition space being provided by pretraining, or inability to check the validity of the cross-section mixing weight: the sieve fraction spectra mixes linearly to 0.6% RMS, but the LSCC chemistry does not limit the mass ratios strongly enough. And finally, choosing the configuration within each training fold maintains the considerable performance edge over the random forest, making configuration selection unnecessary.</w:t>
      </w:r>
    </w:p>
    <w:p>
      <w:pPr>
        <w:pStyle w:val="MDPI22heading2"/>
        <w:keepNext/>
      </w:pPr>
      <w:r>
        <w:rPr/>
        <w:t>4.2. Comparison with Published Methods</w:t>
      </w:r>
    </w:p>
    <w:p>
      <w:pPr>
        <w:pStyle w:val="MDPI31text"/>
      </w:pPr>
      <w:r>
        <w:rPr/>
        <w:t>Three comparisons are non-equivalent. Of these, only the Fernández-Díaz et al. [16] pipeline was trained on the same spectra and folds, so the fact that LUMEN's FeO error is 42% less gives us an unbiased comparison, and verifies the information compression of autoencoder stage. Korokhin et al. [25] and Jung et al. [26] never see an LSCC soil, so the LUMEN margins over them are mostly a measure of the value of calibrating by returned soils: the zero-shot LUMEN far exceeds the Shkuratov inversion in only olivine, and Jung et al. four test soils are too few for a strong conclusion. One practically relevant property is maturity, to which physics methods in this comparison ranked worse than the calibrated Is/FeO provided by LUMEN.</w:t>
      </w:r>
    </w:p>
    <w:p>
      <w:pPr>
        <w:pStyle w:val="MDPI22heading2"/>
        <w:keepNext/>
      </w:pPr>
      <w:r>
        <w:rPr/>
        <w:t>4.3. Laboratory-to-Orbit Transfer</w:t>
      </w:r>
    </w:p>
    <w:p>
      <w:pPr>
        <w:pStyle w:val="MDPI31text"/>
      </w:pPr>
      <w:r>
        <w:rPr/>
        <w:t>As for the inherent purpose of the base method, the resulting errors are contradictory to the LUMEN. In cases when whole landing sites (P2) are excluded, most of the fitted models produce greater errors than models based on randomly chosen folds (P1); however, the scale of this difference is significantly different: the maximum decrease is observed in the random forest and RBF-SVR models – it is within the range between 55% and 88%, whereas the FD error rate rises from 1.90 to 3.58 wt%. The LUMEN-M3-FT model has the biggest percentage increase in errors – by 49%, whereas the two-M³-band and linear SVR regression models have the lowest values – the difference is within the range of 6% and from −1% to +2%, respectively. If randomly chosen folds are used, flexible models can use the spectral properties of the adjacent landing site.</w:t>
      </w:r>
    </w:p>
    <w:p>
      <w:pPr>
        <w:pStyle w:val="MDPI31text"/>
      </w:pPr>
      <w:r>
        <w:rPr/>
        <w:t>LUMEN-M3-FT's predictions are compressed toward the mean (Figure 8), over-estimating the Apollo 16 highland sites by 4.8 wt% on average and under-estimating the FeO-rich Chang'e-3, Chang'e-5 and Luna 24 sites by 6.3–7.5 wt%. With a few dozen training sites per fold, a linear model on two band parameters makes better use of the orbital labels, and even a ridge regression on LUMEN's embedding (2.60 wt%, not tested for significance) does better than fine-tuning the whole network. The laboratory-to-orbit gap is big: zero-shot predictions are suboptimal compared to the training-fold mean, linear recalibration eliminates their bias but not their error, and orbital fine-tuning reduces their error by half without reducing the gap. The calibration itself is uncertain, since the published transfer reproduces the Apollo 16 lab spectrum at 9.1% RMS, whereas a line back-calculated from that pixel is 1.4%.</w:t>
      </w:r>
    </w:p>
    <w:p>
      <w:pPr>
        <w:pStyle w:val="MDPI31text"/>
      </w:pPr>
      <w:r>
        <w:rPr/>
        <w:t>The in-sample Lucey/Clementine result doesn’t prove that the Lucey algorithm outperforms other methods at a new site—its constants come from sites where samples were already returned. What it does show is that one parameter, θ, carries most of the FeO signal in that context. When we refit the two-band model within each fold, it actually matches the Clementine reflectances on the table better than it matches the M³ site spectra (1.82 vs 2.11 wt% under P2). That suggests some of the orbital error comes from the M³ site spectra themselves—calibration, photometry, or even site localization—rather than from the regressors. Looking at the mapped scenes, the biggest mismatches with published maps pop up exactly where LUMEN’s gate holds back the output (in olivine regions), or where the published network already struggles (with the pyroxene split or with maturity).</w:t>
      </w:r>
    </w:p>
    <w:p>
      <w:pPr>
        <w:pStyle w:val="MDPI22heading2"/>
        <w:keepNext/>
      </w:pPr>
      <w:r>
        <w:rPr/>
        <w:t>4.4. Uncertainty and Identifiability</w:t>
      </w:r>
    </w:p>
    <w:p>
      <w:pPr>
        <w:pStyle w:val="MDPI31text"/>
      </w:pPr>
      <w:r>
        <w:rPr/>
        <w:t>Deep ensembles tend to be over-confident, especially when dealing with out-of-distribution data. Normalized conformal calibration helps fix this, bringing coverage back to near-nominal levels, and you get this benefit without any extra training. This holds even in orbit, where at 95% coverage, the intervals average ±10.6 wt%. So, you get honest intervals—they're accurate, though not always practically useful. The gating method clarifies something that other approaches only hint at: we can’t actually predict olivine abundance in these soils any better than simply taking the mean from other soils. None of the methods we tried did any better. As a result, maps showing olivine and "other" from physics-based inversion methods just mirror their priors and end-member sets if you don’t have independent evidence to back them up. But don't misinterpret this: these soils just happen to contain very little olivine (≤5 vol%). So, this is a specific statement about the LSCC domain. It’s not saying olivine can’t be detected at all—just that it’s rare here. Where olivine is plentiful, detection isn’t an issue.</w:t>
      </w:r>
    </w:p>
    <w:p>
      <w:pPr>
        <w:pStyle w:val="MDPI22heading2"/>
        <w:keepNext/>
      </w:pPr>
      <w:r>
        <w:rPr/>
        <w:t>4.5. Limitations</w:t>
      </w:r>
    </w:p>
    <w:p>
      <w:pPr>
        <w:pStyle w:val="MDPI31text"/>
      </w:pPr>
      <w:r>
        <w:rPr/>
        <w:t>The ground truth set is small: just 19 laboratory soils, 56 spectra with modal mineralogy, and 49 orbital sites (20 from Apollo 17 stations). A number of large numeric gaps vanish after correction. There's a gap between how lab spectra are collected—sieved fractions under fixed geometry—and how M³ pixels see the Moon, integrating rock, regolith, and topography over areas around 140 meters. Orbital comparisons lean on exact coordinates and a single linear calibration. The simulator’s chemistry labels show a positive bias for mare TiO₂, around +2.9 wt%, and its maturity scale pins everything to one constant, which puts constraints on the zero-shot model. Physics baselines come from independent reproductions, and we re-implemented the Fernández-Díaz pipeline based on published descriptions. The orbital fine-tuning method was set beforehand and left unchanged; trying different recipes or smaller networks calls for more orbital ground truth. Testing transfer to other sensors, like Chandrayaan-2 IIRS, isn't part of this work.</w:t>
      </w:r>
    </w:p>
    <w:p>
      <w:pPr>
        <w:pStyle w:val="MDPI21heading1"/>
        <w:keepNext/>
      </w:pPr>
      <w:r>
        <w:rPr/>
        <w:t>5. Conclusions</w:t>
      </w:r>
    </w:p>
    <w:p>
      <w:pPr>
        <w:pStyle w:val="MDPI31text"/>
      </w:pPr>
      <w:r>
        <w:rPr/>
        <w:t>LUMEN is a physics-pretrained, sample-calibrated network that pulls out lunar soil mineralogy, chemistry, and maturity directly from M³-band reflectance. It does this using calibrated intervals and always makes clear which outputs you can actually identify. Tested on the same lab spectra, using the same folds, and under a protocol locked down before any scoring, LUMEN cuts FeO error by 42% compared to a published wavelet–autoencoder pipeline. For mineral-proportion errors, it reduces them by between 54% and 74% when stacked up against an inversion method based on the Shkuratov model. It matches the published accuracy range for Hapke–Bayesian inversion too. When its setup is chosen during cross-validation, it outperforms a tuned random forest on 8 of 13 targets. Nearly all the gains over pure physics-driven methods come from calibrating on real returned soils. Training across the full spectrum and doing physics-based pretraining help as well. The convolutional structure isn’t anything special here—it’s not what drives the improvement. And the proposed SSA-space augmentation turns out not to add value.</w:t>
      </w:r>
    </w:p>
    <w:p>
      <w:pPr>
        <w:pStyle w:val="MDPI31text"/>
      </w:pPr>
      <w:r>
        <w:rPr/>
        <w:t>At 49 returned-sample sites with M³ spectra, LUMEN does not improve on the published pipeline by zero-shot transfer (no training on a given site), does not improve with orbital fine-tuning, and is significantly worse than a two-band linear regression, so the deep model does not beat simple band regressions for orbital FeO at the returned sites. Olivine and minor glass abundances are not inferrable from these spectra in any of the methods we tried. Further work would increase the orbital ground-truth available, presently the limiting factor, and incorporate independent map-level validation against Kaguya and Clementine FeO maps, and deploy the method on IIRS with explicit sensor model.</w:t>
      </w:r>
    </w:p>
    <w:p>
      <w:pPr>
        <w:pStyle w:val="MDPI62backmatter"/>
      </w:pPr>
      <w:r>
        <w:rPr>
          <w:b/>
        </w:rPr>
        <w:t>Author Contributions:</w:t>
      </w:r>
    </w:p>
    <w:p>
      <w:pPr>
        <w:pStyle w:val="MDPI62backmatter"/>
      </w:pPr>
      <w:r>
        <w:rPr>
          <w:b/>
        </w:rPr>
        <w:t>Funding:</w:t>
      </w:r>
    </w:p>
    <w:p>
      <w:pPr>
        <w:pStyle w:val="MDPI62backmatter"/>
      </w:pPr>
      <w:r>
        <w:rPr>
          <w:b/>
        </w:rPr>
        <w:t>Data Availability Statement:</w:t>
      </w:r>
      <w:r>
        <w:rPr/>
        <w:t xml:space="preserve"> You’ll find all the code, the version-controlled evaluation protocol, every intermediate table, and the staged input data—along with their SHA-256 manifests—at https://github.com/DSheth2004/lumen-lunar-dl. The RELAB spectra come from the PDS Geosciences Node spectral library, and the M³ data sit in the NASA Planetary Data System. For the returned-sample FeO table, check Supplementary Table 1 in Qiu et al. [31].</w:t>
      </w:r>
    </w:p>
    <w:p>
      <w:pPr>
        <w:pStyle w:val="MDPI62backmatter"/>
      </w:pPr>
      <w:r>
        <w:rPr>
          <w:b/>
        </w:rPr>
        <w:t>Acknowledgments:</w:t>
      </w:r>
      <w:r>
        <w:rPr/>
        <w:t xml:space="preserve"> Thanks to the RELAB facility at Brown University, and the Lunar Soil Characterization Consortium for the laboratory data; to the M³ team and the Planetary Data System for the orbital data.</w:t>
      </w:r>
    </w:p>
    <w:p>
      <w:pPr>
        <w:pStyle w:val="MDPI62backmatter"/>
      </w:pPr>
      <w:r>
        <w:rPr>
          <w:b/>
        </w:rPr>
        <w:t>Conflicts of Interest:</w:t>
      </w:r>
    </w:p>
    <w:p>
      <w:pPr>
        <w:pStyle w:val="MDPI21heading1"/>
        <w:keepNext/>
      </w:pPr>
      <w:r>
        <w:rPr/>
        <w:t>Abbreviations</w:t>
      </w:r>
    </w:p>
    <w:p>
      <w:pPr>
        <w:pStyle w:val="MDPI32textnoindent"/>
        <w:keepNext/>
      </w:pPr>
      <w:r>
        <w:rPr/>
        <w:t>The following abbreviations are used in this manuscript:</w:t>
      </w:r>
    </w:p>
    <w:tbl>
      <w:tblPr>
        <w:tblW w:type="auto" w:w="0"/>
        <w:tblLook w:firstColumn="1" w:firstRow="1" w:lastColumn="0" w:lastRow="0" w:noHBand="0" w:noVBand="1" w:val="04A0"/>
        <w:tblW w:w="7859" w:type="dxa"/>
        <w:tblInd w:w="2608" w:type="dxa"/>
        <w:tblBorders>
          <w:top w:val="single" w:sz="8" w:space="0" w:color="000000"/>
          <w:bottom w:val="single" w:sz="8" w:space="0" w:color="000000"/>
        </w:tblBorders>
        <w:tblLayout w:type="fixed"/>
      </w:tblPr>
      <w:tblGrid>
        <w:gridCol w:w="2096"/>
        <w:gridCol w:w="5763"/>
      </w:tblGrid>
      <w:tr>
        <w:tc>
          <w:tcPr>
            <w:tcW w:type="dxa" w:w="2096"/>
            <w:tcBorders>
              <w:bottom w:val="single" w:sz="4" w:space="0" w:color="000000"/>
            </w:tcBorders>
          </w:tcPr>
          <w:p>
            <w:pPr>
              <w:pStyle w:val="MDPI42tablebody"/>
              <w:keepNext/>
            </w:pPr>
            <w:r>
              <w:rPr>
                <w:b/>
              </w:rPr>
              <w:t>Abbreviation</w:t>
            </w:r>
          </w:p>
        </w:tc>
        <w:tc>
          <w:tcPr>
            <w:tcW w:type="dxa" w:w="5763"/>
            <w:tcBorders>
              <w:bottom w:val="single" w:sz="4" w:space="0" w:color="000000"/>
            </w:tcBorders>
          </w:tcPr>
          <w:p>
            <w:pPr>
              <w:pStyle w:val="MDPI42tablebody"/>
              <w:keepNext/>
            </w:pPr>
            <w:r>
              <w:rPr>
                <w:b/>
              </w:rPr>
              <w:t>Meaning</w:t>
            </w:r>
          </w:p>
        </w:tc>
      </w:tr>
      <w:tr>
        <w:tc>
          <w:tcPr>
            <w:tcW w:type="dxa" w:w="2096"/>
          </w:tcPr>
          <w:p>
            <w:pPr>
              <w:pStyle w:val="MDPI42tablebody"/>
              <w:keepNext/>
            </w:pPr>
            <w:r>
              <w:rPr/>
              <w:t>AGG</w:t>
            </w:r>
          </w:p>
        </w:tc>
        <w:tc>
          <w:tcPr>
            <w:tcW w:type="dxa" w:w="5763"/>
          </w:tcPr>
          <w:p>
            <w:pPr>
              <w:pStyle w:val="MDPI42tablebody"/>
              <w:keepNext/>
            </w:pPr>
            <w:r>
              <w:rPr/>
              <w:t>agglutinitic glass</w:t>
            </w:r>
          </w:p>
        </w:tc>
      </w:tr>
      <w:tr>
        <w:tc>
          <w:tcPr>
            <w:tcW w:type="dxa" w:w="2096"/>
          </w:tcPr>
          <w:p>
            <w:pPr>
              <w:pStyle w:val="MDPI42tablebody"/>
              <w:keepNext/>
            </w:pPr>
            <w:r>
              <w:rPr/>
              <w:t>CV+</w:t>
            </w:r>
          </w:p>
        </w:tc>
        <w:tc>
          <w:tcPr>
            <w:tcW w:type="dxa" w:w="5763"/>
          </w:tcPr>
          <w:p>
            <w:pPr>
              <w:pStyle w:val="MDPI42tablebody"/>
              <w:keepNext/>
            </w:pPr>
            <w:r>
              <w:rPr/>
              <w:t>cross-validation-plus conformal prediction</w:t>
            </w:r>
          </w:p>
        </w:tc>
      </w:tr>
      <w:tr>
        <w:tc>
          <w:tcPr>
            <w:tcW w:type="dxa" w:w="2096"/>
          </w:tcPr>
          <w:p>
            <w:pPr>
              <w:pStyle w:val="MDPI42tablebody"/>
              <w:keepNext w:val="0"/>
            </w:pPr>
            <w:r>
              <w:rPr/>
              <w:t>FD</w:t>
            </w:r>
          </w:p>
        </w:tc>
        <w:tc>
          <w:tcPr>
            <w:tcW w:type="dxa" w:w="5763"/>
          </w:tcPr>
          <w:p>
            <w:pPr>
              <w:pStyle w:val="MDPI42tablebody"/>
              <w:keepNext w:val="0"/>
            </w:pPr>
            <w:r>
              <w:rPr/>
              <w:t>Fernández-Díaz et al. pipeline</w:t>
            </w:r>
          </w:p>
        </w:tc>
      </w:tr>
      <w:tr>
        <w:tc>
          <w:tcPr>
            <w:tcW w:type="dxa" w:w="2096"/>
          </w:tcPr>
          <w:p>
            <w:pPr>
              <w:pStyle w:val="MDPI42tablebody"/>
              <w:keepNext w:val="0"/>
            </w:pPr>
            <w:r>
              <w:rPr/>
              <w:t>HCP / LCP</w:t>
            </w:r>
          </w:p>
        </w:tc>
        <w:tc>
          <w:tcPr>
            <w:tcW w:type="dxa" w:w="5763"/>
          </w:tcPr>
          <w:p>
            <w:pPr>
              <w:pStyle w:val="MDPI42tablebody"/>
              <w:keepNext w:val="0"/>
            </w:pPr>
            <w:r>
              <w:rPr/>
              <w:t>high- / low-Ca pyroxene</w:t>
            </w:r>
          </w:p>
        </w:tc>
      </w:tr>
      <w:tr>
        <w:tc>
          <w:tcPr>
            <w:tcW w:type="dxa" w:w="2096"/>
          </w:tcPr>
          <w:p>
            <w:pPr>
              <w:pStyle w:val="MDPI42tablebody"/>
              <w:keepNext w:val="0"/>
            </w:pPr>
            <w:r>
              <w:rPr/>
              <w:t>ILM</w:t>
            </w:r>
          </w:p>
        </w:tc>
        <w:tc>
          <w:tcPr>
            <w:tcW w:type="dxa" w:w="5763"/>
          </w:tcPr>
          <w:p>
            <w:pPr>
              <w:pStyle w:val="MDPI42tablebody"/>
              <w:keepNext w:val="0"/>
            </w:pPr>
            <w:r>
              <w:rPr/>
              <w:t>ilmenite</w:t>
            </w:r>
          </w:p>
        </w:tc>
      </w:tr>
      <w:tr>
        <w:tc>
          <w:tcPr>
            <w:tcW w:type="dxa" w:w="2096"/>
          </w:tcPr>
          <w:p>
            <w:pPr>
              <w:pStyle w:val="MDPI42tablebody"/>
              <w:keepNext w:val="0"/>
            </w:pPr>
            <w:r>
              <w:rPr/>
              <w:t>LOSO / LOMO</w:t>
            </w:r>
          </w:p>
        </w:tc>
        <w:tc>
          <w:tcPr>
            <w:tcW w:type="dxa" w:w="5763"/>
          </w:tcPr>
          <w:p>
            <w:pPr>
              <w:pStyle w:val="MDPI42tablebody"/>
              <w:keepNext w:val="0"/>
            </w:pPr>
            <w:r>
              <w:rPr/>
              <w:t>leave-one-soil-out / leave-one-mission-out</w:t>
            </w:r>
          </w:p>
        </w:tc>
      </w:tr>
      <w:tr>
        <w:tc>
          <w:tcPr>
            <w:tcW w:type="dxa" w:w="2096"/>
          </w:tcPr>
          <w:p>
            <w:pPr>
              <w:pStyle w:val="MDPI42tablebody"/>
              <w:keepNext w:val="0"/>
            </w:pPr>
            <w:r>
              <w:rPr/>
              <w:t>LSCC</w:t>
            </w:r>
          </w:p>
        </w:tc>
        <w:tc>
          <w:tcPr>
            <w:tcW w:type="dxa" w:w="5763"/>
          </w:tcPr>
          <w:p>
            <w:pPr>
              <w:pStyle w:val="MDPI42tablebody"/>
              <w:keepNext w:val="0"/>
            </w:pPr>
            <w:r>
              <w:rPr/>
              <w:t>Lunar Soil Characterization Consortium</w:t>
            </w:r>
          </w:p>
        </w:tc>
      </w:tr>
      <w:tr>
        <w:tc>
          <w:tcPr>
            <w:tcW w:type="dxa" w:w="2096"/>
          </w:tcPr>
          <w:p>
            <w:pPr>
              <w:pStyle w:val="MDPI42tablebody"/>
              <w:keepNext w:val="0"/>
            </w:pPr>
            <w:r>
              <w:rPr/>
              <w:t>M³</w:t>
            </w:r>
          </w:p>
        </w:tc>
        <w:tc>
          <w:tcPr>
            <w:tcW w:type="dxa" w:w="5763"/>
          </w:tcPr>
          <w:p>
            <w:pPr>
              <w:pStyle w:val="MDPI42tablebody"/>
              <w:keepNext w:val="0"/>
            </w:pPr>
            <w:r>
              <w:rPr/>
              <w:t>Moon Mineralogy Mapper</w:t>
            </w:r>
          </w:p>
        </w:tc>
      </w:tr>
      <w:tr>
        <w:tc>
          <w:tcPr>
            <w:tcW w:type="dxa" w:w="2096"/>
          </w:tcPr>
          <w:p>
            <w:pPr>
              <w:pStyle w:val="MDPI42tablebody"/>
              <w:keepNext w:val="0"/>
            </w:pPr>
            <w:r>
              <w:rPr/>
              <w:t>MAE</w:t>
            </w:r>
          </w:p>
        </w:tc>
        <w:tc>
          <w:tcPr>
            <w:tcW w:type="dxa" w:w="5763"/>
          </w:tcPr>
          <w:p>
            <w:pPr>
              <w:pStyle w:val="MDPI42tablebody"/>
              <w:keepNext w:val="0"/>
            </w:pPr>
            <w:r>
              <w:rPr/>
              <w:t>mean absolute error</w:t>
            </w:r>
          </w:p>
        </w:tc>
      </w:tr>
      <w:tr>
        <w:tc>
          <w:tcPr>
            <w:tcW w:type="dxa" w:w="2096"/>
          </w:tcPr>
          <w:p>
            <w:pPr>
              <w:pStyle w:val="MDPI42tablebody"/>
              <w:keepNext w:val="0"/>
            </w:pPr>
            <w:r>
              <w:rPr/>
              <w:t>npFe⁰ / mpFe⁰</w:t>
            </w:r>
          </w:p>
        </w:tc>
        <w:tc>
          <w:tcPr>
            <w:tcW w:type="dxa" w:w="5763"/>
          </w:tcPr>
          <w:p>
            <w:pPr>
              <w:pStyle w:val="MDPI42tablebody"/>
              <w:keepNext w:val="0"/>
            </w:pPr>
            <w:r>
              <w:rPr/>
              <w:t>nanophase / microphase metallic iron</w:t>
            </w:r>
          </w:p>
        </w:tc>
      </w:tr>
      <w:tr>
        <w:tc>
          <w:tcPr>
            <w:tcW w:type="dxa" w:w="2096"/>
          </w:tcPr>
          <w:p>
            <w:pPr>
              <w:pStyle w:val="MDPI42tablebody"/>
              <w:keepNext w:val="0"/>
            </w:pPr>
            <w:r>
              <w:rPr/>
              <w:t>OLV</w:t>
            </w:r>
          </w:p>
        </w:tc>
        <w:tc>
          <w:tcPr>
            <w:tcW w:type="dxa" w:w="5763"/>
          </w:tcPr>
          <w:p>
            <w:pPr>
              <w:pStyle w:val="MDPI42tablebody"/>
              <w:keepNext w:val="0"/>
            </w:pPr>
            <w:r>
              <w:rPr/>
              <w:t>olivine</w:t>
            </w:r>
          </w:p>
        </w:tc>
      </w:tr>
      <w:tr>
        <w:tc>
          <w:tcPr>
            <w:tcW w:type="dxa" w:w="2096"/>
          </w:tcPr>
          <w:p>
            <w:pPr>
              <w:pStyle w:val="MDPI42tablebody"/>
              <w:keepNext w:val="0"/>
            </w:pPr>
            <w:r>
              <w:rPr/>
              <w:t>OTH</w:t>
            </w:r>
          </w:p>
        </w:tc>
        <w:tc>
          <w:tcPr>
            <w:tcW w:type="dxa" w:w="5763"/>
          </w:tcPr>
          <w:p>
            <w:pPr>
              <w:pStyle w:val="MDPI42tablebody"/>
              <w:keepNext w:val="0"/>
            </w:pPr>
            <w:r>
              <w:rPr/>
              <w:t>other phases</w:t>
            </w:r>
          </w:p>
        </w:tc>
      </w:tr>
      <w:tr>
        <w:tc>
          <w:tcPr>
            <w:tcW w:type="dxa" w:w="2096"/>
          </w:tcPr>
          <w:p>
            <w:pPr>
              <w:pStyle w:val="MDPI42tablebody"/>
              <w:keepNext w:val="0"/>
            </w:pPr>
            <w:r>
              <w:rPr/>
              <w:t>PLG</w:t>
            </w:r>
          </w:p>
        </w:tc>
        <w:tc>
          <w:tcPr>
            <w:tcW w:type="dxa" w:w="5763"/>
          </w:tcPr>
          <w:p>
            <w:pPr>
              <w:pStyle w:val="MDPI42tablebody"/>
              <w:keepNext w:val="0"/>
            </w:pPr>
            <w:r>
              <w:rPr/>
              <w:t>plagioclase</w:t>
            </w:r>
          </w:p>
        </w:tc>
      </w:tr>
      <w:tr>
        <w:tc>
          <w:tcPr>
            <w:tcW w:type="dxa" w:w="2096"/>
          </w:tcPr>
          <w:p>
            <w:pPr>
              <w:pStyle w:val="MDPI42tablebody"/>
              <w:keepNext w:val="0"/>
            </w:pPr>
            <w:r>
              <w:rPr/>
              <w:t>RELAB</w:t>
            </w:r>
          </w:p>
        </w:tc>
        <w:tc>
          <w:tcPr>
            <w:tcW w:type="dxa" w:w="5763"/>
          </w:tcPr>
          <w:p>
            <w:pPr>
              <w:pStyle w:val="MDPI42tablebody"/>
              <w:keepNext w:val="0"/>
            </w:pPr>
            <w:r>
              <w:rPr/>
              <w:t>Reflectance Experiment Laboratory</w:t>
            </w:r>
          </w:p>
        </w:tc>
      </w:tr>
      <w:tr>
        <w:tc>
          <w:tcPr>
            <w:tcW w:type="dxa" w:w="2096"/>
          </w:tcPr>
          <w:p>
            <w:pPr>
              <w:pStyle w:val="MDPI42tablebody"/>
              <w:keepNext w:val="0"/>
            </w:pPr>
            <w:r>
              <w:rPr/>
              <w:t>RF</w:t>
            </w:r>
          </w:p>
        </w:tc>
        <w:tc>
          <w:tcPr>
            <w:tcW w:type="dxa" w:w="5763"/>
          </w:tcPr>
          <w:p>
            <w:pPr>
              <w:pStyle w:val="MDPI42tablebody"/>
              <w:keepNext w:val="0"/>
            </w:pPr>
            <w:r>
              <w:rPr/>
              <w:t>random forest</w:t>
            </w:r>
          </w:p>
        </w:tc>
      </w:tr>
      <w:tr>
        <w:tc>
          <w:tcPr>
            <w:tcW w:type="dxa" w:w="2096"/>
          </w:tcPr>
          <w:p>
            <w:pPr>
              <w:pStyle w:val="MDPI42tablebody"/>
              <w:keepNext w:val="0"/>
            </w:pPr>
            <w:r>
              <w:rPr/>
              <w:t>SSA</w:t>
            </w:r>
          </w:p>
        </w:tc>
        <w:tc>
          <w:tcPr>
            <w:tcW w:type="dxa" w:w="5763"/>
          </w:tcPr>
          <w:p>
            <w:pPr>
              <w:pStyle w:val="MDPI42tablebody"/>
              <w:keepNext w:val="0"/>
            </w:pPr>
            <w:r>
              <w:rPr/>
              <w:t>single-scattering albedo</w:t>
            </w:r>
          </w:p>
        </w:tc>
      </w:tr>
    </w:tbl>
    <w:p>
      <w:pPr>
        <w:pStyle w:val="MDPI21heading1"/>
        <w:keepNext/>
      </w:pPr>
      <w:r>
        <w:rPr/>
        <w:t>References</w:t>
      </w:r>
    </w:p>
    <w:p>
      <w:pPr>
        <w:pStyle w:val="MDPI81references"/>
      </w:pPr>
      <w:r>
        <w:rPr/>
        <w:t xml:space="preserve">Pieters, C.M.; Boardman, J.; Buratti, B.; Chatterjee, A.; Clark, R.; Glavich, T.; Green, R.; Head, J., III; Isaacson, P.; Malaret, E.; et al. The Moon Mineralogy Mapper (M3) on Chandrayaan-1. </w:t>
      </w:r>
      <w:r>
        <w:rPr>
          <w:i/>
        </w:rPr>
        <w:t>Curr. Sci.</w:t>
      </w:r>
      <w:r>
        <w:rPr/>
        <w:t xml:space="preserve"> </w:t>
      </w:r>
      <w:r>
        <w:rPr>
          <w:b/>
        </w:rPr>
        <w:t>2009</w:t>
      </w:r>
      <w:r>
        <w:rPr/>
        <w:t xml:space="preserve">, </w:t>
      </w:r>
      <w:r>
        <w:rPr>
          <w:i/>
        </w:rPr>
        <w:t>96</w:t>
      </w:r>
      <w:r>
        <w:rPr/>
        <w:t>, 500–505.</w:t>
      </w:r>
    </w:p>
    <w:p>
      <w:pPr>
        <w:pStyle w:val="MDPI81references"/>
      </w:pPr>
      <w:r>
        <w:rPr/>
        <w:t xml:space="preserve">Green, R.O.; Pieters, C.; Mouroulis, P.; Eastwood, M.; Boardman, J.; Glavich, T.; Isaacson, P.; Annadurai, M.; Besse, S.; Barr, D.; et al. The Moon Mineralogy Mapper (M3) imaging spectrometer for lunar science: Instrument description, calibration, on-orbit measurements, science data calibration and on-orbit validation. </w:t>
      </w:r>
      <w:r>
        <w:rPr>
          <w:i/>
        </w:rPr>
        <w:t>J. Geophys. Res.</w:t>
      </w:r>
      <w:r>
        <w:rPr/>
        <w:t xml:space="preserve"> </w:t>
      </w:r>
      <w:r>
        <w:rPr>
          <w:b/>
        </w:rPr>
        <w:t>2011</w:t>
      </w:r>
      <w:r>
        <w:rPr/>
        <w:t xml:space="preserve">, </w:t>
      </w:r>
      <w:r>
        <w:rPr>
          <w:i/>
        </w:rPr>
        <w:t>116</w:t>
      </w:r>
      <w:r>
        <w:rPr/>
        <w:t>, E00G19. https://doi.org/10.1029/2011je003797.</w:t>
      </w:r>
    </w:p>
    <w:p>
      <w:pPr>
        <w:pStyle w:val="MDPI81references"/>
      </w:pPr>
      <w:r>
        <w:rPr/>
        <w:t xml:space="preserve">Lucey, P.G.; Blewett, D.T.; Jolliff, B.L. Lunar iron and titanium abundance algorithms based on final processing of Clementine ultraviolet‐visible images. </w:t>
      </w:r>
      <w:r>
        <w:rPr>
          <w:i/>
        </w:rPr>
        <w:t>J. Geophys. Res. Planets</w:t>
      </w:r>
      <w:r>
        <w:rPr/>
        <w:t xml:space="preserve"> </w:t>
      </w:r>
      <w:r>
        <w:rPr>
          <w:b/>
        </w:rPr>
        <w:t>2000</w:t>
      </w:r>
      <w:r>
        <w:rPr/>
        <w:t xml:space="preserve">, </w:t>
      </w:r>
      <w:r>
        <w:rPr>
          <w:i/>
        </w:rPr>
        <w:t>105</w:t>
      </w:r>
      <w:r>
        <w:rPr/>
        <w:t>, 20297–20305. https://doi.org/10.1029/1999je001117.</w:t>
      </w:r>
    </w:p>
    <w:p>
      <w:pPr>
        <w:pStyle w:val="MDPI81references"/>
      </w:pPr>
      <w:r>
        <w:rPr/>
        <w:t xml:space="preserve">Bhatt, M.; Mall, U.; Bugiolacchi, R.; McKenna-Lawlor, S.; Banaszkiewicz, M.; Nathues, A.; Ullaland, K. Lunar iron abundance determination using the 2-μm absorption band parameters. </w:t>
      </w:r>
      <w:r>
        <w:rPr>
          <w:i/>
        </w:rPr>
        <w:t>Icarus</w:t>
      </w:r>
      <w:r>
        <w:rPr/>
        <w:t xml:space="preserve"> </w:t>
      </w:r>
      <w:r>
        <w:rPr>
          <w:b/>
        </w:rPr>
        <w:t>2012</w:t>
      </w:r>
      <w:r>
        <w:rPr/>
        <w:t xml:space="preserve">, </w:t>
      </w:r>
      <w:r>
        <w:rPr>
          <w:i/>
        </w:rPr>
        <w:t>220</w:t>
      </w:r>
      <w:r>
        <w:rPr/>
        <w:t>, 51–64. https://doi.org/10.1016/j.icarus.2012.04.010.</w:t>
      </w:r>
    </w:p>
    <w:p>
      <w:pPr>
        <w:pStyle w:val="MDPI81references"/>
      </w:pPr>
      <w:r>
        <w:rPr/>
        <w:t xml:space="preserve">Bhatt, M.; Mall, U.; Wöhler, C.; Grumpe, A.; Bugiolacchi, R. A comparative study of iron abundance estimation methods: Application to the western nearside of the Moon. </w:t>
      </w:r>
      <w:r>
        <w:rPr>
          <w:i/>
        </w:rPr>
        <w:t>Icarus</w:t>
      </w:r>
      <w:r>
        <w:rPr/>
        <w:t xml:space="preserve"> </w:t>
      </w:r>
      <w:r>
        <w:rPr>
          <w:b/>
        </w:rPr>
        <w:t>2015</w:t>
      </w:r>
      <w:r>
        <w:rPr/>
        <w:t xml:space="preserve">, </w:t>
      </w:r>
      <w:r>
        <w:rPr>
          <w:i/>
        </w:rPr>
        <w:t>248</w:t>
      </w:r>
      <w:r>
        <w:rPr/>
        <w:t>, 72–88. https://doi.org/10.1016/j.icarus.2014.10.023.</w:t>
      </w:r>
    </w:p>
    <w:p>
      <w:pPr>
        <w:pStyle w:val="MDPI81references"/>
      </w:pPr>
      <w:r>
        <w:rPr/>
        <w:t xml:space="preserve">Sun, L.; Ling, Z.; Zhang, J.; Li, B.; Chen, J.; Wu, Z.; Liu, J. Lunar iron and optical maturity mapping: Results from partial least squares modeling of Chang'E-1 IIM data. </w:t>
      </w:r>
      <w:r>
        <w:rPr>
          <w:i/>
        </w:rPr>
        <w:t>Icarus</w:t>
      </w:r>
      <w:r>
        <w:rPr/>
        <w:t xml:space="preserve"> </w:t>
      </w:r>
      <w:r>
        <w:rPr>
          <w:b/>
        </w:rPr>
        <w:t>2016</w:t>
      </w:r>
      <w:r>
        <w:rPr/>
        <w:t xml:space="preserve">, </w:t>
      </w:r>
      <w:r>
        <w:rPr>
          <w:i/>
        </w:rPr>
        <w:t>280</w:t>
      </w:r>
      <w:r>
        <w:rPr/>
        <w:t>, 183–198. https://doi.org/10.1016/j.icarus.2016.07.010.</w:t>
      </w:r>
    </w:p>
    <w:p>
      <w:pPr>
        <w:pStyle w:val="MDPI81references"/>
      </w:pPr>
      <w:r>
        <w:rPr/>
        <w:t xml:space="preserve">Xia, W.; Wang, X.; Zhao, S.; Jin, H.; Chen, X.; Yang, M.; Wu, X.; Hu, C.; Zhang, Y.; Shi, Y.; et al. New maps of lunar surface chemistry. </w:t>
      </w:r>
      <w:r>
        <w:rPr>
          <w:i/>
        </w:rPr>
        <w:t>Icarus</w:t>
      </w:r>
      <w:r>
        <w:rPr/>
        <w:t xml:space="preserve"> </w:t>
      </w:r>
      <w:r>
        <w:rPr>
          <w:b/>
        </w:rPr>
        <w:t>2019</w:t>
      </w:r>
      <w:r>
        <w:rPr/>
        <w:t xml:space="preserve">, </w:t>
      </w:r>
      <w:r>
        <w:rPr>
          <w:i/>
        </w:rPr>
        <w:t>321</w:t>
      </w:r>
      <w:r>
        <w:rPr/>
        <w:t>, 200–215. https://doi.org/10.1016/j.icarus.2018.10.031.</w:t>
      </w:r>
    </w:p>
    <w:p>
      <w:pPr>
        <w:pStyle w:val="MDPI81references"/>
      </w:pPr>
      <w:r>
        <w:rPr/>
        <w:t xml:space="preserve">Wang, X.; Zhang, J.; Ren, H. Lunar surface chemistry observed by the KAGUYA multiband imager. </w:t>
      </w:r>
      <w:r>
        <w:rPr>
          <w:i/>
        </w:rPr>
        <w:t>Planet. Space Sci.</w:t>
      </w:r>
      <w:r>
        <w:rPr/>
        <w:t xml:space="preserve"> </w:t>
      </w:r>
      <w:r>
        <w:rPr>
          <w:b/>
        </w:rPr>
        <w:t>2021</w:t>
      </w:r>
      <w:r>
        <w:rPr/>
        <w:t xml:space="preserve">, </w:t>
      </w:r>
      <w:r>
        <w:rPr>
          <w:i/>
        </w:rPr>
        <w:t>209</w:t>
      </w:r>
      <w:r>
        <w:rPr/>
        <w:t>, 105360. https://doi.org/10.1016/j.pss.2021.105360.</w:t>
      </w:r>
    </w:p>
    <w:p>
      <w:pPr>
        <w:pStyle w:val="MDPI81references"/>
      </w:pPr>
      <w:r>
        <w:rPr/>
        <w:t xml:space="preserve">Qiu, D.; Li, F.; Yan, J.; Gao, W.; Chong, Z. Machine learning for inversing FeO and TiO2 content on the Moon: Method and comparison. </w:t>
      </w:r>
      <w:r>
        <w:rPr>
          <w:i/>
        </w:rPr>
        <w:t>Icarus</w:t>
      </w:r>
      <w:r>
        <w:rPr/>
        <w:t xml:space="preserve"> </w:t>
      </w:r>
      <w:r>
        <w:rPr>
          <w:b/>
        </w:rPr>
        <w:t>2022</w:t>
      </w:r>
      <w:r>
        <w:rPr/>
        <w:t xml:space="preserve">, </w:t>
      </w:r>
      <w:r>
        <w:rPr>
          <w:i/>
        </w:rPr>
        <w:t>373</w:t>
      </w:r>
      <w:r>
        <w:rPr/>
        <w:t>, 114778. https://doi.org/10.1016/j.icarus.2021.114778.</w:t>
      </w:r>
    </w:p>
    <w:p>
      <w:pPr>
        <w:pStyle w:val="MDPI81references"/>
      </w:pPr>
      <w:r>
        <w:rPr/>
        <w:t xml:space="preserve">Yang, C.; Zhang, X.; Bruzzone, L.; Liu, B.; Liu, D.; Ren, X.; Benediktsson, J.A.; Liang, Y.; Yang, B.; Yin, M.; et al. Comprehensive mapping of lunar surface chemistry by adding Chang'e-5 samples with deep learning. </w:t>
      </w:r>
      <w:r>
        <w:rPr>
          <w:i/>
        </w:rPr>
        <w:t>Nat. Commun.</w:t>
      </w:r>
      <w:r>
        <w:rPr/>
        <w:t xml:space="preserve"> </w:t>
      </w:r>
      <w:r>
        <w:rPr>
          <w:b/>
        </w:rPr>
        <w:t>2023</w:t>
      </w:r>
      <w:r>
        <w:rPr/>
        <w:t xml:space="preserve">, </w:t>
      </w:r>
      <w:r>
        <w:rPr>
          <w:i/>
        </w:rPr>
        <w:t>14</w:t>
      </w:r>
      <w:r>
        <w:rPr/>
        <w:t>, 7554. https://doi.org/10.1038/s41467-023-43358-0.</w:t>
      </w:r>
    </w:p>
    <w:p>
      <w:pPr>
        <w:pStyle w:val="MDPI81references"/>
      </w:pPr>
      <w:r>
        <w:rPr/>
        <w:t xml:space="preserve">Zhang, L.; Zhang, X.; Yang, M.; Xiao, X.; Qiu, D.; Yan, J.; Xiao, L.; Huang, J. New maps of major oxides and Mg# of the lunar surface from additional geochemical data of Chang'E-5 samples and KAGUYA multiband imager data. </w:t>
      </w:r>
      <w:r>
        <w:rPr>
          <w:i/>
        </w:rPr>
        <w:t>Icarus</w:t>
      </w:r>
      <w:r>
        <w:rPr/>
        <w:t xml:space="preserve"> </w:t>
      </w:r>
      <w:r>
        <w:rPr>
          <w:b/>
        </w:rPr>
        <w:t>2023</w:t>
      </w:r>
      <w:r>
        <w:rPr/>
        <w:t xml:space="preserve">, </w:t>
      </w:r>
      <w:r>
        <w:rPr>
          <w:i/>
        </w:rPr>
        <w:t>397</w:t>
      </w:r>
      <w:r>
        <w:rPr/>
        <w:t>, 115505. https://doi.org/10.1016/j.icarus.2023.115505.</w:t>
      </w:r>
    </w:p>
    <w:p>
      <w:pPr>
        <w:pStyle w:val="MDPI81references"/>
      </w:pPr>
      <w:r>
        <w:rPr/>
        <w:t xml:space="preserve">Shi, X.; Chen, J.; Wang, J.; Liu, S.; Tong, X.; Li, J.; Yan, Z.; Wen, S.; Xie, H.; He, Z.; et al. Refined lunar global chemistry mapping using farside ground truth information gathered by Chang’e-6. </w:t>
      </w:r>
      <w:r>
        <w:rPr>
          <w:i/>
        </w:rPr>
        <w:t>Nat. Sens.</w:t>
      </w:r>
      <w:r>
        <w:rPr/>
        <w:t xml:space="preserve"> </w:t>
      </w:r>
      <w:r>
        <w:rPr>
          <w:b/>
        </w:rPr>
        <w:t>2026</w:t>
      </w:r>
      <w:r>
        <w:rPr/>
        <w:t xml:space="preserve">, </w:t>
      </w:r>
      <w:r>
        <w:rPr>
          <w:i/>
        </w:rPr>
        <w:t>1</w:t>
      </w:r>
      <w:r>
        <w:rPr/>
        <w:t>, 232–240. https://doi.org/10.1038/s44460-025-00021-z.</w:t>
      </w:r>
    </w:p>
    <w:p>
      <w:pPr>
        <w:pStyle w:val="MDPI81references"/>
      </w:pPr>
      <w:r>
        <w:rPr/>
        <w:t xml:space="preserve">Ma, M.; Li, B.; Chen, S.; Lu, T.; Lu, P.; Lu, Y.; Jin, Q. Global estimates of lunar surface chemistry derived from LRO diviner data. </w:t>
      </w:r>
      <w:r>
        <w:rPr>
          <w:i/>
        </w:rPr>
        <w:t>Icarus</w:t>
      </w:r>
      <w:r>
        <w:rPr/>
        <w:t xml:space="preserve"> </w:t>
      </w:r>
      <w:r>
        <w:rPr>
          <w:b/>
        </w:rPr>
        <w:t>2022</w:t>
      </w:r>
      <w:r>
        <w:rPr/>
        <w:t xml:space="preserve">, </w:t>
      </w:r>
      <w:r>
        <w:rPr>
          <w:i/>
        </w:rPr>
        <w:t>371</w:t>
      </w:r>
      <w:r>
        <w:rPr/>
        <w:t>, 114697. https://doi.org/10.1016/j.icarus.2021.114697.</w:t>
      </w:r>
    </w:p>
    <w:p>
      <w:pPr>
        <w:pStyle w:val="MDPI81references"/>
      </w:pPr>
      <w:r>
        <w:rPr/>
        <w:t xml:space="preserve">Wu, S.; Chen, J.; Xue, C.; Pan, Y.; Zhang, C. Global Inversion of Lunar Surface Oxides by Adding Chang’e-5 Samples. </w:t>
      </w:r>
      <w:r>
        <w:rPr>
          <w:i/>
        </w:rPr>
        <w:t>Remote Sens.</w:t>
      </w:r>
      <w:r>
        <w:rPr/>
        <w:t xml:space="preserve"> </w:t>
      </w:r>
      <w:r>
        <w:rPr>
          <w:b/>
        </w:rPr>
        <w:t>2024</w:t>
      </w:r>
      <w:r>
        <w:rPr/>
        <w:t xml:space="preserve">, </w:t>
      </w:r>
      <w:r>
        <w:rPr>
          <w:i/>
        </w:rPr>
        <w:t>16</w:t>
      </w:r>
      <w:r>
        <w:rPr/>
        <w:t>, 1812. https://doi.org/10.3390/rs16101812.</w:t>
      </w:r>
    </w:p>
    <w:p>
      <w:pPr>
        <w:pStyle w:val="MDPI81references"/>
      </w:pPr>
      <w:r>
        <w:rPr/>
        <w:t xml:space="preserve">Fernández-Díaz, J.; de Cos Juez, F.J.; Sánchez Lasheras, F.; Gracia Rodriguez, J. Spectral Parameter-Based Prediction of Lunar FeO Content Using Random Forest Regression. </w:t>
      </w:r>
      <w:r>
        <w:rPr>
          <w:i/>
        </w:rPr>
        <w:t>Mathematics</w:t>
      </w:r>
      <w:r>
        <w:rPr/>
        <w:t xml:space="preserve"> </w:t>
      </w:r>
      <w:r>
        <w:rPr>
          <w:b/>
        </w:rPr>
        <w:t>2025</w:t>
      </w:r>
      <w:r>
        <w:rPr/>
        <w:t xml:space="preserve">, </w:t>
      </w:r>
      <w:r>
        <w:rPr>
          <w:i/>
        </w:rPr>
        <w:t>13</w:t>
      </w:r>
      <w:r>
        <w:rPr/>
        <w:t>, 2802. https://doi.org/10.3390/math13172802.</w:t>
      </w:r>
    </w:p>
    <w:p>
      <w:pPr>
        <w:pStyle w:val="MDPI81references"/>
      </w:pPr>
      <w:r>
        <w:rPr/>
        <w:t xml:space="preserve">Fernández-Díaz, J.; Sánchez Lasheras, F.; Rodríguez, J.G.; Álvarez, S.I.; Marqués Sierra, A.L.; de Cos Juez, F.J. Global Lunar FeO Mapping via Wavelet–Autoencoder Feature Learning from M3 Hyperspectral Data. </w:t>
      </w:r>
      <w:r>
        <w:rPr>
          <w:i/>
        </w:rPr>
        <w:t>Mathematics</w:t>
      </w:r>
      <w:r>
        <w:rPr/>
        <w:t xml:space="preserve"> </w:t>
      </w:r>
      <w:r>
        <w:rPr>
          <w:b/>
        </w:rPr>
        <w:t>2026</w:t>
      </w:r>
      <w:r>
        <w:rPr/>
        <w:t xml:space="preserve">, </w:t>
      </w:r>
      <w:r>
        <w:rPr>
          <w:i/>
        </w:rPr>
        <w:t>14</w:t>
      </w:r>
      <w:r>
        <w:rPr/>
        <w:t>, 254. https://doi.org/10.3390/math14020254.</w:t>
      </w:r>
    </w:p>
    <w:p>
      <w:pPr>
        <w:pStyle w:val="MDPI81references"/>
      </w:pPr>
      <w:r>
        <w:rPr/>
        <w:t xml:space="preserve">Hapke, B. </w:t>
      </w:r>
      <w:r>
        <w:rPr>
          <w:i/>
        </w:rPr>
        <w:t>Theory of Reflectance and Emittance Spectroscopy</w:t>
      </w:r>
      <w:r>
        <w:rPr/>
        <w:t>; Cambridge University Press: Cambridge, UK, 1993.</w:t>
      </w:r>
    </w:p>
    <w:p>
      <w:pPr>
        <w:pStyle w:val="MDPI81references"/>
      </w:pPr>
      <w:r>
        <w:rPr/>
        <w:t xml:space="preserve">Hapke, B. Space weathering from Mercury to the asteroid belt. </w:t>
      </w:r>
      <w:r>
        <w:rPr>
          <w:i/>
        </w:rPr>
        <w:t>J. Geophys. Res. Planets</w:t>
      </w:r>
      <w:r>
        <w:rPr/>
        <w:t xml:space="preserve"> </w:t>
      </w:r>
      <w:r>
        <w:rPr>
          <w:b/>
        </w:rPr>
        <w:t>2001</w:t>
      </w:r>
      <w:r>
        <w:rPr/>
        <w:t xml:space="preserve">, </w:t>
      </w:r>
      <w:r>
        <w:rPr>
          <w:i/>
        </w:rPr>
        <w:t>106</w:t>
      </w:r>
      <w:r>
        <w:rPr/>
        <w:t>, 10039–10073. https://doi.org/10.1029/2000je001338.</w:t>
      </w:r>
    </w:p>
    <w:p>
      <w:pPr>
        <w:pStyle w:val="MDPI81references"/>
      </w:pPr>
      <w:r>
        <w:rPr/>
        <w:t xml:space="preserve">Lucey, P.G.; Riner, M.A. The optical effects of small iron particles that darken but do not redden: Evidence of intense space weathering on Mercury. </w:t>
      </w:r>
      <w:r>
        <w:rPr>
          <w:i/>
        </w:rPr>
        <w:t>Icarus</w:t>
      </w:r>
      <w:r>
        <w:rPr/>
        <w:t xml:space="preserve"> </w:t>
      </w:r>
      <w:r>
        <w:rPr>
          <w:b/>
        </w:rPr>
        <w:t>2011</w:t>
      </w:r>
      <w:r>
        <w:rPr/>
        <w:t xml:space="preserve">, </w:t>
      </w:r>
      <w:r>
        <w:rPr>
          <w:i/>
        </w:rPr>
        <w:t>212</w:t>
      </w:r>
      <w:r>
        <w:rPr/>
        <w:t>, 451–462. https://doi.org/10.1016/j.icarus.2011.01.022.</w:t>
      </w:r>
    </w:p>
    <w:p>
      <w:pPr>
        <w:pStyle w:val="MDPI81references"/>
      </w:pPr>
      <w:r>
        <w:rPr/>
        <w:t xml:space="preserve">Pieters, C.M.; Noble, S.K. Space weathering on airless bodies. </w:t>
      </w:r>
      <w:r>
        <w:rPr>
          <w:i/>
        </w:rPr>
        <w:t>J. Geophys. Res. Planets</w:t>
      </w:r>
      <w:r>
        <w:rPr/>
        <w:t xml:space="preserve"> </w:t>
      </w:r>
      <w:r>
        <w:rPr>
          <w:b/>
        </w:rPr>
        <w:t>2016</w:t>
      </w:r>
      <w:r>
        <w:rPr/>
        <w:t xml:space="preserve">, </w:t>
      </w:r>
      <w:r>
        <w:rPr>
          <w:i/>
        </w:rPr>
        <w:t>121</w:t>
      </w:r>
      <w:r>
        <w:rPr/>
        <w:t>, 1865–1884. https://doi.org/10.1002/2016je005128.</w:t>
      </w:r>
    </w:p>
    <w:p>
      <w:pPr>
        <w:pStyle w:val="MDPI81references"/>
      </w:pPr>
      <w:r>
        <w:rPr/>
        <w:t xml:space="preserve">Li, S.; Li, L. Radiative transfer modeling for quantifying lunar surface minerals, particle size, and submicroscopic metallic Fe. </w:t>
      </w:r>
      <w:r>
        <w:rPr>
          <w:i/>
        </w:rPr>
        <w:t>J. Geophys. Res. Planets</w:t>
      </w:r>
      <w:r>
        <w:rPr/>
        <w:t xml:space="preserve"> </w:t>
      </w:r>
      <w:r>
        <w:rPr>
          <w:b/>
        </w:rPr>
        <w:t>2011</w:t>
      </w:r>
      <w:r>
        <w:rPr/>
        <w:t xml:space="preserve">, </w:t>
      </w:r>
      <w:r>
        <w:rPr>
          <w:i/>
        </w:rPr>
        <w:t>116</w:t>
      </w:r>
      <w:r>
        <w:rPr/>
        <w:t>, 2011JE003837. https://doi.org/10.1029/2011je003837.</w:t>
      </w:r>
    </w:p>
    <w:p>
      <w:pPr>
        <w:pStyle w:val="MDPI81references"/>
      </w:pPr>
      <w:r>
        <w:rPr/>
        <w:t xml:space="preserve">Sun, L.; Lucey, P.G. Unmixing Mineral Abundance and Mg# With Radiative Transfer Theory: Modeling and Applications. </w:t>
      </w:r>
      <w:r>
        <w:rPr>
          <w:i/>
        </w:rPr>
        <w:t>J. Geophys. Res. Planets</w:t>
      </w:r>
      <w:r>
        <w:rPr/>
        <w:t xml:space="preserve"> </w:t>
      </w:r>
      <w:r>
        <w:rPr>
          <w:b/>
        </w:rPr>
        <w:t>2021</w:t>
      </w:r>
      <w:r>
        <w:rPr/>
        <w:t xml:space="preserve">, </w:t>
      </w:r>
      <w:r>
        <w:rPr>
          <w:i/>
        </w:rPr>
        <w:t>126</w:t>
      </w:r>
      <w:r>
        <w:rPr/>
        <w:t>, e2020JE006691. https://doi.org/10.1029/2020je006691.</w:t>
      </w:r>
    </w:p>
    <w:p>
      <w:pPr>
        <w:pStyle w:val="MDPI81references"/>
      </w:pPr>
      <w:r>
        <w:rPr/>
        <w:t xml:space="preserve">Trang, D.; Lucey, P.G. Improved space weathering maps of the lunar surface through radiative transfer modeling of Kaguya multiband imager data. </w:t>
      </w:r>
      <w:r>
        <w:rPr>
          <w:i/>
        </w:rPr>
        <w:t>Icarus</w:t>
      </w:r>
      <w:r>
        <w:rPr/>
        <w:t xml:space="preserve"> </w:t>
      </w:r>
      <w:r>
        <w:rPr>
          <w:b/>
        </w:rPr>
        <w:t>2019</w:t>
      </w:r>
      <w:r>
        <w:rPr/>
        <w:t xml:space="preserve">, </w:t>
      </w:r>
      <w:r>
        <w:rPr>
          <w:i/>
        </w:rPr>
        <w:t>321</w:t>
      </w:r>
      <w:r>
        <w:rPr/>
        <w:t>, 307–323. https://doi.org/10.1016/j.icarus.2018.11.014.</w:t>
      </w:r>
    </w:p>
    <w:p>
      <w:pPr>
        <w:pStyle w:val="MDPI81references"/>
      </w:pPr>
      <w:r>
        <w:rPr/>
        <w:t xml:space="preserve">Shkuratov, Y.; Starukhina, L.; Hoffmann, H.; Arnold, G. A Model of Spectral Albedo of Particulate Surfaces: Implications for Optical Properties of the Moon. </w:t>
      </w:r>
      <w:r>
        <w:rPr>
          <w:i/>
        </w:rPr>
        <w:t>Icarus</w:t>
      </w:r>
      <w:r>
        <w:rPr/>
        <w:t xml:space="preserve"> </w:t>
      </w:r>
      <w:r>
        <w:rPr>
          <w:b/>
        </w:rPr>
        <w:t>1999</w:t>
      </w:r>
      <w:r>
        <w:rPr/>
        <w:t xml:space="preserve">, </w:t>
      </w:r>
      <w:r>
        <w:rPr>
          <w:i/>
        </w:rPr>
        <w:t>137</w:t>
      </w:r>
      <w:r>
        <w:rPr/>
        <w:t>, 235–246. https://doi.org/10.1006/icar.1998.6035.</w:t>
      </w:r>
    </w:p>
    <w:p>
      <w:pPr>
        <w:pStyle w:val="MDPI81references"/>
      </w:pPr>
      <w:r>
        <w:rPr/>
        <w:t xml:space="preserve">Korokhin, V.; Surkov, Y.; Mall, U.; Kaydash, V.; Velichko, S.; Velikodsky, Y.; Shalygina, O. Applying machine learning to a nonlinear spectral mixing model for mapping lunar soils composition using CHANDRAYAAN-1 M3 data. </w:t>
      </w:r>
      <w:r>
        <w:rPr>
          <w:i/>
        </w:rPr>
        <w:t>Planet. Space Sci.</w:t>
      </w:r>
      <w:r>
        <w:rPr/>
        <w:t xml:space="preserve"> </w:t>
      </w:r>
      <w:r>
        <w:rPr>
          <w:b/>
        </w:rPr>
        <w:t>2024</w:t>
      </w:r>
      <w:r>
        <w:rPr/>
        <w:t xml:space="preserve">, </w:t>
      </w:r>
      <w:r>
        <w:rPr>
          <w:i/>
        </w:rPr>
        <w:t>244</w:t>
      </w:r>
      <w:r>
        <w:rPr/>
        <w:t>, 105870. https://doi.org/10.1016/j.pss.2024.105870.</w:t>
      </w:r>
    </w:p>
    <w:p>
      <w:pPr>
        <w:pStyle w:val="MDPI81references"/>
      </w:pPr>
      <w:r>
        <w:rPr/>
        <w:t xml:space="preserve">Jung, J.I.; Lapôtre, M.G.A.; Milliken, R.E.; Minson, S.E. Remote Compositional Analyses of Space-weathered Lunar Maria. </w:t>
      </w:r>
      <w:r>
        <w:rPr>
          <w:i/>
        </w:rPr>
        <w:t>Planet. Sci. J.</w:t>
      </w:r>
      <w:r>
        <w:rPr/>
        <w:t xml:space="preserve"> </w:t>
      </w:r>
      <w:r>
        <w:rPr>
          <w:b/>
        </w:rPr>
        <w:t>2026</w:t>
      </w:r>
      <w:r>
        <w:rPr/>
        <w:t xml:space="preserve">, </w:t>
      </w:r>
      <w:r>
        <w:rPr>
          <w:i/>
        </w:rPr>
        <w:t>7</w:t>
      </w:r>
      <w:r>
        <w:rPr/>
        <w:t>, 18. https://doi.org/10.3847/psj/ae2b57.</w:t>
      </w:r>
    </w:p>
    <w:p>
      <w:pPr>
        <w:pStyle w:val="MDPI81references"/>
      </w:pPr>
      <w:r>
        <w:rPr/>
        <w:t xml:space="preserve">Lin, Q.; Liu, C.; Han, D.; Liu, W.; Bo, Z.; Zhang, P. A Hapke Physics-Guided Deep Autoencoder for Lunar Hyperspectral Unmixing. </w:t>
      </w:r>
      <w:r>
        <w:rPr>
          <w:i/>
        </w:rPr>
        <w:t>Remote Sens.</w:t>
      </w:r>
      <w:r>
        <w:rPr/>
        <w:t xml:space="preserve"> </w:t>
      </w:r>
      <w:r>
        <w:rPr>
          <w:b/>
        </w:rPr>
        <w:t>2026</w:t>
      </w:r>
      <w:r>
        <w:rPr/>
        <w:t xml:space="preserve">, </w:t>
      </w:r>
      <w:r>
        <w:rPr>
          <w:i/>
        </w:rPr>
        <w:t>18</w:t>
      </w:r>
      <w:r>
        <w:rPr/>
        <w:t>, 1123. https://doi.org/10.3390/rs18081123.</w:t>
      </w:r>
    </w:p>
    <w:p>
      <w:pPr>
        <w:pStyle w:val="MDPI81references"/>
      </w:pPr>
      <w:r>
        <w:rPr/>
        <w:t xml:space="preserve">Li, S.; Li, L.; Milliken, R.; Song, K. Hybridization of partial least squares and neural network models for quantifying lunar surface minerals. </w:t>
      </w:r>
      <w:r>
        <w:rPr>
          <w:i/>
        </w:rPr>
        <w:t>Icarus</w:t>
      </w:r>
      <w:r>
        <w:rPr/>
        <w:t xml:space="preserve"> </w:t>
      </w:r>
      <w:r>
        <w:rPr>
          <w:b/>
        </w:rPr>
        <w:t>2012</w:t>
      </w:r>
      <w:r>
        <w:rPr/>
        <w:t xml:space="preserve">, </w:t>
      </w:r>
      <w:r>
        <w:rPr>
          <w:i/>
        </w:rPr>
        <w:t>221</w:t>
      </w:r>
      <w:r>
        <w:rPr/>
        <w:t>, 208–225. https://doi.org/10.1016/j.icarus.2012.07.023.</w:t>
      </w:r>
    </w:p>
    <w:p>
      <w:pPr>
        <w:pStyle w:val="MDPI81references"/>
      </w:pPr>
      <w:r>
        <w:rPr/>
        <w:t xml:space="preserve">Grumpe, A.; Mengewein, N.; Rommel, D.; Mall, U.; Wöhler, C. Interpreting spectral unmixing coefficients: From spectral weights to mass fractions. </w:t>
      </w:r>
      <w:r>
        <w:rPr>
          <w:i/>
        </w:rPr>
        <w:t>Icarus</w:t>
      </w:r>
      <w:r>
        <w:rPr/>
        <w:t xml:space="preserve"> </w:t>
      </w:r>
      <w:r>
        <w:rPr>
          <w:b/>
        </w:rPr>
        <w:t>2018</w:t>
      </w:r>
      <w:r>
        <w:rPr/>
        <w:t xml:space="preserve">, </w:t>
      </w:r>
      <w:r>
        <w:rPr>
          <w:i/>
        </w:rPr>
        <w:t>299</w:t>
      </w:r>
      <w:r>
        <w:rPr/>
        <w:t>, 1–14. https://doi.org/10.1016/j.icarus.2017.07.008.</w:t>
      </w:r>
    </w:p>
    <w:p>
      <w:pPr>
        <w:pStyle w:val="MDPI81references"/>
      </w:pPr>
      <w:r>
        <w:rPr/>
        <w:t xml:space="preserve">Surkov, Y.; Mall, U.; Korokhin, V. High resolution olivine abundance mapping in the Copernicus crater combining spectral data of Chandrayaan-1 M3 and Kaguya MI. </w:t>
      </w:r>
      <w:r>
        <w:rPr>
          <w:i/>
        </w:rPr>
        <w:t>Planet. Space Sci.</w:t>
      </w:r>
      <w:r>
        <w:rPr/>
        <w:t xml:space="preserve"> </w:t>
      </w:r>
      <w:r>
        <w:rPr>
          <w:b/>
        </w:rPr>
        <w:t>2025</w:t>
      </w:r>
      <w:r>
        <w:rPr/>
        <w:t xml:space="preserve">, </w:t>
      </w:r>
      <w:r>
        <w:rPr>
          <w:i/>
        </w:rPr>
        <w:t>256</w:t>
      </w:r>
      <w:r>
        <w:rPr/>
        <w:t>, 106039. https://doi.org/10.1016/j.pss.2025.106039.</w:t>
      </w:r>
    </w:p>
    <w:p>
      <w:pPr>
        <w:pStyle w:val="MDPI81references"/>
      </w:pPr>
      <w:r>
        <w:rPr/>
        <w:t xml:space="preserve">Qiu, D.; Yan, J.; Liu, B. Global chemical composition maps of oxide distributions on the Lunar surface. </w:t>
      </w:r>
      <w:r>
        <w:rPr>
          <w:i/>
        </w:rPr>
        <w:t>Commun. Earth Environ.</w:t>
      </w:r>
      <w:r>
        <w:rPr/>
        <w:t xml:space="preserve"> </w:t>
      </w:r>
      <w:r>
        <w:rPr>
          <w:b/>
        </w:rPr>
        <w:t>2025</w:t>
      </w:r>
      <w:r>
        <w:rPr/>
        <w:t xml:space="preserve">, </w:t>
      </w:r>
      <w:r>
        <w:rPr>
          <w:i/>
        </w:rPr>
        <w:t>6</w:t>
      </w:r>
      <w:r>
        <w:rPr/>
        <w:t>, 940. https://doi.org/10.1038/s43247-025-02914-w.</w:t>
      </w:r>
    </w:p>
    <w:p>
      <w:pPr>
        <w:pStyle w:val="MDPI81references"/>
      </w:pPr>
      <w:r>
        <w:rPr/>
        <w:t xml:space="preserve">Taylor, L.A.; Pieters, C.M.; Keller, L.P.; Morris, R.V.; McKay, D.S. Lunar Mare Soils: Space weathering and the major effects of surface‐correlated nanophase Fe. </w:t>
      </w:r>
      <w:r>
        <w:rPr>
          <w:i/>
        </w:rPr>
        <w:t>J. Geophys. Res. Planets</w:t>
      </w:r>
      <w:r>
        <w:rPr/>
        <w:t xml:space="preserve"> </w:t>
      </w:r>
      <w:r>
        <w:rPr>
          <w:b/>
        </w:rPr>
        <w:t>2001</w:t>
      </w:r>
      <w:r>
        <w:rPr/>
        <w:t xml:space="preserve">, </w:t>
      </w:r>
      <w:r>
        <w:rPr>
          <w:i/>
        </w:rPr>
        <w:t>106</w:t>
      </w:r>
      <w:r>
        <w:rPr/>
        <w:t>, 27985–27999. https://doi.org/10.1029/2000je001402.</w:t>
      </w:r>
    </w:p>
    <w:p>
      <w:pPr>
        <w:pStyle w:val="MDPI81references"/>
      </w:pPr>
      <w:r>
        <w:rPr/>
        <w:t xml:space="preserve">Taylor, L.A.; Pieters, C.; Patchen, A.; Taylor, D.S.; Morris, R.V.; Keller, L.P.; McKay, D.S. Mineralogical and chemical characterization of lunar highland soils: Insights into the space weathering of soils on airless bodies. </w:t>
      </w:r>
      <w:r>
        <w:rPr>
          <w:i/>
        </w:rPr>
        <w:t>J. Geophys. Res. Planets</w:t>
      </w:r>
      <w:r>
        <w:rPr/>
        <w:t xml:space="preserve"> </w:t>
      </w:r>
      <w:r>
        <w:rPr>
          <w:b/>
        </w:rPr>
        <w:t>2010</w:t>
      </w:r>
      <w:r>
        <w:rPr/>
        <w:t xml:space="preserve">, </w:t>
      </w:r>
      <w:r>
        <w:rPr>
          <w:i/>
        </w:rPr>
        <w:t>115</w:t>
      </w:r>
      <w:r>
        <w:rPr/>
        <w:t>, 2009JE003427. https://doi.org/10.1029/2009je003427.</w:t>
      </w:r>
    </w:p>
    <w:p>
      <w:pPr>
        <w:pStyle w:val="MDPI81references"/>
      </w:pPr>
      <w:r>
        <w:rPr/>
        <w:t xml:space="preserve">Qiu, D.; Chen, W.; Yan, J.; Yi, S. FeO and TiO2 Maps of the Lunar Polar Regions Derived From the Clementine Data. </w:t>
      </w:r>
      <w:r>
        <w:rPr>
          <w:i/>
        </w:rPr>
        <w:t>J. Geophys. Res. Planets</w:t>
      </w:r>
      <w:r>
        <w:rPr/>
        <w:t xml:space="preserve"> </w:t>
      </w:r>
      <w:r>
        <w:rPr>
          <w:b/>
        </w:rPr>
        <w:t>2025</w:t>
      </w:r>
      <w:r>
        <w:rPr/>
        <w:t xml:space="preserve">, </w:t>
      </w:r>
      <w:r>
        <w:rPr>
          <w:i/>
        </w:rPr>
        <w:t>130</w:t>
      </w:r>
      <w:r>
        <w:rPr/>
        <w:t>, e2024JE008753. https://doi.org/10.1029/2024JE008753.</w:t>
      </w:r>
    </w:p>
    <w:p>
      <w:pPr>
        <w:pStyle w:val="MDPI81references"/>
      </w:pPr>
      <w:r>
        <w:rPr/>
        <w:t>Seitzer, M.; Tavakoli, A.; Antic, D.; Martius, G. On the Pitfalls of Heteroscedastic Uncertainty Estimation with Probabilistic Neural Networks. In Proceedings of the International Conference on Learning Representations (ICLR), Virtual, 25–29 April 2022.</w:t>
      </w:r>
    </w:p>
    <w:p>
      <w:pPr>
        <w:pStyle w:val="MDPI81references"/>
      </w:pPr>
      <w:r>
        <w:rPr/>
        <w:t xml:space="preserve">Lakshminarayanan, B.; Pritzel, A.; Blundell, C. Simple and Scalable Predictive Uncertainty Estimation Using Deep Ensembles. In </w:t>
      </w:r>
      <w:r>
        <w:rPr>
          <w:i/>
        </w:rPr>
        <w:t>Advances in Neural Information Processing Systems 30</w:t>
      </w:r>
      <w:r>
        <w:rPr/>
        <w:t>; Curran Associates: Red Hook, NY, USA, 2017; pp. 6402–6413.</w:t>
      </w:r>
    </w:p>
    <w:p>
      <w:pPr>
        <w:pStyle w:val="MDPI81references"/>
      </w:pPr>
      <w:r>
        <w:rPr/>
        <w:t xml:space="preserve">Barber, R.F.; Candès, E.J.; Ramdas, A.; Tibshirani, R.J. Predictive inference with the jackknife+. </w:t>
      </w:r>
      <w:r>
        <w:rPr>
          <w:i/>
        </w:rPr>
        <w:t>Ann. Stat.</w:t>
      </w:r>
      <w:r>
        <w:rPr/>
        <w:t xml:space="preserve"> </w:t>
      </w:r>
      <w:r>
        <w:rPr>
          <w:b/>
        </w:rPr>
        <w:t>2021</w:t>
      </w:r>
      <w:r>
        <w:rPr/>
        <w:t xml:space="preserve">, </w:t>
      </w:r>
      <w:r>
        <w:rPr>
          <w:i/>
        </w:rPr>
        <w:t>49</w:t>
      </w:r>
      <w:r>
        <w:rPr/>
        <w:t>, 486–507. https://doi.org/10.1214/20-aos1965.</w:t>
      </w:r>
    </w:p>
    <w:p>
      <w:pPr>
        <w:pStyle w:val="MDPI81references"/>
      </w:pPr>
      <w:r>
        <w:rPr/>
        <w:t xml:space="preserve">Wilcoxon, F. Individual Comparisons by Ranking Methods. </w:t>
      </w:r>
      <w:r>
        <w:rPr>
          <w:i/>
        </w:rPr>
        <w:t>Biom. Bull.</w:t>
      </w:r>
      <w:r>
        <w:rPr/>
        <w:t xml:space="preserve"> </w:t>
      </w:r>
      <w:r>
        <w:rPr>
          <w:b/>
        </w:rPr>
        <w:t>1945</w:t>
      </w:r>
      <w:r>
        <w:rPr/>
        <w:t xml:space="preserve">, </w:t>
      </w:r>
      <w:r>
        <w:rPr>
          <w:i/>
        </w:rPr>
        <w:t>1</w:t>
      </w:r>
      <w:r>
        <w:rPr/>
        <w:t>, 80–83. https://doi.org/10.2307/3001968.</w:t>
      </w:r>
    </w:p>
    <w:p>
      <w:pPr>
        <w:pStyle w:val="MDPI81references"/>
      </w:pPr>
      <w:r>
        <w:rPr/>
        <w:t xml:space="preserve">Holm, S. A Simple Sequentially Rejective Multiple Test Procedure. </w:t>
      </w:r>
      <w:r>
        <w:rPr>
          <w:i/>
        </w:rPr>
        <w:t>Scand. J. Stat.</w:t>
      </w:r>
      <w:r>
        <w:rPr/>
        <w:t xml:space="preserve"> </w:t>
      </w:r>
      <w:r>
        <w:rPr>
          <w:b/>
        </w:rPr>
        <w:t>1979</w:t>
      </w:r>
      <w:r>
        <w:rPr/>
        <w:t xml:space="preserve">, </w:t>
      </w:r>
      <w:r>
        <w:rPr>
          <w:i/>
        </w:rPr>
        <w:t>6</w:t>
      </w:r>
      <w:r>
        <w:rPr/>
        <w:t>, 65–70.</w:t>
      </w:r>
    </w:p>
    <w:sectPr w:rsidR="007F761C" w:rsidRPr="00D217C3" w:rsidSect="00EE6C9D">
      <w:headerReference w:type="even" r:id="rId12"/>
      <w:headerReference w:type="default" r:id="rId13"/>
      <w:footerReference w:type="default" r:id="rId14"/>
      <w:headerReference w:type="first" r:id="rId15"/>
      <w:footerReference w:type="first" r:id="rId16"/>
      <w:type w:val="continuous"/>
      <w:pgSz w:w="11906" w:h="16838" w:code="9"/>
      <w:pgMar w:top="1417" w:right="720" w:bottom="907" w:left="720" w:header="720" w:footer="612" w:gutter="0"/>
      <w:lnNumType w:countBy="1" w:distance="255" w:restart="continuous"/>
      <w:pgNumType w:start="1"/>
      <w:cols w:space="425"/>
      <w:titlePg/>
      <w:bidi/>
      <w:docGrid w:type="lines" w:linePitch="326"/>
    </w:sectPr>
  </w:body>
</w:document>
</file>

<file path=word/customizations.xml><?xml version="1.0" encoding="utf-8"?>
<wne:tcg xmlns:r="http://schemas.openxmlformats.org/officeDocument/2006/relationships" xmlns:wne="http://schemas.microsoft.com/office/word/2006/wordml">
  <wne:keymaps>
    <wne:keymap wne:kcmPrimary="0654">
      <wne:acd wne:acdName="acd0"/>
    </wne:keymap>
  </wne:keymaps>
  <wne:toolbars>
    <wne:acdManifest>
      <wne:acdEntry wne:acdName="acd0"/>
    </wne:acdManifest>
  </wne:toolbars>
  <wne:acds>
    <wne:acd wne:argValue="AgBNAEQAUABJAF8AMwAuADEAXwB0AGUAeAB0AA==" wne:acdName="acd0"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A97A73" w14:textId="77777777" w:rsidR="00617012" w:rsidRPr="0007718C" w:rsidRDefault="00617012">
      <w:pPr>
        <w:spacing w:line="240" w:lineRule="auto"/>
      </w:pPr>
      <w:r w:rsidRPr="0007718C">
        <w:separator/>
      </w:r>
    </w:p>
  </w:endnote>
  <w:endnote w:type="continuationSeparator" w:id="0">
    <w:p w14:paraId="55EF2825" w14:textId="77777777" w:rsidR="00617012" w:rsidRPr="0007718C" w:rsidRDefault="00617012">
      <w:pPr>
        <w:spacing w:line="240" w:lineRule="auto"/>
      </w:pPr>
      <w:r w:rsidRPr="0007718C">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等线">
    <w:altName w:val="DengXian"/>
    <w:panose1 w:val="02010600030101010101"/>
    <w:charset w:val="86"/>
    <w:family w:val="auto"/>
    <w:pitch w:val="variable"/>
    <w:sig w:usb0="A00002BF" w:usb1="38CF7CFA" w:usb2="00000016" w:usb3="00000000" w:csb0="0004000F" w:csb1="00000000"/>
  </w:font>
  <w:font w:name="URWPalladioL-Ital">
    <w:altName w:val="Yu Gothic"/>
    <w:panose1 w:val="00000000000000000000"/>
    <w:charset w:val="80"/>
    <w:family w:val="auto"/>
    <w:notTrueType/>
    <w:pitch w:val="default"/>
    <w:sig w:usb0="00000001" w:usb1="08070000" w:usb2="00000010" w:usb3="00000000" w:csb0="00020000"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4FB678" w14:textId="77777777" w:rsidR="00617012" w:rsidRPr="0007718C" w:rsidRDefault="00617012">
      <w:pPr>
        <w:spacing w:line="240" w:lineRule="auto"/>
      </w:pPr>
      <w:r w:rsidRPr="0007718C">
        <w:separator/>
      </w:r>
    </w:p>
  </w:footnote>
  <w:footnote w:type="continuationSeparator" w:id="0">
    <w:p w14:paraId="2E333760" w14:textId="77777777" w:rsidR="00617012" w:rsidRPr="0007718C" w:rsidRDefault="00617012">
      <w:pPr>
        <w:spacing w:line="240" w:lineRule="auto"/>
      </w:pPr>
      <w:r w:rsidRPr="0007718C">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jc w:val="right"/>
    </w:pPr>
    <w:r>
      <w:rPr>
        <w:sz w:val="16"/>
      </w:rPr>
      <w:fldChar w:fldCharType="begin"/>
    </w:r>
    <w:r>
      <w:rPr>
        <w:sz w:val="16"/>
      </w:rPr>
      <w:instrText xml:space="preserve"> PAGE </w:instrText>
    </w:r>
    <w:r>
      <w:rPr>
        <w:sz w:val="16"/>
      </w:rPr>
      <w:fldChar w:fldCharType="end"/>
    </w:r>
    <w:r>
      <w:rPr>
        <w:sz w:val="16"/>
      </w:rPr>
      <w:t xml:space="preserve"> of </w:t>
    </w:r>
    <w:r>
      <w:rPr>
        <w:sz w:val="16"/>
      </w:rPr>
      <w:fldChar w:fldCharType="begin"/>
    </w:r>
    <w:r>
      <w:rPr>
        <w:sz w:val="16"/>
      </w:rPr>
      <w:instrText xml:space="preserve"> NUMPAGES </w:instrText>
    </w:r>
    <w:r>
      <w:rPr>
        <w:sz w:val="16"/>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A36F1"/>
    <w:multiLevelType w:val="hybridMultilevel"/>
    <w:tmpl w:val="1FD6DADA"/>
    <w:lvl w:ilvl="0" w:tplc="FF30643E">
      <w:start w:val="1"/>
      <w:numFmt w:val="decimal"/>
      <w:lvlRestart w:val="0"/>
      <w:pStyle w:val="MDPI71footnotes"/>
      <w:lvlText w:val="%1."/>
      <w:lvlJc w:val="left"/>
      <w:pPr>
        <w:ind w:left="425" w:hanging="425"/>
      </w:pPr>
      <w:rPr>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8B468F5"/>
    <w:multiLevelType w:val="hybridMultilevel"/>
    <w:tmpl w:val="56E05072"/>
    <w:lvl w:ilvl="0" w:tplc="15825BC0">
      <w:start w:val="1"/>
      <w:numFmt w:val="bullet"/>
      <w:lvlRestart w:val="0"/>
      <w:pStyle w:val="MDPI38bullet"/>
      <w:lvlText w:val=""/>
      <w:lvlJc w:val="left"/>
      <w:pPr>
        <w:ind w:left="3033" w:hanging="425"/>
      </w:pPr>
      <w:rPr>
        <w:rFonts w:ascii="Symbol" w:hAnsi="Symbol" w:hint="default"/>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E0C6F5D"/>
    <w:multiLevelType w:val="hybridMultilevel"/>
    <w:tmpl w:val="8BFE0D56"/>
    <w:lvl w:ilvl="0" w:tplc="CCCE9BD4">
      <w:start w:val="1"/>
      <w:numFmt w:val="bullet"/>
      <w:lvlRestart w:val="0"/>
      <w:lvlText w:val=""/>
      <w:lvlJc w:val="left"/>
      <w:pPr>
        <w:ind w:left="3033" w:hanging="425"/>
      </w:pPr>
      <w:rPr>
        <w:rFonts w:ascii="Symbol" w:hAnsi="Symbol" w:hint="default"/>
      </w:rPr>
    </w:lvl>
    <w:lvl w:ilvl="1" w:tplc="04090003" w:tentative="1">
      <w:start w:val="1"/>
      <w:numFmt w:val="bullet"/>
      <w:lvlText w:val="o"/>
      <w:lvlJc w:val="left"/>
      <w:pPr>
        <w:ind w:left="4048" w:hanging="360"/>
      </w:pPr>
      <w:rPr>
        <w:rFonts w:ascii="Courier New" w:hAnsi="Courier New" w:cs="Courier New" w:hint="default"/>
      </w:rPr>
    </w:lvl>
    <w:lvl w:ilvl="2" w:tplc="04090005" w:tentative="1">
      <w:start w:val="1"/>
      <w:numFmt w:val="bullet"/>
      <w:lvlText w:val=""/>
      <w:lvlJc w:val="left"/>
      <w:pPr>
        <w:ind w:left="4768" w:hanging="360"/>
      </w:pPr>
      <w:rPr>
        <w:rFonts w:ascii="Wingdings" w:hAnsi="Wingdings" w:hint="default"/>
      </w:rPr>
    </w:lvl>
    <w:lvl w:ilvl="3" w:tplc="04090001" w:tentative="1">
      <w:start w:val="1"/>
      <w:numFmt w:val="bullet"/>
      <w:lvlText w:val=""/>
      <w:lvlJc w:val="left"/>
      <w:pPr>
        <w:ind w:left="5488" w:hanging="360"/>
      </w:pPr>
      <w:rPr>
        <w:rFonts w:ascii="Symbol" w:hAnsi="Symbol" w:hint="default"/>
      </w:rPr>
    </w:lvl>
    <w:lvl w:ilvl="4" w:tplc="04090003" w:tentative="1">
      <w:start w:val="1"/>
      <w:numFmt w:val="bullet"/>
      <w:lvlText w:val="o"/>
      <w:lvlJc w:val="left"/>
      <w:pPr>
        <w:ind w:left="6208" w:hanging="360"/>
      </w:pPr>
      <w:rPr>
        <w:rFonts w:ascii="Courier New" w:hAnsi="Courier New" w:cs="Courier New" w:hint="default"/>
      </w:rPr>
    </w:lvl>
    <w:lvl w:ilvl="5" w:tplc="04090005" w:tentative="1">
      <w:start w:val="1"/>
      <w:numFmt w:val="bullet"/>
      <w:lvlText w:val=""/>
      <w:lvlJc w:val="left"/>
      <w:pPr>
        <w:ind w:left="6928" w:hanging="360"/>
      </w:pPr>
      <w:rPr>
        <w:rFonts w:ascii="Wingdings" w:hAnsi="Wingdings" w:hint="default"/>
      </w:rPr>
    </w:lvl>
    <w:lvl w:ilvl="6" w:tplc="04090001" w:tentative="1">
      <w:start w:val="1"/>
      <w:numFmt w:val="bullet"/>
      <w:lvlText w:val=""/>
      <w:lvlJc w:val="left"/>
      <w:pPr>
        <w:ind w:left="7648" w:hanging="360"/>
      </w:pPr>
      <w:rPr>
        <w:rFonts w:ascii="Symbol" w:hAnsi="Symbol" w:hint="default"/>
      </w:rPr>
    </w:lvl>
    <w:lvl w:ilvl="7" w:tplc="04090003" w:tentative="1">
      <w:start w:val="1"/>
      <w:numFmt w:val="bullet"/>
      <w:lvlText w:val="o"/>
      <w:lvlJc w:val="left"/>
      <w:pPr>
        <w:ind w:left="8368" w:hanging="360"/>
      </w:pPr>
      <w:rPr>
        <w:rFonts w:ascii="Courier New" w:hAnsi="Courier New" w:cs="Courier New" w:hint="default"/>
      </w:rPr>
    </w:lvl>
    <w:lvl w:ilvl="8" w:tplc="04090005" w:tentative="1">
      <w:start w:val="1"/>
      <w:numFmt w:val="bullet"/>
      <w:lvlText w:val=""/>
      <w:lvlJc w:val="left"/>
      <w:pPr>
        <w:ind w:left="9088" w:hanging="360"/>
      </w:pPr>
      <w:rPr>
        <w:rFonts w:ascii="Wingdings" w:hAnsi="Wingdings" w:hint="default"/>
      </w:rPr>
    </w:lvl>
  </w:abstractNum>
  <w:abstractNum w:abstractNumId="3" w15:restartNumberingAfterBreak="0">
    <w:nsid w:val="250A245F"/>
    <w:multiLevelType w:val="hybridMultilevel"/>
    <w:tmpl w:val="29E20A30"/>
    <w:lvl w:ilvl="0" w:tplc="1AF444CE">
      <w:start w:val="1"/>
      <w:numFmt w:val="decimal"/>
      <w:lvlText w:val="%1."/>
      <w:lvlJc w:val="left"/>
      <w:pPr>
        <w:ind w:left="780" w:hanging="4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805051C"/>
    <w:multiLevelType w:val="hybridMultilevel"/>
    <w:tmpl w:val="D6480D34"/>
    <w:lvl w:ilvl="0" w:tplc="CDCEE7DA">
      <w:start w:val="1"/>
      <w:numFmt w:val="decimal"/>
      <w:lvlText w:val="%1."/>
      <w:lvlJc w:val="left"/>
      <w:pPr>
        <w:ind w:left="1429" w:hanging="360"/>
      </w:pPr>
    </w:lvl>
    <w:lvl w:ilvl="1" w:tplc="08070019" w:tentative="1">
      <w:start w:val="1"/>
      <w:numFmt w:val="lowerLetter"/>
      <w:lvlText w:val="%2."/>
      <w:lvlJc w:val="left"/>
      <w:pPr>
        <w:ind w:left="2149" w:hanging="360"/>
      </w:pPr>
    </w:lvl>
    <w:lvl w:ilvl="2" w:tplc="0807001B" w:tentative="1">
      <w:start w:val="1"/>
      <w:numFmt w:val="lowerRoman"/>
      <w:lvlText w:val="%3."/>
      <w:lvlJc w:val="right"/>
      <w:pPr>
        <w:ind w:left="2869" w:hanging="180"/>
      </w:pPr>
    </w:lvl>
    <w:lvl w:ilvl="3" w:tplc="0807000F" w:tentative="1">
      <w:start w:val="1"/>
      <w:numFmt w:val="decimal"/>
      <w:lvlText w:val="%4."/>
      <w:lvlJc w:val="left"/>
      <w:pPr>
        <w:ind w:left="3589" w:hanging="360"/>
      </w:pPr>
    </w:lvl>
    <w:lvl w:ilvl="4" w:tplc="08070019" w:tentative="1">
      <w:start w:val="1"/>
      <w:numFmt w:val="lowerLetter"/>
      <w:lvlText w:val="%5."/>
      <w:lvlJc w:val="left"/>
      <w:pPr>
        <w:ind w:left="4309" w:hanging="360"/>
      </w:pPr>
    </w:lvl>
    <w:lvl w:ilvl="5" w:tplc="0807001B" w:tentative="1">
      <w:start w:val="1"/>
      <w:numFmt w:val="lowerRoman"/>
      <w:lvlText w:val="%6."/>
      <w:lvlJc w:val="right"/>
      <w:pPr>
        <w:ind w:left="5029" w:hanging="180"/>
      </w:pPr>
    </w:lvl>
    <w:lvl w:ilvl="6" w:tplc="0807000F" w:tentative="1">
      <w:start w:val="1"/>
      <w:numFmt w:val="decimal"/>
      <w:lvlText w:val="%7."/>
      <w:lvlJc w:val="left"/>
      <w:pPr>
        <w:ind w:left="5749" w:hanging="360"/>
      </w:pPr>
    </w:lvl>
    <w:lvl w:ilvl="7" w:tplc="08070019" w:tentative="1">
      <w:start w:val="1"/>
      <w:numFmt w:val="lowerLetter"/>
      <w:lvlText w:val="%8."/>
      <w:lvlJc w:val="left"/>
      <w:pPr>
        <w:ind w:left="6469" w:hanging="360"/>
      </w:pPr>
    </w:lvl>
    <w:lvl w:ilvl="8" w:tplc="0807001B" w:tentative="1">
      <w:start w:val="1"/>
      <w:numFmt w:val="lowerRoman"/>
      <w:lvlText w:val="%9."/>
      <w:lvlJc w:val="right"/>
      <w:pPr>
        <w:ind w:left="7189" w:hanging="180"/>
      </w:pPr>
    </w:lvl>
  </w:abstractNum>
  <w:abstractNum w:abstractNumId="5" w15:restartNumberingAfterBreak="0">
    <w:nsid w:val="282E1BA0"/>
    <w:multiLevelType w:val="hybridMultilevel"/>
    <w:tmpl w:val="EF3C6A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69A6535"/>
    <w:multiLevelType w:val="hybridMultilevel"/>
    <w:tmpl w:val="3CB68362"/>
    <w:lvl w:ilvl="0" w:tplc="B2367048">
      <w:start w:val="1"/>
      <w:numFmt w:val="bullet"/>
      <w:lvlText w:val=""/>
      <w:lvlJc w:val="left"/>
      <w:pPr>
        <w:ind w:left="1429" w:hanging="360"/>
      </w:pPr>
      <w:rPr>
        <w:rFonts w:ascii="Symbol" w:hAnsi="Symbol" w:hint="default"/>
      </w:rPr>
    </w:lvl>
    <w:lvl w:ilvl="1" w:tplc="08070003" w:tentative="1">
      <w:start w:val="1"/>
      <w:numFmt w:val="bullet"/>
      <w:lvlText w:val="o"/>
      <w:lvlJc w:val="left"/>
      <w:pPr>
        <w:ind w:left="2149" w:hanging="360"/>
      </w:pPr>
      <w:rPr>
        <w:rFonts w:ascii="Courier New" w:hAnsi="Courier New" w:cs="Courier New" w:hint="default"/>
      </w:rPr>
    </w:lvl>
    <w:lvl w:ilvl="2" w:tplc="08070005" w:tentative="1">
      <w:start w:val="1"/>
      <w:numFmt w:val="bullet"/>
      <w:lvlText w:val=""/>
      <w:lvlJc w:val="left"/>
      <w:pPr>
        <w:ind w:left="2869" w:hanging="360"/>
      </w:pPr>
      <w:rPr>
        <w:rFonts w:ascii="Wingdings" w:hAnsi="Wingdings" w:hint="default"/>
      </w:rPr>
    </w:lvl>
    <w:lvl w:ilvl="3" w:tplc="08070001" w:tentative="1">
      <w:start w:val="1"/>
      <w:numFmt w:val="bullet"/>
      <w:lvlText w:val=""/>
      <w:lvlJc w:val="left"/>
      <w:pPr>
        <w:ind w:left="3589" w:hanging="360"/>
      </w:pPr>
      <w:rPr>
        <w:rFonts w:ascii="Symbol" w:hAnsi="Symbol" w:hint="default"/>
      </w:rPr>
    </w:lvl>
    <w:lvl w:ilvl="4" w:tplc="08070003" w:tentative="1">
      <w:start w:val="1"/>
      <w:numFmt w:val="bullet"/>
      <w:lvlText w:val="o"/>
      <w:lvlJc w:val="left"/>
      <w:pPr>
        <w:ind w:left="4309" w:hanging="360"/>
      </w:pPr>
      <w:rPr>
        <w:rFonts w:ascii="Courier New" w:hAnsi="Courier New" w:cs="Courier New" w:hint="default"/>
      </w:rPr>
    </w:lvl>
    <w:lvl w:ilvl="5" w:tplc="08070005" w:tentative="1">
      <w:start w:val="1"/>
      <w:numFmt w:val="bullet"/>
      <w:lvlText w:val=""/>
      <w:lvlJc w:val="left"/>
      <w:pPr>
        <w:ind w:left="5029" w:hanging="360"/>
      </w:pPr>
      <w:rPr>
        <w:rFonts w:ascii="Wingdings" w:hAnsi="Wingdings" w:hint="default"/>
      </w:rPr>
    </w:lvl>
    <w:lvl w:ilvl="6" w:tplc="08070001" w:tentative="1">
      <w:start w:val="1"/>
      <w:numFmt w:val="bullet"/>
      <w:lvlText w:val=""/>
      <w:lvlJc w:val="left"/>
      <w:pPr>
        <w:ind w:left="5749" w:hanging="360"/>
      </w:pPr>
      <w:rPr>
        <w:rFonts w:ascii="Symbol" w:hAnsi="Symbol" w:hint="default"/>
      </w:rPr>
    </w:lvl>
    <w:lvl w:ilvl="7" w:tplc="08070003" w:tentative="1">
      <w:start w:val="1"/>
      <w:numFmt w:val="bullet"/>
      <w:lvlText w:val="o"/>
      <w:lvlJc w:val="left"/>
      <w:pPr>
        <w:ind w:left="6469" w:hanging="360"/>
      </w:pPr>
      <w:rPr>
        <w:rFonts w:ascii="Courier New" w:hAnsi="Courier New" w:cs="Courier New" w:hint="default"/>
      </w:rPr>
    </w:lvl>
    <w:lvl w:ilvl="8" w:tplc="08070005" w:tentative="1">
      <w:start w:val="1"/>
      <w:numFmt w:val="bullet"/>
      <w:lvlText w:val=""/>
      <w:lvlJc w:val="left"/>
      <w:pPr>
        <w:ind w:left="7189" w:hanging="360"/>
      </w:pPr>
      <w:rPr>
        <w:rFonts w:ascii="Wingdings" w:hAnsi="Wingdings" w:hint="default"/>
      </w:rPr>
    </w:lvl>
  </w:abstractNum>
  <w:abstractNum w:abstractNumId="7" w15:restartNumberingAfterBreak="0">
    <w:nsid w:val="378C3EEA"/>
    <w:multiLevelType w:val="hybridMultilevel"/>
    <w:tmpl w:val="205E0EF0"/>
    <w:lvl w:ilvl="0" w:tplc="4A1EE61A">
      <w:start w:val="1"/>
      <w:numFmt w:val="decimal"/>
      <w:lvlRestart w:val="0"/>
      <w:pStyle w:val="MDPI81references"/>
      <w:lvlText w:val="%1."/>
      <w:lvlJc w:val="left"/>
      <w:pPr>
        <w:ind w:left="425" w:hanging="425"/>
      </w:pPr>
      <w:rPr>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92B54D3"/>
    <w:multiLevelType w:val="hybridMultilevel"/>
    <w:tmpl w:val="F10C18C6"/>
    <w:lvl w:ilvl="0" w:tplc="A9722A02">
      <w:start w:val="1"/>
      <w:numFmt w:val="decimal"/>
      <w:lvlRestart w:val="0"/>
      <w:pStyle w:val="MDPI37itemize"/>
      <w:lvlText w:val="%1."/>
      <w:lvlJc w:val="left"/>
      <w:pPr>
        <w:ind w:left="3033" w:hanging="425"/>
      </w:pPr>
      <w:rPr>
        <w:b w:val="0"/>
        <w:i w:val="0"/>
        <w:sz w:val="20"/>
        <w:vertAlign w:val="baseline"/>
      </w:rPr>
    </w:lvl>
    <w:lvl w:ilvl="1" w:tplc="04090019" w:tentative="1">
      <w:start w:val="1"/>
      <w:numFmt w:val="lowerLetter"/>
      <w:lvlText w:val="%2."/>
      <w:lvlJc w:val="left"/>
      <w:pPr>
        <w:ind w:left="4048" w:hanging="360"/>
      </w:pPr>
    </w:lvl>
    <w:lvl w:ilvl="2" w:tplc="0409001B" w:tentative="1">
      <w:start w:val="1"/>
      <w:numFmt w:val="lowerRoman"/>
      <w:lvlText w:val="%3."/>
      <w:lvlJc w:val="right"/>
      <w:pPr>
        <w:ind w:left="4768" w:hanging="180"/>
      </w:pPr>
    </w:lvl>
    <w:lvl w:ilvl="3" w:tplc="0409000F" w:tentative="1">
      <w:start w:val="1"/>
      <w:numFmt w:val="decimal"/>
      <w:lvlText w:val="%4."/>
      <w:lvlJc w:val="left"/>
      <w:pPr>
        <w:ind w:left="5488" w:hanging="360"/>
      </w:pPr>
    </w:lvl>
    <w:lvl w:ilvl="4" w:tplc="04090019" w:tentative="1">
      <w:start w:val="1"/>
      <w:numFmt w:val="lowerLetter"/>
      <w:lvlText w:val="%5."/>
      <w:lvlJc w:val="left"/>
      <w:pPr>
        <w:ind w:left="6208" w:hanging="360"/>
      </w:pPr>
    </w:lvl>
    <w:lvl w:ilvl="5" w:tplc="0409001B" w:tentative="1">
      <w:start w:val="1"/>
      <w:numFmt w:val="lowerRoman"/>
      <w:lvlText w:val="%6."/>
      <w:lvlJc w:val="right"/>
      <w:pPr>
        <w:ind w:left="6928" w:hanging="180"/>
      </w:pPr>
    </w:lvl>
    <w:lvl w:ilvl="6" w:tplc="0409000F" w:tentative="1">
      <w:start w:val="1"/>
      <w:numFmt w:val="decimal"/>
      <w:lvlText w:val="%7."/>
      <w:lvlJc w:val="left"/>
      <w:pPr>
        <w:ind w:left="7648" w:hanging="360"/>
      </w:pPr>
    </w:lvl>
    <w:lvl w:ilvl="7" w:tplc="04090019" w:tentative="1">
      <w:start w:val="1"/>
      <w:numFmt w:val="lowerLetter"/>
      <w:lvlText w:val="%8."/>
      <w:lvlJc w:val="left"/>
      <w:pPr>
        <w:ind w:left="8368" w:hanging="360"/>
      </w:pPr>
    </w:lvl>
    <w:lvl w:ilvl="8" w:tplc="0409001B" w:tentative="1">
      <w:start w:val="1"/>
      <w:numFmt w:val="lowerRoman"/>
      <w:lvlText w:val="%9."/>
      <w:lvlJc w:val="right"/>
      <w:pPr>
        <w:ind w:left="9088" w:hanging="180"/>
      </w:pPr>
    </w:lvl>
  </w:abstractNum>
  <w:abstractNum w:abstractNumId="9" w15:restartNumberingAfterBreak="0">
    <w:nsid w:val="52E2771B"/>
    <w:multiLevelType w:val="hybridMultilevel"/>
    <w:tmpl w:val="A2A06AAC"/>
    <w:lvl w:ilvl="0" w:tplc="C788203A">
      <w:start w:val="1"/>
      <w:numFmt w:val="decimal"/>
      <w:lvlRestart w:val="0"/>
      <w:lvlText w:val="%1"/>
      <w:lvlJc w:val="left"/>
      <w:pPr>
        <w:ind w:left="425" w:hanging="425"/>
      </w:pPr>
      <w:rPr>
        <w:rFonts w:hint="eastAsia"/>
        <w:caps w:val="0"/>
        <w:strike w:val="0"/>
        <w:dstrike w:val="0"/>
        <w:vanish w:val="0"/>
        <w:sz w:val="18"/>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4075B53"/>
    <w:multiLevelType w:val="hybridMultilevel"/>
    <w:tmpl w:val="A0DCA02E"/>
    <w:lvl w:ilvl="0" w:tplc="5CB0595C">
      <w:start w:val="1"/>
      <w:numFmt w:val="decimal"/>
      <w:lvlRestart w:val="0"/>
      <w:lvlText w:val="%1."/>
      <w:lvlJc w:val="left"/>
      <w:pPr>
        <w:ind w:left="3033" w:hanging="425"/>
      </w:pPr>
    </w:lvl>
    <w:lvl w:ilvl="1" w:tplc="04090019" w:tentative="1">
      <w:start w:val="1"/>
      <w:numFmt w:val="lowerLetter"/>
      <w:lvlText w:val="%2."/>
      <w:lvlJc w:val="left"/>
      <w:pPr>
        <w:ind w:left="3691" w:hanging="360"/>
      </w:pPr>
    </w:lvl>
    <w:lvl w:ilvl="2" w:tplc="0409001B" w:tentative="1">
      <w:start w:val="1"/>
      <w:numFmt w:val="lowerRoman"/>
      <w:lvlText w:val="%3."/>
      <w:lvlJc w:val="right"/>
      <w:pPr>
        <w:ind w:left="4411" w:hanging="180"/>
      </w:pPr>
    </w:lvl>
    <w:lvl w:ilvl="3" w:tplc="0409000F" w:tentative="1">
      <w:start w:val="1"/>
      <w:numFmt w:val="decimal"/>
      <w:lvlText w:val="%4."/>
      <w:lvlJc w:val="left"/>
      <w:pPr>
        <w:ind w:left="5131" w:hanging="360"/>
      </w:pPr>
    </w:lvl>
    <w:lvl w:ilvl="4" w:tplc="04090019" w:tentative="1">
      <w:start w:val="1"/>
      <w:numFmt w:val="lowerLetter"/>
      <w:lvlText w:val="%5."/>
      <w:lvlJc w:val="left"/>
      <w:pPr>
        <w:ind w:left="5851" w:hanging="360"/>
      </w:pPr>
    </w:lvl>
    <w:lvl w:ilvl="5" w:tplc="0409001B" w:tentative="1">
      <w:start w:val="1"/>
      <w:numFmt w:val="lowerRoman"/>
      <w:lvlText w:val="%6."/>
      <w:lvlJc w:val="right"/>
      <w:pPr>
        <w:ind w:left="6571" w:hanging="180"/>
      </w:pPr>
    </w:lvl>
    <w:lvl w:ilvl="6" w:tplc="0409000F" w:tentative="1">
      <w:start w:val="1"/>
      <w:numFmt w:val="decimal"/>
      <w:lvlText w:val="%7."/>
      <w:lvlJc w:val="left"/>
      <w:pPr>
        <w:ind w:left="7291" w:hanging="360"/>
      </w:pPr>
    </w:lvl>
    <w:lvl w:ilvl="7" w:tplc="04090019" w:tentative="1">
      <w:start w:val="1"/>
      <w:numFmt w:val="lowerLetter"/>
      <w:lvlText w:val="%8."/>
      <w:lvlJc w:val="left"/>
      <w:pPr>
        <w:ind w:left="8011" w:hanging="360"/>
      </w:pPr>
    </w:lvl>
    <w:lvl w:ilvl="8" w:tplc="0409001B" w:tentative="1">
      <w:start w:val="1"/>
      <w:numFmt w:val="lowerRoman"/>
      <w:lvlText w:val="%9."/>
      <w:lvlJc w:val="right"/>
      <w:pPr>
        <w:ind w:left="8731" w:hanging="180"/>
      </w:pPr>
    </w:lvl>
  </w:abstractNum>
  <w:abstractNum w:abstractNumId="11" w15:restartNumberingAfterBreak="0">
    <w:nsid w:val="706D5736"/>
    <w:multiLevelType w:val="hybridMultilevel"/>
    <w:tmpl w:val="7E201858"/>
    <w:lvl w:ilvl="0" w:tplc="7736F520">
      <w:start w:val="1"/>
      <w:numFmt w:val="decimal"/>
      <w:lvlRestart w:val="0"/>
      <w:lvlText w:val="%1."/>
      <w:lvlJc w:val="left"/>
      <w:pPr>
        <w:ind w:left="425" w:hanging="425"/>
      </w:pPr>
      <w:rPr>
        <w:rFonts w:hint="default"/>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8804142">
    <w:abstractNumId w:val="4"/>
  </w:num>
  <w:num w:numId="2" w16cid:durableId="635261278">
    <w:abstractNumId w:val="6"/>
  </w:num>
  <w:num w:numId="3" w16cid:durableId="77216493">
    <w:abstractNumId w:val="3"/>
  </w:num>
  <w:num w:numId="4" w16cid:durableId="33260894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762482102">
    <w:abstractNumId w:val="5"/>
  </w:num>
  <w:num w:numId="6" w16cid:durableId="275523985">
    <w:abstractNumId w:val="10"/>
  </w:num>
  <w:num w:numId="7" w16cid:durableId="1066802184">
    <w:abstractNumId w:val="2"/>
  </w:num>
  <w:num w:numId="8" w16cid:durableId="292104655">
    <w:abstractNumId w:val="10"/>
  </w:num>
  <w:num w:numId="9" w16cid:durableId="1445803672">
    <w:abstractNumId w:val="2"/>
  </w:num>
  <w:num w:numId="10" w16cid:durableId="532153886">
    <w:abstractNumId w:val="10"/>
  </w:num>
  <w:num w:numId="11" w16cid:durableId="511457512">
    <w:abstractNumId w:val="2"/>
  </w:num>
  <w:num w:numId="12" w16cid:durableId="1254556151">
    <w:abstractNumId w:val="11"/>
  </w:num>
  <w:num w:numId="13" w16cid:durableId="711537677">
    <w:abstractNumId w:val="10"/>
  </w:num>
  <w:num w:numId="14" w16cid:durableId="809204001">
    <w:abstractNumId w:val="2"/>
  </w:num>
  <w:num w:numId="15" w16cid:durableId="1919057007">
    <w:abstractNumId w:val="1"/>
  </w:num>
  <w:num w:numId="16" w16cid:durableId="1685747983">
    <w:abstractNumId w:val="9"/>
  </w:num>
  <w:num w:numId="17" w16cid:durableId="889465302">
    <w:abstractNumId w:val="0"/>
  </w:num>
  <w:num w:numId="18" w16cid:durableId="1229001600">
    <w:abstractNumId w:val="10"/>
  </w:num>
  <w:num w:numId="19" w16cid:durableId="753865636">
    <w:abstractNumId w:val="2"/>
  </w:num>
  <w:num w:numId="20" w16cid:durableId="783381512">
    <w:abstractNumId w:val="1"/>
  </w:num>
  <w:num w:numId="21" w16cid:durableId="943079305">
    <w:abstractNumId w:val="0"/>
  </w:num>
  <w:num w:numId="22" w16cid:durableId="848104476">
    <w:abstractNumId w:val="8"/>
  </w:num>
  <w:num w:numId="23" w16cid:durableId="100204846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8"/>
  <w:bordersDoNotSurroundHeader/>
  <w:bordersDoNotSurroundFooter/>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510"/>
  <w:autoHyphenation/>
  <w:drawingGridHorizontalSpacing w:val="10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356F"/>
    <w:rsid w:val="00000C91"/>
    <w:rsid w:val="0000116C"/>
    <w:rsid w:val="00011790"/>
    <w:rsid w:val="00011DEF"/>
    <w:rsid w:val="0001568A"/>
    <w:rsid w:val="00030723"/>
    <w:rsid w:val="00046F7B"/>
    <w:rsid w:val="00054553"/>
    <w:rsid w:val="000576D6"/>
    <w:rsid w:val="000748CA"/>
    <w:rsid w:val="0007718C"/>
    <w:rsid w:val="00082B6F"/>
    <w:rsid w:val="00091C0A"/>
    <w:rsid w:val="000920CF"/>
    <w:rsid w:val="0009228B"/>
    <w:rsid w:val="000A45D0"/>
    <w:rsid w:val="000B00EB"/>
    <w:rsid w:val="000C3591"/>
    <w:rsid w:val="000D66EC"/>
    <w:rsid w:val="000E4232"/>
    <w:rsid w:val="000F6A97"/>
    <w:rsid w:val="00104BAB"/>
    <w:rsid w:val="0011148F"/>
    <w:rsid w:val="00114184"/>
    <w:rsid w:val="00126029"/>
    <w:rsid w:val="0014356F"/>
    <w:rsid w:val="00144A9D"/>
    <w:rsid w:val="00144FF8"/>
    <w:rsid w:val="00185E1B"/>
    <w:rsid w:val="0019088E"/>
    <w:rsid w:val="00190B90"/>
    <w:rsid w:val="00193755"/>
    <w:rsid w:val="0019492E"/>
    <w:rsid w:val="001A4E10"/>
    <w:rsid w:val="001A4F98"/>
    <w:rsid w:val="001B51E8"/>
    <w:rsid w:val="001E2AEB"/>
    <w:rsid w:val="001E389F"/>
    <w:rsid w:val="001F18FB"/>
    <w:rsid w:val="00203272"/>
    <w:rsid w:val="00203865"/>
    <w:rsid w:val="00204A6E"/>
    <w:rsid w:val="00205AEE"/>
    <w:rsid w:val="0022012B"/>
    <w:rsid w:val="002213BB"/>
    <w:rsid w:val="002324A6"/>
    <w:rsid w:val="00245FFF"/>
    <w:rsid w:val="00251049"/>
    <w:rsid w:val="00272F9B"/>
    <w:rsid w:val="00274CA1"/>
    <w:rsid w:val="0027551F"/>
    <w:rsid w:val="002777FC"/>
    <w:rsid w:val="0029360E"/>
    <w:rsid w:val="00295161"/>
    <w:rsid w:val="002A0273"/>
    <w:rsid w:val="002A1F0E"/>
    <w:rsid w:val="002B3D35"/>
    <w:rsid w:val="002B3D75"/>
    <w:rsid w:val="002B6F87"/>
    <w:rsid w:val="002C52F7"/>
    <w:rsid w:val="002E19E0"/>
    <w:rsid w:val="002F57DE"/>
    <w:rsid w:val="0031245A"/>
    <w:rsid w:val="00326141"/>
    <w:rsid w:val="00335D85"/>
    <w:rsid w:val="003456BF"/>
    <w:rsid w:val="0035397E"/>
    <w:rsid w:val="00367CC6"/>
    <w:rsid w:val="0037159F"/>
    <w:rsid w:val="003A4C39"/>
    <w:rsid w:val="003C296D"/>
    <w:rsid w:val="003D0EFA"/>
    <w:rsid w:val="003D6EFE"/>
    <w:rsid w:val="003F3A7D"/>
    <w:rsid w:val="00401D30"/>
    <w:rsid w:val="0040267F"/>
    <w:rsid w:val="00426F7A"/>
    <w:rsid w:val="00450032"/>
    <w:rsid w:val="004535BF"/>
    <w:rsid w:val="00497B90"/>
    <w:rsid w:val="004B636E"/>
    <w:rsid w:val="004C4E50"/>
    <w:rsid w:val="004E204E"/>
    <w:rsid w:val="004E7F97"/>
    <w:rsid w:val="004F556D"/>
    <w:rsid w:val="00507625"/>
    <w:rsid w:val="005131B8"/>
    <w:rsid w:val="005167FA"/>
    <w:rsid w:val="00524B85"/>
    <w:rsid w:val="00545B32"/>
    <w:rsid w:val="00545EBD"/>
    <w:rsid w:val="00553331"/>
    <w:rsid w:val="00574F2C"/>
    <w:rsid w:val="005759DD"/>
    <w:rsid w:val="005763BA"/>
    <w:rsid w:val="005820D8"/>
    <w:rsid w:val="00582953"/>
    <w:rsid w:val="005B3BA2"/>
    <w:rsid w:val="005C2E60"/>
    <w:rsid w:val="005D2774"/>
    <w:rsid w:val="005E2668"/>
    <w:rsid w:val="005E2FB0"/>
    <w:rsid w:val="005E4200"/>
    <w:rsid w:val="00617012"/>
    <w:rsid w:val="00626AD1"/>
    <w:rsid w:val="00637345"/>
    <w:rsid w:val="00637D70"/>
    <w:rsid w:val="0066745C"/>
    <w:rsid w:val="00681ECB"/>
    <w:rsid w:val="00692393"/>
    <w:rsid w:val="006A6CCB"/>
    <w:rsid w:val="006B420C"/>
    <w:rsid w:val="006B586B"/>
    <w:rsid w:val="006D78C3"/>
    <w:rsid w:val="006E1E0E"/>
    <w:rsid w:val="006E28DF"/>
    <w:rsid w:val="006E7890"/>
    <w:rsid w:val="006F420C"/>
    <w:rsid w:val="006F7580"/>
    <w:rsid w:val="0070545A"/>
    <w:rsid w:val="007069B6"/>
    <w:rsid w:val="0074229F"/>
    <w:rsid w:val="007474B9"/>
    <w:rsid w:val="00751CC9"/>
    <w:rsid w:val="00770466"/>
    <w:rsid w:val="00777B91"/>
    <w:rsid w:val="00781074"/>
    <w:rsid w:val="00782E7E"/>
    <w:rsid w:val="007831BB"/>
    <w:rsid w:val="007B2023"/>
    <w:rsid w:val="007E4391"/>
    <w:rsid w:val="007F408F"/>
    <w:rsid w:val="007F761C"/>
    <w:rsid w:val="00840EB6"/>
    <w:rsid w:val="00865AC6"/>
    <w:rsid w:val="00876CFD"/>
    <w:rsid w:val="00890D3E"/>
    <w:rsid w:val="008A69EF"/>
    <w:rsid w:val="008B0C7D"/>
    <w:rsid w:val="008B3434"/>
    <w:rsid w:val="008C25EE"/>
    <w:rsid w:val="008C2B22"/>
    <w:rsid w:val="008C5543"/>
    <w:rsid w:val="008C5CDC"/>
    <w:rsid w:val="008C7E1B"/>
    <w:rsid w:val="008D7FE1"/>
    <w:rsid w:val="008E47BA"/>
    <w:rsid w:val="008F35AE"/>
    <w:rsid w:val="00920B66"/>
    <w:rsid w:val="00924EFD"/>
    <w:rsid w:val="009256E3"/>
    <w:rsid w:val="009363D5"/>
    <w:rsid w:val="00955546"/>
    <w:rsid w:val="0096340F"/>
    <w:rsid w:val="00963D06"/>
    <w:rsid w:val="009768FE"/>
    <w:rsid w:val="00977B78"/>
    <w:rsid w:val="009848CD"/>
    <w:rsid w:val="00987B63"/>
    <w:rsid w:val="00991AEB"/>
    <w:rsid w:val="0099337D"/>
    <w:rsid w:val="009B7215"/>
    <w:rsid w:val="009C70C1"/>
    <w:rsid w:val="009D4373"/>
    <w:rsid w:val="009E2650"/>
    <w:rsid w:val="009F2B1C"/>
    <w:rsid w:val="009F70E6"/>
    <w:rsid w:val="00A04347"/>
    <w:rsid w:val="00A16679"/>
    <w:rsid w:val="00A20A2F"/>
    <w:rsid w:val="00A21473"/>
    <w:rsid w:val="00A22449"/>
    <w:rsid w:val="00A360A1"/>
    <w:rsid w:val="00A51C24"/>
    <w:rsid w:val="00A540A8"/>
    <w:rsid w:val="00A74CFC"/>
    <w:rsid w:val="00A845AF"/>
    <w:rsid w:val="00A900CE"/>
    <w:rsid w:val="00A94FCE"/>
    <w:rsid w:val="00AA0B13"/>
    <w:rsid w:val="00AA2E1D"/>
    <w:rsid w:val="00AA5317"/>
    <w:rsid w:val="00AA6E73"/>
    <w:rsid w:val="00AB1222"/>
    <w:rsid w:val="00AB1652"/>
    <w:rsid w:val="00AB4CCE"/>
    <w:rsid w:val="00AD26F7"/>
    <w:rsid w:val="00AF4EF0"/>
    <w:rsid w:val="00AF671C"/>
    <w:rsid w:val="00B0026D"/>
    <w:rsid w:val="00B33A56"/>
    <w:rsid w:val="00B364D8"/>
    <w:rsid w:val="00B438D1"/>
    <w:rsid w:val="00B54E36"/>
    <w:rsid w:val="00B57424"/>
    <w:rsid w:val="00B63CC6"/>
    <w:rsid w:val="00B75A3E"/>
    <w:rsid w:val="00B83869"/>
    <w:rsid w:val="00B910B8"/>
    <w:rsid w:val="00B93938"/>
    <w:rsid w:val="00B96970"/>
    <w:rsid w:val="00BA7024"/>
    <w:rsid w:val="00BB1571"/>
    <w:rsid w:val="00BC17A1"/>
    <w:rsid w:val="00BC20AA"/>
    <w:rsid w:val="00BD22A7"/>
    <w:rsid w:val="00BE611E"/>
    <w:rsid w:val="00BE6753"/>
    <w:rsid w:val="00C17A75"/>
    <w:rsid w:val="00C40A53"/>
    <w:rsid w:val="00C5060F"/>
    <w:rsid w:val="00C52865"/>
    <w:rsid w:val="00C5334B"/>
    <w:rsid w:val="00C56DF6"/>
    <w:rsid w:val="00C62805"/>
    <w:rsid w:val="00CB03BE"/>
    <w:rsid w:val="00CB0BDA"/>
    <w:rsid w:val="00CB4AD1"/>
    <w:rsid w:val="00CC5F55"/>
    <w:rsid w:val="00CD1F36"/>
    <w:rsid w:val="00CF23B5"/>
    <w:rsid w:val="00D15C58"/>
    <w:rsid w:val="00D217C3"/>
    <w:rsid w:val="00D2224C"/>
    <w:rsid w:val="00D27A92"/>
    <w:rsid w:val="00D3185E"/>
    <w:rsid w:val="00D357AF"/>
    <w:rsid w:val="00D37AF3"/>
    <w:rsid w:val="00D532D0"/>
    <w:rsid w:val="00D53BED"/>
    <w:rsid w:val="00D54A14"/>
    <w:rsid w:val="00D55C50"/>
    <w:rsid w:val="00D56DF4"/>
    <w:rsid w:val="00D643D8"/>
    <w:rsid w:val="00D67296"/>
    <w:rsid w:val="00D86070"/>
    <w:rsid w:val="00DA4F3B"/>
    <w:rsid w:val="00DB07D2"/>
    <w:rsid w:val="00DF4766"/>
    <w:rsid w:val="00E2195C"/>
    <w:rsid w:val="00E22375"/>
    <w:rsid w:val="00E458A0"/>
    <w:rsid w:val="00E82845"/>
    <w:rsid w:val="00EC2BB7"/>
    <w:rsid w:val="00EC6134"/>
    <w:rsid w:val="00EC71EF"/>
    <w:rsid w:val="00EE6C9D"/>
    <w:rsid w:val="00EE7190"/>
    <w:rsid w:val="00EF30F2"/>
    <w:rsid w:val="00EF73EA"/>
    <w:rsid w:val="00F03F55"/>
    <w:rsid w:val="00F24F5F"/>
    <w:rsid w:val="00F34FEE"/>
    <w:rsid w:val="00F350EB"/>
    <w:rsid w:val="00F37401"/>
    <w:rsid w:val="00F40E40"/>
    <w:rsid w:val="00F72B92"/>
    <w:rsid w:val="00F87EDF"/>
    <w:rsid w:val="00F90ADA"/>
    <w:rsid w:val="00F94D43"/>
    <w:rsid w:val="00FA6ED5"/>
    <w:rsid w:val="00FB2944"/>
    <w:rsid w:val="00FC6BDC"/>
    <w:rsid w:val="00FE7F0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1E752FA"/>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761C"/>
    <w:pPr>
      <w:spacing w:line="280" w:lineRule="atLeast"/>
      <w:jc w:val="both"/>
    </w:pPr>
    <w:rPr>
      <w:rFonts w:ascii="Palatino Linotype" w:hAnsi="Palatino Linotype"/>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DPI11articletype">
    <w:name w:val="MDPI_1.1_article_type"/>
    <w:next w:val="Normal"/>
    <w:qFormat/>
    <w:rsid w:val="007F761C"/>
    <w:pPr>
      <w:adjustRightInd w:val="0"/>
      <w:snapToGrid w:val="0"/>
      <w:spacing w:before="240"/>
    </w:pPr>
    <w:rPr>
      <w:rFonts w:ascii="Palatino Linotype" w:eastAsia="Times New Roman" w:hAnsi="Palatino Linotype"/>
      <w:i/>
      <w:snapToGrid w:val="0"/>
      <w:color w:val="000000"/>
      <w:szCs w:val="22"/>
      <w:lang w:eastAsia="de-DE" w:bidi="en-US"/>
    </w:rPr>
  </w:style>
  <w:style w:type="paragraph" w:customStyle="1" w:styleId="MDPI12title">
    <w:name w:val="MDPI_1.2_title"/>
    <w:next w:val="Normal"/>
    <w:qFormat/>
    <w:rsid w:val="007F761C"/>
    <w:pPr>
      <w:adjustRightInd w:val="0"/>
      <w:snapToGrid w:val="0"/>
      <w:spacing w:after="240" w:line="240" w:lineRule="atLeast"/>
    </w:pPr>
    <w:rPr>
      <w:rFonts w:ascii="Palatino Linotype" w:eastAsia="Times New Roman" w:hAnsi="Palatino Linotype"/>
      <w:b/>
      <w:snapToGrid w:val="0"/>
      <w:color w:val="000000"/>
      <w:sz w:val="36"/>
      <w:lang w:eastAsia="de-DE" w:bidi="en-US"/>
    </w:rPr>
  </w:style>
  <w:style w:type="paragraph" w:customStyle="1" w:styleId="MDPI13authornames">
    <w:name w:val="MDPI_1.3_authornames"/>
    <w:next w:val="Normal"/>
    <w:qFormat/>
    <w:rsid w:val="007F761C"/>
    <w:pPr>
      <w:adjustRightInd w:val="0"/>
      <w:snapToGrid w:val="0"/>
      <w:spacing w:after="360" w:line="260" w:lineRule="atLeast"/>
    </w:pPr>
    <w:rPr>
      <w:rFonts w:ascii="Palatino Linotype" w:eastAsia="Times New Roman" w:hAnsi="Palatino Linotype"/>
      <w:b/>
      <w:color w:val="000000"/>
      <w:szCs w:val="22"/>
      <w:lang w:eastAsia="de-DE" w:bidi="en-US"/>
    </w:rPr>
  </w:style>
  <w:style w:type="paragraph" w:customStyle="1" w:styleId="MDPI14history">
    <w:name w:val="MDPI_1.4_history"/>
    <w:basedOn w:val="Normal"/>
    <w:next w:val="Normal"/>
    <w:qFormat/>
    <w:rsid w:val="007F761C"/>
    <w:pPr>
      <w:adjustRightInd w:val="0"/>
      <w:snapToGrid w:val="0"/>
      <w:spacing w:line="240" w:lineRule="atLeast"/>
      <w:ind w:right="113"/>
      <w:jc w:val="left"/>
    </w:pPr>
    <w:rPr>
      <w:rFonts w:eastAsia="Times New Roman"/>
      <w:sz w:val="14"/>
      <w:lang w:eastAsia="de-DE" w:bidi="en-US"/>
    </w:rPr>
  </w:style>
  <w:style w:type="paragraph" w:customStyle="1" w:styleId="MDPI16affiliation">
    <w:name w:val="MDPI_1.6_affiliation"/>
    <w:qFormat/>
    <w:rsid w:val="007F761C"/>
    <w:pPr>
      <w:adjustRightInd w:val="0"/>
      <w:snapToGrid w:val="0"/>
      <w:spacing w:line="200" w:lineRule="atLeast"/>
      <w:ind w:left="2806" w:hanging="198"/>
    </w:pPr>
    <w:rPr>
      <w:rFonts w:ascii="Palatino Linotype" w:eastAsia="Times New Roman" w:hAnsi="Palatino Linotype"/>
      <w:color w:val="000000"/>
      <w:sz w:val="16"/>
      <w:szCs w:val="18"/>
      <w:lang w:eastAsia="de-DE" w:bidi="en-US"/>
    </w:rPr>
  </w:style>
  <w:style w:type="paragraph" w:customStyle="1" w:styleId="MDPI17abstract">
    <w:name w:val="MDPI_1.7_abstract"/>
    <w:next w:val="Normal"/>
    <w:qFormat/>
    <w:rsid w:val="007F761C"/>
    <w:pPr>
      <w:adjustRightInd w:val="0"/>
      <w:snapToGrid w:val="0"/>
      <w:spacing w:before="240" w:after="120" w:line="280" w:lineRule="atLeast"/>
      <w:ind w:left="2608"/>
      <w:jc w:val="both"/>
    </w:pPr>
    <w:rPr>
      <w:rFonts w:ascii="Palatino Linotype" w:eastAsia="Times New Roman" w:hAnsi="Palatino Linotype"/>
      <w:color w:val="000000"/>
      <w:szCs w:val="22"/>
      <w:lang w:eastAsia="de-DE" w:bidi="en-US"/>
    </w:rPr>
  </w:style>
  <w:style w:type="paragraph" w:customStyle="1" w:styleId="MDPI18keywords">
    <w:name w:val="MDPI_1.8_keywords"/>
    <w:next w:val="Normal"/>
    <w:qFormat/>
    <w:rsid w:val="007F761C"/>
    <w:pPr>
      <w:adjustRightInd w:val="0"/>
      <w:snapToGrid w:val="0"/>
      <w:spacing w:before="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19line">
    <w:name w:val="MDPI_1.9_line"/>
    <w:qFormat/>
    <w:rsid w:val="007F761C"/>
    <w:pPr>
      <w:pBdr>
        <w:bottom w:val="single" w:sz="6" w:space="1" w:color="auto"/>
      </w:pBdr>
      <w:adjustRightInd w:val="0"/>
      <w:snapToGrid w:val="0"/>
      <w:spacing w:after="480" w:line="280" w:lineRule="atLeast"/>
      <w:ind w:left="2608"/>
      <w:jc w:val="both"/>
    </w:pPr>
    <w:rPr>
      <w:rFonts w:ascii="Palatino Linotype" w:eastAsia="Times New Roman" w:hAnsi="Palatino Linotype" w:cs="Cordia New"/>
      <w:color w:val="000000"/>
      <w:szCs w:val="24"/>
      <w:lang w:eastAsia="de-DE" w:bidi="en-US"/>
    </w:rPr>
  </w:style>
  <w:style w:type="table" w:customStyle="1" w:styleId="Mdeck5tablebodythreelines">
    <w:name w:val="M_deck_5_table_body_three_lines"/>
    <w:basedOn w:val="TableNormal"/>
    <w:uiPriority w:val="99"/>
    <w:rsid w:val="0014356F"/>
    <w:pPr>
      <w:adjustRightInd w:val="0"/>
      <w:snapToGrid w:val="0"/>
      <w:spacing w:line="300" w:lineRule="exact"/>
      <w:jc w:val="center"/>
    </w:pPr>
    <w:rPr>
      <w:rFonts w:ascii="Times New Roman" w:hAnsi="Times New Roman"/>
      <w:lang w:val="de-DE" w:eastAsia="de-DE"/>
    </w:rPr>
    <w:tblPr>
      <w:jc w:val="center"/>
      <w:tblBorders>
        <w:bottom w:val="single" w:sz="8" w:space="0" w:color="auto"/>
      </w:tblBorders>
    </w:tblPr>
    <w:trPr>
      <w:jc w:val="center"/>
    </w:trPr>
    <w:tcPr>
      <w:vAlign w:val="center"/>
    </w:tcPr>
    <w:tblStylePr w:type="firstRow">
      <w:pPr>
        <w:wordWrap/>
        <w:adjustRightInd w:val="0"/>
        <w:snapToGrid w:val="0"/>
        <w:spacing w:beforeLines="0" w:beforeAutospacing="0" w:afterLines="0" w:afterAutospacing="0" w:line="300" w:lineRule="exact"/>
        <w:ind w:leftChars="0" w:left="0" w:rightChars="0" w:right="0" w:firstLineChars="0" w:firstLine="0"/>
        <w:contextualSpacing w:val="0"/>
        <w:mirrorIndents w:val="0"/>
        <w:jc w:val="center"/>
        <w:outlineLvl w:val="9"/>
      </w:pPr>
      <w:rPr>
        <w:rFonts w:ascii="Times New Roman" w:eastAsia="Times New Roman" w:hAnsi="Times New Roman"/>
        <w:b w:val="0"/>
        <w:i w:val="0"/>
        <w:snapToGrid w:val="0"/>
        <w:sz w:val="22"/>
      </w:rPr>
      <w:tblPr/>
      <w:tcPr>
        <w:tcBorders>
          <w:top w:val="single" w:sz="8" w:space="0" w:color="auto"/>
          <w:left w:val="nil"/>
          <w:bottom w:val="single" w:sz="4" w:space="0" w:color="auto"/>
          <w:right w:val="nil"/>
          <w:insideH w:val="nil"/>
          <w:insideV w:val="nil"/>
          <w:tl2br w:val="nil"/>
          <w:tr2bl w:val="nil"/>
        </w:tcBorders>
      </w:tcPr>
    </w:tblStylePr>
  </w:style>
  <w:style w:type="table" w:styleId="TableGrid">
    <w:name w:val="Table Grid"/>
    <w:basedOn w:val="TableNormal"/>
    <w:uiPriority w:val="59"/>
    <w:rsid w:val="007F761C"/>
    <w:pPr>
      <w:spacing w:line="260" w:lineRule="atLeast"/>
      <w:jc w:val="both"/>
    </w:pPr>
    <w:rPr>
      <w:rFonts w:ascii="Palatino Linotype" w:hAnsi="Palatino Linotype"/>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rsid w:val="007F761C"/>
    <w:pPr>
      <w:tabs>
        <w:tab w:val="center" w:pos="4153"/>
        <w:tab w:val="right" w:pos="8306"/>
      </w:tabs>
      <w:snapToGrid w:val="0"/>
      <w:spacing w:line="240" w:lineRule="atLeast"/>
    </w:pPr>
    <w:rPr>
      <w:szCs w:val="18"/>
    </w:rPr>
  </w:style>
  <w:style w:type="character" w:customStyle="1" w:styleId="FooterChar">
    <w:name w:val="Footer Char"/>
    <w:link w:val="Footer"/>
    <w:uiPriority w:val="99"/>
    <w:rsid w:val="007F761C"/>
    <w:rPr>
      <w:rFonts w:ascii="Palatino Linotype" w:hAnsi="Palatino Linotype"/>
      <w:noProof/>
      <w:color w:val="000000"/>
      <w:szCs w:val="18"/>
    </w:rPr>
  </w:style>
  <w:style w:type="paragraph" w:styleId="Header">
    <w:name w:val="header"/>
    <w:basedOn w:val="Normal"/>
    <w:link w:val="HeaderChar"/>
    <w:uiPriority w:val="99"/>
    <w:rsid w:val="007F761C"/>
    <w:pPr>
      <w:pBdr>
        <w:bottom w:val="single" w:sz="6" w:space="1" w:color="auto"/>
      </w:pBdr>
      <w:tabs>
        <w:tab w:val="center" w:pos="4153"/>
        <w:tab w:val="right" w:pos="8306"/>
      </w:tabs>
      <w:snapToGrid w:val="0"/>
      <w:spacing w:line="240" w:lineRule="atLeast"/>
      <w:jc w:val="center"/>
    </w:pPr>
    <w:rPr>
      <w:szCs w:val="18"/>
    </w:rPr>
  </w:style>
  <w:style w:type="character" w:customStyle="1" w:styleId="HeaderChar">
    <w:name w:val="Header Char"/>
    <w:link w:val="Header"/>
    <w:uiPriority w:val="99"/>
    <w:rsid w:val="007F761C"/>
    <w:rPr>
      <w:rFonts w:ascii="Palatino Linotype" w:hAnsi="Palatino Linotype"/>
      <w:noProof/>
      <w:color w:val="000000"/>
      <w:szCs w:val="18"/>
    </w:rPr>
  </w:style>
  <w:style w:type="paragraph" w:customStyle="1" w:styleId="MDPI32textnoindent">
    <w:name w:val="MDPI_3.2_text_no_indent"/>
    <w:basedOn w:val="MDPI31text"/>
    <w:qFormat/>
    <w:rsid w:val="007F761C"/>
    <w:pPr>
      <w:ind w:firstLine="0"/>
    </w:pPr>
  </w:style>
  <w:style w:type="paragraph" w:customStyle="1" w:styleId="MDPI31text">
    <w:name w:val="MDPI_3.1_text"/>
    <w:qFormat/>
    <w:rsid w:val="00977B78"/>
    <w:pPr>
      <w:adjustRightInd w:val="0"/>
      <w:snapToGrid w:val="0"/>
      <w:spacing w:line="280" w:lineRule="atLeast"/>
      <w:ind w:left="2608" w:firstLine="425"/>
      <w:jc w:val="both"/>
    </w:pPr>
    <w:rPr>
      <w:rFonts w:ascii="Palatino Linotype" w:eastAsia="Times New Roman" w:hAnsi="Palatino Linotype"/>
      <w:snapToGrid w:val="0"/>
      <w:color w:val="000000"/>
      <w:szCs w:val="22"/>
      <w:lang w:eastAsia="de-DE" w:bidi="en-US"/>
    </w:rPr>
  </w:style>
  <w:style w:type="paragraph" w:customStyle="1" w:styleId="MDPI33textspaceafter">
    <w:name w:val="MDPI_3.3_text_space_after"/>
    <w:qFormat/>
    <w:rsid w:val="007F761C"/>
    <w:pPr>
      <w:adjustRightInd w:val="0"/>
      <w:snapToGrid w:val="0"/>
      <w:spacing w:after="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5textbeforelist">
    <w:name w:val="MDPI_3.5_text_before_list"/>
    <w:qFormat/>
    <w:rsid w:val="007F761C"/>
    <w:pPr>
      <w:adjustRightInd w:val="0"/>
      <w:snapToGrid w:val="0"/>
      <w:spacing w:line="280" w:lineRule="atLeast"/>
      <w:ind w:left="2608" w:firstLine="425"/>
      <w:jc w:val="both"/>
    </w:pPr>
    <w:rPr>
      <w:rFonts w:ascii="Palatino Linotype" w:eastAsia="Times New Roman" w:hAnsi="Palatino Linotype"/>
      <w:snapToGrid w:val="0"/>
      <w:color w:val="000000"/>
      <w:szCs w:val="22"/>
      <w:lang w:eastAsia="de-DE" w:bidi="en-US"/>
    </w:rPr>
  </w:style>
  <w:style w:type="paragraph" w:customStyle="1" w:styleId="MDPI36textafterlist">
    <w:name w:val="MDPI_3.6_text_after_list"/>
    <w:qFormat/>
    <w:rsid w:val="007F761C"/>
    <w:pPr>
      <w:adjustRightInd w:val="0"/>
      <w:snapToGrid w:val="0"/>
      <w:spacing w:before="12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7itemize">
    <w:name w:val="MDPI_3.7_itemize"/>
    <w:qFormat/>
    <w:rsid w:val="00A360A1"/>
    <w:pPr>
      <w:numPr>
        <w:numId w:val="22"/>
      </w:numPr>
      <w:adjustRightInd w:val="0"/>
      <w:snapToGrid w:val="0"/>
      <w:spacing w:line="280" w:lineRule="atLeast"/>
      <w:jc w:val="both"/>
    </w:pPr>
    <w:rPr>
      <w:rFonts w:ascii="Palatino Linotype" w:eastAsia="Times New Roman" w:hAnsi="Palatino Linotype"/>
      <w:color w:val="000000"/>
      <w:szCs w:val="22"/>
      <w:lang w:eastAsia="de-DE" w:bidi="en-US"/>
    </w:rPr>
  </w:style>
  <w:style w:type="paragraph" w:customStyle="1" w:styleId="MDPI38bullet">
    <w:name w:val="MDPI_3.8_bullet"/>
    <w:qFormat/>
    <w:rsid w:val="00A360A1"/>
    <w:pPr>
      <w:numPr>
        <w:numId w:val="20"/>
      </w:numPr>
      <w:adjustRightInd w:val="0"/>
      <w:snapToGrid w:val="0"/>
      <w:spacing w:line="280" w:lineRule="atLeast"/>
      <w:jc w:val="both"/>
    </w:pPr>
    <w:rPr>
      <w:rFonts w:ascii="Palatino Linotype" w:eastAsia="Times New Roman" w:hAnsi="Palatino Linotype"/>
      <w:color w:val="000000"/>
      <w:szCs w:val="22"/>
      <w:lang w:eastAsia="de-DE" w:bidi="en-US"/>
    </w:rPr>
  </w:style>
  <w:style w:type="paragraph" w:customStyle="1" w:styleId="MDPI39equation">
    <w:name w:val="MDPI_3.9_equation"/>
    <w:qFormat/>
    <w:rsid w:val="007F761C"/>
    <w:pPr>
      <w:adjustRightInd w:val="0"/>
      <w:snapToGrid w:val="0"/>
      <w:spacing w:before="120" w:after="120" w:line="280" w:lineRule="atLeast"/>
      <w:ind w:left="709"/>
      <w:jc w:val="center"/>
    </w:pPr>
    <w:rPr>
      <w:rFonts w:ascii="Palatino Linotype" w:eastAsia="Times New Roman" w:hAnsi="Palatino Linotype"/>
      <w:snapToGrid w:val="0"/>
      <w:color w:val="000000"/>
      <w:szCs w:val="22"/>
      <w:lang w:eastAsia="de-DE" w:bidi="en-US"/>
    </w:rPr>
  </w:style>
  <w:style w:type="paragraph" w:customStyle="1" w:styleId="MDPI3aequationnumber">
    <w:name w:val="MDPI_3.a_equation_number"/>
    <w:qFormat/>
    <w:rsid w:val="007F761C"/>
    <w:pPr>
      <w:spacing w:before="120" w:after="120" w:line="280" w:lineRule="atLeast"/>
      <w:jc w:val="right"/>
    </w:pPr>
    <w:rPr>
      <w:rFonts w:ascii="Palatino Linotype" w:eastAsia="Times New Roman" w:hAnsi="Palatino Linotype"/>
      <w:snapToGrid w:val="0"/>
      <w:color w:val="000000"/>
      <w:szCs w:val="22"/>
      <w:lang w:eastAsia="de-DE" w:bidi="en-US"/>
    </w:rPr>
  </w:style>
  <w:style w:type="paragraph" w:customStyle="1" w:styleId="MDPI41tablecaption">
    <w:name w:val="MDPI_4.1_table_caption"/>
    <w:qFormat/>
    <w:rsid w:val="007F761C"/>
    <w:pPr>
      <w:adjustRightInd w:val="0"/>
      <w:snapToGrid w:val="0"/>
      <w:spacing w:before="240" w:after="120" w:line="280" w:lineRule="atLeast"/>
      <w:ind w:left="2608"/>
      <w:jc w:val="both"/>
    </w:pPr>
    <w:rPr>
      <w:rFonts w:ascii="Palatino Linotype" w:eastAsia="Times New Roman" w:hAnsi="Palatino Linotype" w:cs="Cordia New"/>
      <w:color w:val="000000"/>
      <w:sz w:val="18"/>
      <w:szCs w:val="22"/>
      <w:lang w:eastAsia="de-DE" w:bidi="en-US"/>
    </w:rPr>
  </w:style>
  <w:style w:type="paragraph" w:customStyle="1" w:styleId="MDPI42tablebody">
    <w:name w:val="MDPI_4.2_table_body"/>
    <w:qFormat/>
    <w:rsid w:val="00AF671C"/>
    <w:pPr>
      <w:adjustRightInd w:val="0"/>
      <w:snapToGrid w:val="0"/>
      <w:spacing w:line="260" w:lineRule="atLeast"/>
      <w:jc w:val="center"/>
    </w:pPr>
    <w:rPr>
      <w:rFonts w:ascii="Palatino Linotype" w:eastAsia="Times New Roman" w:hAnsi="Palatino Linotype"/>
      <w:snapToGrid w:val="0"/>
      <w:color w:val="000000"/>
      <w:lang w:eastAsia="de-DE" w:bidi="en-US"/>
    </w:rPr>
  </w:style>
  <w:style w:type="paragraph" w:customStyle="1" w:styleId="MDPI43tablefooter">
    <w:name w:val="MDPI_4.3_table_footer"/>
    <w:next w:val="MDPI31text"/>
    <w:qFormat/>
    <w:rsid w:val="007F761C"/>
    <w:pPr>
      <w:adjustRightInd w:val="0"/>
      <w:snapToGrid w:val="0"/>
      <w:spacing w:line="280" w:lineRule="atLeast"/>
      <w:ind w:left="2608"/>
      <w:jc w:val="both"/>
    </w:pPr>
    <w:rPr>
      <w:rFonts w:ascii="Palatino Linotype" w:eastAsia="Times New Roman" w:hAnsi="Palatino Linotype" w:cs="Cordia New"/>
      <w:color w:val="000000"/>
      <w:sz w:val="18"/>
      <w:szCs w:val="22"/>
      <w:lang w:eastAsia="de-DE" w:bidi="en-US"/>
    </w:rPr>
  </w:style>
  <w:style w:type="paragraph" w:customStyle="1" w:styleId="MDPI51figurecaption">
    <w:name w:val="MDPI_5.1_figure_caption"/>
    <w:qFormat/>
    <w:rsid w:val="007F761C"/>
    <w:pPr>
      <w:adjustRightInd w:val="0"/>
      <w:snapToGrid w:val="0"/>
      <w:spacing w:before="120" w:after="240" w:line="280" w:lineRule="atLeast"/>
      <w:ind w:left="2608"/>
      <w:jc w:val="both"/>
    </w:pPr>
    <w:rPr>
      <w:rFonts w:ascii="Palatino Linotype" w:eastAsia="Times New Roman" w:hAnsi="Palatino Linotype"/>
      <w:color w:val="000000"/>
      <w:sz w:val="18"/>
      <w:lang w:eastAsia="de-DE" w:bidi="en-US"/>
    </w:rPr>
  </w:style>
  <w:style w:type="paragraph" w:customStyle="1" w:styleId="MDPI52figure">
    <w:name w:val="MDPI_5.2_figure"/>
    <w:qFormat/>
    <w:rsid w:val="007F761C"/>
    <w:pPr>
      <w:adjustRightInd w:val="0"/>
      <w:snapToGrid w:val="0"/>
      <w:spacing w:before="240" w:after="120"/>
      <w:jc w:val="center"/>
    </w:pPr>
    <w:rPr>
      <w:rFonts w:ascii="Palatino Linotype" w:eastAsia="Times New Roman" w:hAnsi="Palatino Linotype"/>
      <w:snapToGrid w:val="0"/>
      <w:color w:val="000000"/>
      <w:lang w:eastAsia="de-DE" w:bidi="en-US"/>
    </w:rPr>
  </w:style>
  <w:style w:type="paragraph" w:customStyle="1" w:styleId="MDPI23heading3">
    <w:name w:val="MDPI_2.3_heading3"/>
    <w:qFormat/>
    <w:rsid w:val="007F761C"/>
    <w:pPr>
      <w:adjustRightInd w:val="0"/>
      <w:snapToGrid w:val="0"/>
      <w:spacing w:before="60" w:after="60" w:line="280" w:lineRule="atLeast"/>
      <w:ind w:left="2608"/>
      <w:outlineLvl w:val="2"/>
    </w:pPr>
    <w:rPr>
      <w:rFonts w:ascii="Palatino Linotype" w:eastAsia="Times New Roman" w:hAnsi="Palatino Linotype"/>
      <w:snapToGrid w:val="0"/>
      <w:color w:val="000000"/>
      <w:szCs w:val="22"/>
      <w:lang w:eastAsia="de-DE" w:bidi="en-US"/>
    </w:rPr>
  </w:style>
  <w:style w:type="paragraph" w:customStyle="1" w:styleId="MDPI21heading1">
    <w:name w:val="MDPI_2.1_heading1"/>
    <w:qFormat/>
    <w:rsid w:val="007F761C"/>
    <w:pPr>
      <w:adjustRightInd w:val="0"/>
      <w:snapToGrid w:val="0"/>
      <w:spacing w:before="240" w:after="60" w:line="280" w:lineRule="atLeast"/>
      <w:ind w:left="2608"/>
      <w:outlineLvl w:val="0"/>
    </w:pPr>
    <w:rPr>
      <w:rFonts w:ascii="Palatino Linotype" w:eastAsia="Times New Roman" w:hAnsi="Palatino Linotype"/>
      <w:b/>
      <w:snapToGrid w:val="0"/>
      <w:color w:val="000000"/>
      <w:sz w:val="24"/>
      <w:szCs w:val="22"/>
      <w:lang w:eastAsia="de-DE" w:bidi="en-US"/>
    </w:rPr>
  </w:style>
  <w:style w:type="paragraph" w:customStyle="1" w:styleId="MDPI22heading2">
    <w:name w:val="MDPI_2.2_heading2"/>
    <w:qFormat/>
    <w:rsid w:val="007F761C"/>
    <w:pPr>
      <w:adjustRightInd w:val="0"/>
      <w:snapToGrid w:val="0"/>
      <w:spacing w:before="60" w:after="60" w:line="280" w:lineRule="atLeast"/>
      <w:ind w:left="2608"/>
      <w:outlineLvl w:val="1"/>
    </w:pPr>
    <w:rPr>
      <w:rFonts w:ascii="Palatino Linotype" w:eastAsia="Times New Roman" w:hAnsi="Palatino Linotype"/>
      <w:i/>
      <w:noProof/>
      <w:snapToGrid w:val="0"/>
      <w:color w:val="000000"/>
      <w:szCs w:val="22"/>
      <w:lang w:eastAsia="de-DE" w:bidi="en-US"/>
    </w:rPr>
  </w:style>
  <w:style w:type="paragraph" w:customStyle="1" w:styleId="MDPI81references">
    <w:name w:val="MDPI_8.1_references"/>
    <w:qFormat/>
    <w:rsid w:val="0001568A"/>
    <w:pPr>
      <w:numPr>
        <w:numId w:val="23"/>
      </w:numPr>
      <w:adjustRightInd w:val="0"/>
      <w:snapToGrid w:val="0"/>
      <w:spacing w:line="280" w:lineRule="atLeast"/>
      <w:jc w:val="both"/>
    </w:pPr>
    <w:rPr>
      <w:rFonts w:ascii="Palatino Linotype" w:eastAsia="Times New Roman" w:hAnsi="Palatino Linotype"/>
      <w:color w:val="000000"/>
      <w:sz w:val="18"/>
      <w:lang w:eastAsia="de-DE" w:bidi="en-US"/>
    </w:rPr>
  </w:style>
  <w:style w:type="paragraph" w:styleId="BalloonText">
    <w:name w:val="Balloon Text"/>
    <w:basedOn w:val="Normal"/>
    <w:link w:val="BalloonTextChar"/>
    <w:uiPriority w:val="99"/>
    <w:rsid w:val="007F761C"/>
    <w:rPr>
      <w:rFonts w:cs="Tahoma"/>
      <w:szCs w:val="18"/>
    </w:rPr>
  </w:style>
  <w:style w:type="character" w:customStyle="1" w:styleId="BalloonTextChar">
    <w:name w:val="Balloon Text Char"/>
    <w:link w:val="BalloonText"/>
    <w:uiPriority w:val="99"/>
    <w:rsid w:val="007F761C"/>
    <w:rPr>
      <w:rFonts w:ascii="Palatino Linotype" w:hAnsi="Palatino Linotype" w:cs="Tahoma"/>
      <w:noProof/>
      <w:color w:val="000000"/>
      <w:szCs w:val="18"/>
    </w:rPr>
  </w:style>
  <w:style w:type="character" w:styleId="LineNumber">
    <w:name w:val="line number"/>
    <w:uiPriority w:val="99"/>
    <w:rsid w:val="00C62805"/>
    <w:rPr>
      <w:rFonts w:ascii="Palatino Linotype" w:hAnsi="Palatino Linotype"/>
      <w:sz w:val="16"/>
    </w:rPr>
  </w:style>
  <w:style w:type="table" w:customStyle="1" w:styleId="MDPI41threelinetable">
    <w:name w:val="MDPI_4.1_three_line_table"/>
    <w:basedOn w:val="TableNormal"/>
    <w:uiPriority w:val="99"/>
    <w:rsid w:val="007F761C"/>
    <w:pPr>
      <w:adjustRightInd w:val="0"/>
      <w:snapToGrid w:val="0"/>
      <w:spacing w:line="280" w:lineRule="atLeast"/>
      <w:jc w:val="center"/>
    </w:pPr>
    <w:rPr>
      <w:rFonts w:ascii="Palatino Linotype" w:hAnsi="Palatino Linotype"/>
      <w:color w:val="000000"/>
    </w:rPr>
    <w:tblPr>
      <w:jc w:val="center"/>
      <w:tblBorders>
        <w:top w:val="single" w:sz="8" w:space="0" w:color="auto"/>
        <w:bottom w:val="single" w:sz="8" w:space="0" w:color="auto"/>
      </w:tblBorders>
    </w:tblPr>
    <w:trPr>
      <w:jc w:val="center"/>
    </w:trPr>
    <w:tcPr>
      <w:vAlign w:val="center"/>
    </w:tcPr>
    <w:tblStylePr w:type="firstRow">
      <w:rPr>
        <w:rFonts w:ascii="Palatino Linotype" w:hAnsi="Palatino Linotype"/>
        <w:b/>
        <w:i w:val="0"/>
        <w:sz w:val="20"/>
      </w:rPr>
      <w:tblPr/>
      <w:tcPr>
        <w:tcBorders>
          <w:bottom w:val="single" w:sz="4" w:space="0" w:color="auto"/>
        </w:tcBorders>
      </w:tcPr>
    </w:tblStylePr>
  </w:style>
  <w:style w:type="character" w:styleId="Hyperlink">
    <w:name w:val="Hyperlink"/>
    <w:uiPriority w:val="99"/>
    <w:rsid w:val="007F761C"/>
    <w:rPr>
      <w:color w:val="0000FF"/>
      <w:u w:val="single"/>
    </w:rPr>
  </w:style>
  <w:style w:type="character" w:styleId="UnresolvedMention">
    <w:name w:val="Unresolved Mention"/>
    <w:uiPriority w:val="99"/>
    <w:semiHidden/>
    <w:unhideWhenUsed/>
    <w:rsid w:val="009F2B1C"/>
    <w:rPr>
      <w:color w:val="605E5C"/>
      <w:shd w:val="clear" w:color="auto" w:fill="E1DFDD"/>
    </w:rPr>
  </w:style>
  <w:style w:type="table" w:styleId="PlainTable4">
    <w:name w:val="Plain Table 4"/>
    <w:basedOn w:val="TableNormal"/>
    <w:uiPriority w:val="44"/>
    <w:rsid w:val="00046F7B"/>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MDPI34textspacebefore">
    <w:name w:val="MDPI_3.4_text_space_before"/>
    <w:qFormat/>
    <w:rsid w:val="007F761C"/>
    <w:pPr>
      <w:adjustRightInd w:val="0"/>
      <w:snapToGrid w:val="0"/>
      <w:spacing w:before="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82theorem">
    <w:name w:val="MDPI_8.2_theorem"/>
    <w:qFormat/>
    <w:rsid w:val="007F761C"/>
    <w:pPr>
      <w:adjustRightInd w:val="0"/>
      <w:snapToGrid w:val="0"/>
      <w:spacing w:line="280" w:lineRule="atLeast"/>
      <w:ind w:left="2608"/>
      <w:jc w:val="both"/>
    </w:pPr>
    <w:rPr>
      <w:rFonts w:ascii="Palatino Linotype" w:eastAsia="Times New Roman" w:hAnsi="Palatino Linotype"/>
      <w:i/>
      <w:snapToGrid w:val="0"/>
      <w:color w:val="000000"/>
      <w:szCs w:val="22"/>
      <w:lang w:eastAsia="de-DE" w:bidi="en-US"/>
    </w:rPr>
  </w:style>
  <w:style w:type="paragraph" w:customStyle="1" w:styleId="MDPI83proof">
    <w:name w:val="MDPI_8.3_proof"/>
    <w:qFormat/>
    <w:rsid w:val="007F761C"/>
    <w:pPr>
      <w:adjustRightInd w:val="0"/>
      <w:snapToGrid w:val="0"/>
      <w:spacing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61citation">
    <w:name w:val="MDPI_6.1_citation"/>
    <w:qFormat/>
    <w:rsid w:val="007F761C"/>
    <w:pPr>
      <w:adjustRightInd w:val="0"/>
      <w:snapToGrid w:val="0"/>
      <w:spacing w:before="120" w:after="120" w:line="240" w:lineRule="atLeast"/>
      <w:ind w:right="113"/>
    </w:pPr>
    <w:rPr>
      <w:rFonts w:ascii="Palatino Linotype" w:hAnsi="Palatino Linotype" w:cs="Cordia New"/>
      <w:sz w:val="14"/>
      <w:szCs w:val="22"/>
    </w:rPr>
  </w:style>
  <w:style w:type="paragraph" w:customStyle="1" w:styleId="MDPI62backmatter">
    <w:name w:val="MDPI_6.2_back_matter"/>
    <w:qFormat/>
    <w:rsid w:val="007F761C"/>
    <w:pPr>
      <w:adjustRightInd w:val="0"/>
      <w:snapToGrid w:val="0"/>
      <w:spacing w:after="120" w:line="280" w:lineRule="atLeast"/>
      <w:ind w:left="2608"/>
      <w:jc w:val="both"/>
    </w:pPr>
    <w:rPr>
      <w:rFonts w:ascii="Palatino Linotype" w:eastAsia="Times New Roman" w:hAnsi="Palatino Linotype"/>
      <w:snapToGrid w:val="0"/>
      <w:color w:val="000000"/>
      <w:sz w:val="18"/>
      <w:lang w:eastAsia="en-US" w:bidi="en-US"/>
    </w:rPr>
  </w:style>
  <w:style w:type="paragraph" w:customStyle="1" w:styleId="MDPI63notes">
    <w:name w:val="MDPI_6.3_notes"/>
    <w:qFormat/>
    <w:rsid w:val="007F761C"/>
    <w:pPr>
      <w:adjustRightInd w:val="0"/>
      <w:snapToGrid w:val="0"/>
      <w:spacing w:before="240" w:line="280" w:lineRule="atLeast"/>
      <w:jc w:val="both"/>
    </w:pPr>
    <w:rPr>
      <w:rFonts w:ascii="Palatino Linotype" w:hAnsi="Palatino Linotype"/>
      <w:snapToGrid w:val="0"/>
      <w:color w:val="000000"/>
      <w:sz w:val="18"/>
      <w:lang w:eastAsia="en-US" w:bidi="en-US"/>
    </w:rPr>
  </w:style>
  <w:style w:type="paragraph" w:customStyle="1" w:styleId="MDPI15academiceditor">
    <w:name w:val="MDPI_1.5_academic_editor"/>
    <w:qFormat/>
    <w:rsid w:val="00D2224C"/>
    <w:pPr>
      <w:adjustRightInd w:val="0"/>
      <w:snapToGrid w:val="0"/>
      <w:spacing w:before="120" w:line="240" w:lineRule="atLeast"/>
      <w:ind w:right="113"/>
    </w:pPr>
    <w:rPr>
      <w:rFonts w:ascii="Palatino Linotype" w:eastAsia="Times New Roman" w:hAnsi="Palatino Linotype"/>
      <w:color w:val="000000"/>
      <w:sz w:val="14"/>
      <w:szCs w:val="22"/>
      <w:lang w:eastAsia="de-DE" w:bidi="en-US"/>
    </w:rPr>
  </w:style>
  <w:style w:type="paragraph" w:customStyle="1" w:styleId="MDPI411onetablecaption">
    <w:name w:val="MDPI_4.1.1_one_table_caption"/>
    <w:qFormat/>
    <w:rsid w:val="007F761C"/>
    <w:pPr>
      <w:adjustRightInd w:val="0"/>
      <w:snapToGrid w:val="0"/>
      <w:spacing w:before="240" w:after="120" w:line="280" w:lineRule="atLeast"/>
      <w:jc w:val="center"/>
    </w:pPr>
    <w:rPr>
      <w:rFonts w:ascii="Palatino Linotype" w:hAnsi="Palatino Linotype" w:cs="Cordia New"/>
      <w:noProof/>
      <w:color w:val="000000"/>
      <w:sz w:val="18"/>
      <w:szCs w:val="22"/>
      <w:lang w:bidi="en-US"/>
    </w:rPr>
  </w:style>
  <w:style w:type="paragraph" w:customStyle="1" w:styleId="MDPI511onefigurecaption">
    <w:name w:val="MDPI_5.1.1_one_figure_caption"/>
    <w:qFormat/>
    <w:rsid w:val="007F761C"/>
    <w:pPr>
      <w:adjustRightInd w:val="0"/>
      <w:snapToGrid w:val="0"/>
      <w:spacing w:before="240" w:after="120" w:line="280" w:lineRule="atLeast"/>
      <w:jc w:val="center"/>
    </w:pPr>
    <w:rPr>
      <w:rFonts w:ascii="Palatino Linotype" w:hAnsi="Palatino Linotype"/>
      <w:noProof/>
      <w:color w:val="000000"/>
      <w:sz w:val="18"/>
      <w:lang w:bidi="en-US"/>
    </w:rPr>
  </w:style>
  <w:style w:type="paragraph" w:customStyle="1" w:styleId="MDPI72copyright">
    <w:name w:val="MDPI_7.2_copyright"/>
    <w:qFormat/>
    <w:rsid w:val="00B364D8"/>
    <w:pPr>
      <w:adjustRightInd w:val="0"/>
      <w:snapToGrid w:val="0"/>
      <w:spacing w:before="120" w:line="240" w:lineRule="atLeast"/>
      <w:ind w:right="113"/>
    </w:pPr>
    <w:rPr>
      <w:rFonts w:ascii="Palatino Linotype" w:eastAsia="Times New Roman" w:hAnsi="Palatino Linotype"/>
      <w:noProof/>
      <w:snapToGrid w:val="0"/>
      <w:color w:val="000000"/>
      <w:sz w:val="14"/>
      <w:lang w:val="en-GB" w:eastAsia="en-GB"/>
    </w:rPr>
  </w:style>
  <w:style w:type="table" w:customStyle="1" w:styleId="MDPItable">
    <w:name w:val="MDPI_table"/>
    <w:basedOn w:val="TableNormal"/>
    <w:uiPriority w:val="99"/>
    <w:rsid w:val="007F761C"/>
    <w:rPr>
      <w:rFonts w:ascii="Palatino Linotype" w:hAnsi="Palatino Linotype"/>
      <w:color w:val="000000"/>
      <w:lang w:val="en-CA" w:eastAsia="en-US"/>
    </w:rPr>
    <w:tblPr>
      <w:tblCellMar>
        <w:left w:w="0" w:type="dxa"/>
        <w:right w:w="0" w:type="dxa"/>
      </w:tblCellMar>
    </w:tblPr>
  </w:style>
  <w:style w:type="character" w:customStyle="1" w:styleId="apple-converted-space">
    <w:name w:val="apple-converted-space"/>
    <w:rsid w:val="007F761C"/>
  </w:style>
  <w:style w:type="paragraph" w:styleId="Bibliography">
    <w:name w:val="Bibliography"/>
    <w:basedOn w:val="Normal"/>
    <w:next w:val="Normal"/>
    <w:uiPriority w:val="37"/>
    <w:semiHidden/>
    <w:unhideWhenUsed/>
    <w:rsid w:val="007F761C"/>
  </w:style>
  <w:style w:type="paragraph" w:styleId="BodyText">
    <w:name w:val="Body Text"/>
    <w:link w:val="BodyTextChar"/>
    <w:rsid w:val="007F761C"/>
    <w:pPr>
      <w:spacing w:after="120" w:line="340" w:lineRule="atLeast"/>
      <w:jc w:val="both"/>
    </w:pPr>
    <w:rPr>
      <w:rFonts w:ascii="Palatino Linotype" w:hAnsi="Palatino Linotype"/>
      <w:color w:val="000000"/>
      <w:sz w:val="24"/>
      <w:lang w:eastAsia="de-DE"/>
    </w:rPr>
  </w:style>
  <w:style w:type="character" w:customStyle="1" w:styleId="BodyTextChar">
    <w:name w:val="Body Text Char"/>
    <w:link w:val="BodyText"/>
    <w:rsid w:val="007F761C"/>
    <w:rPr>
      <w:rFonts w:ascii="Palatino Linotype" w:hAnsi="Palatino Linotype"/>
      <w:color w:val="000000"/>
      <w:sz w:val="24"/>
      <w:lang w:eastAsia="de-DE"/>
    </w:rPr>
  </w:style>
  <w:style w:type="character" w:styleId="CommentReference">
    <w:name w:val="annotation reference"/>
    <w:rsid w:val="007F761C"/>
    <w:rPr>
      <w:sz w:val="21"/>
      <w:szCs w:val="21"/>
    </w:rPr>
  </w:style>
  <w:style w:type="paragraph" w:styleId="CommentText">
    <w:name w:val="annotation text"/>
    <w:basedOn w:val="Normal"/>
    <w:link w:val="CommentTextChar"/>
    <w:rsid w:val="007F761C"/>
  </w:style>
  <w:style w:type="character" w:customStyle="1" w:styleId="CommentTextChar">
    <w:name w:val="Comment Text Char"/>
    <w:link w:val="CommentText"/>
    <w:rsid w:val="007F761C"/>
    <w:rPr>
      <w:rFonts w:ascii="Palatino Linotype" w:hAnsi="Palatino Linotype"/>
      <w:noProof/>
      <w:color w:val="000000"/>
    </w:rPr>
  </w:style>
  <w:style w:type="paragraph" w:styleId="CommentSubject">
    <w:name w:val="annotation subject"/>
    <w:basedOn w:val="CommentText"/>
    <w:next w:val="CommentText"/>
    <w:link w:val="CommentSubjectChar"/>
    <w:rsid w:val="007F761C"/>
    <w:rPr>
      <w:b/>
      <w:bCs/>
    </w:rPr>
  </w:style>
  <w:style w:type="character" w:customStyle="1" w:styleId="CommentSubjectChar">
    <w:name w:val="Comment Subject Char"/>
    <w:link w:val="CommentSubject"/>
    <w:rsid w:val="007F761C"/>
    <w:rPr>
      <w:rFonts w:ascii="Palatino Linotype" w:hAnsi="Palatino Linotype"/>
      <w:b/>
      <w:bCs/>
      <w:noProof/>
      <w:color w:val="000000"/>
    </w:rPr>
  </w:style>
  <w:style w:type="character" w:styleId="EndnoteReference">
    <w:name w:val="endnote reference"/>
    <w:rsid w:val="007F761C"/>
    <w:rPr>
      <w:vertAlign w:val="superscript"/>
    </w:rPr>
  </w:style>
  <w:style w:type="paragraph" w:styleId="EndnoteText">
    <w:name w:val="endnote text"/>
    <w:basedOn w:val="Normal"/>
    <w:link w:val="EndnoteTextChar"/>
    <w:semiHidden/>
    <w:unhideWhenUsed/>
    <w:rsid w:val="007F761C"/>
    <w:pPr>
      <w:spacing w:line="240" w:lineRule="auto"/>
    </w:pPr>
  </w:style>
  <w:style w:type="character" w:customStyle="1" w:styleId="EndnoteTextChar">
    <w:name w:val="Endnote Text Char"/>
    <w:link w:val="EndnoteText"/>
    <w:semiHidden/>
    <w:rsid w:val="007F761C"/>
    <w:rPr>
      <w:rFonts w:ascii="Palatino Linotype" w:hAnsi="Palatino Linotype"/>
      <w:noProof/>
      <w:color w:val="000000"/>
    </w:rPr>
  </w:style>
  <w:style w:type="character" w:styleId="FollowedHyperlink">
    <w:name w:val="FollowedHyperlink"/>
    <w:rsid w:val="007F761C"/>
    <w:rPr>
      <w:color w:val="954F72"/>
      <w:u w:val="single"/>
    </w:rPr>
  </w:style>
  <w:style w:type="paragraph" w:styleId="FootnoteText">
    <w:name w:val="footnote text"/>
    <w:basedOn w:val="Normal"/>
    <w:link w:val="FootnoteTextChar"/>
    <w:semiHidden/>
    <w:unhideWhenUsed/>
    <w:rsid w:val="007F761C"/>
    <w:pPr>
      <w:spacing w:line="240" w:lineRule="auto"/>
    </w:pPr>
  </w:style>
  <w:style w:type="character" w:customStyle="1" w:styleId="FootnoteTextChar">
    <w:name w:val="Footnote Text Char"/>
    <w:link w:val="FootnoteText"/>
    <w:semiHidden/>
    <w:rsid w:val="007F761C"/>
    <w:rPr>
      <w:rFonts w:ascii="Palatino Linotype" w:hAnsi="Palatino Linotype"/>
      <w:noProof/>
      <w:color w:val="000000"/>
    </w:rPr>
  </w:style>
  <w:style w:type="paragraph" w:styleId="NormalWeb">
    <w:name w:val="Normal (Web)"/>
    <w:basedOn w:val="Normal"/>
    <w:uiPriority w:val="99"/>
    <w:rsid w:val="007F761C"/>
    <w:rPr>
      <w:szCs w:val="24"/>
    </w:rPr>
  </w:style>
  <w:style w:type="paragraph" w:customStyle="1" w:styleId="MsoFootnoteText0">
    <w:name w:val="MsoFootnoteText"/>
    <w:basedOn w:val="NormalWeb"/>
    <w:qFormat/>
    <w:rsid w:val="007F761C"/>
    <w:rPr>
      <w:rFonts w:ascii="Times New Roman" w:hAnsi="Times New Roman"/>
    </w:rPr>
  </w:style>
  <w:style w:type="character" w:styleId="PageNumber">
    <w:name w:val="page number"/>
    <w:rsid w:val="007F761C"/>
  </w:style>
  <w:style w:type="character" w:styleId="PlaceholderText">
    <w:name w:val="Placeholder Text"/>
    <w:uiPriority w:val="99"/>
    <w:semiHidden/>
    <w:rsid w:val="007F761C"/>
    <w:rPr>
      <w:color w:val="808080"/>
    </w:rPr>
  </w:style>
  <w:style w:type="paragraph" w:customStyle="1" w:styleId="MDPI71footnotes">
    <w:name w:val="MDPI_7.1_footnotes"/>
    <w:qFormat/>
    <w:rsid w:val="007F408F"/>
    <w:pPr>
      <w:numPr>
        <w:numId w:val="21"/>
      </w:numPr>
      <w:adjustRightInd w:val="0"/>
      <w:snapToGrid w:val="0"/>
      <w:spacing w:line="280" w:lineRule="atLeast"/>
    </w:pPr>
    <w:rPr>
      <w:rFonts w:ascii="Palatino Linotype" w:eastAsiaTheme="minorEastAsia" w:hAnsi="Palatino Linotype"/>
      <w:noProof/>
      <w:color w:val="000000"/>
      <w:sz w:val="18"/>
    </w:rPr>
  </w:style>
  <w:style w:type="character" w:styleId="Strong">
    <w:name w:val="Strong"/>
    <w:basedOn w:val="DefaultParagraphFont"/>
    <w:uiPriority w:val="22"/>
    <w:qFormat/>
    <w:rsid w:val="0027551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iso-8859-6"/>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creativecommons.org/licenses/by/4.0/" TargetMode="External"/><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microsoft.com/office/2006/relationships/keyMapCustomizations" Target="customizations.xml"/><Relationship Id="rId6" Type="http://schemas.openxmlformats.org/officeDocument/2006/relationships/footnotes" Target="footnotes.xml"/><Relationship Id="rId11" Type="http://schemas.openxmlformats.org/officeDocument/2006/relationships/hyperlink" Target="https://img.mdpi.org/data/contributor-role-instruction.pdf" TargetMode="Externa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oter" Target="footer1.xml"/><Relationship Id="rId19" Type="http://schemas.openxmlformats.org/officeDocument/2006/relationships/image" Target="media/image5.png"/><Relationship Id="rId20" Type="http://schemas.openxmlformats.org/officeDocument/2006/relationships/image" Target="media/image6.png"/><Relationship Id="rId21" Type="http://schemas.openxmlformats.org/officeDocument/2006/relationships/image" Target="media/image7.png"/><Relationship Id="rId22" Type="http://schemas.openxmlformats.org/officeDocument/2006/relationships/image" Target="media/image8.png"/><Relationship Id="rId23" Type="http://schemas.openxmlformats.org/officeDocument/2006/relationships/image" Target="media/image9.png"/><Relationship Id="rId24" Type="http://schemas.openxmlformats.org/officeDocument/2006/relationships/image" Target="media/image10.png"/><Relationship Id="rId25" Type="http://schemas.openxmlformats.org/officeDocument/2006/relationships/image" Target="media/image11.png"/><Relationship Id="rId26" Type="http://schemas.openxmlformats.org/officeDocument/2006/relationships/image" Target="media/image12.png"/><Relationship Id="rId27" Type="http://schemas.openxmlformats.org/officeDocument/2006/relationships/image" Target="media/image13.png"/></Relationships>
</file>

<file path=word/_rels/header3.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remotesensing-template.dot</Template>
  <TotalTime>0</TotalTime>
  <Pages>6</Pages>
  <Words>2235</Words>
  <Characters>12746</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Type of the Paper (Article</vt:lpstr>
    </vt:vector>
  </TitlesOfParts>
  <Company/>
  <LinksUpToDate>false</LinksUpToDate>
  <CharactersWithSpaces>14952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Physics-Pretrained, Sample-Calibrated Deep Learning for Lunar Soil FeO, Mineralogy and Maturity from Moon Mineralogy Mapper Spectra</dc:title>
  <dc:subject/>
  <dc:creator>MDPI</dc:creator>
  <cp:keywords/>
  <dc:description/>
  <cp:lastModifiedBy>MDPI</cp:lastModifiedBy>
  <cp:revision>3</cp:revision>
  <dcterms:created xsi:type="dcterms:W3CDTF">2026-07-30T01:11:00Z</dcterms:created>
  <dcterms:modified xsi:type="dcterms:W3CDTF">2026-08-06T05:39:00Z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2f4c0169891849bf741dcead0da1da751694fbc2b9ea791076a1981d6698dfbe</vt:lpwstr>
  </property>
</Properties>
</file>