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4"/>
        </w:rPr>
        <w:t>Schoolgle Estates Management Customer Guide</w:t>
      </w:r>
    </w:p>
    <w:p>
      <w:pPr>
        <w:jc w:val="center"/>
      </w:pPr>
      <w:r>
        <w:rPr>
          <w:i/>
        </w:rPr>
        <w:t>Assets · Contractors · Compliance Checks · Tickets · Evidence</w:t>
      </w:r>
    </w:p>
    <w:p>
      <w:pPr>
        <w:keepLines/>
        <w:spacing w:before="120" w:after="200"/>
        <w:ind w:left="72" w:right="72"/>
        <w:shd w:fill="E8EEF5"/>
        <w:pBdr>
          <w:top w:val="single" w:sz="6" w:space="8" w:color="D0D7DE"/>
          <w:left w:val="single" w:sz="6" w:space="8" w:color="D0D7DE"/>
          <w:bottom w:val="single" w:sz="6" w:space="8" w:color="D0D7DE"/>
          <w:right w:val="single" w:sz="6" w:space="8" w:color="D0D7DE"/>
        </w:pBdr>
      </w:pPr>
      <w:r>
        <w:rPr>
          <w:b/>
          <w:color w:val="0B2545"/>
        </w:rPr>
        <w:t>Purpose</w:t>
      </w:r>
      <w:r>
        <w:br/>
        <w:t>This guide explains how a school uses Estates Management to keep assets, contractors, inspections, tickets, tasks, warranties and evidence connected in one audit trail.</w:t>
      </w:r>
    </w:p>
    <w:p>
      <w:pPr>
        <w:pStyle w:val="Heading1"/>
      </w:pPr>
      <w:r>
        <w:rPr>
          <w:rFonts w:ascii="Calibri" w:hAnsi="Calibri"/>
          <w:color w:val="2E74B5"/>
        </w:rPr>
        <w:t>1. The Full Circle</w:t>
      </w:r>
    </w:p>
    <w:p>
      <w:r>
        <w:t>The Estates Management app is designed around one joined-up operational loop: add the asset, link it to the contractor and compliance check, complete the inspection, raise tickets or tasks when something fails, then keep evidence against the asset and check history.</w:t>
      </w:r>
    </w:p>
    <w:p>
      <w:pPr>
        <w:pStyle w:val="ListBullet"/>
        <w:spacing w:after="80" w:line="300" w:lineRule="auto"/>
        <w:ind w:left="540" w:hanging="271"/>
      </w:pPr>
      <w:r>
        <w:t>Assets are the real items on site: outlets, showers, extinguishers, boilers, emergency lights, playground items and similar equipment.</w:t>
      </w:r>
    </w:p>
    <w:p>
      <w:pPr>
        <w:pStyle w:val="ListBullet"/>
        <w:spacing w:after="80" w:line="300" w:lineRule="auto"/>
        <w:ind w:left="540" w:hanging="271"/>
      </w:pPr>
      <w:r>
        <w:t>Contractors are suppliers, maintainers, inspectors, warranty providers, or repair companies.</w:t>
      </w:r>
    </w:p>
    <w:p>
      <w:pPr>
        <w:pStyle w:val="ListBullet"/>
        <w:spacing w:after="80" w:line="300" w:lineRule="auto"/>
        <w:ind w:left="540" w:hanging="271"/>
      </w:pPr>
      <w:r>
        <w:t>Compliance checks are statutory, good-practice, or school-created inspections.</w:t>
      </w:r>
    </w:p>
    <w:p>
      <w:pPr>
        <w:pStyle w:val="ListBullet"/>
        <w:spacing w:after="80" w:line="300" w:lineRule="auto"/>
        <w:ind w:left="540" w:hanging="271"/>
      </w:pPr>
      <w:r>
        <w:t>Tickets and tasks capture follow-up work when an inspection finds an issue.</w:t>
      </w:r>
    </w:p>
    <w:p>
      <w:pPr>
        <w:pStyle w:val="ListBullet"/>
        <w:spacing w:after="80" w:line="300" w:lineRule="auto"/>
        <w:ind w:left="540" w:hanging="271"/>
      </w:pPr>
      <w:r>
        <w:t>Evidence records photos, certificates, completion notes, invoices, receipts and warranty documents.</w:t>
      </w:r>
    </w:p>
    <w:p>
      <w:pPr>
        <w:keepNext/>
      </w:pPr>
      <w:r>
        <w:drawing>
          <wp:inline xmlns:a="http://schemas.openxmlformats.org/drawingml/2006/main" xmlns:pic="http://schemas.openxmlformats.org/drawingml/2006/picture">
            <wp:extent cx="5943600" cy="4127500"/>
            <wp:docPr id="1" name="Picture 1" descr="Compliance check with linked assets, tickets, tasks and completion history." title="Compliance check with linked assets, tickets, tasks and completion history."/>
            <wp:cNvGraphicFramePr>
              <a:graphicFrameLocks noChangeAspect="1"/>
            </wp:cNvGraphicFramePr>
            <a:graphic>
              <a:graphicData uri="http://schemas.openxmlformats.org/drawingml/2006/picture">
                <pic:pic>
                  <pic:nvPicPr>
                    <pic:cNvPr id="0" name="01-compliance-check-full-circle.png"/>
                    <pic:cNvPicPr/>
                  </pic:nvPicPr>
                  <pic:blipFill>
                    <a:blip r:embed="rId9"/>
                    <a:stretch>
                      <a:fillRect/>
                    </a:stretch>
                  </pic:blipFill>
                  <pic:spPr>
                    <a:xfrm>
                      <a:off x="0" y="0"/>
                      <a:ext cx="5943600" cy="4127500"/>
                    </a:xfrm>
                    <a:prstGeom prst="rect"/>
                  </pic:spPr>
                </pic:pic>
              </a:graphicData>
            </a:graphic>
          </wp:inline>
        </w:drawing>
      </w:r>
    </w:p>
    <w:p>
      <w:pPr>
        <w:spacing w:after="160"/>
        <w:jc w:val="center"/>
      </w:pPr>
      <w:r>
        <w:rPr>
          <w:color w:val="555555"/>
          <w:sz w:val="18"/>
        </w:rPr>
        <w:t>Compliance check with linked assets, tickets, tasks and completion history.</w:t>
      </w:r>
    </w:p>
    <w:p>
      <w:pPr>
        <w:pStyle w:val="Heading1"/>
      </w:pPr>
      <w:r>
        <w:rPr>
          <w:rFonts w:ascii="Calibri" w:hAnsi="Calibri"/>
          <w:color w:val="2E74B5"/>
        </w:rPr>
        <w:t>2. Add an Asset</w:t>
      </w:r>
    </w:p>
    <w:p>
      <w:pPr>
        <w:pStyle w:val="ListNumber"/>
        <w:numPr>
          <w:ilvl w:val="0"/>
          <w:numId w:val="10"/>
        </w:numPr>
        <w:spacing w:after="80" w:line="300" w:lineRule="auto"/>
        <w:ind w:left="540" w:hanging="271"/>
      </w:pPr>
      <w:r>
        <w:t>Open Estates → Assets or Asset Tags.</w:t>
      </w:r>
    </w:p>
    <w:p>
      <w:pPr>
        <w:pStyle w:val="ListNumber"/>
        <w:numPr>
          <w:ilvl w:val="0"/>
          <w:numId w:val="10"/>
        </w:numPr>
        <w:spacing w:after="80" w:line="300" w:lineRule="auto"/>
        <w:ind w:left="540" w:hanging="271"/>
      </w:pPr>
      <w:r>
        <w:t>Select Add Asset.</w:t>
      </w:r>
    </w:p>
    <w:p>
      <w:pPr>
        <w:pStyle w:val="ListNumber"/>
        <w:numPr>
          <w:ilvl w:val="0"/>
          <w:numId w:val="10"/>
        </w:numPr>
        <w:spacing w:after="80" w:line="300" w:lineRule="auto"/>
        <w:ind w:left="540" w:hanging="271"/>
      </w:pPr>
      <w:r>
        <w:t>Enter the asset name, type, code, location and status.</w:t>
      </w:r>
    </w:p>
    <w:p>
      <w:pPr>
        <w:pStyle w:val="ListNumber"/>
        <w:numPr>
          <w:ilvl w:val="0"/>
          <w:numId w:val="10"/>
        </w:numPr>
        <w:spacing w:after="80" w:line="300" w:lineRule="auto"/>
        <w:ind w:left="540" w:hanging="271"/>
      </w:pPr>
      <w:r>
        <w:t>Add purchase value, invoice, purchase order, warranty and expected life details.</w:t>
      </w:r>
    </w:p>
    <w:p>
      <w:pPr>
        <w:pStyle w:val="ListNumber"/>
        <w:numPr>
          <w:ilvl w:val="0"/>
          <w:numId w:val="10"/>
        </w:numPr>
        <w:spacing w:after="80" w:line="300" w:lineRule="auto"/>
        <w:ind w:left="540" w:hanging="271"/>
      </w:pPr>
      <w:r>
        <w:t>Select the supplier and the maintainer/warranty contractor where known.</w:t>
      </w:r>
    </w:p>
    <w:p>
      <w:pPr>
        <w:pStyle w:val="ListNumber"/>
        <w:numPr>
          <w:ilvl w:val="0"/>
          <w:numId w:val="10"/>
        </w:numPr>
        <w:spacing w:after="80" w:line="300" w:lineRule="auto"/>
        <w:ind w:left="540" w:hanging="271"/>
      </w:pPr>
      <w:r>
        <w:t>Link the relevant compliance domains and checks, then save.</w:t>
      </w:r>
    </w:p>
    <w:p>
      <w:pPr>
        <w:pStyle w:val="ListNumber"/>
        <w:numPr>
          <w:ilvl w:val="0"/>
          <w:numId w:val="10"/>
        </w:numPr>
        <w:spacing w:after="80" w:line="300" w:lineRule="auto"/>
        <w:ind w:left="540" w:hanging="271"/>
      </w:pPr>
      <w:r>
        <w:t>Print the QR code and attach it to the item if required.</w:t>
      </w:r>
    </w:p>
    <w:p>
      <w:pPr>
        <w:keepNext/>
      </w:pPr>
      <w:r>
        <w:drawing>
          <wp:inline xmlns:a="http://schemas.openxmlformats.org/drawingml/2006/main" xmlns:pic="http://schemas.openxmlformats.org/drawingml/2006/picture">
            <wp:extent cx="5943600" cy="4127500"/>
            <wp:docPr id="2" name="Picture 2" descr="Add Asset form showing purchase, warranty and contractor fields." title="Add Asset form showing purchase, warranty and contractor fields."/>
            <wp:cNvGraphicFramePr>
              <a:graphicFrameLocks noChangeAspect="1"/>
            </wp:cNvGraphicFramePr>
            <a:graphic>
              <a:graphicData uri="http://schemas.openxmlformats.org/drawingml/2006/picture">
                <pic:pic>
                  <pic:nvPicPr>
                    <pic:cNvPr id="0" name="03-add-asset-form.png"/>
                    <pic:cNvPicPr/>
                  </pic:nvPicPr>
                  <pic:blipFill>
                    <a:blip r:embed="rId10"/>
                    <a:stretch>
                      <a:fillRect/>
                    </a:stretch>
                  </pic:blipFill>
                  <pic:spPr>
                    <a:xfrm>
                      <a:off x="0" y="0"/>
                      <a:ext cx="5943600" cy="4127500"/>
                    </a:xfrm>
                    <a:prstGeom prst="rect"/>
                  </pic:spPr>
                </pic:pic>
              </a:graphicData>
            </a:graphic>
          </wp:inline>
        </w:drawing>
      </w:r>
    </w:p>
    <w:p>
      <w:pPr>
        <w:spacing w:after="160"/>
        <w:jc w:val="center"/>
      </w:pPr>
      <w:r>
        <w:rPr>
          <w:color w:val="555555"/>
          <w:sz w:val="18"/>
        </w:rPr>
        <w:t>Add Asset form showing purchase, warranty and contractor fields.</w:t>
      </w:r>
    </w:p>
    <w:p>
      <w:pPr>
        <w:pStyle w:val="Heading1"/>
      </w:pPr>
      <w:r>
        <w:rPr>
          <w:rFonts w:ascii="Calibri" w:hAnsi="Calibri"/>
          <w:color w:val="2E74B5"/>
        </w:rPr>
        <w:t>3. Add a Contractor</w:t>
      </w:r>
    </w:p>
    <w:p>
      <w:pPr>
        <w:pStyle w:val="ListNumber"/>
        <w:numPr>
          <w:ilvl w:val="0"/>
          <w:numId w:val="11"/>
        </w:numPr>
        <w:spacing w:after="80" w:line="300" w:lineRule="auto"/>
        <w:ind w:left="540" w:hanging="271"/>
      </w:pPr>
      <w:r>
        <w:t>Open Estates → Contractors.</w:t>
      </w:r>
    </w:p>
    <w:p>
      <w:pPr>
        <w:pStyle w:val="ListNumber"/>
        <w:numPr>
          <w:ilvl w:val="0"/>
          <w:numId w:val="11"/>
        </w:numPr>
        <w:spacing w:after="80" w:line="300" w:lineRule="auto"/>
        <w:ind w:left="540" w:hanging="271"/>
      </w:pPr>
      <w:r>
        <w:t>Select Add Contractor.</w:t>
      </w:r>
    </w:p>
    <w:p>
      <w:pPr>
        <w:pStyle w:val="ListNumber"/>
        <w:numPr>
          <w:ilvl w:val="0"/>
          <w:numId w:val="11"/>
        </w:numPr>
        <w:spacing w:after="80" w:line="300" w:lineRule="auto"/>
        <w:ind w:left="540" w:hanging="271"/>
      </w:pPr>
      <w:r>
        <w:t>Enter the company, contact details, services, accreditation notes and status.</w:t>
      </w:r>
    </w:p>
    <w:p>
      <w:pPr>
        <w:pStyle w:val="ListNumber"/>
        <w:numPr>
          <w:ilvl w:val="0"/>
          <w:numId w:val="11"/>
        </w:numPr>
        <w:spacing w:after="80" w:line="300" w:lineRule="auto"/>
        <w:ind w:left="540" w:hanging="271"/>
      </w:pPr>
      <w:r>
        <w:t>Mark the contractor as preferred if appropriate.</w:t>
      </w:r>
    </w:p>
    <w:p>
      <w:pPr>
        <w:pStyle w:val="ListNumber"/>
        <w:numPr>
          <w:ilvl w:val="0"/>
          <w:numId w:val="11"/>
        </w:numPr>
        <w:spacing w:after="80" w:line="300" w:lineRule="auto"/>
        <w:ind w:left="540" w:hanging="271"/>
      </w:pPr>
      <w:r>
        <w:t>Save the contractor, then link it to assets, tasks, tickets or contracts.</w:t>
      </w:r>
    </w:p>
    <w:p>
      <w:pPr>
        <w:keepNext/>
      </w:pPr>
      <w:r>
        <w:drawing>
          <wp:inline xmlns:a="http://schemas.openxmlformats.org/drawingml/2006/main" xmlns:pic="http://schemas.openxmlformats.org/drawingml/2006/picture">
            <wp:extent cx="5943600" cy="4127500"/>
            <wp:docPr id="3" name="Picture 3" descr="Add Contractor form for supplier, maintainer and inspector records." title="Add Contractor form for supplier, maintainer and inspector records."/>
            <wp:cNvGraphicFramePr>
              <a:graphicFrameLocks noChangeAspect="1"/>
            </wp:cNvGraphicFramePr>
            <a:graphic>
              <a:graphicData uri="http://schemas.openxmlformats.org/drawingml/2006/picture">
                <pic:pic>
                  <pic:nvPicPr>
                    <pic:cNvPr id="0" name="04-add-contractor-form.png"/>
                    <pic:cNvPicPr/>
                  </pic:nvPicPr>
                  <pic:blipFill>
                    <a:blip r:embed="rId11"/>
                    <a:stretch>
                      <a:fillRect/>
                    </a:stretch>
                  </pic:blipFill>
                  <pic:spPr>
                    <a:xfrm>
                      <a:off x="0" y="0"/>
                      <a:ext cx="5943600" cy="4127500"/>
                    </a:xfrm>
                    <a:prstGeom prst="rect"/>
                  </pic:spPr>
                </pic:pic>
              </a:graphicData>
            </a:graphic>
          </wp:inline>
        </w:drawing>
      </w:r>
    </w:p>
    <w:p>
      <w:pPr>
        <w:spacing w:after="160"/>
        <w:jc w:val="center"/>
      </w:pPr>
      <w:r>
        <w:rPr>
          <w:color w:val="555555"/>
          <w:sz w:val="18"/>
        </w:rPr>
        <w:t>Add Contractor form for supplier, maintainer and inspector records.</w:t>
      </w:r>
    </w:p>
    <w:p>
      <w:pPr>
        <w:pStyle w:val="Heading1"/>
      </w:pPr>
      <w:r>
        <w:rPr>
          <w:rFonts w:ascii="Calibri" w:hAnsi="Calibri"/>
          <w:color w:val="2E74B5"/>
        </w:rPr>
        <w:t>4. Link Assets and Contractors to Checks</w:t>
      </w:r>
    </w:p>
    <w:p>
      <w:r>
        <w:t>Use the asset record to decide which compliance checks apply to that item. For example, a shower can be linked to weekly outlet flushing, while an extinguisher can be linked to fire safety checks. Once linked, the check page shows the asset under Assets covered.</w:t>
      </w:r>
    </w:p>
    <w:p>
      <w:pPr>
        <w:keepLines/>
        <w:spacing w:before="120" w:after="200"/>
        <w:ind w:left="72" w:right="72"/>
        <w:shd w:fill="F4F6F9"/>
        <w:pBdr>
          <w:top w:val="single" w:sz="6" w:space="8" w:color="D0D7DE"/>
          <w:left w:val="single" w:sz="6" w:space="8" w:color="D0D7DE"/>
          <w:bottom w:val="single" w:sz="6" w:space="8" w:color="D0D7DE"/>
          <w:right w:val="single" w:sz="6" w:space="8" w:color="D0D7DE"/>
        </w:pBdr>
      </w:pPr>
      <w:r>
        <w:rPr>
          <w:b/>
          <w:color w:val="0B2545"/>
        </w:rPr>
        <w:t>Good practice</w:t>
      </w:r>
      <w:r>
        <w:br/>
        <w:t>Do not delete old assets when they are replaced if their history is needed. Retire or dispose of the old asset, add the new one, then print a new QR label for the replacement.</w:t>
      </w:r>
    </w:p>
    <w:p>
      <w:pPr>
        <w:pStyle w:val="Heading1"/>
      </w:pPr>
      <w:r>
        <w:rPr>
          <w:rFonts w:ascii="Calibri" w:hAnsi="Calibri"/>
          <w:color w:val="2E74B5"/>
        </w:rPr>
        <w:t>5. Complete a Compliance Check</w:t>
      </w:r>
    </w:p>
    <w:p>
      <w:pPr>
        <w:pStyle w:val="ListNumber"/>
        <w:numPr>
          <w:ilvl w:val="0"/>
          <w:numId w:val="12"/>
        </w:numPr>
        <w:spacing w:after="80" w:line="300" w:lineRule="auto"/>
        <w:ind w:left="540" w:hanging="271"/>
      </w:pPr>
      <w:r>
        <w:t>Open Estates → Compliance Checks.</w:t>
      </w:r>
    </w:p>
    <w:p>
      <w:pPr>
        <w:pStyle w:val="ListNumber"/>
        <w:numPr>
          <w:ilvl w:val="0"/>
          <w:numId w:val="12"/>
        </w:numPr>
        <w:spacing w:after="80" w:line="300" w:lineRule="auto"/>
        <w:ind w:left="540" w:hanging="271"/>
      </w:pPr>
      <w:r>
        <w:t>Choose the domain, such as Legionella Control or Fire Safety.</w:t>
      </w:r>
    </w:p>
    <w:p>
      <w:pPr>
        <w:pStyle w:val="ListNumber"/>
        <w:numPr>
          <w:ilvl w:val="0"/>
          <w:numId w:val="12"/>
        </w:numPr>
        <w:spacing w:after="80" w:line="300" w:lineRule="auto"/>
        <w:ind w:left="540" w:hanging="271"/>
      </w:pPr>
      <w:r>
        <w:t>Open the check.</w:t>
      </w:r>
    </w:p>
    <w:p>
      <w:pPr>
        <w:pStyle w:val="ListNumber"/>
        <w:numPr>
          <w:ilvl w:val="0"/>
          <w:numId w:val="12"/>
        </w:numPr>
        <w:spacing w:after="80" w:line="300" w:lineRule="auto"/>
        <w:ind w:left="540" w:hanging="271"/>
      </w:pPr>
      <w:r>
        <w:t>Review frequency, statutory/advisory status, next due date and linked assets.</w:t>
      </w:r>
    </w:p>
    <w:p>
      <w:pPr>
        <w:pStyle w:val="ListNumber"/>
        <w:numPr>
          <w:ilvl w:val="0"/>
          <w:numId w:val="12"/>
        </w:numPr>
        <w:spacing w:after="80" w:line="300" w:lineRule="auto"/>
        <w:ind w:left="540" w:hanging="271"/>
      </w:pPr>
      <w:r>
        <w:t>Expand Record completion.</w:t>
      </w:r>
    </w:p>
    <w:p>
      <w:pPr>
        <w:pStyle w:val="ListNumber"/>
        <w:numPr>
          <w:ilvl w:val="0"/>
          <w:numId w:val="12"/>
        </w:numPr>
        <w:spacing w:after="80" w:line="300" w:lineRule="auto"/>
        <w:ind w:left="540" w:hanging="271"/>
      </w:pPr>
      <w:r>
        <w:t>Enter status, inspection date, notes and evidence.</w:t>
      </w:r>
    </w:p>
    <w:p>
      <w:pPr>
        <w:pStyle w:val="ListNumber"/>
        <w:numPr>
          <w:ilvl w:val="0"/>
          <w:numId w:val="12"/>
        </w:numPr>
        <w:spacing w:after="80" w:line="300" w:lineRule="auto"/>
        <w:ind w:left="540" w:hanging="271"/>
      </w:pPr>
      <w:r>
        <w:t>Save the completion and review the Completion history section.</w:t>
      </w:r>
    </w:p>
    <w:p>
      <w:pPr>
        <w:keepLines/>
        <w:spacing w:before="120" w:after="200"/>
        <w:ind w:left="72" w:right="72"/>
        <w:shd w:fill="E8F5F1"/>
        <w:pBdr>
          <w:top w:val="single" w:sz="6" w:space="8" w:color="D0D7DE"/>
          <w:left w:val="single" w:sz="6" w:space="8" w:color="D0D7DE"/>
          <w:bottom w:val="single" w:sz="6" w:space="8" w:color="D0D7DE"/>
          <w:right w:val="single" w:sz="6" w:space="8" w:color="D0D7DE"/>
        </w:pBdr>
      </w:pPr>
      <w:r>
        <w:rPr>
          <w:b/>
          <w:color w:val="0B2545"/>
        </w:rPr>
        <w:t>How to prove the record is stored</w:t>
      </w:r>
      <w:r>
        <w:br/>
        <w:t>Return to the domain list and confirm the check shows Completed. Reopen it, verify the next due date, notes and evidence in Completion history, open the evidence file, then reload the page and confirm the same information remains.</w:t>
      </w:r>
    </w:p>
    <w:p>
      <w:r>
        <w:t>The system calculates the next due date from the recurrence. In the Rawdon acceptance test, the private non-statutory DEMO - Monthly Site Security Walkround was completed on 30 July 2026 and automatically moved to 30 August 2026.</w:t>
      </w:r>
    </w:p>
    <w:p>
      <w:pPr>
        <w:keepNext/>
      </w:pPr>
      <w:r>
        <w:drawing>
          <wp:inline xmlns:a="http://schemas.openxmlformats.org/drawingml/2006/main" xmlns:pic="http://schemas.openxmlformats.org/drawingml/2006/picture">
            <wp:extent cx="5943600" cy="3245394"/>
            <wp:docPr id="4" name="Picture 4" descr="The completed monthly demo check is visible in the Security domain list." title="The completed monthly demo check is visible in the Security domain list."/>
            <wp:cNvGraphicFramePr>
              <a:graphicFrameLocks noChangeAspect="1"/>
            </wp:cNvGraphicFramePr>
            <a:graphic>
              <a:graphicData uri="http://schemas.openxmlformats.org/drawingml/2006/picture">
                <pic:pic>
                  <pic:nvPicPr>
                    <pic:cNvPr id="0" name="11-rawdon-demo-check-in-list.png"/>
                    <pic:cNvPicPr/>
                  </pic:nvPicPr>
                  <pic:blipFill>
                    <a:blip r:embed="rId12"/>
                    <a:stretch>
                      <a:fillRect/>
                    </a:stretch>
                  </pic:blipFill>
                  <pic:spPr>
                    <a:xfrm>
                      <a:off x="0" y="0"/>
                      <a:ext cx="5943600" cy="3245394"/>
                    </a:xfrm>
                    <a:prstGeom prst="rect"/>
                  </pic:spPr>
                </pic:pic>
              </a:graphicData>
            </a:graphic>
          </wp:inline>
        </w:drawing>
      </w:r>
    </w:p>
    <w:p>
      <w:pPr>
        <w:spacing w:after="160"/>
        <w:jc w:val="center"/>
      </w:pPr>
      <w:r>
        <w:rPr>
          <w:color w:val="555555"/>
          <w:sz w:val="18"/>
        </w:rPr>
        <w:t>The completed monthly demo check is visible in the Security domain list.</w:t>
      </w:r>
    </w:p>
    <w:p>
      <w:pPr>
        <w:keepNext/>
      </w:pPr>
      <w:r>
        <w:drawing>
          <wp:inline xmlns:a="http://schemas.openxmlformats.org/drawingml/2006/main" xmlns:pic="http://schemas.openxmlformats.org/drawingml/2006/picture">
            <wp:extent cx="5943600" cy="3245394"/>
            <wp:docPr id="5" name="Picture 5" descr="The reopened check shows Fully Completed and the next due date of 30 August 2026." title="The reopened check shows Fully Completed and the next due date of 30 August 2026."/>
            <wp:cNvGraphicFramePr>
              <a:graphicFrameLocks noChangeAspect="1"/>
            </wp:cNvGraphicFramePr>
            <a:graphic>
              <a:graphicData uri="http://schemas.openxmlformats.org/drawingml/2006/picture">
                <pic:pic>
                  <pic:nvPicPr>
                    <pic:cNvPr id="0" name="08-rawdon-demo-check-completed.png"/>
                    <pic:cNvPicPr/>
                  </pic:nvPicPr>
                  <pic:blipFill>
                    <a:blip r:embed="rId13"/>
                    <a:stretch>
                      <a:fillRect/>
                    </a:stretch>
                  </pic:blipFill>
                  <pic:spPr>
                    <a:xfrm>
                      <a:off x="0" y="0"/>
                      <a:ext cx="5943600" cy="3245394"/>
                    </a:xfrm>
                    <a:prstGeom prst="rect"/>
                  </pic:spPr>
                </pic:pic>
              </a:graphicData>
            </a:graphic>
          </wp:inline>
        </w:drawing>
      </w:r>
    </w:p>
    <w:p>
      <w:pPr>
        <w:spacing w:after="160"/>
        <w:jc w:val="center"/>
      </w:pPr>
      <w:r>
        <w:rPr>
          <w:color w:val="555555"/>
          <w:sz w:val="18"/>
        </w:rPr>
        <w:t>The reopened check shows Fully Completed and the next due date of 30 August 2026.</w:t>
      </w:r>
    </w:p>
    <w:p>
      <w:pPr>
        <w:keepNext/>
      </w:pPr>
      <w:r>
        <w:drawing>
          <wp:inline xmlns:a="http://schemas.openxmlformats.org/drawingml/2006/main" xmlns:pic="http://schemas.openxmlformats.org/drawingml/2006/picture">
            <wp:extent cx="5943600" cy="3245394"/>
            <wp:docPr id="6" name="Picture 6" descr="Completion history retains the date, person, notes, next due date and linked image." title="Completion history retains the date, person, notes, next due date and linked image."/>
            <wp:cNvGraphicFramePr>
              <a:graphicFrameLocks noChangeAspect="1"/>
            </wp:cNvGraphicFramePr>
            <a:graphic>
              <a:graphicData uri="http://schemas.openxmlformats.org/drawingml/2006/picture">
                <pic:pic>
                  <pic:nvPicPr>
                    <pic:cNvPr id="0" name="09-rawdon-demo-history-and-image.png"/>
                    <pic:cNvPicPr/>
                  </pic:nvPicPr>
                  <pic:blipFill>
                    <a:blip r:embed="rId14"/>
                    <a:stretch>
                      <a:fillRect/>
                    </a:stretch>
                  </pic:blipFill>
                  <pic:spPr>
                    <a:xfrm>
                      <a:off x="0" y="0"/>
                      <a:ext cx="5943600" cy="3245394"/>
                    </a:xfrm>
                    <a:prstGeom prst="rect"/>
                  </pic:spPr>
                </pic:pic>
              </a:graphicData>
            </a:graphic>
          </wp:inline>
        </w:drawing>
      </w:r>
    </w:p>
    <w:p>
      <w:pPr>
        <w:spacing w:after="160"/>
        <w:jc w:val="center"/>
      </w:pPr>
      <w:r>
        <w:rPr>
          <w:color w:val="555555"/>
          <w:sz w:val="18"/>
        </w:rPr>
        <w:t>Completion history retains the date, person, notes, next due date and linked image.</w:t>
      </w:r>
    </w:p>
    <w:p>
      <w:pPr>
        <w:keepNext/>
      </w:pPr>
      <w:r>
        <w:drawing>
          <wp:inline xmlns:a="http://schemas.openxmlformats.org/drawingml/2006/main" xmlns:pic="http://schemas.openxmlformats.org/drawingml/2006/picture">
            <wp:extent cx="5943600" cy="3050143"/>
            <wp:docPr id="7" name="Picture 7" descr="The saved image opens from the completion history." title="The saved image opens from the completion history."/>
            <wp:cNvGraphicFramePr>
              <a:graphicFrameLocks noChangeAspect="1"/>
            </wp:cNvGraphicFramePr>
            <a:graphic>
              <a:graphicData uri="http://schemas.openxmlformats.org/drawingml/2006/picture">
                <pic:pic>
                  <pic:nvPicPr>
                    <pic:cNvPr id="0" name="10-rawdon-demo-evidence-open.png"/>
                    <pic:cNvPicPr/>
                  </pic:nvPicPr>
                  <pic:blipFill>
                    <a:blip r:embed="rId15"/>
                    <a:stretch>
                      <a:fillRect/>
                    </a:stretch>
                  </pic:blipFill>
                  <pic:spPr>
                    <a:xfrm>
                      <a:off x="0" y="0"/>
                      <a:ext cx="5943600" cy="3050143"/>
                    </a:xfrm>
                    <a:prstGeom prst="rect"/>
                  </pic:spPr>
                </pic:pic>
              </a:graphicData>
            </a:graphic>
          </wp:inline>
        </w:drawing>
      </w:r>
    </w:p>
    <w:p>
      <w:pPr>
        <w:spacing w:after="160"/>
        <w:jc w:val="center"/>
      </w:pPr>
      <w:r>
        <w:rPr>
          <w:color w:val="555555"/>
          <w:sz w:val="18"/>
        </w:rPr>
        <w:t>The saved image opens from the completion history.</w:t>
      </w:r>
    </w:p>
    <w:p>
      <w:pPr>
        <w:keepLines/>
        <w:spacing w:before="120" w:after="200"/>
        <w:ind w:left="72" w:right="72"/>
        <w:shd w:fill="FFF2CC"/>
        <w:pBdr>
          <w:top w:val="single" w:sz="6" w:space="8" w:color="D0D7DE"/>
          <w:left w:val="single" w:sz="6" w:space="8" w:color="D0D7DE"/>
          <w:bottom w:val="single" w:sz="6" w:space="8" w:color="D0D7DE"/>
          <w:right w:val="single" w:sz="6" w:space="8" w:color="D0D7DE"/>
        </w:pBdr>
      </w:pPr>
      <w:r>
        <w:rPr>
          <w:b/>
          <w:color w:val="0B2545"/>
        </w:rPr>
        <w:t>Customer-data guardrail</w:t>
      </w:r>
      <w:r>
        <w:br/>
        <w:t>Use a clearly labelled private demo check for demonstrations. Do not mark a real statutory check complete unless the school has genuinely completed it and the evidence is accurate. Use Aurora Primary to demonstrate invented failures and automatic tickets.</w:t>
      </w:r>
    </w:p>
    <w:p>
      <w:pPr>
        <w:pStyle w:val="Heading1"/>
      </w:pPr>
      <w:r>
        <w:rPr>
          <w:rFonts w:ascii="Calibri" w:hAnsi="Calibri"/>
          <w:color w:val="2E74B5"/>
        </w:rPr>
        <w:t>6. Raise a Ticket or Task from a Failed Check</w:t>
      </w:r>
    </w:p>
    <w:p>
      <w:pPr>
        <w:pStyle w:val="ListNumber"/>
        <w:numPr>
          <w:ilvl w:val="0"/>
          <w:numId w:val="13"/>
        </w:numPr>
        <w:spacing w:after="80" w:line="300" w:lineRule="auto"/>
        <w:ind w:left="540" w:hanging="271"/>
      </w:pPr>
      <w:r>
        <w:t>Open the compliance check.</w:t>
      </w:r>
    </w:p>
    <w:p>
      <w:pPr>
        <w:pStyle w:val="ListNumber"/>
        <w:numPr>
          <w:ilvl w:val="0"/>
          <w:numId w:val="13"/>
        </w:numPr>
        <w:spacing w:after="80" w:line="300" w:lineRule="auto"/>
        <w:ind w:left="540" w:hanging="271"/>
      </w:pPr>
      <w:r>
        <w:t>Select Raise ticket for faults, hazards, missing evidence or non-compliance.</w:t>
      </w:r>
    </w:p>
    <w:p>
      <w:pPr>
        <w:pStyle w:val="ListNumber"/>
        <w:numPr>
          <w:ilvl w:val="0"/>
          <w:numId w:val="13"/>
        </w:numPr>
        <w:spacing w:after="80" w:line="300" w:lineRule="auto"/>
        <w:ind w:left="540" w:hanging="271"/>
      </w:pPr>
      <w:r>
        <w:t>Select Add task for planned follow-up work.</w:t>
      </w:r>
    </w:p>
    <w:p>
      <w:pPr>
        <w:pStyle w:val="ListNumber"/>
        <w:numPr>
          <w:ilvl w:val="0"/>
          <w:numId w:val="13"/>
        </w:numPr>
        <w:spacing w:after="80" w:line="300" w:lineRule="auto"/>
        <w:ind w:left="540" w:hanging="271"/>
      </w:pPr>
      <w:r>
        <w:t>Choose the affected asset where relevant.</w:t>
      </w:r>
    </w:p>
    <w:p>
      <w:pPr>
        <w:pStyle w:val="ListNumber"/>
        <w:numPr>
          <w:ilvl w:val="0"/>
          <w:numId w:val="13"/>
        </w:numPr>
        <w:spacing w:after="80" w:line="300" w:lineRule="auto"/>
        <w:ind w:left="540" w:hanging="271"/>
      </w:pPr>
      <w:r>
        <w:t>Attach photos or documents.</w:t>
      </w:r>
    </w:p>
    <w:p>
      <w:pPr>
        <w:pStyle w:val="ListNumber"/>
        <w:numPr>
          <w:ilvl w:val="0"/>
          <w:numId w:val="13"/>
        </w:numPr>
        <w:spacing w:after="80" w:line="300" w:lineRule="auto"/>
        <w:ind w:left="540" w:hanging="271"/>
      </w:pPr>
      <w:r>
        <w:t>Assign staff or a contractor and save.</w:t>
      </w:r>
    </w:p>
    <w:p>
      <w:r>
        <w:t>The ticket or task remains linked to the compliance check, the asset, the contractor and the helpdesk/task list.</w:t>
      </w:r>
    </w:p>
    <w:p>
      <w:pPr>
        <w:keepNext/>
      </w:pPr>
      <w:r>
        <w:drawing>
          <wp:inline xmlns:a="http://schemas.openxmlformats.org/drawingml/2006/main" xmlns:pic="http://schemas.openxmlformats.org/drawingml/2006/picture">
            <wp:extent cx="5943600" cy="4127500"/>
            <wp:docPr id="8" name="Picture 8" descr="New ticket opened from a compliance check with the check context preserved." title="New ticket opened from a compliance check with the check context preserved."/>
            <wp:cNvGraphicFramePr>
              <a:graphicFrameLocks noChangeAspect="1"/>
            </wp:cNvGraphicFramePr>
            <a:graphic>
              <a:graphicData uri="http://schemas.openxmlformats.org/drawingml/2006/picture">
                <pic:pic>
                  <pic:nvPicPr>
                    <pic:cNvPr id="0" name="05-raise-ticket-from-check.png"/>
                    <pic:cNvPicPr/>
                  </pic:nvPicPr>
                  <pic:blipFill>
                    <a:blip r:embed="rId16"/>
                    <a:stretch>
                      <a:fillRect/>
                    </a:stretch>
                  </pic:blipFill>
                  <pic:spPr>
                    <a:xfrm>
                      <a:off x="0" y="0"/>
                      <a:ext cx="5943600" cy="4127500"/>
                    </a:xfrm>
                    <a:prstGeom prst="rect"/>
                  </pic:spPr>
                </pic:pic>
              </a:graphicData>
            </a:graphic>
          </wp:inline>
        </w:drawing>
      </w:r>
    </w:p>
    <w:p>
      <w:pPr>
        <w:spacing w:after="160"/>
        <w:jc w:val="center"/>
      </w:pPr>
      <w:r>
        <w:rPr>
          <w:color w:val="555555"/>
          <w:sz w:val="18"/>
        </w:rPr>
        <w:t>New ticket opened from a compliance check with the check context preserved.</w:t>
      </w:r>
    </w:p>
    <w:p>
      <w:pPr>
        <w:pStyle w:val="Heading1"/>
      </w:pPr>
      <w:r>
        <w:rPr>
          <w:rFonts w:ascii="Calibri" w:hAnsi="Calibri"/>
          <w:color w:val="2E74B5"/>
        </w:rPr>
        <w:t>7. Create a School Check</w:t>
      </w:r>
    </w:p>
    <w:p>
      <w:pPr>
        <w:pStyle w:val="ListNumber"/>
        <w:numPr>
          <w:ilvl w:val="0"/>
          <w:numId w:val="14"/>
        </w:numPr>
        <w:spacing w:after="80" w:line="300" w:lineRule="auto"/>
        <w:ind w:left="540" w:hanging="271"/>
      </w:pPr>
      <w:r>
        <w:t>Open the relevant domain, such as Fire Safety.</w:t>
      </w:r>
    </w:p>
    <w:p>
      <w:pPr>
        <w:pStyle w:val="ListNumber"/>
        <w:numPr>
          <w:ilvl w:val="0"/>
          <w:numId w:val="14"/>
        </w:numPr>
        <w:spacing w:after="80" w:line="300" w:lineRule="auto"/>
        <w:ind w:left="540" w:hanging="271"/>
      </w:pPr>
      <w:r>
        <w:t>Select Add Check.</w:t>
      </w:r>
    </w:p>
    <w:p>
      <w:pPr>
        <w:pStyle w:val="ListNumber"/>
        <w:numPr>
          <w:ilvl w:val="0"/>
          <w:numId w:val="14"/>
        </w:numPr>
        <w:spacing w:after="80" w:line="300" w:lineRule="auto"/>
        <w:ind w:left="540" w:hanging="271"/>
      </w:pPr>
      <w:r>
        <w:t>Start from a template or from scratch.</w:t>
      </w:r>
    </w:p>
    <w:p>
      <w:pPr>
        <w:pStyle w:val="ListNumber"/>
        <w:numPr>
          <w:ilvl w:val="0"/>
          <w:numId w:val="14"/>
        </w:numPr>
        <w:spacing w:after="80" w:line="300" w:lineRule="auto"/>
        <w:ind w:left="540" w:hanging="271"/>
      </w:pPr>
      <w:r>
        <w:t>Add name, description, evidence requirements, checklist items and frequency.</w:t>
      </w:r>
    </w:p>
    <w:p>
      <w:pPr>
        <w:pStyle w:val="ListNumber"/>
        <w:numPr>
          <w:ilvl w:val="0"/>
          <w:numId w:val="14"/>
        </w:numPr>
        <w:spacing w:after="80" w:line="300" w:lineRule="auto"/>
        <w:ind w:left="540" w:hanging="271"/>
      </w:pPr>
      <w:r>
        <w:t>Choose School check / non-statutory for local routines.</w:t>
      </w:r>
    </w:p>
    <w:p>
      <w:pPr>
        <w:pStyle w:val="ListNumber"/>
        <w:numPr>
          <w:ilvl w:val="0"/>
          <w:numId w:val="14"/>
        </w:numPr>
        <w:spacing w:after="80" w:line="300" w:lineRule="auto"/>
        <w:ind w:left="540" w:hanging="271"/>
      </w:pPr>
      <w:r>
        <w:t>Choose Statutory / regulated only where a law, regulation, trust policy or approved Schoolgle strategy applies.</w:t>
      </w:r>
    </w:p>
    <w:p>
      <w:pPr>
        <w:pStyle w:val="ListNumber"/>
        <w:numPr>
          <w:ilvl w:val="0"/>
          <w:numId w:val="14"/>
        </w:numPr>
        <w:spacing w:after="80" w:line="300" w:lineRule="auto"/>
        <w:ind w:left="540" w:hanging="271"/>
      </w:pPr>
      <w:r>
        <w:t>Add the statutory reference if the check is statutory, then save.</w:t>
      </w:r>
    </w:p>
    <w:p>
      <w:pPr>
        <w:keepNext/>
      </w:pPr>
      <w:r>
        <w:drawing>
          <wp:inline xmlns:a="http://schemas.openxmlformats.org/drawingml/2006/main" xmlns:pic="http://schemas.openxmlformats.org/drawingml/2006/picture">
            <wp:extent cx="5120640" cy="3556000"/>
            <wp:docPr id="9" name="Picture 9" descr="Custom check wizard with statutory/non-statutory classification." title="Custom check wizard with statutory/non-statutory classification."/>
            <wp:cNvGraphicFramePr>
              <a:graphicFrameLocks noChangeAspect="1"/>
            </wp:cNvGraphicFramePr>
            <a:graphic>
              <a:graphicData uri="http://schemas.openxmlformats.org/drawingml/2006/picture">
                <pic:pic>
                  <pic:nvPicPr>
                    <pic:cNvPr id="0" name="06-custom-check-wizard.png"/>
                    <pic:cNvPicPr/>
                  </pic:nvPicPr>
                  <pic:blipFill>
                    <a:blip r:embed="rId17"/>
                    <a:stretch>
                      <a:fillRect/>
                    </a:stretch>
                  </pic:blipFill>
                  <pic:spPr>
                    <a:xfrm>
                      <a:off x="0" y="0"/>
                      <a:ext cx="5120640" cy="3556000"/>
                    </a:xfrm>
                    <a:prstGeom prst="rect"/>
                  </pic:spPr>
                </pic:pic>
              </a:graphicData>
            </a:graphic>
          </wp:inline>
        </w:drawing>
      </w:r>
    </w:p>
    <w:p>
      <w:pPr>
        <w:spacing w:after="160"/>
        <w:jc w:val="center"/>
      </w:pPr>
      <w:r>
        <w:rPr>
          <w:color w:val="555555"/>
          <w:sz w:val="18"/>
        </w:rPr>
        <w:t>Custom check wizard with statutory/non-statutory classification.</w:t>
      </w:r>
    </w:p>
    <w:p>
      <w:pPr>
        <w:keepLines/>
        <w:spacing w:before="120" w:after="200"/>
        <w:ind w:left="72" w:right="72"/>
        <w:shd w:fill="FFF2CC"/>
        <w:pBdr>
          <w:top w:val="single" w:sz="6" w:space="8" w:color="D0D7DE"/>
          <w:left w:val="single" w:sz="6" w:space="8" w:color="D0D7DE"/>
          <w:bottom w:val="single" w:sz="6" w:space="8" w:color="D0D7DE"/>
          <w:right w:val="single" w:sz="6" w:space="8" w:color="D0D7DE"/>
        </w:pBdr>
      </w:pPr>
      <w:r>
        <w:rPr>
          <w:b/>
          <w:color w:val="0B2545"/>
        </w:rPr>
        <w:t>Statutory frequency rule</w:t>
      </w:r>
      <w:r>
        <w:br/>
        <w:t>Statutory frequencies are not school preferences. They should come from the regulation, approved strategy, or Schoolgle-managed statutory check library. School-created statutory checks are frequency-locked once saved.</w:t>
      </w:r>
    </w:p>
    <w:p>
      <w:pPr>
        <w:pStyle w:val="Heading1"/>
      </w:pPr>
      <w:r>
        <w:rPr>
          <w:rFonts w:ascii="Calibri" w:hAnsi="Calibri"/>
          <w:color w:val="2E74B5"/>
        </w:rPr>
        <w:t>8. Customer Testing Checklist</w:t>
      </w:r>
    </w:p>
    <w:p>
      <w:pPr>
        <w:pStyle w:val="ListBullet"/>
        <w:spacing w:after="80" w:line="300" w:lineRule="auto"/>
        <w:ind w:left="540" w:hanging="271"/>
      </w:pPr>
      <w:r>
        <w:t>Add an asset with purchase, warranty and contractor information.</w:t>
      </w:r>
    </w:p>
    <w:p>
      <w:pPr>
        <w:pStyle w:val="ListBullet"/>
        <w:spacing w:after="80" w:line="300" w:lineRule="auto"/>
        <w:ind w:left="540" w:hanging="271"/>
      </w:pPr>
      <w:r>
        <w:t>Add a contractor and mark whether it is preferred.</w:t>
      </w:r>
    </w:p>
    <w:p>
      <w:pPr>
        <w:pStyle w:val="ListBullet"/>
        <w:spacing w:after="80" w:line="300" w:lineRule="auto"/>
        <w:ind w:left="540" w:hanging="271"/>
      </w:pPr>
      <w:r>
        <w:t>Link an asset to a compliance check.</w:t>
      </w:r>
    </w:p>
    <w:p>
      <w:pPr>
        <w:pStyle w:val="ListBullet"/>
        <w:spacing w:after="80" w:line="300" w:lineRule="auto"/>
        <w:ind w:left="540" w:hanging="271"/>
      </w:pPr>
      <w:r>
        <w:t>Complete a compliance check and review completion history.</w:t>
      </w:r>
    </w:p>
    <w:p>
      <w:pPr>
        <w:pStyle w:val="ListBullet"/>
        <w:spacing w:after="80" w:line="300" w:lineRule="auto"/>
        <w:ind w:left="540" w:hanging="271"/>
      </w:pPr>
      <w:r>
        <w:t>Raise a ticket from a failed check and confirm it appears on the check page.</w:t>
      </w:r>
    </w:p>
    <w:p>
      <w:pPr>
        <w:pStyle w:val="ListBullet"/>
        <w:spacing w:after="80" w:line="300" w:lineRule="auto"/>
        <w:ind w:left="540" w:hanging="271"/>
      </w:pPr>
      <w:r>
        <w:t>Raise a task from a check and assign it to a staff member or contractor.</w:t>
      </w:r>
    </w:p>
    <w:p>
      <w:pPr>
        <w:pStyle w:val="ListBullet"/>
        <w:spacing w:after="80" w:line="300" w:lineRule="auto"/>
        <w:ind w:left="540" w:hanging="271"/>
      </w:pPr>
      <w:r>
        <w:t>Replace an asset by retiring the old record and adding a new QR-tagged asset.</w:t>
      </w:r>
    </w:p>
    <w:p>
      <w:pPr>
        <w:pStyle w:val="ListBullet"/>
        <w:spacing w:after="80" w:line="300" w:lineRule="auto"/>
        <w:ind w:left="540" w:hanging="271"/>
      </w:pPr>
      <w:r>
        <w:t>Create a non-statutory school check and confirm it appears in the relevant domain.</w:t>
      </w:r>
    </w:p>
    <w:p>
      <w:pPr>
        <w:pStyle w:val="ListBullet"/>
        <w:spacing w:after="80" w:line="300" w:lineRule="auto"/>
        <w:ind w:left="540" w:hanging="271"/>
      </w:pPr>
      <w:r>
        <w:t>Complete a clearly labelled monthly demo check, then confirm the next due date advances by one month.</w:t>
      </w:r>
    </w:p>
    <w:p>
      <w:pPr>
        <w:pStyle w:val="ListBullet"/>
        <w:spacing w:after="80" w:line="300" w:lineRule="auto"/>
        <w:ind w:left="540" w:hanging="271"/>
      </w:pPr>
      <w:r>
        <w:t>Leave and reopen the check, then confirm the notes and evidence remain in Completion history.</w:t>
      </w:r>
    </w:p>
    <w:p>
      <w:pPr>
        <w:pStyle w:val="ListBullet"/>
        <w:spacing w:after="80" w:line="300" w:lineRule="auto"/>
        <w:ind w:left="540" w:hanging="271"/>
      </w:pPr>
      <w:r>
        <w:t>Open the saved image from the completion record.</w:t>
      </w:r>
    </w:p>
    <w:sectPr w:rsidR="00FC693F" w:rsidRPr="0006063C" w:rsidSect="00034616">
      <w:footerReference w:type="default" r:id="rId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Schoolgle Estates Management Customer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