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B4662">
      <w:pPr>
        <w:spacing w:before="0" w:after="1200" w:line="324" w:lineRule="auto"/>
        <w:jc w:val="left"/>
      </w:pPr>
    </w:p>
    <w:p w14:paraId="27EAAC9B">
      <w:pPr>
        <w:spacing w:before="0" w:after="240" w:line="324" w:lineRule="auto"/>
        <w:jc w:val="center"/>
      </w:pPr>
      <w:r>
        <w:rPr>
          <w:rFonts w:ascii="微软雅黑" w:hAnsi="微软雅黑" w:eastAsia="微软雅黑"/>
          <w:b/>
          <w:color w:val="1B5E20"/>
          <w:sz w:val="52"/>
        </w:rPr>
        <w:t>鲜汇优选（FreshMart）</w:t>
      </w:r>
    </w:p>
    <w:p w14:paraId="777E13D2">
      <w:pPr>
        <w:spacing w:before="0" w:after="320" w:line="324" w:lineRule="auto"/>
        <w:jc w:val="center"/>
      </w:pPr>
      <w:r>
        <w:rPr>
          <w:rFonts w:ascii="微软雅黑" w:hAnsi="微软雅黑" w:eastAsia="微软雅黑"/>
          <w:b/>
          <w:color w:val="1B5E20"/>
          <w:sz w:val="40"/>
        </w:rPr>
        <w:t>生鲜 O2O 经营效果分析报告</w:t>
      </w:r>
    </w:p>
    <w:p w14:paraId="7B8EFA49">
      <w:pPr>
        <w:spacing w:before="0" w:after="80" w:line="324" w:lineRule="auto"/>
        <w:jc w:val="center"/>
      </w:pPr>
      <w:r>
        <w:rPr>
          <w:rFonts w:ascii="微软雅黑" w:hAnsi="微软雅黑" w:eastAsia="微软雅黑"/>
          <w:b w:val="0"/>
          <w:color w:val="333333"/>
          <w:sz w:val="24"/>
        </w:rPr>
        <w:t>分析周期：2023-01-01 ~ 2025-06-30</w:t>
      </w:r>
    </w:p>
    <w:p w14:paraId="13126B19">
      <w:pPr>
        <w:spacing w:before="0" w:after="400" w:line="324" w:lineRule="auto"/>
        <w:jc w:val="center"/>
      </w:pPr>
      <w:r>
        <w:rPr>
          <w:rFonts w:ascii="微软雅黑" w:hAnsi="微软雅黑" w:eastAsia="微软雅黑"/>
          <w:b w:val="0"/>
          <w:color w:val="999999"/>
          <w:sz w:val="22"/>
        </w:rPr>
        <w:t>技术栈：Python · Tableau Prep · Tableau Desktop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4666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F5E9"/>
          </w:tcPr>
          <w:p w14:paraId="7A026C56">
            <w:pPr>
              <w:jc w:val="center"/>
            </w:pPr>
            <w:r>
              <w:rPr>
                <w:rFonts w:ascii="微软雅黑" w:hAnsi="微软雅黑" w:eastAsia="微软雅黑"/>
                <w:b/>
                <w:color w:val="1B5E20"/>
                <w:sz w:val="28"/>
              </w:rPr>
              <w:t>132.6 万</w:t>
            </w:r>
          </w:p>
          <w:p w14:paraId="61EEEA0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E7D32"/>
                <w:sz w:val="18"/>
              </w:rPr>
              <w:t>GMV</w:t>
            </w:r>
          </w:p>
          <w:p w14:paraId="2652942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999999"/>
                <w:sz w:val="16"/>
              </w:rPr>
              <w:t>全周期</w:t>
            </w:r>
          </w:p>
        </w:tc>
        <w:tc>
          <w:tcPr>
            <w:tcW w:w="2268" w:type="dxa"/>
            <w:shd w:val="clear" w:color="auto" w:fill="E8F5E9"/>
          </w:tcPr>
          <w:p w14:paraId="3E8BEA97">
            <w:pPr>
              <w:jc w:val="center"/>
            </w:pPr>
            <w:r>
              <w:rPr>
                <w:rFonts w:ascii="微软雅黑" w:hAnsi="微软雅黑" w:eastAsia="微软雅黑"/>
                <w:b/>
                <w:color w:val="1B5E20"/>
                <w:sz w:val="28"/>
              </w:rPr>
              <w:t>37.17%</w:t>
            </w:r>
          </w:p>
          <w:p w14:paraId="53B1FA9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E7D32"/>
                <w:sz w:val="18"/>
              </w:rPr>
              <w:t>毛利率</w:t>
            </w:r>
          </w:p>
          <w:p w14:paraId="763E8B9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999999"/>
                <w:sz w:val="16"/>
              </w:rPr>
              <w:t>含生鲜损耗</w:t>
            </w:r>
          </w:p>
        </w:tc>
        <w:tc>
          <w:tcPr>
            <w:tcW w:w="2268" w:type="dxa"/>
            <w:shd w:val="clear" w:color="auto" w:fill="E8F5E9"/>
          </w:tcPr>
          <w:p w14:paraId="56BC7B33">
            <w:pPr>
              <w:jc w:val="center"/>
            </w:pPr>
            <w:r>
              <w:rPr>
                <w:rFonts w:ascii="微软雅黑" w:hAnsi="微软雅黑" w:eastAsia="微软雅黑"/>
                <w:b/>
                <w:color w:val="1B5E20"/>
                <w:sz w:val="28"/>
              </w:rPr>
              <w:t>75.6%</w:t>
            </w:r>
          </w:p>
          <w:p w14:paraId="3DE817E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E7D32"/>
                <w:sz w:val="18"/>
              </w:rPr>
              <w:t>30 分钟达</w:t>
            </w:r>
          </w:p>
          <w:p w14:paraId="33E11D6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999999"/>
                <w:sz w:val="16"/>
              </w:rPr>
              <w:t>整体履约</w:t>
            </w:r>
          </w:p>
        </w:tc>
        <w:tc>
          <w:tcPr>
            <w:tcW w:w="2268" w:type="dxa"/>
            <w:shd w:val="clear" w:color="auto" w:fill="E8F5E9"/>
          </w:tcPr>
          <w:p w14:paraId="29A90629">
            <w:pPr>
              <w:jc w:val="center"/>
            </w:pPr>
            <w:r>
              <w:rPr>
                <w:rFonts w:ascii="微软雅黑" w:hAnsi="微软雅黑" w:eastAsia="微软雅黑"/>
                <w:b/>
                <w:color w:val="1B5E20"/>
                <w:sz w:val="28"/>
              </w:rPr>
              <w:t>82.7%</w:t>
            </w:r>
          </w:p>
          <w:p w14:paraId="3BDEBFC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E7D32"/>
                <w:sz w:val="18"/>
              </w:rPr>
              <w:t>复购率</w:t>
            </w:r>
          </w:p>
          <w:p w14:paraId="42B31BC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999999"/>
                <w:sz w:val="16"/>
              </w:rPr>
              <w:t>会员粘性</w:t>
            </w:r>
          </w:p>
        </w:tc>
      </w:tr>
    </w:tbl>
    <w:p w14:paraId="2CC758FB">
      <w:pPr>
        <w:spacing w:before="0" w:after="240" w:line="324" w:lineRule="auto"/>
        <w:jc w:val="left"/>
      </w:pPr>
    </w:p>
    <w:p w14:paraId="6771E025">
      <w:pPr>
        <w:spacing w:before="0" w:after="120" w:line="324" w:lineRule="auto"/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数据说明：Python 脱敏仿真数据，仅供作品集展示</w:t>
      </w:r>
    </w:p>
    <w:p w14:paraId="1AF2007F">
      <w:r>
        <w:br w:type="page"/>
      </w:r>
    </w:p>
    <w:p w14:paraId="51FF92C2">
      <w:pPr>
        <w:spacing w:before="360" w:after="160" w:line="324" w:lineRule="auto"/>
        <w:jc w:val="left"/>
      </w:pPr>
      <w:r>
        <w:rPr>
          <w:rFonts w:ascii="微软雅黑" w:hAnsi="微软雅黑" w:eastAsia="微软雅黑"/>
          <w:b/>
          <w:color w:val="1B5E20"/>
          <w:sz w:val="32"/>
        </w:rPr>
        <w:t>目  录</w:t>
      </w:r>
    </w:p>
    <w:p w14:paraId="1D988E65">
      <w:pPr>
        <w:spacing w:after="100"/>
        <w:ind w:left="0"/>
      </w:pPr>
      <w:r>
        <w:fldChar w:fldCharType="begin"/>
      </w:r>
      <w:r>
        <w:instrText xml:space="preserve"> HYPERLINK \l "bm_preface" </w:instrText>
      </w:r>
      <w:r>
        <w:fldChar w:fldCharType="separate"/>
      </w:r>
      <w:r>
        <w:rPr>
          <w:rFonts w:eastAsia="微软雅黑"/>
          <w:b/>
          <w:color w:val="1B5E20"/>
          <w:sz w:val="22"/>
          <w:u w:val="single"/>
        </w:rPr>
        <w:t>前言</w:t>
      </w:r>
      <w:r>
        <w:rPr>
          <w:rFonts w:eastAsia="微软雅黑"/>
          <w:b/>
          <w:color w:val="1B5E20"/>
          <w:sz w:val="22"/>
          <w:u w:val="single"/>
        </w:rPr>
        <w:fldChar w:fldCharType="end"/>
      </w:r>
    </w:p>
    <w:p w14:paraId="598ED41E">
      <w:pPr>
        <w:spacing w:after="100"/>
        <w:ind w:left="0"/>
      </w:pPr>
      <w:r>
        <w:fldChar w:fldCharType="begin"/>
      </w:r>
      <w:r>
        <w:instrText xml:space="preserve"> HYPERLINK \l "bm_summary" </w:instrText>
      </w:r>
      <w:r>
        <w:fldChar w:fldCharType="separate"/>
      </w:r>
      <w:r>
        <w:rPr>
          <w:rFonts w:eastAsia="微软雅黑"/>
          <w:b/>
          <w:color w:val="1B5E20"/>
          <w:sz w:val="22"/>
          <w:u w:val="single"/>
        </w:rPr>
        <w:t>核心结论摘要</w:t>
      </w:r>
      <w:r>
        <w:rPr>
          <w:rFonts w:eastAsia="微软雅黑"/>
          <w:b/>
          <w:color w:val="1B5E20"/>
          <w:sz w:val="22"/>
          <w:u w:val="single"/>
        </w:rPr>
        <w:fldChar w:fldCharType="end"/>
      </w:r>
    </w:p>
    <w:p w14:paraId="2264B98B">
      <w:pPr>
        <w:spacing w:after="40"/>
        <w:ind w:left="680"/>
      </w:pPr>
      <w:r>
        <w:fldChar w:fldCharType="begin"/>
      </w:r>
      <w:r>
        <w:instrText xml:space="preserve"> HYPERLINK \l "bm_summary_1"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核心发现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3F0C1DE3">
      <w:pPr>
        <w:spacing w:after="40"/>
        <w:ind w:left="680"/>
      </w:pPr>
      <w:r>
        <w:fldChar w:fldCharType="begin"/>
      </w:r>
      <w:r>
        <w:instrText xml:space="preserve"> HYPERLINK \l "bm_summary_2"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关键指标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76D5CF23">
      <w:pPr>
        <w:spacing w:after="100"/>
        <w:ind w:left="0"/>
      </w:pPr>
      <w:r>
        <w:fldChar w:fldCharType="begin"/>
      </w:r>
      <w:r>
        <w:instrText xml:space="preserve"> HYPERLINK \l "bm_bg" </w:instrText>
      </w:r>
      <w:r>
        <w:fldChar w:fldCharType="separate"/>
      </w:r>
      <w:r>
        <w:rPr>
          <w:rFonts w:eastAsia="微软雅黑"/>
          <w:b/>
          <w:color w:val="1B5E20"/>
          <w:sz w:val="22"/>
          <w:u w:val="single"/>
        </w:rPr>
        <w:t>分析背景与数据说明</w:t>
      </w:r>
      <w:r>
        <w:rPr>
          <w:rFonts w:eastAsia="微软雅黑"/>
          <w:b/>
          <w:color w:val="1B5E20"/>
          <w:sz w:val="22"/>
          <w:u w:val="single"/>
        </w:rPr>
        <w:fldChar w:fldCharType="end"/>
      </w:r>
    </w:p>
    <w:p w14:paraId="146EE937">
      <w:pPr>
        <w:spacing w:after="40"/>
        <w:ind w:left="680"/>
      </w:pPr>
      <w:r>
        <w:fldChar w:fldCharType="begin"/>
      </w:r>
      <w:r>
        <w:instrText xml:space="preserve"> HYPERLINK \l "bm_bg_1"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行业背景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457DD81F">
      <w:pPr>
        <w:spacing w:after="40"/>
        <w:ind w:left="680"/>
      </w:pPr>
      <w:r>
        <w:fldChar w:fldCharType="begin"/>
      </w:r>
      <w:r>
        <w:instrText xml:space="preserve"> HYPERLINK \l "bm_bg_2"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数据与口径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673550A1">
      <w:pPr>
        <w:spacing w:after="100"/>
        <w:ind w:left="0"/>
      </w:pPr>
      <w:r>
        <w:fldChar w:fldCharType="begin"/>
      </w:r>
      <w:r>
        <w:instrText xml:space="preserve"> HYPERLINK \l "bm_ch1" </w:instrText>
      </w:r>
      <w:r>
        <w:fldChar w:fldCharType="separate"/>
      </w:r>
      <w:r>
        <w:rPr>
          <w:rFonts w:eastAsia="微软雅黑"/>
          <w:b/>
          <w:color w:val="1B5E20"/>
          <w:sz w:val="22"/>
          <w:u w:val="single"/>
        </w:rPr>
        <w:t>第一章  经营健康度</w:t>
      </w:r>
      <w:r>
        <w:rPr>
          <w:rFonts w:eastAsia="微软雅黑"/>
          <w:b/>
          <w:color w:val="1B5E20"/>
          <w:sz w:val="22"/>
          <w:u w:val="single"/>
        </w:rPr>
        <w:fldChar w:fldCharType="end"/>
      </w:r>
    </w:p>
    <w:p w14:paraId="745F93BD">
      <w:pPr>
        <w:spacing w:after="40"/>
        <w:ind w:left="680"/>
      </w:pPr>
      <w:r>
        <w:fldChar w:fldCharType="begin"/>
      </w:r>
      <w:r>
        <w:instrText xml:space="preserve"> HYPERLINK \l "bm_ch1_1"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整体规模与盈利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264FA4CA">
      <w:pPr>
        <w:spacing w:after="40"/>
        <w:ind w:left="680"/>
      </w:pPr>
      <w:r>
        <w:fldChar w:fldCharType="begin"/>
      </w:r>
      <w:r>
        <w:instrText xml:space="preserve"> HYPERLINK \l "bm_ch1_2"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增长节奏与店型分化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3961E0A4">
      <w:pPr>
        <w:spacing w:after="100"/>
        <w:ind w:left="0"/>
      </w:pPr>
      <w:r>
        <w:fldChar w:fldCharType="begin"/>
      </w:r>
      <w:r>
        <w:instrText xml:space="preserve"> HYPERLINK \l "bm_ch2" </w:instrText>
      </w:r>
      <w:r>
        <w:fldChar w:fldCharType="separate"/>
      </w:r>
      <w:r>
        <w:rPr>
          <w:rFonts w:eastAsia="微软雅黑"/>
          <w:b/>
          <w:color w:val="1B5E20"/>
          <w:sz w:val="22"/>
          <w:u w:val="single"/>
        </w:rPr>
        <w:t>第二章  收入结构</w:t>
      </w:r>
      <w:r>
        <w:rPr>
          <w:rFonts w:eastAsia="微软雅黑"/>
          <w:b/>
          <w:color w:val="1B5E20"/>
          <w:sz w:val="22"/>
          <w:u w:val="single"/>
        </w:rPr>
        <w:fldChar w:fldCharType="end"/>
      </w:r>
    </w:p>
    <w:p w14:paraId="3EBD7F9D">
      <w:pPr>
        <w:spacing w:after="40"/>
        <w:ind w:left="680"/>
      </w:pPr>
      <w:r>
        <w:fldChar w:fldCharType="begin"/>
      </w:r>
      <w:r>
        <w:instrText xml:space="preserve"> HYPERLINK \l "bm_ch2_1"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渠道贡献与结构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3B584825">
      <w:pPr>
        <w:spacing w:after="40"/>
        <w:ind w:left="680"/>
      </w:pPr>
      <w:r>
        <w:fldChar w:fldCharType="begin"/>
      </w:r>
      <w:r>
        <w:instrText xml:space="preserve"> HYPERLINK \l "bm_ch2_2"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促销渗透与利润质量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5ED0A3CC">
      <w:pPr>
        <w:spacing w:after="100"/>
        <w:ind w:left="0"/>
      </w:pPr>
      <w:r>
        <w:fldChar w:fldCharType="begin"/>
      </w:r>
      <w:r>
        <w:instrText xml:space="preserve"> HYPERLINK \l "bm_ch3" </w:instrText>
      </w:r>
      <w:r>
        <w:fldChar w:fldCharType="separate"/>
      </w:r>
      <w:r>
        <w:rPr>
          <w:rFonts w:eastAsia="微软雅黑"/>
          <w:b/>
          <w:color w:val="1B5E20"/>
          <w:sz w:val="22"/>
          <w:u w:val="single"/>
        </w:rPr>
        <w:t>第三章  转化与履约</w:t>
      </w:r>
      <w:r>
        <w:rPr>
          <w:rFonts w:eastAsia="微软雅黑"/>
          <w:b/>
          <w:color w:val="1B5E20"/>
          <w:sz w:val="22"/>
          <w:u w:val="single"/>
        </w:rPr>
        <w:fldChar w:fldCharType="end"/>
      </w:r>
    </w:p>
    <w:p w14:paraId="57BF9D3D">
      <w:pPr>
        <w:spacing w:after="40"/>
        <w:ind w:left="680"/>
      </w:pPr>
      <w:r>
        <w:fldChar w:fldCharType="begin"/>
      </w:r>
      <w:r>
        <w:instrText xml:space="preserve"> HYPERLINK \l "bm_ch3_1"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漏斗表现与掉落环节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0D5DF194">
      <w:pPr>
        <w:spacing w:after="40"/>
        <w:ind w:left="680"/>
      </w:pPr>
      <w:r>
        <w:fldChar w:fldCharType="begin"/>
      </w:r>
      <w:r>
        <w:instrText xml:space="preserve"> HYPERLINK \l "bm_ch3_2"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配送时效与根因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7242F7E6">
      <w:pPr>
        <w:spacing w:after="100"/>
        <w:ind w:left="0"/>
      </w:pPr>
      <w:r>
        <w:fldChar w:fldCharType="begin"/>
      </w:r>
      <w:r>
        <w:instrText xml:space="preserve"> HYPERLINK \l "bm_ch4" </w:instrText>
      </w:r>
      <w:r>
        <w:fldChar w:fldCharType="separate"/>
      </w:r>
      <w:r>
        <w:rPr>
          <w:rFonts w:eastAsia="微软雅黑"/>
          <w:b/>
          <w:color w:val="1B5E20"/>
          <w:sz w:val="22"/>
          <w:u w:val="single"/>
        </w:rPr>
        <w:t>第四章  人群与品类</w:t>
      </w:r>
      <w:r>
        <w:rPr>
          <w:rFonts w:eastAsia="微软雅黑"/>
          <w:b/>
          <w:color w:val="1B5E20"/>
          <w:sz w:val="22"/>
          <w:u w:val="single"/>
        </w:rPr>
        <w:fldChar w:fldCharType="end"/>
      </w:r>
    </w:p>
    <w:p w14:paraId="2136F844">
      <w:pPr>
        <w:spacing w:after="40"/>
        <w:ind w:left="680"/>
      </w:pPr>
      <w:r>
        <w:fldChar w:fldCharType="begin"/>
      </w:r>
      <w:r>
        <w:instrText xml:space="preserve"> HYPERLINK \l "bm_ch4_1"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会员画像与消费特征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10420337">
      <w:pPr>
        <w:spacing w:after="40"/>
        <w:ind w:left="680"/>
      </w:pPr>
      <w:r>
        <w:fldChar w:fldCharType="begin"/>
      </w:r>
      <w:r>
        <w:instrText xml:space="preserve"> HYPERLINK \l "bm_ch4_2"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品类集中度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0ADE5061">
      <w:pPr>
        <w:spacing w:after="100"/>
        <w:ind w:left="0"/>
      </w:pPr>
      <w:r>
        <w:fldChar w:fldCharType="begin"/>
      </w:r>
      <w:r>
        <w:instrText xml:space="preserve"> HYPERLINK \l "bm_ch5" </w:instrText>
      </w:r>
      <w:r>
        <w:fldChar w:fldCharType="separate"/>
      </w:r>
      <w:r>
        <w:rPr>
          <w:rFonts w:eastAsia="微软雅黑"/>
          <w:b/>
          <w:color w:val="1B5E20"/>
          <w:sz w:val="22"/>
          <w:u w:val="single"/>
        </w:rPr>
        <w:t>第五章  总结与建议</w:t>
      </w:r>
      <w:r>
        <w:rPr>
          <w:rFonts w:eastAsia="微软雅黑"/>
          <w:b/>
          <w:color w:val="1B5E20"/>
          <w:sz w:val="22"/>
          <w:u w:val="single"/>
        </w:rPr>
        <w:fldChar w:fldCharType="end"/>
      </w:r>
    </w:p>
    <w:p w14:paraId="78B90353">
      <w:pPr>
        <w:spacing w:after="40"/>
        <w:ind w:left="680"/>
      </w:pPr>
      <w:r>
        <w:fldChar w:fldCharType="begin"/>
      </w:r>
      <w:r>
        <w:instrText xml:space="preserve"> HYPERLINK \l "bm_ch5_1"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综合结论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590853BE">
      <w:pPr>
        <w:spacing w:after="40"/>
        <w:ind w:left="680"/>
      </w:pPr>
      <w:r>
        <w:fldChar w:fldCharType="begin"/>
      </w:r>
      <w:r>
        <w:instrText xml:space="preserve"> HYPERLINK \l "bm_ch5_2" </w:instrText>
      </w:r>
      <w:r>
        <w:fldChar w:fldCharType="separate"/>
      </w:r>
      <w:r>
        <w:rPr>
          <w:rFonts w:eastAsia="微软雅黑"/>
          <w:color w:val="1B5E20"/>
          <w:sz w:val="20"/>
          <w:u w:val="single"/>
        </w:rPr>
        <w:t>行动建议</w:t>
      </w:r>
      <w:r>
        <w:rPr>
          <w:rFonts w:eastAsia="微软雅黑"/>
          <w:color w:val="1B5E20"/>
          <w:sz w:val="20"/>
          <w:u w:val="single"/>
        </w:rPr>
        <w:fldChar w:fldCharType="end"/>
      </w:r>
    </w:p>
    <w:p w14:paraId="332572EF">
      <w:r>
        <w:br w:type="page"/>
      </w:r>
    </w:p>
    <w:p w14:paraId="7C27D2E6">
      <w:pPr>
        <w:spacing w:before="360" w:after="160" w:line="324" w:lineRule="auto"/>
        <w:jc w:val="left"/>
      </w:pPr>
      <w:bookmarkStart w:id="0" w:name="bm_preface"/>
      <w:r>
        <w:rPr>
          <w:rFonts w:ascii="微软雅黑" w:hAnsi="微软雅黑" w:eastAsia="微软雅黑"/>
          <w:b/>
          <w:color w:val="1B5E20"/>
          <w:sz w:val="32"/>
        </w:rPr>
        <w:t>前  言</w:t>
      </w:r>
      <w:bookmarkEnd w:id="0"/>
    </w:p>
    <w:p w14:paraId="0120A5EC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生鲜零售正经历从「到店选购」向「即时到家」的结构性迁移。连锁生鲜品牌普遍面临三重压力：前端流量成本上升、促销让利侵蚀毛利、后端履约能力决定用户体验与复购。本报告基于鲜汇优选（FreshMart）2023—2025 上半年经营数据，参照行业洞察报告写法，从经营健康度、收入结构、转化履约、人群品类四个维度展开论证，并给出可落地的行动建议。</w:t>
      </w:r>
    </w:p>
    <w:p w14:paraId="1893E119">
      <w:pPr>
        <w:spacing w:before="0" w:after="120" w:line="324" w:lineRule="auto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报告数据为 Python 仿真脱敏数据集（56 万+ 行为事件、4.5 万+ 订单），与 Tableau 看板口径一致；图表由 Python 复现看板核心视图，便于报告与看板联动展示。</w:t>
      </w:r>
    </w:p>
    <w:p w14:paraId="238420BC">
      <w:r>
        <w:br w:type="page"/>
      </w:r>
    </w:p>
    <w:p w14:paraId="729EE4B8">
      <w:pPr>
        <w:spacing w:before="360" w:after="160" w:line="324" w:lineRule="auto"/>
        <w:jc w:val="left"/>
      </w:pPr>
      <w:bookmarkStart w:id="1" w:name="bm_summary"/>
      <w:r>
        <w:rPr>
          <w:rFonts w:ascii="微软雅黑" w:hAnsi="微软雅黑" w:eastAsia="微软雅黑"/>
          <w:b/>
          <w:color w:val="1B5E20"/>
          <w:sz w:val="32"/>
        </w:rPr>
        <w:t>核心结论摘要</w:t>
      </w:r>
      <w:bookmarkEnd w:id="1"/>
    </w:p>
    <w:p w14:paraId="729C9C53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观察期内，鲜汇优选整体 KPI 达标、盈利稳定，但增长在放缓；促销占比较高且未能拉升客单价；转化瓶颈不在前端获客，而在支付后的拣配履约。以下三条结论贯穿全文。</w:t>
      </w:r>
    </w:p>
    <w:p w14:paraId="2C560F79">
      <w:pPr>
        <w:spacing w:before="240" w:after="120" w:line="324" w:lineRule="auto"/>
        <w:jc w:val="left"/>
      </w:pPr>
      <w:bookmarkStart w:id="2" w:name="bm_summary_1"/>
      <w:r>
        <w:rPr>
          <w:rFonts w:ascii="微软雅黑" w:hAnsi="微软雅黑" w:eastAsia="微软雅黑"/>
          <w:b/>
          <w:color w:val="2E7D32"/>
          <w:sz w:val="26"/>
        </w:rPr>
        <w:t>核心发现</w:t>
      </w:r>
      <w:bookmarkEnd w:id="2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559F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B5E20"/>
          </w:tcPr>
          <w:p w14:paraId="7E4FAE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发现</w:t>
            </w:r>
          </w:p>
        </w:tc>
        <w:tc>
          <w:tcPr>
            <w:tcW w:w="3024" w:type="dxa"/>
            <w:shd w:val="clear" w:color="auto" w:fill="1B5E20"/>
          </w:tcPr>
          <w:p w14:paraId="78A73D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数据表现</w:t>
            </w:r>
          </w:p>
        </w:tc>
        <w:tc>
          <w:tcPr>
            <w:tcW w:w="3024" w:type="dxa"/>
            <w:shd w:val="clear" w:color="auto" w:fill="1B5E20"/>
          </w:tcPr>
          <w:p w14:paraId="49B88F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业务判断</w:t>
            </w:r>
          </w:p>
        </w:tc>
      </w:tr>
      <w:tr w14:paraId="6D04E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F550A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经营达标但增速放缓</w:t>
            </w:r>
          </w:p>
        </w:tc>
        <w:tc>
          <w:tcPr>
            <w:tcW w:w="3024" w:type="dxa"/>
          </w:tcPr>
          <w:p w14:paraId="660ECF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GMV 132.6 万；2024 目标完成 92.5%；2025H1 同比走弱</w:t>
            </w:r>
          </w:p>
        </w:tc>
        <w:tc>
          <w:tcPr>
            <w:tcW w:w="3024" w:type="dxa"/>
          </w:tcPr>
          <w:p w14:paraId="182BB4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不宜只追规模，需提增长质量</w:t>
            </w:r>
          </w:p>
        </w:tc>
      </w:tr>
      <w:tr w14:paraId="275B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D735B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促销让利未换客单</w:t>
            </w:r>
          </w:p>
        </w:tc>
        <w:tc>
          <w:tcPr>
            <w:tcW w:w="3024" w:type="dxa"/>
          </w:tcPr>
          <w:p w14:paraId="1C1A6E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促销占 65%；毛利低 2.4pt；客单 29.10 vs 正价 30.45</w:t>
            </w:r>
          </w:p>
        </w:tc>
        <w:tc>
          <w:tcPr>
            <w:tcW w:w="3024" w:type="dxa"/>
          </w:tcPr>
          <w:p w14:paraId="38F446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满减偏走量，侵蚀利润</w:t>
            </w:r>
          </w:p>
        </w:tc>
      </w:tr>
      <w:tr w14:paraId="6A4E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A4488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履约是转化短板</w:t>
            </w:r>
          </w:p>
        </w:tc>
        <w:tc>
          <w:tcPr>
            <w:tcW w:w="3024" w:type="dxa"/>
          </w:tcPr>
          <w:p w14:paraId="1EFABA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浏览→支付 94%；支付→拣配 89.4%；外卖 30 分钟达 56.6%</w:t>
            </w:r>
          </w:p>
        </w:tc>
        <w:tc>
          <w:tcPr>
            <w:tcW w:w="3024" w:type="dxa"/>
          </w:tcPr>
          <w:p w14:paraId="267191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优先补产能与外卖体验</w:t>
            </w:r>
          </w:p>
        </w:tc>
      </w:tr>
    </w:tbl>
    <w:p w14:paraId="3A178FEC">
      <w:pPr>
        <w:spacing w:before="0" w:after="160" w:line="324" w:lineRule="auto"/>
        <w:jc w:val="left"/>
      </w:pPr>
    </w:p>
    <w:p w14:paraId="477E605E">
      <w:pPr>
        <w:spacing w:before="240" w:after="120" w:line="324" w:lineRule="auto"/>
        <w:jc w:val="left"/>
      </w:pPr>
      <w:bookmarkStart w:id="3" w:name="bm_summary_2"/>
      <w:r>
        <w:rPr>
          <w:rFonts w:ascii="微软雅黑" w:hAnsi="微软雅黑" w:eastAsia="微软雅黑"/>
          <w:b/>
          <w:color w:val="2E7D32"/>
          <w:sz w:val="26"/>
        </w:rPr>
        <w:t>关键指标</w:t>
      </w:r>
      <w:bookmarkEnd w:id="3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0724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B5E20"/>
          </w:tcPr>
          <w:p w14:paraId="6F0061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3024" w:type="dxa"/>
            <w:shd w:val="clear" w:color="auto" w:fill="1B5E20"/>
          </w:tcPr>
          <w:p w14:paraId="3A3DE5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w="3024" w:type="dxa"/>
            <w:shd w:val="clear" w:color="auto" w:fill="1B5E20"/>
          </w:tcPr>
          <w:p w14:paraId="3A9BE0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参照</w:t>
            </w:r>
          </w:p>
        </w:tc>
      </w:tr>
      <w:tr w14:paraId="6C36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470FE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GMV / 订单</w:t>
            </w:r>
          </w:p>
        </w:tc>
        <w:tc>
          <w:tcPr>
            <w:tcW w:w="3024" w:type="dxa"/>
          </w:tcPr>
          <w:p w14:paraId="4A49A4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132.6 万 / 44,833 单</w:t>
            </w:r>
          </w:p>
        </w:tc>
        <w:tc>
          <w:tcPr>
            <w:tcW w:w="3024" w:type="dxa"/>
          </w:tcPr>
          <w:p w14:paraId="334AF1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2024 年 54.9 万</w:t>
            </w:r>
          </w:p>
        </w:tc>
      </w:tr>
      <w:tr w14:paraId="0689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99C56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毛利率 / 客单价</w:t>
            </w:r>
          </w:p>
        </w:tc>
        <w:tc>
          <w:tcPr>
            <w:tcW w:w="3024" w:type="dxa"/>
          </w:tcPr>
          <w:p w14:paraId="27380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37.17% / 29.58 元</w:t>
            </w:r>
          </w:p>
        </w:tc>
        <w:tc>
          <w:tcPr>
            <w:tcW w:w="3024" w:type="dxa"/>
          </w:tcPr>
          <w:p w14:paraId="377A48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正价组 38.67% / 30.45 元</w:t>
            </w:r>
          </w:p>
        </w:tc>
      </w:tr>
      <w:tr w14:paraId="79623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14036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 分钟达</w:t>
            </w:r>
          </w:p>
        </w:tc>
        <w:tc>
          <w:tcPr>
            <w:tcW w:w="3024" w:type="dxa"/>
          </w:tcPr>
          <w:p w14:paraId="4BA163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75.6%</w:t>
            </w:r>
          </w:p>
        </w:tc>
        <w:tc>
          <w:tcPr>
            <w:tcW w:w="3024" w:type="dxa"/>
          </w:tcPr>
          <w:p w14:paraId="073BA6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前置仓 87.1%，外卖 56.6%</w:t>
            </w:r>
          </w:p>
        </w:tc>
      </w:tr>
      <w:tr w14:paraId="6CDE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EA229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复购率</w:t>
            </w:r>
          </w:p>
        </w:tc>
        <w:tc>
          <w:tcPr>
            <w:tcW w:w="3024" w:type="dxa"/>
          </w:tcPr>
          <w:p w14:paraId="1C732B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82.7%</w:t>
            </w:r>
          </w:p>
        </w:tc>
        <w:tc>
          <w:tcPr>
            <w:tcW w:w="3024" w:type="dxa"/>
          </w:tcPr>
          <w:p w14:paraId="169CCB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人均 3.3 单</w:t>
            </w:r>
          </w:p>
        </w:tc>
      </w:tr>
      <w:tr w14:paraId="2431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6457D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主力人群</w:t>
            </w:r>
          </w:p>
        </w:tc>
        <w:tc>
          <w:tcPr>
            <w:tcW w:w="3024" w:type="dxa"/>
          </w:tcPr>
          <w:p w14:paraId="0A96D1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30—39 岁 GMV 49%</w:t>
            </w:r>
          </w:p>
        </w:tc>
        <w:tc>
          <w:tcPr>
            <w:tcW w:w="3024" w:type="dxa"/>
          </w:tcPr>
          <w:p w14:paraId="0BE1D2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女性 54.5%</w:t>
            </w:r>
          </w:p>
        </w:tc>
      </w:tr>
    </w:tbl>
    <w:p w14:paraId="44D6D5CF">
      <w:pPr>
        <w:spacing w:before="0" w:after="160" w:line="324" w:lineRule="auto"/>
        <w:jc w:val="left"/>
      </w:pPr>
    </w:p>
    <w:p w14:paraId="14413E74">
      <w:r>
        <w:br w:type="page"/>
      </w:r>
    </w:p>
    <w:p w14:paraId="52BCD32F">
      <w:pPr>
        <w:spacing w:before="360" w:after="160" w:line="324" w:lineRule="auto"/>
        <w:jc w:val="left"/>
      </w:pPr>
      <w:bookmarkStart w:id="4" w:name="bm_bg"/>
      <w:r>
        <w:rPr>
          <w:rFonts w:ascii="微软雅黑" w:hAnsi="微软雅黑" w:eastAsia="微软雅黑"/>
          <w:b/>
          <w:color w:val="1B5E20"/>
          <w:sz w:val="32"/>
        </w:rPr>
        <w:t>分析背景与数据说明</w:t>
      </w:r>
      <w:bookmarkEnd w:id="4"/>
    </w:p>
    <w:p w14:paraId="0E55A88A">
      <w:pPr>
        <w:spacing w:before="240" w:after="120" w:line="324" w:lineRule="auto"/>
        <w:jc w:val="left"/>
      </w:pPr>
      <w:bookmarkStart w:id="5" w:name="bm_bg_1"/>
      <w:r>
        <w:rPr>
          <w:rFonts w:ascii="微软雅黑" w:hAnsi="微软雅黑" w:eastAsia="微软雅黑"/>
          <w:b/>
          <w:color w:val="2E7D32"/>
          <w:sz w:val="26"/>
        </w:rPr>
        <w:t>行业背景</w:t>
      </w:r>
      <w:bookmarkEnd w:id="5"/>
    </w:p>
    <w:p w14:paraId="3AC42D9D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中国生鲜 O2O 市场在疫情后进入常态化竞争阶段：前置仓、社区店与第三方外卖并行，「30 分钟达」成为用户心智标配。行业呈现三方面特征：</w:t>
      </w:r>
    </w:p>
    <w:p w14:paraId="1B1AC10B">
      <w:pPr>
        <w:spacing w:after="80"/>
        <w:ind w:left="283"/>
      </w:pPr>
      <w:r>
        <w:rPr>
          <w:rFonts w:ascii="微软雅黑" w:hAnsi="微软雅黑" w:eastAsia="微软雅黑"/>
          <w:b w:val="0"/>
          <w:color w:val="333333"/>
          <w:sz w:val="22"/>
        </w:rPr>
        <w:t>• 渠道线上化：到家 App/小程序占比持续提升，线下堂食收缩；</w:t>
      </w:r>
    </w:p>
    <w:p w14:paraId="7D08F4C5">
      <w:pPr>
        <w:spacing w:after="80"/>
        <w:ind w:left="283"/>
      </w:pPr>
      <w:r>
        <w:rPr>
          <w:rFonts w:ascii="微软雅黑" w:hAnsi="微软雅黑" w:eastAsia="微软雅黑"/>
          <w:b w:val="0"/>
          <w:color w:val="333333"/>
          <w:sz w:val="22"/>
        </w:rPr>
        <w:t>• 促销常态化：满减、会员折扣渗透率高，利润质量成为核心考核；</w:t>
      </w:r>
    </w:p>
    <w:p w14:paraId="322D0DD8">
      <w:pPr>
        <w:spacing w:after="80"/>
        <w:ind w:left="283"/>
      </w:pPr>
      <w:r>
        <w:rPr>
          <w:rFonts w:ascii="微软雅黑" w:hAnsi="微软雅黑" w:eastAsia="微软雅黑"/>
          <w:b w:val="0"/>
          <w:color w:val="333333"/>
          <w:sz w:val="22"/>
        </w:rPr>
        <w:t>• 履约分化：前置仓与社区店体验优于旗舰店与外卖远距离订单。</w:t>
      </w:r>
    </w:p>
    <w:p w14:paraId="6CABC350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鲜汇优选覆盖 15 城 40 家门店（旗舰店/标准店/社区店/前置仓），观察期内同步推进会员运营、促销组合与即时履约能力建设。</w:t>
      </w:r>
    </w:p>
    <w:p w14:paraId="2E45B413">
      <w:pPr>
        <w:spacing w:before="240" w:after="120" w:line="324" w:lineRule="auto"/>
        <w:jc w:val="left"/>
      </w:pPr>
      <w:bookmarkStart w:id="6" w:name="bm_bg_2"/>
      <w:r>
        <w:rPr>
          <w:rFonts w:ascii="微软雅黑" w:hAnsi="微软雅黑" w:eastAsia="微软雅黑"/>
          <w:b/>
          <w:color w:val="2E7D32"/>
          <w:sz w:val="26"/>
        </w:rPr>
        <w:t>数据与口径</w:t>
      </w:r>
      <w:bookmarkEnd w:id="6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D4C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B5E20"/>
          </w:tcPr>
          <w:p w14:paraId="0A0E32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数据表</w:t>
            </w:r>
          </w:p>
        </w:tc>
        <w:tc>
          <w:tcPr>
            <w:tcW w:w="3024" w:type="dxa"/>
            <w:shd w:val="clear" w:color="auto" w:fill="1B5E20"/>
          </w:tcPr>
          <w:p w14:paraId="1521CA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记录规模</w:t>
            </w:r>
          </w:p>
        </w:tc>
        <w:tc>
          <w:tcPr>
            <w:tcW w:w="3024" w:type="dxa"/>
            <w:shd w:val="clear" w:color="auto" w:fill="1B5E20"/>
          </w:tcPr>
          <w:p w14:paraId="51AD61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06558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A910D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会员行为明细</w:t>
            </w:r>
          </w:p>
        </w:tc>
        <w:tc>
          <w:tcPr>
            <w:tcW w:w="3024" w:type="dxa"/>
          </w:tcPr>
          <w:p w14:paraId="53ED18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~56.4 万条</w:t>
            </w:r>
          </w:p>
        </w:tc>
        <w:tc>
          <w:tcPr>
            <w:tcW w:w="3024" w:type="dxa"/>
          </w:tcPr>
          <w:p w14:paraId="5E3431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七步漏斗、步进转化率</w:t>
            </w:r>
          </w:p>
        </w:tc>
      </w:tr>
      <w:tr w14:paraId="59C01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2AEF0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订单明细</w:t>
            </w:r>
          </w:p>
        </w:tc>
        <w:tc>
          <w:tcPr>
            <w:tcW w:w="3024" w:type="dxa"/>
          </w:tcPr>
          <w:p w14:paraId="4D9292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44,833 条</w:t>
            </w:r>
          </w:p>
        </w:tc>
        <w:tc>
          <w:tcPr>
            <w:tcW w:w="3024" w:type="dxa"/>
          </w:tcPr>
          <w:p w14:paraId="6E43BA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GMV、毛利、渠道、配送时效</w:t>
            </w:r>
          </w:p>
        </w:tc>
      </w:tr>
      <w:tr w14:paraId="345CB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05E79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会员/门店/商品维表</w:t>
            </w:r>
          </w:p>
        </w:tc>
        <w:tc>
          <w:tcPr>
            <w:tcW w:w="3024" w:type="dxa"/>
          </w:tcPr>
          <w:p w14:paraId="24EF5F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1.4 万会员 / 40 店 / 100 SKU</w:t>
            </w:r>
          </w:p>
        </w:tc>
        <w:tc>
          <w:tcPr>
            <w:tcW w:w="3024" w:type="dxa"/>
          </w:tcPr>
          <w:p w14:paraId="0BE7C7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人群与品类下钻</w:t>
            </w:r>
          </w:p>
        </w:tc>
      </w:tr>
    </w:tbl>
    <w:p w14:paraId="61231B57">
      <w:pPr>
        <w:spacing w:before="0" w:after="160" w:line="324" w:lineRule="auto"/>
        <w:jc w:val="left"/>
      </w:pPr>
    </w:p>
    <w:p w14:paraId="638F74D3">
      <w:pPr>
        <w:spacing w:before="0" w:after="120" w:line="324" w:lineRule="auto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GMV 取实付订单金额；毛利率含生鲜损耗；目标完成率按 2024 年门店 GMV 对比年度目标；漏斗转化以会员粒度 COUNTD 统计步进转化率。不含投放成本字段，不涉及真实 ROI 测算。</w:t>
      </w:r>
    </w:p>
    <w:p w14:paraId="192FADDE">
      <w:r>
        <w:br w:type="page"/>
      </w:r>
    </w:p>
    <w:p w14:paraId="7462D668">
      <w:pPr>
        <w:spacing w:before="0" w:after="8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22"/>
        </w:rPr>
        <w:t>第一章</w:t>
      </w:r>
    </w:p>
    <w:p w14:paraId="5C1FAA5E">
      <w:pPr>
        <w:spacing w:before="360" w:after="160" w:line="324" w:lineRule="auto"/>
        <w:jc w:val="left"/>
      </w:pPr>
      <w:bookmarkStart w:id="7" w:name="bm_ch1"/>
      <w:r>
        <w:rPr>
          <w:rFonts w:ascii="微软雅黑" w:hAnsi="微软雅黑" w:eastAsia="微软雅黑"/>
          <w:b/>
          <w:color w:val="1B5E20"/>
          <w:sz w:val="32"/>
        </w:rPr>
        <w:t>经营健康度：规模达标，增长趋缓</w:t>
      </w:r>
      <w:bookmarkEnd w:id="7"/>
    </w:p>
    <w:p w14:paraId="4E34DB16">
      <w:pPr>
        <w:spacing w:before="0" w:after="20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22"/>
        </w:rPr>
        <w:t>——全周期盈利稳健，2024 考核基本达标，但 2025 增速放缓、店型分化明显</w:t>
      </w:r>
    </w:p>
    <w:p w14:paraId="47E9A8B5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本章先看「盘子有多大、赚不赚钱、还能不能快起来」。从全周期规模与盈利出发，再观察月度走势与不同店型的目标达成差异。</w:t>
      </w:r>
    </w:p>
    <w:p w14:paraId="7B12F0FD">
      <w:pPr>
        <w:spacing w:before="240" w:after="120" w:line="324" w:lineRule="auto"/>
        <w:jc w:val="left"/>
      </w:pPr>
      <w:bookmarkStart w:id="8" w:name="bm_ch1_1"/>
      <w:r>
        <w:rPr>
          <w:rFonts w:ascii="微软雅黑" w:hAnsi="微软雅黑" w:eastAsia="微软雅黑"/>
          <w:b/>
          <w:color w:val="2E7D32"/>
          <w:sz w:val="26"/>
        </w:rPr>
        <w:t>整体规模与盈利</w:t>
      </w:r>
      <w:bookmarkEnd w:id="8"/>
    </w:p>
    <w:p w14:paraId="6AD6FF3A">
      <w:pPr>
        <w:spacing w:after="80"/>
        <w:ind w:left="283"/>
      </w:pPr>
      <w:r>
        <w:rPr>
          <w:rFonts w:ascii="微软雅黑" w:hAnsi="微软雅黑" w:eastAsia="微软雅黑"/>
          <w:b w:val="0"/>
          <w:color w:val="333333"/>
          <w:sz w:val="22"/>
        </w:rPr>
        <w:t>• 全周期 GMV 132.6 万元、毛利约 49.3 万元，毛利率 37.17%，客单价 29.58 元；</w:t>
      </w:r>
    </w:p>
    <w:p w14:paraId="61451BBE">
      <w:pPr>
        <w:spacing w:after="80"/>
        <w:ind w:left="283"/>
      </w:pPr>
      <w:r>
        <w:rPr>
          <w:rFonts w:ascii="微软雅黑" w:hAnsi="微软雅黑" w:eastAsia="微软雅黑"/>
          <w:b w:val="0"/>
          <w:color w:val="333333"/>
          <w:sz w:val="22"/>
        </w:rPr>
        <w:t>• 2024 年 GMV 54.9 万元，相对年度目标平均完成 92.5%，考核口径下经营基本达标；</w:t>
      </w:r>
    </w:p>
    <w:p w14:paraId="071C80E2">
      <w:pPr>
        <w:spacing w:after="80"/>
        <w:ind w:left="283"/>
      </w:pPr>
      <w:r>
        <w:rPr>
          <w:rFonts w:ascii="微软雅黑" w:hAnsi="微软雅黑" w:eastAsia="微软雅黑"/>
          <w:b w:val="0"/>
          <w:color w:val="333333"/>
          <w:sz w:val="22"/>
        </w:rPr>
        <w:t>• 盈利水平处于生鲜 O2O 合理区间，但需警惕促销渗透对毛利的持续挤压。</w:t>
      </w:r>
    </w:p>
    <w:p w14:paraId="5F025167">
      <w:pPr>
        <w:spacing w:before="240" w:after="120" w:line="324" w:lineRule="auto"/>
        <w:jc w:val="left"/>
      </w:pPr>
      <w:bookmarkStart w:id="9" w:name="bm_ch1_2"/>
      <w:r>
        <w:rPr>
          <w:rFonts w:ascii="微软雅黑" w:hAnsi="微软雅黑" w:eastAsia="微软雅黑"/>
          <w:b/>
          <w:color w:val="2E7D32"/>
          <w:sz w:val="26"/>
        </w:rPr>
        <w:t>增长节奏与店型分化</w:t>
      </w:r>
      <w:bookmarkEnd w:id="9"/>
    </w:p>
    <w:p w14:paraId="25DAD849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从时间维度看，2023—2024 年 GMV 温和上行，但 2025 上半年增速明显放缓，部分月份同比增速转负，提示不能只看总量达标，还要关注趋势拐点。</w:t>
      </w:r>
    </w:p>
    <w:p w14:paraId="4EB1BAA4">
      <w:pPr>
        <w:spacing w:before="160" w:after="80" w:line="324" w:lineRule="auto"/>
        <w:jc w:val="left"/>
      </w:pPr>
      <w:r>
        <w:rPr>
          <w:rFonts w:ascii="微软雅黑" w:hAnsi="微软雅黑" w:eastAsia="微软雅黑"/>
          <w:b/>
          <w:color w:val="2E7D32"/>
          <w:sz w:val="20"/>
        </w:rPr>
        <w:t>图 1  月度 GMV 与同比增速</w:t>
      </w:r>
    </w:p>
    <w:p w14:paraId="4D5068F9">
      <w:pPr>
        <w:spacing w:before="0" w:after="200" w:line="324" w:lineRule="auto"/>
        <w:jc w:val="center"/>
      </w:pPr>
      <w:r>
        <w:drawing>
          <wp:inline distT="0" distB="0" distL="114300" distR="114300">
            <wp:extent cx="5219700" cy="2585720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8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A628">
      <w:pPr>
        <w:spacing w:before="0" w:after="16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18"/>
        </w:rPr>
        <w:t>数据来源：鲜汇优选仿真订单/行为数据，Python 可视化</w:t>
      </w:r>
    </w:p>
    <w:p w14:paraId="634FB56E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结合店型表现，分化进一步放大：前置仓 2024 目标完成 115.1%，社区店 98.1%，标准店 88.1%，旗舰店仅 77.9%。前置仓在规模与体验上双优，旗舰店则同时承压。</w:t>
      </w:r>
    </w:p>
    <w:p w14:paraId="64772426">
      <w:pPr>
        <w:spacing w:before="160" w:after="80" w:line="324" w:lineRule="auto"/>
        <w:jc w:val="left"/>
      </w:pPr>
      <w:r>
        <w:rPr>
          <w:rFonts w:ascii="微软雅黑" w:hAnsi="微软雅黑" w:eastAsia="微软雅黑"/>
          <w:b/>
          <w:color w:val="2E7D32"/>
          <w:sz w:val="20"/>
        </w:rPr>
        <w:t>图 2  各业态 2024 年 GMV 与目标完成率</w:t>
      </w:r>
    </w:p>
    <w:p w14:paraId="5B8EB0F2">
      <w:pPr>
        <w:spacing w:before="0" w:after="200" w:line="324" w:lineRule="auto"/>
        <w:jc w:val="center"/>
      </w:pPr>
      <w:r>
        <w:drawing>
          <wp:inline distT="0" distB="0" distL="114300" distR="114300">
            <wp:extent cx="5219700" cy="2906395"/>
            <wp:effectExtent l="0" t="0" r="76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CF65">
      <w:pPr>
        <w:spacing w:before="0" w:after="16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18"/>
        </w:rPr>
        <w:t>数据来源：鲜汇优选仿真订单/行为数据，Python 可视化</w:t>
      </w:r>
    </w:p>
    <w:p w14:paraId="4368B9A5">
      <w:r>
        <w:br w:type="page"/>
      </w:r>
    </w:p>
    <w:p w14:paraId="2084291D">
      <w:pPr>
        <w:spacing w:before="0" w:after="8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22"/>
        </w:rPr>
        <w:t>第二章</w:t>
      </w:r>
    </w:p>
    <w:p w14:paraId="500617AD">
      <w:pPr>
        <w:spacing w:before="360" w:after="160" w:line="324" w:lineRule="auto"/>
        <w:jc w:val="left"/>
      </w:pPr>
      <w:bookmarkStart w:id="10" w:name="bm_ch2"/>
      <w:r>
        <w:rPr>
          <w:rFonts w:ascii="微软雅黑" w:hAnsi="微软雅黑" w:eastAsia="微软雅黑"/>
          <w:b/>
          <w:color w:val="1B5E20"/>
          <w:sz w:val="32"/>
        </w:rPr>
        <w:t>收入结构：到家主导，促销侵蚀利润</w:t>
      </w:r>
      <w:bookmarkEnd w:id="10"/>
    </w:p>
    <w:p w14:paraId="6170358F">
      <w:pPr>
        <w:spacing w:before="0" w:after="20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22"/>
        </w:rPr>
        <w:t>——到家双端占六成，战略方向正确；促销渗透高但未换来更高客单</w:t>
      </w:r>
    </w:p>
    <w:p w14:paraId="4634C758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在规模达标的前提下，本章关注「钱从哪来、花得值不值」——渠道结构是否支撑战略，促销是在拉动增长还是在侵蚀利润。</w:t>
      </w:r>
    </w:p>
    <w:p w14:paraId="2E15F90C">
      <w:pPr>
        <w:spacing w:before="240" w:after="120" w:line="324" w:lineRule="auto"/>
        <w:jc w:val="left"/>
      </w:pPr>
      <w:bookmarkStart w:id="11" w:name="bm_ch2_1"/>
      <w:r>
        <w:rPr>
          <w:rFonts w:ascii="微软雅黑" w:hAnsi="微软雅黑" w:eastAsia="微软雅黑"/>
          <w:b/>
          <w:color w:val="2E7D32"/>
          <w:sz w:val="26"/>
        </w:rPr>
        <w:t>渠道贡献与结构</w:t>
      </w:r>
      <w:bookmarkEnd w:id="11"/>
    </w:p>
    <w:p w14:paraId="5A5556A7">
      <w:pPr>
        <w:spacing w:before="160" w:after="80" w:line="324" w:lineRule="auto"/>
        <w:jc w:val="left"/>
      </w:pPr>
      <w:r>
        <w:rPr>
          <w:rFonts w:ascii="微软雅黑" w:hAnsi="微软雅黑" w:eastAsia="微软雅黑"/>
          <w:b/>
          <w:color w:val="2E7D32"/>
          <w:sz w:val="20"/>
        </w:rPr>
        <w:t>图 3  订单渠道占比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032"/>
      </w:tblGrid>
      <w:tr w14:paraId="5AF5B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0D06C204">
            <w:pPr>
              <w:spacing w:line="324" w:lineRule="auto"/>
              <w:ind w:firstLine="420" w:firstLineChars="200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小程序到家 31.8%、App 到家 28.1%，到家双端合计约六成，与 O2O 战略一致。门店自提 18.1% 是重要线下补充。需要警惕的是第三方外卖：虽然占 14.1%，但 30 分钟送达率仅 56.6%，远低于整体 75.6%，扩量前应先修复体验。</w:t>
            </w:r>
          </w:p>
        </w:tc>
        <w:tc>
          <w:tcPr>
            <w:tcW w:w="3969" w:type="dxa"/>
          </w:tcPr>
          <w:p w14:paraId="61ACFD3E">
            <w:pPr>
              <w:jc w:val="center"/>
            </w:pPr>
            <w:r>
              <w:drawing>
                <wp:inline distT="0" distB="0" distL="114300" distR="114300">
                  <wp:extent cx="2411730" cy="2404745"/>
                  <wp:effectExtent l="0" t="0" r="1143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2405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830533">
      <w:pPr>
        <w:spacing w:before="0" w:after="160" w:line="324" w:lineRule="auto"/>
        <w:jc w:val="left"/>
      </w:pPr>
    </w:p>
    <w:p w14:paraId="42129EB8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趋势上，到家占比从 2023 到 2024 持续抬升，小程序与 App 双端共同推动线上化，线下堂食占比收缩。渠道策略总体方向正确，重点转向「高质量履约的到家订单」。</w:t>
      </w:r>
    </w:p>
    <w:p w14:paraId="6CCA7592">
      <w:pPr>
        <w:spacing w:before="240" w:after="120" w:line="324" w:lineRule="auto"/>
        <w:jc w:val="left"/>
      </w:pPr>
      <w:bookmarkStart w:id="12" w:name="bm_ch2_2"/>
      <w:r>
        <w:rPr>
          <w:rFonts w:ascii="微软雅黑" w:hAnsi="微软雅黑" w:eastAsia="微软雅黑"/>
          <w:b/>
          <w:color w:val="2E7D32"/>
          <w:sz w:val="26"/>
        </w:rPr>
        <w:t>促销渗透与利润质量</w:t>
      </w:r>
      <w:bookmarkEnd w:id="12"/>
    </w:p>
    <w:p w14:paraId="64E17EFC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促销订单占 65%，渗透率不低。对照正价组（P01）后发现：有促销毛利率 36.32%，正价 38.67%，相差 2.35 个百分点；更值得注意的是，有促销客单价 29.10 元，反而低于正价 30.45 元。</w:t>
      </w:r>
    </w:p>
    <w:p w14:paraId="218A9082">
      <w:pPr>
        <w:spacing w:before="160" w:after="80" w:line="324" w:lineRule="auto"/>
        <w:jc w:val="left"/>
      </w:pPr>
      <w:r>
        <w:rPr>
          <w:rFonts w:ascii="微软雅黑" w:hAnsi="微软雅黑" w:eastAsia="微软雅黑"/>
          <w:b/>
          <w:color w:val="2E7D32"/>
          <w:sz w:val="20"/>
        </w:rPr>
        <w:t>图 4  有促销 vs 正价组对比</w:t>
      </w:r>
    </w:p>
    <w:p w14:paraId="30DC607C">
      <w:pPr>
        <w:spacing w:before="0" w:after="200" w:line="324" w:lineRule="auto"/>
        <w:jc w:val="center"/>
      </w:pPr>
      <w:r>
        <w:drawing>
          <wp:inline distT="0" distB="0" distL="114300" distR="114300">
            <wp:extent cx="5219700" cy="2865755"/>
            <wp:effectExtent l="0" t="0" r="762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82BF">
      <w:pPr>
        <w:spacing w:before="0" w:after="16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18"/>
        </w:rPr>
        <w:t>数据来源：鲜汇优选仿真订单/行为数据，Python 可视化</w:t>
      </w:r>
    </w:p>
    <w:p w14:paraId="21FCA2FC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这组对比说明，当前满减更多是在「让利换单量」，并没有换来更高的客单或更好的利润质量。后续促销设计应设置门槛、限定品类，并跟踪毛利与客单的联动变化。</w:t>
      </w:r>
    </w:p>
    <w:p w14:paraId="55488D81">
      <w:r>
        <w:br w:type="page"/>
      </w:r>
    </w:p>
    <w:p w14:paraId="56A45F4B">
      <w:pPr>
        <w:spacing w:before="0" w:after="8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22"/>
        </w:rPr>
        <w:t>第三章</w:t>
      </w:r>
    </w:p>
    <w:p w14:paraId="4F7F8C47">
      <w:pPr>
        <w:spacing w:before="360" w:after="160" w:line="324" w:lineRule="auto"/>
        <w:jc w:val="left"/>
      </w:pPr>
      <w:bookmarkStart w:id="13" w:name="bm_ch3"/>
      <w:r>
        <w:rPr>
          <w:rFonts w:ascii="微软雅黑" w:hAnsi="微软雅黑" w:eastAsia="微软雅黑"/>
          <w:b/>
          <w:color w:val="1B5E20"/>
          <w:sz w:val="32"/>
        </w:rPr>
        <w:t>转化与履约：前端顺畅，后端掉单</w:t>
      </w:r>
      <w:bookmarkEnd w:id="13"/>
    </w:p>
    <w:p w14:paraId="066549D9">
      <w:pPr>
        <w:spacing w:before="0" w:after="20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22"/>
        </w:rPr>
        <w:t>——七步漏斗前端转化优异，支付后拣配与评价环节损耗显著</w:t>
      </w:r>
    </w:p>
    <w:p w14:paraId="70DC6A50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本章回答「用户为什么没买成/没买满意」。先看七步漏斗的整体走势，再聚焦支付之后的履约环节，判断问题出在流量还是交付。</w:t>
      </w:r>
    </w:p>
    <w:p w14:paraId="361C79BE">
      <w:pPr>
        <w:spacing w:before="240" w:after="120" w:line="324" w:lineRule="auto"/>
        <w:jc w:val="left"/>
      </w:pPr>
      <w:bookmarkStart w:id="14" w:name="bm_ch3_1"/>
      <w:r>
        <w:rPr>
          <w:rFonts w:ascii="微软雅黑" w:hAnsi="微软雅黑" w:eastAsia="微软雅黑"/>
          <w:b/>
          <w:color w:val="2E7D32"/>
          <w:sz w:val="26"/>
        </w:rPr>
        <w:t>漏斗表现与掉落环节</w:t>
      </w:r>
      <w:bookmarkEnd w:id="14"/>
    </w:p>
    <w:p w14:paraId="1C7DE97B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会员粒度下，浏览→加购→下单→支付各环节转化均在 96% 以上，14,500 名浏览会员中有 13,644 人完成支付，前端几乎不是瓶颈。</w:t>
      </w:r>
    </w:p>
    <w:p w14:paraId="17BFEDFE">
      <w:pPr>
        <w:spacing w:before="160" w:after="80" w:line="324" w:lineRule="auto"/>
        <w:jc w:val="left"/>
      </w:pPr>
      <w:r>
        <w:rPr>
          <w:rFonts w:ascii="微软雅黑" w:hAnsi="微软雅黑" w:eastAsia="微软雅黑"/>
          <w:b/>
          <w:color w:val="2E7D32"/>
          <w:sz w:val="20"/>
        </w:rPr>
        <w:t>图 5  七阶段会员漏斗</w:t>
      </w:r>
    </w:p>
    <w:p w14:paraId="6F77C9E2">
      <w:pPr>
        <w:spacing w:before="0" w:after="200" w:line="324" w:lineRule="auto"/>
        <w:jc w:val="center"/>
      </w:pPr>
      <w:r>
        <w:drawing>
          <wp:inline distT="0" distB="0" distL="114300" distR="114300">
            <wp:extent cx="5219700" cy="260223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6262">
      <w:pPr>
        <w:spacing w:before="0" w:after="16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18"/>
        </w:rPr>
        <w:t>数据来源：鲜汇优选仿真订单/行为数据，Python 可视化</w:t>
      </w:r>
    </w:p>
    <w:p w14:paraId="5045BCB0">
      <w:pPr>
        <w:spacing w:after="80"/>
        <w:ind w:left="283"/>
      </w:pPr>
      <w:r>
        <w:rPr>
          <w:rFonts w:ascii="微软雅黑" w:hAnsi="微软雅黑" w:eastAsia="微软雅黑"/>
          <w:b w:val="0"/>
          <w:color w:val="333333"/>
          <w:sz w:val="22"/>
        </w:rPr>
        <w:t>• 真正明显的掉落出现在支付之后：支付→拣配 89.4%，完成→评价 62.3%；</w:t>
      </w:r>
    </w:p>
    <w:p w14:paraId="64AFAEAE">
      <w:pPr>
        <w:spacing w:after="80"/>
        <w:ind w:left="283"/>
      </w:pPr>
      <w:r>
        <w:rPr>
          <w:rFonts w:ascii="微软雅黑" w:hAnsi="微软雅黑" w:eastAsia="微软雅黑"/>
          <w:b w:val="0"/>
          <w:color w:val="333333"/>
          <w:sz w:val="22"/>
        </w:rPr>
        <w:t>• 支付→拣配环节共掉落 1,440 人，是全链路最大损耗点；</w:t>
      </w:r>
    </w:p>
    <w:p w14:paraId="0062C252">
      <w:pPr>
        <w:spacing w:after="80"/>
        <w:ind w:left="283"/>
      </w:pPr>
      <w:r>
        <w:rPr>
          <w:rFonts w:ascii="微软雅黑" w:hAnsi="微软雅黑" w:eastAsia="微软雅黑"/>
          <w:b w:val="0"/>
          <w:color w:val="333333"/>
          <w:sz w:val="22"/>
        </w:rPr>
        <w:t>• 问题不在「没人买」，而在「买了没及时拣配/送达」。</w:t>
      </w:r>
    </w:p>
    <w:p w14:paraId="56D11F02">
      <w:pPr>
        <w:spacing w:before="240" w:after="120" w:line="324" w:lineRule="auto"/>
        <w:jc w:val="left"/>
      </w:pPr>
      <w:bookmarkStart w:id="15" w:name="bm_ch3_2"/>
      <w:r>
        <w:rPr>
          <w:rFonts w:ascii="微软雅黑" w:hAnsi="微软雅黑" w:eastAsia="微软雅黑"/>
          <w:b/>
          <w:color w:val="2E7D32"/>
          <w:sz w:val="26"/>
        </w:rPr>
        <w:t>配送时效与根因</w:t>
      </w:r>
      <w:bookmarkEnd w:id="15"/>
    </w:p>
    <w:p w14:paraId="0E464CE5">
      <w:pPr>
        <w:spacing w:before="160" w:after="80" w:line="324" w:lineRule="auto"/>
        <w:jc w:val="left"/>
      </w:pPr>
      <w:r>
        <w:rPr>
          <w:rFonts w:ascii="微软雅黑" w:hAnsi="微软雅黑" w:eastAsia="微软雅黑"/>
          <w:b/>
          <w:color w:val="2E7D32"/>
          <w:sz w:val="20"/>
        </w:rPr>
        <w:t>图 6  各渠道 30 分钟送达率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2"/>
        <w:gridCol w:w="4819"/>
      </w:tblGrid>
      <w:tr w14:paraId="77C06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12D20712">
            <w:pPr>
              <w:jc w:val="center"/>
            </w:pPr>
            <w:r>
              <w:drawing>
                <wp:inline distT="0" distB="0" distL="114300" distR="114300">
                  <wp:extent cx="2411730" cy="1346835"/>
                  <wp:effectExtent l="0" t="0" r="1143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347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7D5C85E4">
            <w:pPr>
              <w:spacing w:line="324" w:lineRule="auto"/>
              <w:ind w:firstLine="420" w:firstLineChars="200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约 75.6% 的订单在 30 分钟内送达，整体尚可；但仍有近四分之一超时，其中外卖渠道超时尤为突出。按业态看，前置仓 87.1%、旗舰店 65.1%，与店型履约能力高度相关。综合判断：掉单主因是拣配产能、高峰缺货与外卖半径过大，而非价格或前端转化。</w:t>
            </w:r>
          </w:p>
        </w:tc>
      </w:tr>
    </w:tbl>
    <w:p w14:paraId="07424F9E">
      <w:pPr>
        <w:spacing w:before="0" w:after="160" w:line="324" w:lineRule="auto"/>
        <w:jc w:val="left"/>
      </w:pPr>
    </w:p>
    <w:p w14:paraId="15CC98CB">
      <w:r>
        <w:br w:type="page"/>
      </w:r>
    </w:p>
    <w:p w14:paraId="0E51C2A6">
      <w:pPr>
        <w:spacing w:before="0" w:after="8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22"/>
        </w:rPr>
        <w:t>第四章</w:t>
      </w:r>
    </w:p>
    <w:p w14:paraId="77E6AE7B">
      <w:pPr>
        <w:spacing w:before="360" w:after="160" w:line="324" w:lineRule="auto"/>
        <w:jc w:val="left"/>
      </w:pPr>
      <w:bookmarkStart w:id="16" w:name="bm_ch4"/>
      <w:r>
        <w:rPr>
          <w:rFonts w:ascii="微软雅黑" w:hAnsi="微软雅黑" w:eastAsia="微软雅黑"/>
          <w:b/>
          <w:color w:val="1B5E20"/>
          <w:sz w:val="32"/>
        </w:rPr>
        <w:t>人群与品类：主力客群与头部品类</w:t>
      </w:r>
      <w:bookmarkEnd w:id="16"/>
    </w:p>
    <w:p w14:paraId="006E8BF0">
      <w:pPr>
        <w:spacing w:before="0" w:after="20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22"/>
        </w:rPr>
        <w:t>——30—39 岁家庭客群贡献近半 GMV，水果/预制菜/水产构成头部品类</w:t>
      </w:r>
    </w:p>
    <w:p w14:paraId="4E6AFD6B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在经营、渠道与履约问题厘清之后，本章落到「对谁说话、保哪些货」——用人群结构与品类集中度，支撑精细化运营。</w:t>
      </w:r>
    </w:p>
    <w:p w14:paraId="135462D0">
      <w:pPr>
        <w:spacing w:before="240" w:after="120" w:line="324" w:lineRule="auto"/>
        <w:jc w:val="left"/>
      </w:pPr>
      <w:bookmarkStart w:id="17" w:name="bm_ch4_1"/>
      <w:r>
        <w:rPr>
          <w:rFonts w:ascii="微软雅黑" w:hAnsi="微软雅黑" w:eastAsia="微软雅黑"/>
          <w:b/>
          <w:color w:val="2E7D32"/>
          <w:sz w:val="26"/>
        </w:rPr>
        <w:t>会员画像与消费特征</w:t>
      </w:r>
      <w:bookmarkEnd w:id="17"/>
    </w:p>
    <w:p w14:paraId="561B39CD">
      <w:pPr>
        <w:spacing w:before="160" w:after="80" w:line="324" w:lineRule="auto"/>
        <w:jc w:val="left"/>
      </w:pPr>
      <w:r>
        <w:rPr>
          <w:rFonts w:ascii="微软雅黑" w:hAnsi="微软雅黑" w:eastAsia="微软雅黑"/>
          <w:b/>
          <w:color w:val="2E7D32"/>
          <w:sz w:val="20"/>
        </w:rPr>
        <w:t>图 7  年龄段 GMV 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032"/>
      </w:tblGrid>
      <w:tr w14:paraId="29353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2B94556B">
            <w:pPr>
              <w:spacing w:line="324" w:lineRule="auto"/>
              <w:ind w:firstLine="420" w:firstLineChars="200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30—39 岁贡献约 49% GMV，40—49 岁约 30%，合计近八成；女性 GMV 占比 54.5%，三口之家占比最高，典型家庭消费特征。复购率 82.7%、人均 3.3 单，说明用户粘性不错；付费会员订单仅占 13.3%，升级空间仍大。</w:t>
            </w:r>
          </w:p>
        </w:tc>
        <w:tc>
          <w:tcPr>
            <w:tcW w:w="3969" w:type="dxa"/>
          </w:tcPr>
          <w:p w14:paraId="63534886">
            <w:pPr>
              <w:jc w:val="center"/>
            </w:pPr>
            <w:r>
              <w:drawing>
                <wp:inline distT="0" distB="0" distL="114300" distR="114300">
                  <wp:extent cx="2411730" cy="1537970"/>
                  <wp:effectExtent l="0" t="0" r="1143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538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93FC7A">
      <w:pPr>
        <w:spacing w:before="0" w:after="160" w:line="324" w:lineRule="auto"/>
        <w:jc w:val="left"/>
      </w:pPr>
    </w:p>
    <w:p w14:paraId="52ACA4D4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运营上更适合围绕 30—39 岁女性家庭客群，推预制菜/水果组合、家庭装套餐，用升级任务与付费权益提升 ARPU，而不是仅靠全场满减拉首单。</w:t>
      </w:r>
    </w:p>
    <w:p w14:paraId="5292658F">
      <w:pPr>
        <w:spacing w:before="240" w:after="120" w:line="324" w:lineRule="auto"/>
        <w:jc w:val="left"/>
      </w:pPr>
      <w:bookmarkStart w:id="18" w:name="bm_ch4_2"/>
      <w:r>
        <w:rPr>
          <w:rFonts w:ascii="微软雅黑" w:hAnsi="微软雅黑" w:eastAsia="微软雅黑"/>
          <w:b/>
          <w:color w:val="2E7D32"/>
          <w:sz w:val="26"/>
        </w:rPr>
        <w:t>品类集中度</w:t>
      </w:r>
      <w:bookmarkEnd w:id="18"/>
    </w:p>
    <w:p w14:paraId="0923A46F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品类侧呈现明显的头部效应：水果 20.1%、预制菜 14.5%、水产 10.4% 构成 TOP3，前五大品类贡献超过六成 GMV。预制菜权重 2024 年起持续上升，与行业趋势一致。</w:t>
      </w:r>
    </w:p>
    <w:p w14:paraId="48FFCEC4">
      <w:pPr>
        <w:spacing w:before="160" w:after="80" w:line="324" w:lineRule="auto"/>
        <w:jc w:val="left"/>
      </w:pPr>
      <w:r>
        <w:rPr>
          <w:rFonts w:ascii="微软雅黑" w:hAnsi="微软雅黑" w:eastAsia="微软雅黑"/>
          <w:b/>
          <w:color w:val="2E7D32"/>
          <w:sz w:val="20"/>
        </w:rPr>
        <w:t>图 8  品类帕累托 TOP10</w:t>
      </w:r>
    </w:p>
    <w:p w14:paraId="39FCFF7A">
      <w:pPr>
        <w:spacing w:before="0" w:after="200" w:line="324" w:lineRule="auto"/>
        <w:jc w:val="center"/>
      </w:pPr>
      <w:r>
        <w:drawing>
          <wp:inline distT="0" distB="0" distL="114300" distR="114300">
            <wp:extent cx="5219700" cy="2574925"/>
            <wp:effectExtent l="0" t="0" r="762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8FF1">
      <w:pPr>
        <w:spacing w:before="0" w:after="16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18"/>
        </w:rPr>
        <w:t>数据来源：鲜汇优选仿真订单/行为数据，Python 可视化</w:t>
      </w:r>
    </w:p>
    <w:p w14:paraId="10D458AB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备货与陈列应优先保障水果、预制菜、水产等 A 类品类，高损耗品类配合晚间清仓（P07）控制损耗。</w:t>
      </w:r>
    </w:p>
    <w:p w14:paraId="1B94FDD4">
      <w:r>
        <w:br w:type="page"/>
      </w:r>
    </w:p>
    <w:p w14:paraId="59CD5028">
      <w:pPr>
        <w:spacing w:before="0" w:after="8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22"/>
        </w:rPr>
        <w:t>第五章</w:t>
      </w:r>
    </w:p>
    <w:p w14:paraId="771D8662">
      <w:pPr>
        <w:spacing w:before="360" w:after="160" w:line="324" w:lineRule="auto"/>
        <w:jc w:val="left"/>
      </w:pPr>
      <w:bookmarkStart w:id="19" w:name="bm_ch5"/>
      <w:r>
        <w:rPr>
          <w:rFonts w:ascii="微软雅黑" w:hAnsi="微软雅黑" w:eastAsia="微软雅黑"/>
          <w:b/>
          <w:color w:val="1B5E20"/>
          <w:sz w:val="32"/>
        </w:rPr>
        <w:t>总结与建议</w:t>
      </w:r>
      <w:bookmarkEnd w:id="19"/>
    </w:p>
    <w:p w14:paraId="13714DA6">
      <w:pPr>
        <w:spacing w:before="0" w:after="200" w:line="324" w:lineRule="auto"/>
        <w:jc w:val="left"/>
      </w:pPr>
      <w:r>
        <w:rPr>
          <w:rFonts w:ascii="微软雅黑" w:hAnsi="微软雅黑" w:eastAsia="微软雅黑"/>
          <w:b w:val="0"/>
          <w:color w:val="999999"/>
          <w:sz w:val="22"/>
        </w:rPr>
        <w:t>——从规模达标走向质量增长，履约、促销与客群精度是三条主线</w:t>
      </w:r>
    </w:p>
    <w:p w14:paraId="17D9F06C">
      <w:pPr>
        <w:spacing w:before="240" w:after="120" w:line="324" w:lineRule="auto"/>
        <w:jc w:val="left"/>
      </w:pPr>
      <w:bookmarkStart w:id="20" w:name="bm_ch5_1"/>
      <w:r>
        <w:rPr>
          <w:rFonts w:ascii="微软雅黑" w:hAnsi="微软雅黑" w:eastAsia="微软雅黑"/>
          <w:b/>
          <w:color w:val="2E7D32"/>
          <w:sz w:val="26"/>
        </w:rPr>
        <w:t>综合结论</w:t>
      </w:r>
      <w:bookmarkEnd w:id="20"/>
    </w:p>
    <w:p w14:paraId="53540C96">
      <w:pPr>
        <w:spacing w:before="0" w:after="120" w:line="324" w:lineRule="auto"/>
        <w:ind w:firstLine="440" w:firstLineChars="20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回到开篇四问：经营达标但增长趋缓；到家渠道正确但促销伤利；转化瓶颈在支付后履约；发力方向是 30—39 岁家庭客群与水果/预制菜头部品类。五条主线相互印证——不是缺流量，而是要在履约、促销与客群精度上提质量。</w:t>
      </w:r>
    </w:p>
    <w:p w14:paraId="533F66A8">
      <w:pPr>
        <w:spacing w:before="240" w:after="120" w:line="324" w:lineRule="auto"/>
        <w:jc w:val="left"/>
      </w:pPr>
      <w:bookmarkStart w:id="21" w:name="bm_ch5_2"/>
      <w:r>
        <w:rPr>
          <w:rFonts w:ascii="微软雅黑" w:hAnsi="微软雅黑" w:eastAsia="微软雅黑"/>
          <w:b/>
          <w:color w:val="2E7D32"/>
          <w:sz w:val="26"/>
        </w:rPr>
        <w:t>行动建议</w:t>
      </w:r>
      <w:bookmarkEnd w:id="21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391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B5E20"/>
          </w:tcPr>
          <w:p w14:paraId="52069D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3024" w:type="dxa"/>
            <w:shd w:val="clear" w:color="auto" w:fill="1B5E20"/>
          </w:tcPr>
          <w:p w14:paraId="066DA3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</w:t>
            </w:r>
          </w:p>
        </w:tc>
        <w:tc>
          <w:tcPr>
            <w:tcW w:w="3024" w:type="dxa"/>
            <w:shd w:val="clear" w:color="auto" w:fill="1B5E20"/>
          </w:tcPr>
          <w:p w14:paraId="23EFFD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验证指标</w:t>
            </w:r>
          </w:p>
        </w:tc>
      </w:tr>
      <w:tr w14:paraId="6752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657AE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P0</w:t>
            </w:r>
          </w:p>
        </w:tc>
        <w:tc>
          <w:tcPr>
            <w:tcW w:w="3024" w:type="dxa"/>
          </w:tcPr>
          <w:p w14:paraId="085A69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优化拣配产能，降低支付→拣配掉落</w:t>
            </w:r>
          </w:p>
        </w:tc>
        <w:tc>
          <w:tcPr>
            <w:tcW w:w="3024" w:type="dxa"/>
          </w:tcPr>
          <w:p w14:paraId="495C3A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支付→拣配转化率</w:t>
            </w:r>
          </w:p>
        </w:tc>
      </w:tr>
      <w:tr w14:paraId="4208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01813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P0</w:t>
            </w:r>
          </w:p>
        </w:tc>
        <w:tc>
          <w:tcPr>
            <w:tcW w:w="3024" w:type="dxa"/>
          </w:tcPr>
          <w:p w14:paraId="331968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外卖收紧接单半径，先修体验再放量</w:t>
            </w:r>
          </w:p>
        </w:tc>
        <w:tc>
          <w:tcPr>
            <w:tcW w:w="3024" w:type="dxa"/>
          </w:tcPr>
          <w:p w14:paraId="170216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外卖 30 分钟达达成率</w:t>
            </w:r>
          </w:p>
        </w:tc>
      </w:tr>
      <w:tr w14:paraId="7DD75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BF4DA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P1</w:t>
            </w:r>
          </w:p>
        </w:tc>
        <w:tc>
          <w:tcPr>
            <w:tcW w:w="3024" w:type="dxa"/>
          </w:tcPr>
          <w:p w14:paraId="0C055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满减改为门槛+限品类+周末档期</w:t>
            </w:r>
          </w:p>
        </w:tc>
        <w:tc>
          <w:tcPr>
            <w:tcW w:w="3024" w:type="dxa"/>
          </w:tcPr>
          <w:p w14:paraId="099FB6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有促销毛利率、客单价</w:t>
            </w:r>
          </w:p>
        </w:tc>
      </w:tr>
      <w:tr w14:paraId="25C5D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5D6EC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P1</w:t>
            </w:r>
          </w:p>
        </w:tc>
        <w:tc>
          <w:tcPr>
            <w:tcW w:w="3024" w:type="dxa"/>
          </w:tcPr>
          <w:p w14:paraId="23EB3B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针对 30—39 岁女性推家庭套餐</w:t>
            </w:r>
          </w:p>
        </w:tc>
        <w:tc>
          <w:tcPr>
            <w:tcW w:w="3024" w:type="dxa"/>
          </w:tcPr>
          <w:p w14:paraId="313A37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目标客群客单价</w:t>
            </w:r>
          </w:p>
        </w:tc>
      </w:tr>
      <w:tr w14:paraId="3F97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3D2B5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P2</w:t>
            </w:r>
          </w:p>
        </w:tc>
        <w:tc>
          <w:tcPr>
            <w:tcW w:w="3024" w:type="dxa"/>
          </w:tcPr>
          <w:p w14:paraId="409D18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旗舰店目标校正或导流前置仓/社区店</w:t>
            </w:r>
          </w:p>
        </w:tc>
        <w:tc>
          <w:tcPr>
            <w:tcW w:w="3024" w:type="dxa"/>
          </w:tcPr>
          <w:p w14:paraId="7BDC22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业态目标完成率</w:t>
            </w:r>
          </w:p>
        </w:tc>
      </w:tr>
      <w:tr w14:paraId="67C61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9BC4F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P2</w:t>
            </w:r>
          </w:p>
        </w:tc>
        <w:tc>
          <w:tcPr>
            <w:tcW w:w="3024" w:type="dxa"/>
          </w:tcPr>
          <w:p w14:paraId="6541DB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订单完成后评价激励</w:t>
            </w:r>
          </w:p>
        </w:tc>
        <w:tc>
          <w:tcPr>
            <w:tcW w:w="3024" w:type="dxa"/>
          </w:tcPr>
          <w:p w14:paraId="22EE54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完成→评价转化率</w:t>
            </w:r>
          </w:p>
        </w:tc>
      </w:tr>
    </w:tbl>
    <w:p w14:paraId="643702FA">
      <w:pPr>
        <w:spacing w:before="0" w:after="160" w:line="324" w:lineRule="auto"/>
        <w:jc w:val="left"/>
      </w:pPr>
    </w:p>
    <w:p w14:paraId="66BC694E">
      <w:pPr>
        <w:spacing w:before="0" w:after="120" w:line="324" w:lineRule="auto"/>
        <w:ind w:firstLine="440" w:firstLineChars="200"/>
        <w:jc w:val="left"/>
      </w:pPr>
      <w:bookmarkStart w:id="22" w:name="_GoBack"/>
      <w:bookmarkEnd w:id="22"/>
      <w:r>
        <w:rPr>
          <w:rFonts w:ascii="微软雅黑" w:hAnsi="微软雅黑" w:eastAsia="微软雅黑"/>
          <w:b w:val="0"/>
          <w:color w:val="333333"/>
          <w:sz w:val="22"/>
        </w:rPr>
        <w:t>以上建议可配合 Tableau 看板按区域、业态、渠道下钻验证。</w:t>
      </w:r>
    </w:p>
    <w:p w14:paraId="08128CBC">
      <w:pPr>
        <w:spacing w:before="0" w:after="320" w:line="324" w:lineRule="auto"/>
        <w:jc w:val="left"/>
      </w:pPr>
    </w:p>
    <w:p w14:paraId="6A349E4C">
      <w:pPr>
        <w:spacing w:before="0" w:after="120" w:line="324" w:lineRule="auto"/>
        <w:jc w:val="center"/>
      </w:pPr>
      <w:r>
        <w:rPr>
          <w:rFonts w:ascii="微软雅黑" w:hAnsi="微软雅黑" w:eastAsia="微软雅黑"/>
          <w:b w:val="0"/>
          <w:color w:val="999999"/>
          <w:sz w:val="22"/>
        </w:rPr>
        <w:t>—— 报告完 ——</w:t>
      </w:r>
    </w:p>
    <w:p w14:paraId="7C18AC3B">
      <w:pPr>
        <w:spacing w:before="0" w:after="120" w:line="324" w:lineRule="auto"/>
        <w:jc w:val="center"/>
      </w:pPr>
      <w:r>
        <w:rPr>
          <w:rFonts w:ascii="微软雅黑" w:hAnsi="微软雅黑" w:eastAsia="微软雅黑"/>
          <w:b w:val="0"/>
          <w:color w:val="999999"/>
          <w:sz w:val="18"/>
        </w:rPr>
        <w:t>版权声明：本报告基于仿真数据生成，仅供学习与作品集展示。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B4701"/>
    <w:rsid w:val="181635BD"/>
    <w:rsid w:val="44E95A32"/>
    <w:rsid w:val="47596E9F"/>
    <w:rsid w:val="4F247D92"/>
    <w:rsid w:val="50394C31"/>
    <w:rsid w:val="52691F60"/>
    <w:rsid w:val="716B400E"/>
    <w:rsid w:val="740A314B"/>
    <w:rsid w:val="779D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1795</Words>
  <Characters>2190</Characters>
  <Lines>0</Lines>
  <Paragraphs>0</Paragraphs>
  <TotalTime>0</TotalTime>
  <ScaleCrop>false</ScaleCrop>
  <LinksUpToDate>false</LinksUpToDate>
  <CharactersWithSpaces>2371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李军</cp:lastModifiedBy>
  <dcterms:modified xsi:type="dcterms:W3CDTF">2026-08-24T01:34:42Z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eyJoZGlkIjoiMjNkYWZlY2Y3ZjIwMmY1M2ZlMDM5YjBjMDE1M2Y5YTQiLCJ1c2VySWQiOiIxODYzNDk2NjIyIn0=</vt:lpwstr>
  </property>
  <property fmtid="{D5CDD505-2E9C-101B-9397-08002B2CF9AE}" pid="3" name="KSOProductBuildVer">
    <vt:lpwstr>2052-12.1.0.28043</vt:lpwstr>
  </property>
  <property fmtid="{D5CDD505-2E9C-101B-9397-08002B2CF9AE}" pid="4" name="ICV">
    <vt:lpwstr>30A2AF8707FA4E7CB2426DD81484A074_12</vt:lpwstr>
  </property>
</Properties>
</file>