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4"/>
          <w:szCs w:val="24"/>
        </w:rPr>
        <w:t xml:space="preserve">BANK NEGARA MALAYSIA — CENTRAL BANK OF MALAYSIA</w:t>
      </w:r>
    </w:p>
    <w:p>
      <w:pPr>
        <w:spacing w:after="320"/>
        <w:jc w:val="center"/>
      </w:pPr>
      <w:r>
        <w:rPr>
          <w:b/>
          <w:bCs/>
          <w:sz w:val="28"/>
          <w:szCs w:val="28"/>
        </w:rPr>
        <w:t xml:space="preserve">MEMORANDUM ANTARA JABATAN</w:t>
      </w:r>
    </w:p>
    <w:p>
      <w:pPr>
        <w:spacing w:after="80"/>
      </w:pPr>
      <w:r>
        <w:rPr>
          <w:b/>
          <w:bCs/>
          <w:u w:val="single"/>
        </w:rPr>
        <w:t xml:space="preserve">Kepada: </w:t>
      </w:r>
      <w:r>
        <w:rPr>
          <w:u w:val="single"/>
        </w:rPr>
        <w:t xml:space="preserve">Penolong Gabenor, Encik Mohamad Ali Iqbal bin Abdul Khalid</w:t>
      </w:r>
    </w:p>
    <w:p>
      <w:pPr>
        <w:spacing w:after="80"/>
      </w:pPr>
      <w:r>
        <w:rPr>
          <w:b/>
          <w:bCs/>
          <w:u w:val="single"/>
        </w:rPr>
        <w:t xml:space="preserve">Daripada: </w:t>
      </w:r>
      <w:r>
        <w:rPr>
          <w:u w:val="single"/>
        </w:rPr>
        <w:t xml:space="preserve">Ketua, Unit Risiko dan Infrastruktur Perbendaharaan (TRI)</w:t>
      </w:r>
    </w:p>
    <w:p>
      <w:pPr>
        <w:spacing w:after="200"/>
      </w:pPr>
      <w:r>
        <w:rPr>
          <w:b/>
          <w:bCs/>
        </w:rPr>
        <w:t xml:space="preserve">Perkara: </w:t>
      </w:r>
      <w:r>
        <w:rPr>
          <w:b/>
          <w:bCs/>
          <w:u w:val="single"/>
        </w:rPr>
        <w:t xml:space="preserve">Appointment of External Legal Counsel for Regulatory Compliance Advisory Services</w:t>
      </w:r>
    </w:p>
    <w:p>
      <w:pPr>
        <w:spacing w:after="160" w:line="276"/>
      </w:pPr>
      <w:r>
        <w:rPr>
          <w:sz w:val="21"/>
          <w:szCs w:val="21"/>
        </w:rPr>
        <w:t xml:space="preserve">This memorandum seeks Penolong Gabenor's approval to issue a Request for Proposal (RFP) to [three/four] shortlisted firms¹1 for the appointment of external legal counsel specialising in regulatory compliance matters, primarily in the United States (US) and Europe (EU). The shortlist follows the recently completed Request for Information (RFI) exercise. This procurement is governed by the Guidelines on Procurement of Legal Services (GPLS)±2 and is exempted from the Procurement Management Policy (PMP) (Appendix I), with Paragraphs 10.1.4 and 10.1.5 of the GPLS providing the basis for engaging external counsel:</w:t>
      </w:r>
    </w:p>
    <w:tbl>
      <w:tblPr>
        <w:tblW w:type="dxa" w:w="9700"/>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8100"/>
      </w:tblGrid>
      <w:tr>
        <w:tc>
          <w:tcPr>
            <w:tcW w:type="dxa" w:w="1600"/>
            <w:tcMar>
              <w:top w:type="dxa" w:w="80"/>
              <w:left w:type="dxa" w:w="100"/>
              <w:bottom w:type="dxa" w:w="80"/>
              <w:right w:type="dxa" w:w="100"/>
            </w:tcMar>
            <w:vAlign w:val="center"/>
          </w:tcPr>
          <w:p>
            <w:pPr>
              <w:spacing w:after="160" w:line="276"/>
            </w:pPr>
            <w:r>
              <w:rPr>
                <w:b/>
                <w:bCs/>
                <w:sz w:val="21"/>
                <w:szCs w:val="21"/>
              </w:rPr>
              <w:t xml:space="preserve">Para 10.1.4</w:t>
            </w:r>
          </w:p>
        </w:tc>
        <w:tc>
          <w:tcPr>
            <w:tcW w:type="dxa" w:w="8100"/>
            <w:tcMar>
              <w:top w:type="dxa" w:w="80"/>
              <w:left w:type="dxa" w:w="100"/>
              <w:bottom w:type="dxa" w:w="80"/>
              <w:right w:type="dxa" w:w="100"/>
            </w:tcMar>
            <w:vAlign w:val="center"/>
          </w:tcPr>
          <w:p>
            <w:pPr>
              <w:spacing w:after="160" w:line="276"/>
            </w:pPr>
            <w:r>
              <w:rPr>
                <w:sz w:val="19"/>
                <w:szCs w:val="19"/>
              </w:rPr>
              <w:t xml:space="preserve">Provide legal opinion or other legal services on a matter or an issue which is of significant importance or has a significant legal implication to the Bank.</w:t>
            </w:r>
          </w:p>
        </w:tc>
      </w:tr>
      <w:tr>
        <w:tc>
          <w:tcPr>
            <w:tcW w:type="dxa" w:w="1600"/>
            <w:tcMar>
              <w:top w:type="dxa" w:w="80"/>
              <w:left w:type="dxa" w:w="100"/>
              <w:bottom w:type="dxa" w:w="80"/>
              <w:right w:type="dxa" w:w="100"/>
            </w:tcMar>
            <w:vAlign w:val="center"/>
          </w:tcPr>
          <w:p>
            <w:pPr>
              <w:spacing w:after="160" w:line="276"/>
            </w:pPr>
            <w:r>
              <w:rPr>
                <w:b/>
                <w:bCs/>
                <w:sz w:val="21"/>
                <w:szCs w:val="21"/>
              </w:rPr>
              <w:t xml:space="preserve">Para 10.1.5</w:t>
            </w:r>
          </w:p>
        </w:tc>
        <w:tc>
          <w:tcPr>
            <w:tcW w:type="dxa" w:w="8100"/>
            <w:tcMar>
              <w:top w:type="dxa" w:w="80"/>
              <w:left w:type="dxa" w:w="100"/>
              <w:bottom w:type="dxa" w:w="80"/>
              <w:right w:type="dxa" w:w="100"/>
            </w:tcMar>
            <w:vAlign w:val="center"/>
          </w:tcPr>
          <w:p>
            <w:pPr>
              <w:spacing w:after="160" w:line="276"/>
            </w:pPr>
            <w:r>
              <w:rPr>
                <w:sz w:val="19"/>
                <w:szCs w:val="19"/>
              </w:rPr>
              <w:t xml:space="preserve">Provide any other legal services which JUN considers appropriate for the engagement of external legal services.</w:t>
            </w:r>
          </w:p>
        </w:tc>
      </w:tr>
    </w:tbl>
    <w:p>
      <w:pPr>
        <w:spacing w:after="120" w:before="200"/>
      </w:pPr>
      <w:r>
        <w:rPr>
          <w:b/>
          <w:bCs/>
          <w:sz w:val="22"/>
          <w:szCs w:val="22"/>
        </w:rPr>
        <w:t xml:space="preserve">Background</w:t>
      </w:r>
    </w:p>
    <w:p>
      <w:pPr>
        <w:spacing w:after="160" w:line="276"/>
      </w:pPr>
      <w:r>
        <w:rPr>
          <w:sz w:val="21"/>
          <w:szCs w:val="21"/>
        </w:rPr>
        <w:t xml:space="preserve">2. On 19 March 2026, Penolong Gabenor approved the RFI exercise, which was disseminated to 13 firms±3 — six local and seven foreign — and conducted in two phases to progressively identify firms with the strongest technical capabilities and regulatory expertise. [three/four] firms have been shortlisted for the RFP stage, comprising x foreign firms engaged directly and x foreign partner firms introduced through participating local firms.</w:t>
      </w:r>
    </w:p>
    <w:p>
      <w:pPr>
        <w:spacing w:after="120" w:before="200"/>
      </w:pPr>
      <w:r>
        <w:rPr>
          <w:b/>
          <w:bCs/>
          <w:sz w:val="22"/>
          <w:szCs w:val="22"/>
        </w:rPr>
        <w:t xml:space="preserve">Key Observations from RFI Assessment</w:t>
      </w:r>
    </w:p>
    <w:p>
      <w:pPr>
        <w:spacing w:after="160" w:line="276"/>
      </w:pPr>
      <w:r>
        <w:rPr>
          <w:sz w:val="21"/>
          <w:szCs w:val="21"/>
        </w:rPr>
        <w:t xml:space="preserve">3. The requisite expertise resides primarily with foreign law firms, which scored higher on direct regulatory capability and central bank/sovereign-sector experience, generally at higher fees. Local firms would mainly perform a coordination role, with substantive advice delivered by foreign partner firms; as the local firms would not assume liability for that advice, the Bank's recourse may be constrained in the event of deficiencies or disputes. This arrangement may also add RM10,000–RM55,000 in coordination fees (two of four local firms did not separately itemise this). The RFP stage will therefore focus on direct assessment of the shortlisted foreign firms — technical capability, engagement teams and accountability. Firm-specific findings are in Appendix 3.</w:t>
      </w:r>
    </w:p>
    <w:p>
      <w:pPr>
        <w:spacing w:after="120" w:before="200"/>
      </w:pPr>
      <w:r>
        <w:rPr>
          <w:b/>
          <w:bCs/>
          <w:sz w:val="22"/>
          <w:szCs w:val="22"/>
        </w:rPr>
        <w:t xml:space="preserve">RFI Assessment</w:t>
      </w:r>
    </w:p>
    <w:p>
      <w:pPr>
        <w:spacing w:after="100" w:before="160"/>
      </w:pPr>
      <w:r>
        <w:rPr>
          <w:b/>
          <w:bCs/>
          <w:i/>
          <w:iCs/>
          <w:sz w:val="21"/>
          <w:szCs w:val="21"/>
        </w:rPr>
        <w:t xml:space="preserve">Assessment Criteria and Methodology</w:t>
      </w:r>
    </w:p>
    <w:p>
      <w:pPr>
        <w:spacing w:after="160" w:line="276"/>
      </w:pPr>
      <w:r>
        <w:rPr>
          <w:sz w:val="21"/>
          <w:szCs w:val="21"/>
        </w:rPr>
        <w:t xml:space="preserve">4. RFI responses were assessed using a technical-price separation approach so that pricing did not influence the technical evaluation. Firms were scored 1–5 against the following weighted criteria (detailed rubric in Appendix 2):</w:t>
      </w:r>
    </w:p>
    <w:tbl>
      <w:tblPr>
        <w:tblW w:type="dxa" w:w="9700"/>
        <w:tblBorders>
          <w:top w:val="single" w:color="999999" w:sz="4"/>
          <w:left w:val="single" w:color="999999" w:sz="4"/>
          <w:bottom w:val="single" w:color="999999" w:sz="4"/>
          <w:right w:val="single" w:color="999999" w:sz="4"/>
          <w:insideH w:val="single" w:color="999999" w:sz="4"/>
          <w:insideV w:val="single" w:color="999999" w:sz="4"/>
        </w:tblBorders>
      </w:tblPr>
      <w:tblGrid>
        <w:gridCol w:w="600"/>
        <w:gridCol w:w="7500"/>
        <w:gridCol w:w="1600"/>
      </w:tblGrid>
      <w:tr>
        <w:trPr>
          <w:tblHeader/>
        </w:trPr>
        <w:tc>
          <w:tcPr>
            <w:tcW w:type="dxa" w:w="600"/>
            <w:shd w:fill="1F4E79" w:color="auto" w:val="clear"/>
            <w:tcMar>
              <w:top w:type="dxa" w:w="80"/>
              <w:left w:type="dxa" w:w="100"/>
              <w:bottom w:type="dxa" w:w="80"/>
              <w:right w:type="dxa" w:w="100"/>
            </w:tcMar>
            <w:vAlign w:val="center"/>
          </w:tcPr>
          <w:p>
            <w:pPr>
              <w:spacing w:after="160" w:line="276"/>
              <w:jc w:val="center"/>
            </w:pPr>
            <w:r>
              <w:rPr>
                <w:b/>
                <w:bCs/>
                <w:sz w:val="21"/>
                <w:szCs w:val="21"/>
              </w:rPr>
              <w:t xml:space="preserve">No.</w:t>
            </w:r>
          </w:p>
        </w:tc>
        <w:tc>
          <w:tcPr>
            <w:tcW w:type="dxa" w:w="7500"/>
            <w:shd w:fill="1F4E79" w:color="auto" w:val="clear"/>
            <w:tcMar>
              <w:top w:type="dxa" w:w="80"/>
              <w:left w:type="dxa" w:w="100"/>
              <w:bottom w:type="dxa" w:w="80"/>
              <w:right w:type="dxa" w:w="100"/>
            </w:tcMar>
            <w:vAlign w:val="center"/>
          </w:tcPr>
          <w:p>
            <w:pPr>
              <w:spacing w:after="160" w:line="276"/>
            </w:pPr>
            <w:r>
              <w:rPr>
                <w:b/>
                <w:bCs/>
                <w:sz w:val="21"/>
                <w:szCs w:val="21"/>
              </w:rPr>
              <w:t xml:space="preserve">Technical Assessment Criterion</w:t>
            </w:r>
          </w:p>
        </w:tc>
        <w:tc>
          <w:tcPr>
            <w:tcW w:type="dxa" w:w="1600"/>
            <w:shd w:fill="1F4E79" w:color="auto" w:val="clear"/>
            <w:tcMar>
              <w:top w:type="dxa" w:w="80"/>
              <w:left w:type="dxa" w:w="100"/>
              <w:bottom w:type="dxa" w:w="80"/>
              <w:right w:type="dxa" w:w="100"/>
            </w:tcMar>
            <w:vAlign w:val="center"/>
          </w:tcPr>
          <w:p>
            <w:pPr>
              <w:spacing w:after="160" w:line="276"/>
              <w:jc w:val="center"/>
            </w:pPr>
            <w:r>
              <w:rPr>
                <w:b/>
                <w:bCs/>
                <w:sz w:val="21"/>
                <w:szCs w:val="21"/>
              </w:rPr>
              <w:t xml:space="preserve">Weightage</w:t>
            </w:r>
          </w:p>
        </w:tc>
      </w:tr>
      <w:tr>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1</w:t>
            </w:r>
          </w:p>
        </w:tc>
        <w:tc>
          <w:tcPr>
            <w:shd w:fill="FFFFFF" w:color="auto" w:val="clear"/>
            <w:tcMar>
              <w:top w:type="dxa" w:w="80"/>
              <w:left w:type="dxa" w:w="100"/>
              <w:bottom w:type="dxa" w:w="80"/>
              <w:right w:type="dxa" w:w="100"/>
            </w:tcMar>
            <w:vAlign w:val="center"/>
          </w:tcPr>
          <w:p>
            <w:pPr>
              <w:spacing w:after="160" w:line="276"/>
            </w:pPr>
            <w:r>
              <w:rPr>
                <w:sz w:val="19"/>
                <w:szCs w:val="19"/>
              </w:rPr>
              <w:t xml:space="preserve">Depth of US and EU Regulatory Expertise</w:t>
            </w:r>
          </w:p>
        </w:tc>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25%</w:t>
            </w:r>
          </w:p>
        </w:tc>
      </w:tr>
      <w:tr>
        <w:tc>
          <w:tcPr>
            <w:shd w:fill="F2F6FA" w:color="auto" w:val="clear"/>
            <w:tcMar>
              <w:top w:type="dxa" w:w="80"/>
              <w:left w:type="dxa" w:w="100"/>
              <w:bottom w:type="dxa" w:w="80"/>
              <w:right w:type="dxa" w:w="100"/>
            </w:tcMar>
            <w:vAlign w:val="center"/>
          </w:tcPr>
          <w:p>
            <w:pPr>
              <w:spacing w:after="160" w:line="276"/>
              <w:jc w:val="center"/>
            </w:pPr>
            <w:r>
              <w:rPr>
                <w:sz w:val="21"/>
                <w:szCs w:val="21"/>
              </w:rPr>
              <w:t xml:space="preserve">2</w:t>
            </w:r>
          </w:p>
        </w:tc>
        <w:tc>
          <w:tcPr>
            <w:shd w:fill="F2F6FA" w:color="auto" w:val="clear"/>
            <w:tcMar>
              <w:top w:type="dxa" w:w="80"/>
              <w:left w:type="dxa" w:w="100"/>
              <w:bottom w:type="dxa" w:w="80"/>
              <w:right w:type="dxa" w:w="100"/>
            </w:tcMar>
            <w:vAlign w:val="center"/>
          </w:tcPr>
          <w:p>
            <w:pPr>
              <w:spacing w:after="160" w:line="276"/>
            </w:pPr>
            <w:r>
              <w:rPr>
                <w:sz w:val="19"/>
                <w:szCs w:val="19"/>
              </w:rPr>
              <w:t xml:space="preserve">Regulatory Relationships and Track Record</w:t>
            </w:r>
          </w:p>
        </w:tc>
        <w:tc>
          <w:tcPr>
            <w:shd w:fill="F2F6FA" w:color="auto" w:val="clear"/>
            <w:tcMar>
              <w:top w:type="dxa" w:w="80"/>
              <w:left w:type="dxa" w:w="100"/>
              <w:bottom w:type="dxa" w:w="80"/>
              <w:right w:type="dxa" w:w="100"/>
            </w:tcMar>
            <w:vAlign w:val="center"/>
          </w:tcPr>
          <w:p>
            <w:pPr>
              <w:spacing w:after="160" w:line="276"/>
              <w:jc w:val="center"/>
            </w:pPr>
            <w:r>
              <w:rPr>
                <w:sz w:val="21"/>
                <w:szCs w:val="21"/>
              </w:rPr>
              <w:t xml:space="preserve">20%</w:t>
            </w:r>
          </w:p>
        </w:tc>
      </w:tr>
      <w:tr>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3</w:t>
            </w:r>
          </w:p>
        </w:tc>
        <w:tc>
          <w:tcPr>
            <w:shd w:fill="FFFFFF" w:color="auto" w:val="clear"/>
            <w:tcMar>
              <w:top w:type="dxa" w:w="80"/>
              <w:left w:type="dxa" w:w="100"/>
              <w:bottom w:type="dxa" w:w="80"/>
              <w:right w:type="dxa" w:w="100"/>
            </w:tcMar>
            <w:vAlign w:val="center"/>
          </w:tcPr>
          <w:p>
            <w:pPr>
              <w:spacing w:after="160" w:line="276"/>
            </w:pPr>
            <w:r>
              <w:rPr>
                <w:sz w:val="19"/>
                <w:szCs w:val="19"/>
              </w:rPr>
              <w:t xml:space="preserve">Central Bank and Reserve Manager Experience</w:t>
            </w:r>
          </w:p>
        </w:tc>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15%</w:t>
            </w:r>
          </w:p>
        </w:tc>
      </w:tr>
      <w:tr>
        <w:tc>
          <w:tcPr>
            <w:shd w:fill="F2F6FA" w:color="auto" w:val="clear"/>
            <w:tcMar>
              <w:top w:type="dxa" w:w="80"/>
              <w:left w:type="dxa" w:w="100"/>
              <w:bottom w:type="dxa" w:w="80"/>
              <w:right w:type="dxa" w:w="100"/>
            </w:tcMar>
            <w:vAlign w:val="center"/>
          </w:tcPr>
          <w:p>
            <w:pPr>
              <w:spacing w:after="160" w:line="276"/>
              <w:jc w:val="center"/>
            </w:pPr>
            <w:r>
              <w:rPr>
                <w:sz w:val="21"/>
                <w:szCs w:val="21"/>
              </w:rPr>
              <w:t xml:space="preserve">4</w:t>
            </w:r>
          </w:p>
        </w:tc>
        <w:tc>
          <w:tcPr>
            <w:shd w:fill="F2F6FA" w:color="auto" w:val="clear"/>
            <w:tcMar>
              <w:top w:type="dxa" w:w="80"/>
              <w:left w:type="dxa" w:w="100"/>
              <w:bottom w:type="dxa" w:w="80"/>
              <w:right w:type="dxa" w:w="100"/>
            </w:tcMar>
            <w:vAlign w:val="center"/>
          </w:tcPr>
          <w:p>
            <w:pPr>
              <w:spacing w:after="160" w:line="276"/>
            </w:pPr>
            <w:r>
              <w:rPr>
                <w:sz w:val="19"/>
                <w:szCs w:val="19"/>
              </w:rPr>
              <w:t xml:space="preserve">Compliance Checklists, Ad-Hoc Advisory and Regulatory Filings</w:t>
            </w:r>
          </w:p>
        </w:tc>
        <w:tc>
          <w:tcPr>
            <w:shd w:fill="F2F6FA" w:color="auto" w:val="clear"/>
            <w:tcMar>
              <w:top w:type="dxa" w:w="80"/>
              <w:left w:type="dxa" w:w="100"/>
              <w:bottom w:type="dxa" w:w="80"/>
              <w:right w:type="dxa" w:w="100"/>
            </w:tcMar>
            <w:vAlign w:val="center"/>
          </w:tcPr>
          <w:p>
            <w:pPr>
              <w:spacing w:after="160" w:line="276"/>
              <w:jc w:val="center"/>
            </w:pPr>
            <w:r>
              <w:rPr>
                <w:sz w:val="21"/>
                <w:szCs w:val="21"/>
              </w:rPr>
              <w:t xml:space="preserve">12%</w:t>
            </w:r>
          </w:p>
        </w:tc>
      </w:tr>
      <w:tr>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5</w:t>
            </w:r>
          </w:p>
        </w:tc>
        <w:tc>
          <w:tcPr>
            <w:shd w:fill="FFFFFF" w:color="auto" w:val="clear"/>
            <w:tcMar>
              <w:top w:type="dxa" w:w="80"/>
              <w:left w:type="dxa" w:w="100"/>
              <w:bottom w:type="dxa" w:w="80"/>
              <w:right w:type="dxa" w:w="100"/>
            </w:tcMar>
            <w:vAlign w:val="center"/>
          </w:tcPr>
          <w:p>
            <w:pPr>
              <w:spacing w:after="160" w:line="276"/>
            </w:pPr>
            <w:r>
              <w:rPr>
                <w:sz w:val="19"/>
                <w:szCs w:val="19"/>
              </w:rPr>
              <w:t xml:space="preserve">Proposed Team Quality, Experience and Capacity</w:t>
            </w:r>
          </w:p>
        </w:tc>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9%</w:t>
            </w:r>
          </w:p>
        </w:tc>
      </w:tr>
      <w:tr>
        <w:tc>
          <w:tcPr>
            <w:shd w:fill="F2F6FA" w:color="auto" w:val="clear"/>
            <w:tcMar>
              <w:top w:type="dxa" w:w="80"/>
              <w:left w:type="dxa" w:w="100"/>
              <w:bottom w:type="dxa" w:w="80"/>
              <w:right w:type="dxa" w:w="100"/>
            </w:tcMar>
            <w:vAlign w:val="center"/>
          </w:tcPr>
          <w:p>
            <w:pPr>
              <w:spacing w:after="160" w:line="276"/>
              <w:jc w:val="center"/>
            </w:pPr>
            <w:r>
              <w:rPr>
                <w:sz w:val="21"/>
                <w:szCs w:val="21"/>
              </w:rPr>
              <w:t xml:space="preserve">6</w:t>
            </w:r>
          </w:p>
        </w:tc>
        <w:tc>
          <w:tcPr>
            <w:shd w:fill="F2F6FA" w:color="auto" w:val="clear"/>
            <w:tcMar>
              <w:top w:type="dxa" w:w="80"/>
              <w:left w:type="dxa" w:w="100"/>
              <w:bottom w:type="dxa" w:w="80"/>
              <w:right w:type="dxa" w:w="100"/>
            </w:tcMar>
            <w:vAlign w:val="center"/>
          </w:tcPr>
          <w:p>
            <w:pPr>
              <w:spacing w:after="160" w:line="276"/>
            </w:pPr>
            <w:r>
              <w:rPr>
                <w:sz w:val="19"/>
                <w:szCs w:val="19"/>
              </w:rPr>
              <w:t xml:space="preserve">Broader Institutional and Sovereign Client Experience</w:t>
            </w:r>
          </w:p>
        </w:tc>
        <w:tc>
          <w:tcPr>
            <w:shd w:fill="F2F6FA" w:color="auto" w:val="clear"/>
            <w:tcMar>
              <w:top w:type="dxa" w:w="80"/>
              <w:left w:type="dxa" w:w="100"/>
              <w:bottom w:type="dxa" w:w="80"/>
              <w:right w:type="dxa" w:w="100"/>
            </w:tcMar>
            <w:vAlign w:val="center"/>
          </w:tcPr>
          <w:p>
            <w:pPr>
              <w:spacing w:after="160" w:line="276"/>
              <w:jc w:val="center"/>
            </w:pPr>
            <w:r>
              <w:rPr>
                <w:sz w:val="21"/>
                <w:szCs w:val="21"/>
              </w:rPr>
              <w:t xml:space="preserve">9%</w:t>
            </w:r>
          </w:p>
        </w:tc>
      </w:tr>
      <w:tr>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7</w:t>
            </w:r>
          </w:p>
        </w:tc>
        <w:tc>
          <w:tcPr>
            <w:shd w:fill="FFFFFF" w:color="auto" w:val="clear"/>
            <w:tcMar>
              <w:top w:type="dxa" w:w="80"/>
              <w:left w:type="dxa" w:w="100"/>
              <w:bottom w:type="dxa" w:w="80"/>
              <w:right w:type="dxa" w:w="100"/>
            </w:tcMar>
            <w:vAlign w:val="center"/>
          </w:tcPr>
          <w:p>
            <w:pPr>
              <w:spacing w:after="160" w:line="276"/>
            </w:pPr>
            <w:r>
              <w:rPr>
                <w:sz w:val="19"/>
                <w:szCs w:val="19"/>
              </w:rPr>
              <w:t xml:space="preserve">Service Delivery, Information Security and Engagement Risk</w:t>
            </w:r>
          </w:p>
        </w:tc>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5%</w:t>
            </w:r>
          </w:p>
        </w:tc>
      </w:tr>
      <w:tr>
        <w:tc>
          <w:tcPr>
            <w:shd w:fill="F2F6FA" w:color="auto" w:val="clear"/>
            <w:tcMar>
              <w:top w:type="dxa" w:w="80"/>
              <w:left w:type="dxa" w:w="100"/>
              <w:bottom w:type="dxa" w:w="80"/>
              <w:right w:type="dxa" w:w="100"/>
            </w:tcMar>
            <w:vAlign w:val="center"/>
          </w:tcPr>
          <w:p>
            <w:pPr>
              <w:spacing w:after="160" w:line="276"/>
              <w:jc w:val="center"/>
            </w:pPr>
            <w:r>
              <w:rPr>
                <w:sz w:val="21"/>
                <w:szCs w:val="21"/>
              </w:rPr>
              <w:t xml:space="preserve">8</w:t>
            </w:r>
          </w:p>
        </w:tc>
        <w:tc>
          <w:tcPr>
            <w:shd w:fill="F2F6FA" w:color="auto" w:val="clear"/>
            <w:tcMar>
              <w:top w:type="dxa" w:w="80"/>
              <w:left w:type="dxa" w:w="100"/>
              <w:bottom w:type="dxa" w:w="80"/>
              <w:right w:type="dxa" w:w="100"/>
            </w:tcMar>
            <w:vAlign w:val="center"/>
          </w:tcPr>
          <w:p>
            <w:pPr>
              <w:spacing w:after="160" w:line="276"/>
            </w:pPr>
            <w:r>
              <w:rPr>
                <w:sz w:val="19"/>
                <w:szCs w:val="19"/>
              </w:rPr>
              <w:t xml:space="preserve">Knowledge Sharing and Value-Added Support</w:t>
            </w:r>
          </w:p>
        </w:tc>
        <w:tc>
          <w:tcPr>
            <w:shd w:fill="F2F6FA" w:color="auto" w:val="clear"/>
            <w:tcMar>
              <w:top w:type="dxa" w:w="80"/>
              <w:left w:type="dxa" w:w="100"/>
              <w:bottom w:type="dxa" w:w="80"/>
              <w:right w:type="dxa" w:w="100"/>
            </w:tcMar>
            <w:vAlign w:val="center"/>
          </w:tcPr>
          <w:p>
            <w:pPr>
              <w:spacing w:after="160" w:line="276"/>
              <w:jc w:val="center"/>
            </w:pPr>
            <w:r>
              <w:rPr>
                <w:sz w:val="21"/>
                <w:szCs w:val="21"/>
              </w:rPr>
              <w:t xml:space="preserve">5%</w:t>
            </w:r>
          </w:p>
        </w:tc>
      </w:tr>
      <w:tr>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9</w:t>
            </w:r>
          </w:p>
        </w:tc>
        <w:tc>
          <w:tcPr>
            <w:shd w:fill="FFFFFF" w:color="auto" w:val="clear"/>
            <w:tcMar>
              <w:top w:type="dxa" w:w="80"/>
              <w:left w:type="dxa" w:w="100"/>
              <w:bottom w:type="dxa" w:w="80"/>
              <w:right w:type="dxa" w:w="100"/>
            </w:tcMar>
            <w:vAlign w:val="center"/>
          </w:tcPr>
          <w:p>
            <w:pPr>
              <w:spacing w:after="160" w:line="276"/>
            </w:pPr>
            <w:r>
              <w:rPr>
                <w:sz w:val="19"/>
                <w:szCs w:val="19"/>
              </w:rPr>
              <w:t xml:space="preserve">Extended Jurisdictional Reach</w:t>
            </w:r>
          </w:p>
        </w:tc>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0%</w:t>
            </w:r>
          </w:p>
        </w:tc>
      </w:tr>
    </w:tbl>
    <w:p>
      <w:pPr>
        <w:spacing w:after="240" w:line="276"/>
      </w:pPr>
      <w:r>
        <w:rPr>
          <w:sz w:val="21"/>
          <w:szCs w:val="21"/>
        </w:rPr>
        <w:t xml:space="preserve">Scores were weighted and consolidated into an overall technical score out of five per firm. Pricing was assessed separately on a standardised Year 1 cost estimate (Scope 1 Fee + Coordination Fee + Year 1 Annual Fee + 10 hours × hourly rate), positioned by quartile against comparable RFI submissions. Technical and pricing scores were then combined 90:10 to produce each firm's final ranking. The GLPS does not prescribe a standardised methodology, but Clause 12.6 requires the assessment and rationale to be properly documented.</w:t>
      </w:r>
    </w:p>
    <w:p>
      <w:pPr>
        <w:spacing w:after="120" w:before="200"/>
      </w:pPr>
      <w:r>
        <w:rPr>
          <w:b/>
          <w:bCs/>
          <w:sz w:val="22"/>
          <w:szCs w:val="22"/>
        </w:rPr>
        <w:t xml:space="preserve">Assessment Results</w:t>
      </w:r>
    </w:p>
    <w:p>
      <w:pPr>
        <w:spacing w:after="160" w:line="276"/>
      </w:pPr>
      <w:r>
        <w:rPr>
          <w:sz w:val="21"/>
          <w:szCs w:val="21"/>
        </w:rPr>
        <w:t xml:space="preserve">5. Combined scores (90% technical, 10% price) for the foreign firms are set out below; local firms are addressed separately at paragraph 7, as they were not rated on the same basis — see rationale below.</w:t>
      </w:r>
    </w:p>
    <w:tbl>
      <w:tblPr>
        <w:tblW w:type="dxa" w:w="9700"/>
        <w:tblBorders>
          <w:top w:val="single" w:color="999999" w:sz="4"/>
          <w:left w:val="single" w:color="999999" w:sz="4"/>
          <w:bottom w:val="single" w:color="999999" w:sz="4"/>
          <w:right w:val="single" w:color="999999" w:sz="4"/>
          <w:insideH w:val="single" w:color="999999" w:sz="4"/>
          <w:insideV w:val="single" w:color="999999" w:sz="4"/>
        </w:tblBorders>
      </w:tblPr>
      <w:tblGrid>
        <w:gridCol w:w="700"/>
        <w:gridCol w:w="3600"/>
        <w:gridCol w:w="3200"/>
        <w:gridCol w:w="2200"/>
      </w:tblGrid>
      <w:tr>
        <w:trPr>
          <w:tblHeader/>
        </w:trPr>
        <w:tc>
          <w:tcPr>
            <w:tcW w:type="dxa" w:w="700"/>
            <w:shd w:fill="1F4E79" w:color="auto" w:val="clear"/>
            <w:tcMar>
              <w:top w:type="dxa" w:w="80"/>
              <w:left w:type="dxa" w:w="100"/>
              <w:bottom w:type="dxa" w:w="80"/>
              <w:right w:type="dxa" w:w="100"/>
            </w:tcMar>
            <w:vAlign w:val="center"/>
          </w:tcPr>
          <w:p>
            <w:pPr>
              <w:spacing w:after="160" w:line="276"/>
              <w:jc w:val="center"/>
            </w:pPr>
            <w:r>
              <w:rPr>
                <w:b/>
                <w:bCs/>
                <w:sz w:val="21"/>
                <w:szCs w:val="21"/>
              </w:rPr>
              <w:t xml:space="preserve">Rank</w:t>
            </w:r>
          </w:p>
        </w:tc>
        <w:tc>
          <w:tcPr>
            <w:tcW w:type="dxa" w:w="3600"/>
            <w:shd w:fill="1F4E79" w:color="auto" w:val="clear"/>
            <w:tcMar>
              <w:top w:type="dxa" w:w="80"/>
              <w:left w:type="dxa" w:w="100"/>
              <w:bottom w:type="dxa" w:w="80"/>
              <w:right w:type="dxa" w:w="100"/>
            </w:tcMar>
            <w:vAlign w:val="center"/>
          </w:tcPr>
          <w:p>
            <w:pPr>
              <w:spacing w:after="160" w:line="276"/>
            </w:pPr>
            <w:r>
              <w:rPr>
                <w:b/>
                <w:bCs/>
                <w:sz w:val="21"/>
                <w:szCs w:val="21"/>
              </w:rPr>
              <w:t xml:space="preserve">Firm &amp; Background</w:t>
            </w:r>
          </w:p>
        </w:tc>
        <w:tc>
          <w:tcPr>
            <w:tcW w:type="dxa" w:w="3200"/>
            <w:shd w:fill="1F4E79" w:color="auto" w:val="clear"/>
            <w:tcMar>
              <w:top w:type="dxa" w:w="80"/>
              <w:left w:type="dxa" w:w="100"/>
              <w:bottom w:type="dxa" w:w="80"/>
              <w:right w:type="dxa" w:w="100"/>
            </w:tcMar>
            <w:vAlign w:val="center"/>
          </w:tcPr>
          <w:p>
            <w:pPr>
              <w:spacing w:after="160" w:line="276"/>
              <w:jc w:val="center"/>
            </w:pPr>
            <w:r>
              <w:rPr>
                <w:b/>
                <w:bCs/>
                <w:sz w:val="21"/>
                <w:szCs w:val="21"/>
              </w:rPr>
              <w:t xml:space="preserve">Overall Score</w:t>
            </w:r>
          </w:p>
        </w:tc>
        <w:tc>
          <w:tcPr>
            <w:tcW w:type="dxa" w:w="2200"/>
            <w:shd w:fill="1F4E79" w:color="auto" w:val="clear"/>
            <w:tcMar>
              <w:top w:type="dxa" w:w="80"/>
              <w:left w:type="dxa" w:w="100"/>
              <w:bottom w:type="dxa" w:w="80"/>
              <w:right w:type="dxa" w:w="100"/>
            </w:tcMar>
            <w:vAlign w:val="center"/>
          </w:tcPr>
          <w:p>
            <w:pPr>
              <w:spacing w:after="160" w:line="276"/>
              <w:jc w:val="center"/>
            </w:pPr>
            <w:r>
              <w:rPr>
                <w:b/>
                <w:bCs/>
                <w:sz w:val="21"/>
                <w:szCs w:val="21"/>
              </w:rPr>
              <w:t xml:space="preserve">Estimated Year 1 Cost</w:t>
            </w:r>
          </w:p>
        </w:tc>
      </w:tr>
      <w:tr>
        <w:tc>
          <w:tcPr>
            <w:shd w:fill="FFFFFF" w:color="auto" w:val="clear"/>
            <w:tcMar>
              <w:top w:type="dxa" w:w="80"/>
              <w:left w:type="dxa" w:w="100"/>
              <w:bottom w:type="dxa" w:w="80"/>
              <w:right w:type="dxa" w:w="100"/>
            </w:tcMar>
            <w:vAlign w:val="center"/>
          </w:tcPr>
          <w:p>
            <w:pPr>
              <w:spacing w:after="160" w:line="276"/>
              <w:jc w:val="center"/>
            </w:pPr>
            <w:r>
              <w:rPr>
                <w:b/>
                <w:bCs/>
                <w:sz w:val="21"/>
                <w:szCs w:val="21"/>
              </w:rPr>
              <w:t xml:space="preserve">1</w:t>
            </w:r>
          </w:p>
        </w:tc>
        <w:tc>
          <w:tcPr>
            <w:shd w:fill="FFFFFF" w:color="auto" w:val="clear"/>
            <w:tcMar>
              <w:top w:type="dxa" w:w="80"/>
              <w:left w:type="dxa" w:w="100"/>
              <w:bottom w:type="dxa" w:w="80"/>
              <w:right w:type="dxa" w:w="100"/>
            </w:tcMar>
            <w:vAlign w:val="center"/>
          </w:tcPr>
          <w:p>
            <w:pPr>
              <w:spacing w:after="40"/>
            </w:pPr>
            <w:r>
              <w:rPr>
                <w:b/>
                <w:bCs/>
                <w:sz w:val="21"/>
                <w:szCs w:val="21"/>
              </w:rPr>
              <w:t xml:space="preserve">Freshfields</w:t>
            </w:r>
          </w:p>
          <w:p>
            <w:r>
              <w:rPr>
                <w:i/>
                <w:iCs/>
                <w:sz w:val="19"/>
                <w:szCs w:val="19"/>
              </w:rPr>
              <w:t xml:space="preserve">280-year-old UK law firm with 32 offices worldwide; has advised central banks.</w:t>
            </w:r>
          </w:p>
        </w:tc>
        <w:tc>
          <w:tcPr>
            <w:shd w:fill="FFFFFF" w:color="auto" w:val="clear"/>
            <w:tcMar>
              <w:top w:type="dxa" w:w="80"/>
              <w:left w:type="dxa" w:w="100"/>
              <w:bottom w:type="dxa" w:w="80"/>
              <w:right w:type="dxa" w:w="100"/>
            </w:tcMar>
            <w:vAlign w:val="center"/>
          </w:tcPr>
          <w:p>
            <w:pPr>
              <w:jc w:val="center"/>
            </w:pPr>
            <w:r>
              <w:rPr>
                <w:color w:val="1F4E79"/>
                <w:sz w:val="22"/>
                <w:szCs w:val="22"/>
              </w:rPr>
              <w:t xml:space="preserve">●●●●●●●●●○</w:t>
            </w:r>
            <w:r>
              <w:rPr>
                <w:sz w:val="19"/>
                <w:szCs w:val="19"/>
              </w:rPr>
              <w:t xml:space="preserve">  (88%)</w:t>
            </w:r>
          </w:p>
        </w:tc>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RM690,000</w:t>
            </w:r>
          </w:p>
        </w:tc>
      </w:tr>
      <w:tr>
        <w:tc>
          <w:tcPr>
            <w:shd w:fill="F2F6FA" w:color="auto" w:val="clear"/>
            <w:tcMar>
              <w:top w:type="dxa" w:w="80"/>
              <w:left w:type="dxa" w:w="100"/>
              <w:bottom w:type="dxa" w:w="80"/>
              <w:right w:type="dxa" w:w="100"/>
            </w:tcMar>
            <w:vAlign w:val="center"/>
          </w:tcPr>
          <w:p>
            <w:pPr>
              <w:spacing w:after="160" w:line="276"/>
              <w:jc w:val="center"/>
            </w:pPr>
            <w:r>
              <w:rPr>
                <w:b/>
                <w:bCs/>
                <w:sz w:val="21"/>
                <w:szCs w:val="21"/>
              </w:rPr>
              <w:t xml:space="preserve">2</w:t>
            </w:r>
          </w:p>
        </w:tc>
        <w:tc>
          <w:tcPr>
            <w:shd w:fill="F2F6FA" w:color="auto" w:val="clear"/>
            <w:tcMar>
              <w:top w:type="dxa" w:w="80"/>
              <w:left w:type="dxa" w:w="100"/>
              <w:bottom w:type="dxa" w:w="80"/>
              <w:right w:type="dxa" w:w="100"/>
            </w:tcMar>
            <w:vAlign w:val="center"/>
          </w:tcPr>
          <w:p>
            <w:pPr>
              <w:spacing w:after="40"/>
            </w:pPr>
            <w:r>
              <w:rPr>
                <w:b/>
                <w:bCs/>
                <w:sz w:val="21"/>
                <w:szCs w:val="21"/>
              </w:rPr>
              <w:t xml:space="preserve">CGSH</w:t>
            </w:r>
          </w:p>
          <w:p>
            <w:r>
              <w:rPr>
                <w:i/>
                <w:iCs/>
                <w:sz w:val="19"/>
                <w:szCs w:val="19"/>
              </w:rPr>
              <w:t xml:space="preserve">US-founded law firm with 14 offices worldwide; has advised central banks.</w:t>
            </w:r>
          </w:p>
        </w:tc>
        <w:tc>
          <w:tcPr>
            <w:shd w:fill="F2F6FA" w:color="auto" w:val="clear"/>
            <w:tcMar>
              <w:top w:type="dxa" w:w="80"/>
              <w:left w:type="dxa" w:w="100"/>
              <w:bottom w:type="dxa" w:w="80"/>
              <w:right w:type="dxa" w:w="100"/>
            </w:tcMar>
            <w:vAlign w:val="center"/>
          </w:tcPr>
          <w:p>
            <w:pPr>
              <w:jc w:val="center"/>
            </w:pPr>
            <w:r>
              <w:rPr>
                <w:color w:val="1F4E79"/>
                <w:sz w:val="22"/>
                <w:szCs w:val="22"/>
              </w:rPr>
              <w:t xml:space="preserve">●●●●●●●●●○</w:t>
            </w:r>
            <w:r>
              <w:rPr>
                <w:sz w:val="19"/>
                <w:szCs w:val="19"/>
              </w:rPr>
              <w:t xml:space="preserve">  (88%)</w:t>
            </w:r>
          </w:p>
        </w:tc>
        <w:tc>
          <w:tcPr>
            <w:shd w:fill="F2F6FA" w:color="auto" w:val="clear"/>
            <w:tcMar>
              <w:top w:type="dxa" w:w="80"/>
              <w:left w:type="dxa" w:w="100"/>
              <w:bottom w:type="dxa" w:w="80"/>
              <w:right w:type="dxa" w:w="100"/>
            </w:tcMar>
            <w:vAlign w:val="center"/>
          </w:tcPr>
          <w:p>
            <w:pPr>
              <w:spacing w:after="160" w:line="276"/>
              <w:jc w:val="center"/>
            </w:pPr>
            <w:r>
              <w:rPr>
                <w:sz w:val="21"/>
                <w:szCs w:val="21"/>
              </w:rPr>
              <w:t xml:space="preserve">RM1,200,000</w:t>
            </w:r>
          </w:p>
        </w:tc>
      </w:tr>
      <w:tr>
        <w:tc>
          <w:tcPr>
            <w:shd w:fill="FFFFFF" w:color="auto" w:val="clear"/>
            <w:tcMar>
              <w:top w:type="dxa" w:w="80"/>
              <w:left w:type="dxa" w:w="100"/>
              <w:bottom w:type="dxa" w:w="80"/>
              <w:right w:type="dxa" w:w="100"/>
            </w:tcMar>
            <w:vAlign w:val="center"/>
          </w:tcPr>
          <w:p>
            <w:pPr>
              <w:spacing w:after="160" w:line="276"/>
              <w:jc w:val="center"/>
            </w:pPr>
            <w:r>
              <w:rPr>
                <w:b/>
                <w:bCs/>
                <w:sz w:val="21"/>
                <w:szCs w:val="21"/>
              </w:rPr>
              <w:t xml:space="preserve">3</w:t>
            </w:r>
          </w:p>
        </w:tc>
        <w:tc>
          <w:tcPr>
            <w:shd w:fill="FFFFFF" w:color="auto" w:val="clear"/>
            <w:tcMar>
              <w:top w:type="dxa" w:w="80"/>
              <w:left w:type="dxa" w:w="100"/>
              <w:bottom w:type="dxa" w:w="80"/>
              <w:right w:type="dxa" w:w="100"/>
            </w:tcMar>
            <w:vAlign w:val="center"/>
          </w:tcPr>
          <w:p>
            <w:pPr>
              <w:spacing w:after="40"/>
            </w:pPr>
            <w:r>
              <w:rPr>
                <w:b/>
                <w:bCs/>
                <w:sz w:val="21"/>
                <w:szCs w:val="21"/>
              </w:rPr>
              <w:t xml:space="preserve">Sidley Austin</w:t>
            </w:r>
          </w:p>
          <w:p>
            <w:r>
              <w:rPr>
                <w:i/>
                <w:iCs/>
                <w:sz w:val="19"/>
                <w:szCs w:val="19"/>
              </w:rPr>
              <w:t xml:space="preserve">160-year-old law firm with 21 offices worldwide; has advised Khazanah.</w:t>
            </w:r>
          </w:p>
        </w:tc>
        <w:tc>
          <w:tcPr>
            <w:shd w:fill="FFFFFF" w:color="auto" w:val="clear"/>
            <w:tcMar>
              <w:top w:type="dxa" w:w="80"/>
              <w:left w:type="dxa" w:w="100"/>
              <w:bottom w:type="dxa" w:w="80"/>
              <w:right w:type="dxa" w:w="100"/>
            </w:tcMar>
            <w:vAlign w:val="center"/>
          </w:tcPr>
          <w:p>
            <w:pPr>
              <w:jc w:val="center"/>
            </w:pPr>
            <w:r>
              <w:rPr>
                <w:color w:val="1F4E79"/>
                <w:sz w:val="22"/>
                <w:szCs w:val="22"/>
              </w:rPr>
              <w:t xml:space="preserve">●●●●●●●●●○</w:t>
            </w:r>
            <w:r>
              <w:rPr>
                <w:sz w:val="19"/>
                <w:szCs w:val="19"/>
              </w:rPr>
              <w:t xml:space="preserve">  (86%)</w:t>
            </w:r>
          </w:p>
        </w:tc>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RM635,000</w:t>
            </w:r>
          </w:p>
        </w:tc>
      </w:tr>
      <w:tr>
        <w:tc>
          <w:tcPr>
            <w:shd w:fill="F2F6FA" w:color="auto" w:val="clear"/>
            <w:tcMar>
              <w:top w:type="dxa" w:w="80"/>
              <w:left w:type="dxa" w:w="100"/>
              <w:bottom w:type="dxa" w:w="80"/>
              <w:right w:type="dxa" w:w="100"/>
            </w:tcMar>
            <w:vAlign w:val="center"/>
          </w:tcPr>
          <w:p>
            <w:pPr>
              <w:spacing w:after="160" w:line="276"/>
              <w:jc w:val="center"/>
            </w:pPr>
            <w:r>
              <w:rPr>
                <w:b/>
                <w:bCs/>
                <w:sz w:val="21"/>
                <w:szCs w:val="21"/>
              </w:rPr>
              <w:t xml:space="preserve">4</w:t>
            </w:r>
          </w:p>
        </w:tc>
        <w:tc>
          <w:tcPr>
            <w:shd w:fill="F2F6FA" w:color="auto" w:val="clear"/>
            <w:tcMar>
              <w:top w:type="dxa" w:w="80"/>
              <w:left w:type="dxa" w:w="100"/>
              <w:bottom w:type="dxa" w:w="80"/>
              <w:right w:type="dxa" w:w="100"/>
            </w:tcMar>
            <w:vAlign w:val="center"/>
          </w:tcPr>
          <w:p>
            <w:pPr>
              <w:spacing w:after="40"/>
            </w:pPr>
            <w:r>
              <w:rPr>
                <w:b/>
                <w:bCs/>
                <w:sz w:val="21"/>
                <w:szCs w:val="21"/>
              </w:rPr>
              <w:t xml:space="preserve">Simpson Thacher</w:t>
            </w:r>
          </w:p>
          <w:p>
            <w:r>
              <w:rPr>
                <w:i/>
                <w:iCs/>
                <w:sz w:val="19"/>
                <w:szCs w:val="19"/>
              </w:rPr>
              <w:t xml:space="preserve">140-year-old New York law firm with 14 offices worldwide; has advised central banks.</w:t>
            </w:r>
          </w:p>
        </w:tc>
        <w:tc>
          <w:tcPr>
            <w:shd w:fill="F2F6FA" w:color="auto" w:val="clear"/>
            <w:tcMar>
              <w:top w:type="dxa" w:w="80"/>
              <w:left w:type="dxa" w:w="100"/>
              <w:bottom w:type="dxa" w:w="80"/>
              <w:right w:type="dxa" w:w="100"/>
            </w:tcMar>
            <w:vAlign w:val="center"/>
          </w:tcPr>
          <w:p>
            <w:pPr>
              <w:jc w:val="center"/>
            </w:pPr>
            <w:r>
              <w:rPr>
                <w:color w:val="1F4E79"/>
                <w:sz w:val="22"/>
                <w:szCs w:val="22"/>
              </w:rPr>
              <w:t xml:space="preserve">●●●●●●●●○○</w:t>
            </w:r>
            <w:r>
              <w:rPr>
                <w:sz w:val="19"/>
                <w:szCs w:val="19"/>
              </w:rPr>
              <w:t xml:space="preserve">  (82%)</w:t>
            </w:r>
          </w:p>
        </w:tc>
        <w:tc>
          <w:tcPr>
            <w:shd w:fill="F2F6FA" w:color="auto" w:val="clear"/>
            <w:tcMar>
              <w:top w:type="dxa" w:w="80"/>
              <w:left w:type="dxa" w:w="100"/>
              <w:bottom w:type="dxa" w:w="80"/>
              <w:right w:type="dxa" w:w="100"/>
            </w:tcMar>
            <w:vAlign w:val="center"/>
          </w:tcPr>
          <w:p>
            <w:pPr>
              <w:spacing w:after="160" w:line="276"/>
              <w:jc w:val="center"/>
            </w:pPr>
            <w:r>
              <w:rPr>
                <w:sz w:val="21"/>
                <w:szCs w:val="21"/>
              </w:rPr>
              <w:t xml:space="preserve">RM2,160,000</w:t>
            </w:r>
          </w:p>
        </w:tc>
      </w:tr>
      <w:tr>
        <w:tc>
          <w:tcPr>
            <w:shd w:fill="FFFFFF" w:color="auto" w:val="clear"/>
            <w:tcMar>
              <w:top w:type="dxa" w:w="80"/>
              <w:left w:type="dxa" w:w="100"/>
              <w:bottom w:type="dxa" w:w="80"/>
              <w:right w:type="dxa" w:w="100"/>
            </w:tcMar>
            <w:vAlign w:val="center"/>
          </w:tcPr>
          <w:p>
            <w:pPr>
              <w:spacing w:after="160" w:line="276"/>
              <w:jc w:val="center"/>
            </w:pPr>
            <w:r>
              <w:rPr>
                <w:b/>
                <w:bCs/>
                <w:sz w:val="21"/>
                <w:szCs w:val="21"/>
              </w:rPr>
              <w:t xml:space="preserve">5</w:t>
            </w:r>
          </w:p>
        </w:tc>
        <w:tc>
          <w:tcPr>
            <w:shd w:fill="FFFFFF" w:color="auto" w:val="clear"/>
            <w:tcMar>
              <w:top w:type="dxa" w:w="80"/>
              <w:left w:type="dxa" w:w="100"/>
              <w:bottom w:type="dxa" w:w="80"/>
              <w:right w:type="dxa" w:w="100"/>
            </w:tcMar>
            <w:vAlign w:val="center"/>
          </w:tcPr>
          <w:p>
            <w:pPr>
              <w:spacing w:after="40"/>
            </w:pPr>
            <w:r>
              <w:rPr>
                <w:b/>
                <w:bCs/>
                <w:sz w:val="21"/>
                <w:szCs w:val="21"/>
              </w:rPr>
              <w:t xml:space="preserve">Ropes &amp; Gray</w:t>
            </w:r>
          </w:p>
          <w:p>
            <w:r>
              <w:rPr>
                <w:i/>
                <w:iCs/>
                <w:sz w:val="19"/>
                <w:szCs w:val="19"/>
              </w:rPr>
              <w:t xml:space="preserve">150-year-old Boston law firm with 16 offices worldwide; has advised central banks.</w:t>
            </w:r>
          </w:p>
        </w:tc>
        <w:tc>
          <w:tcPr>
            <w:shd w:fill="FFFFFF" w:color="auto" w:val="clear"/>
            <w:tcMar>
              <w:top w:type="dxa" w:w="80"/>
              <w:left w:type="dxa" w:w="100"/>
              <w:bottom w:type="dxa" w:w="80"/>
              <w:right w:type="dxa" w:w="100"/>
            </w:tcMar>
            <w:vAlign w:val="center"/>
          </w:tcPr>
          <w:p>
            <w:pPr>
              <w:jc w:val="center"/>
            </w:pPr>
            <w:r>
              <w:rPr>
                <w:color w:val="1F4E79"/>
                <w:sz w:val="22"/>
                <w:szCs w:val="22"/>
              </w:rPr>
              <w:t xml:space="preserve">●●●●●●●○○○</w:t>
            </w:r>
            <w:r>
              <w:rPr>
                <w:sz w:val="19"/>
                <w:szCs w:val="19"/>
              </w:rPr>
              <w:t xml:space="preserve">  (74%)</w:t>
            </w:r>
          </w:p>
        </w:tc>
        <w:tc>
          <w:tcPr>
            <w:shd w:fill="FFFFFF" w:color="auto" w:val="clear"/>
            <w:tcMar>
              <w:top w:type="dxa" w:w="80"/>
              <w:left w:type="dxa" w:w="100"/>
              <w:bottom w:type="dxa" w:w="80"/>
              <w:right w:type="dxa" w:w="100"/>
            </w:tcMar>
            <w:vAlign w:val="center"/>
          </w:tcPr>
          <w:p>
            <w:pPr>
              <w:spacing w:after="160" w:line="276"/>
              <w:jc w:val="center"/>
            </w:pPr>
            <w:r>
              <w:rPr>
                <w:sz w:val="21"/>
                <w:szCs w:val="21"/>
              </w:rPr>
              <w:t xml:space="preserve">RM1,600,000</w:t>
            </w:r>
          </w:p>
        </w:tc>
      </w:tr>
      <w:tr>
        <w:tc>
          <w:tcPr>
            <w:shd w:fill="F2F6FA" w:color="auto" w:val="clear"/>
            <w:tcMar>
              <w:top w:type="dxa" w:w="80"/>
              <w:left w:type="dxa" w:w="100"/>
              <w:bottom w:type="dxa" w:w="80"/>
              <w:right w:type="dxa" w:w="100"/>
            </w:tcMar>
            <w:vAlign w:val="center"/>
          </w:tcPr>
          <w:p>
            <w:pPr>
              <w:spacing w:after="160" w:line="276"/>
              <w:jc w:val="center"/>
            </w:pPr>
            <w:r>
              <w:rPr>
                <w:b/>
                <w:bCs/>
                <w:sz w:val="21"/>
                <w:szCs w:val="21"/>
              </w:rPr>
              <w:t xml:space="preserve">6</w:t>
            </w:r>
          </w:p>
        </w:tc>
        <w:tc>
          <w:tcPr>
            <w:shd w:fill="F2F6FA" w:color="auto" w:val="clear"/>
            <w:tcMar>
              <w:top w:type="dxa" w:w="80"/>
              <w:left w:type="dxa" w:w="100"/>
              <w:bottom w:type="dxa" w:w="80"/>
              <w:right w:type="dxa" w:w="100"/>
            </w:tcMar>
            <w:vAlign w:val="center"/>
          </w:tcPr>
          <w:p>
            <w:pPr>
              <w:spacing w:after="40"/>
            </w:pPr>
            <w:r>
              <w:rPr>
                <w:b/>
                <w:bCs/>
                <w:sz w:val="21"/>
                <w:szCs w:val="21"/>
              </w:rPr>
              <w:t xml:space="preserve">Covington &amp; Burling</w:t>
            </w:r>
          </w:p>
          <w:p>
            <w:r>
              <w:rPr>
                <w:i/>
                <w:iCs/>
                <w:sz w:val="19"/>
                <w:szCs w:val="19"/>
              </w:rPr>
              <w:t xml:space="preserve">100-year-old Washington, DC law firm with 14 offices worldwide; has advised central banks and regulators.</w:t>
            </w:r>
          </w:p>
        </w:tc>
        <w:tc>
          <w:tcPr>
            <w:shd w:fill="F2F6FA" w:color="auto" w:val="clear"/>
            <w:tcMar>
              <w:top w:type="dxa" w:w="80"/>
              <w:left w:type="dxa" w:w="100"/>
              <w:bottom w:type="dxa" w:w="80"/>
              <w:right w:type="dxa" w:w="100"/>
            </w:tcMar>
            <w:vAlign w:val="center"/>
          </w:tcPr>
          <w:p>
            <w:pPr>
              <w:jc w:val="center"/>
            </w:pPr>
            <w:r>
              <w:rPr>
                <w:color w:val="1F4E79"/>
                <w:sz w:val="22"/>
                <w:szCs w:val="22"/>
              </w:rPr>
              <w:t xml:space="preserve">●●●●●●●○○○</w:t>
            </w:r>
            <w:r>
              <w:rPr>
                <w:sz w:val="19"/>
                <w:szCs w:val="19"/>
              </w:rPr>
              <w:t xml:space="preserve">  (74%)</w:t>
            </w:r>
          </w:p>
        </w:tc>
        <w:tc>
          <w:tcPr>
            <w:shd w:fill="F2F6FA" w:color="auto" w:val="clear"/>
            <w:tcMar>
              <w:top w:type="dxa" w:w="80"/>
              <w:left w:type="dxa" w:w="100"/>
              <w:bottom w:type="dxa" w:w="80"/>
              <w:right w:type="dxa" w:w="100"/>
            </w:tcMar>
            <w:vAlign w:val="center"/>
          </w:tcPr>
          <w:p>
            <w:pPr>
              <w:spacing w:after="160" w:line="276"/>
              <w:jc w:val="center"/>
            </w:pPr>
            <w:r>
              <w:rPr>
                <w:sz w:val="21"/>
                <w:szCs w:val="21"/>
              </w:rPr>
              <w:t xml:space="preserve">RM260,000</w:t>
            </w:r>
          </w:p>
        </w:tc>
      </w:tr>
    </w:tbl>
    <w:p>
      <w:pPr>
        <w:spacing w:after="240" w:line="276"/>
      </w:pPr>
      <w:r>
        <w:rPr>
          <w:i/>
          <w:iCs/>
          <w:sz w:val="19"/>
          <w:szCs w:val="19"/>
        </w:rPr>
        <w:t xml:space="preserve">Note: Estimated Year 1 costs ranged from RM260,000 to RM2.16 million across these firms, benchmarked at RM344,000 (Q1), RM635,000 (median) and RM1.07 million (Q3) across all comparable RFI submissions.</w:t>
      </w:r>
    </w:p>
    <w:p>
      <w:pPr>
        <w:spacing w:after="120" w:before="200"/>
      </w:pPr>
      <w:r>
        <w:rPr>
          <w:b/>
          <w:bCs/>
          <w:sz w:val="22"/>
          <w:szCs w:val="22"/>
        </w:rPr>
        <w:t xml:space="preserve">Proposed Shortlisted Firms for RFP</w:t>
      </w:r>
    </w:p>
    <w:p>
      <w:pPr>
        <w:spacing w:after="160" w:line="276"/>
      </w:pPr>
      <w:r>
        <w:rPr>
          <w:sz w:val="21"/>
          <w:szCs w:val="21"/>
        </w:rPr>
        <w:t xml:space="preserve">6. Six firms achieved combined scores above 70. Of these, it is proposed that Freshfields, Sidley Austin and Covington &amp; Burling be shortlisted for the RFP, as they combine strong regulatory capability with estimated Year 1 costs below the Q3 benchmark of RM1.07 million. CGSH, Simpson Thacher and Ropes &amp; Gray also scored above 70 but exceeded that benchmark. Details of the proposed shortlist:</w:t>
      </w:r>
    </w:p>
    <w:tbl>
      <w:tblPr>
        <w:tblW w:type="dxa" w:w="97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200"/>
        <w:gridCol w:w="6500"/>
      </w:tblGrid>
      <w:tr>
        <w:trPr>
          <w:tblHeader/>
        </w:trPr>
        <w:tc>
          <w:tcPr>
            <w:tcW w:type="dxa" w:w="2000"/>
            <w:shd w:fill="1F4E79" w:color="auto" w:val="clear"/>
            <w:tcMar>
              <w:top w:type="dxa" w:w="80"/>
              <w:left w:type="dxa" w:w="100"/>
              <w:bottom w:type="dxa" w:w="80"/>
              <w:right w:type="dxa" w:w="100"/>
            </w:tcMar>
            <w:vAlign w:val="center"/>
          </w:tcPr>
          <w:p>
            <w:pPr>
              <w:spacing w:after="160" w:line="276"/>
            </w:pPr>
            <w:r>
              <w:rPr>
                <w:b/>
                <w:bCs/>
                <w:sz w:val="21"/>
                <w:szCs w:val="21"/>
              </w:rPr>
              <w:t xml:space="preserve">Firm</w:t>
            </w:r>
          </w:p>
        </w:tc>
        <w:tc>
          <w:tcPr>
            <w:tcW w:type="dxa" w:w="1200"/>
            <w:shd w:fill="1F4E79" w:color="auto" w:val="clear"/>
            <w:tcMar>
              <w:top w:type="dxa" w:w="80"/>
              <w:left w:type="dxa" w:w="100"/>
              <w:bottom w:type="dxa" w:w="80"/>
              <w:right w:type="dxa" w:w="100"/>
            </w:tcMar>
            <w:vAlign w:val="center"/>
          </w:tcPr>
          <w:p>
            <w:pPr>
              <w:spacing w:after="160" w:line="276"/>
              <w:jc w:val="center"/>
            </w:pPr>
            <w:r>
              <w:rPr>
                <w:b/>
                <w:bCs/>
                <w:sz w:val="21"/>
                <w:szCs w:val="21"/>
              </w:rPr>
              <w:t xml:space="preserve">Tier</w:t>
            </w:r>
          </w:p>
        </w:tc>
        <w:tc>
          <w:tcPr>
            <w:tcW w:type="dxa" w:w="6500"/>
            <w:shd w:fill="1F4E79" w:color="auto" w:val="clear"/>
            <w:tcMar>
              <w:top w:type="dxa" w:w="80"/>
              <w:left w:type="dxa" w:w="100"/>
              <w:bottom w:type="dxa" w:w="80"/>
              <w:right w:type="dxa" w:w="100"/>
            </w:tcMar>
            <w:vAlign w:val="center"/>
          </w:tcPr>
          <w:p>
            <w:pPr>
              <w:spacing w:after="160" w:line="276"/>
            </w:pPr>
            <w:r>
              <w:rPr>
                <w:b/>
                <w:bCs/>
                <w:sz w:val="21"/>
                <w:szCs w:val="21"/>
              </w:rPr>
              <w:t xml:space="preserve">Highlights</w:t>
            </w:r>
          </w:p>
        </w:tc>
      </w:tr>
      <w:tr>
        <w:tc>
          <w:tcPr>
            <w:shd w:fill="FFFFFF" w:color="auto" w:val="clear"/>
            <w:tcMar>
              <w:top w:type="dxa" w:w="80"/>
              <w:left w:type="dxa" w:w="100"/>
              <w:bottom w:type="dxa" w:w="80"/>
              <w:right w:type="dxa" w:w="100"/>
            </w:tcMar>
            <w:vAlign w:val="center"/>
          </w:tcPr>
          <w:p>
            <w:pPr>
              <w:spacing w:after="160" w:line="276"/>
            </w:pPr>
            <w:r>
              <w:rPr>
                <w:b/>
                <w:bCs/>
                <w:sz w:val="20"/>
                <w:szCs w:val="20"/>
              </w:rPr>
              <w:t xml:space="preserve">Freshfields</w:t>
            </w:r>
          </w:p>
        </w:tc>
        <w:tc>
          <w:tcPr>
            <w:shd w:fill="FFFFFF" w:color="auto" w:val="clear"/>
            <w:tcMar>
              <w:top w:type="dxa" w:w="80"/>
              <w:left w:type="dxa" w:w="100"/>
              <w:bottom w:type="dxa" w:w="80"/>
              <w:right w:type="dxa" w:w="100"/>
            </w:tcMar>
            <w:vAlign w:val="center"/>
          </w:tcPr>
          <w:p>
            <w:pPr>
              <w:spacing w:after="160" w:line="276"/>
              <w:jc w:val="center"/>
            </w:pPr>
            <w:r>
              <w:rPr>
                <w:sz w:val="20"/>
                <w:szCs w:val="20"/>
              </w:rPr>
              <w:t xml:space="preserve">Tier 3</w:t>
            </w:r>
          </w:p>
        </w:tc>
        <w:tc>
          <w:tcPr>
            <w:shd w:fill="FFFFFF" w:color="auto" w:val="clear"/>
            <w:tcMar>
              <w:top w:type="dxa" w:w="80"/>
              <w:left w:type="dxa" w:w="100"/>
              <w:bottom w:type="dxa" w:w="80"/>
              <w:right w:type="dxa" w:w="100"/>
            </w:tcMar>
            <w:vAlign w:val="center"/>
          </w:tcPr>
          <w:p>
            <w:pPr>
              <w:pStyle w:val="ListParagraph"/>
              <w:numPr>
                <w:ilvl w:val="0"/>
                <w:numId w:val="1"/>
              </w:numPr>
              <w:spacing w:after="60"/>
            </w:pPr>
            <w:r>
              <w:rPr>
                <w:sz w:val="19"/>
                <w:szCs w:val="19"/>
              </w:rPr>
              <w:t xml:space="preserve">Relevant Experience: Extensive central banking experience, including prior work for BNM.</w:t>
            </w:r>
          </w:p>
          <w:p>
            <w:pPr>
              <w:pStyle w:val="ListParagraph"/>
              <w:numPr>
                <w:ilvl w:val="0"/>
                <w:numId w:val="1"/>
              </w:numPr>
              <w:spacing w:after="60"/>
            </w:pPr>
            <w:r>
              <w:rPr>
                <w:sz w:val="19"/>
                <w:szCs w:val="19"/>
              </w:rPr>
              <w:t xml:space="preserve">Proposed Team: Strong team comprising former SEC, Federal Reserve and Central Bank lawyers.</w:t>
            </w:r>
          </w:p>
          <w:p>
            <w:pPr>
              <w:pStyle w:val="ListParagraph"/>
              <w:numPr>
                <w:ilvl w:val="0"/>
                <w:numId w:val="1"/>
              </w:numPr>
              <w:spacing w:after="60"/>
            </w:pPr>
            <w:r>
              <w:rPr>
                <w:sz w:val="19"/>
                <w:szCs w:val="19"/>
              </w:rPr>
              <w:t xml:space="preserve">Scope of Services: Detailed, practical and operationally grounded.</w:t>
            </w:r>
          </w:p>
          <w:p>
            <w:pPr>
              <w:pStyle w:val="ListParagraph"/>
              <w:numPr>
                <w:ilvl w:val="0"/>
                <w:numId w:val="1"/>
              </w:numPr>
              <w:spacing w:after="60"/>
            </w:pPr>
            <w:r>
              <w:rPr>
                <w:sz w:val="19"/>
                <w:szCs w:val="19"/>
              </w:rPr>
              <w:t xml:space="preserve">Resources: Substantial knowledge-management and technology capabilities.</w:t>
            </w:r>
          </w:p>
          <w:p>
            <w:pPr>
              <w:pStyle w:val="ListParagraph"/>
              <w:numPr>
                <w:ilvl w:val="0"/>
                <w:numId w:val="1"/>
              </w:numPr>
              <w:spacing w:after="60"/>
            </w:pPr>
            <w:r>
              <w:rPr>
                <w:sz w:val="19"/>
                <w:szCs w:val="19"/>
              </w:rPr>
              <w:t xml:space="preserve">Limitation(s): No specific turnaround-time commitment; correspondent firms for BNM's additional jurisdictions were not individually identified.</w:t>
            </w:r>
          </w:p>
        </w:tc>
      </w:tr>
      <w:tr>
        <w:tc>
          <w:tcPr>
            <w:shd w:fill="F2F6FA" w:color="auto" w:val="clear"/>
            <w:tcMar>
              <w:top w:type="dxa" w:w="80"/>
              <w:left w:type="dxa" w:w="100"/>
              <w:bottom w:type="dxa" w:w="80"/>
              <w:right w:type="dxa" w:w="100"/>
            </w:tcMar>
            <w:vAlign w:val="center"/>
          </w:tcPr>
          <w:p>
            <w:pPr>
              <w:spacing w:after="160" w:line="276"/>
            </w:pPr>
            <w:r>
              <w:rPr>
                <w:b/>
                <w:bCs/>
                <w:sz w:val="20"/>
                <w:szCs w:val="20"/>
              </w:rPr>
              <w:t xml:space="preserve">Sidley Austin</w:t>
            </w:r>
          </w:p>
        </w:tc>
        <w:tc>
          <w:tcPr>
            <w:shd w:fill="F2F6FA" w:color="auto" w:val="clear"/>
            <w:tcMar>
              <w:top w:type="dxa" w:w="80"/>
              <w:left w:type="dxa" w:w="100"/>
              <w:bottom w:type="dxa" w:w="80"/>
              <w:right w:type="dxa" w:w="100"/>
            </w:tcMar>
            <w:vAlign w:val="center"/>
          </w:tcPr>
          <w:p>
            <w:pPr>
              <w:spacing w:after="160" w:line="276"/>
              <w:jc w:val="center"/>
            </w:pPr>
            <w:r>
              <w:rPr>
                <w:sz w:val="20"/>
                <w:szCs w:val="20"/>
              </w:rPr>
              <w:t xml:space="preserve">Tier 1</w:t>
            </w:r>
          </w:p>
        </w:tc>
        <w:tc>
          <w:tcPr>
            <w:shd w:fill="F2F6FA" w:color="auto" w:val="clear"/>
            <w:tcMar>
              <w:top w:type="dxa" w:w="80"/>
              <w:left w:type="dxa" w:w="100"/>
              <w:bottom w:type="dxa" w:w="80"/>
              <w:right w:type="dxa" w:w="100"/>
            </w:tcMar>
            <w:vAlign w:val="center"/>
          </w:tcPr>
          <w:p>
            <w:pPr>
              <w:pStyle w:val="ListParagraph"/>
              <w:numPr>
                <w:ilvl w:val="0"/>
                <w:numId w:val="1"/>
              </w:numPr>
              <w:spacing w:after="60"/>
            </w:pPr>
            <w:r>
              <w:rPr>
                <w:sz w:val="19"/>
                <w:szCs w:val="19"/>
              </w:rPr>
              <w:t xml:space="preserve">Relevant Experience: Substantive sovereign and institutional experience, including broader engagement with central banks and prudential regulators.</w:t>
            </w:r>
          </w:p>
          <w:p>
            <w:pPr>
              <w:pStyle w:val="ListParagraph"/>
              <w:numPr>
                <w:ilvl w:val="0"/>
                <w:numId w:val="1"/>
              </w:numPr>
              <w:spacing w:after="60"/>
            </w:pPr>
            <w:r>
              <w:rPr>
                <w:sz w:val="19"/>
                <w:szCs w:val="19"/>
              </w:rPr>
              <w:t xml:space="preserve">Proposed Team: Highly experienced team comprising recognised regulatory practitioners and former senior officials.</w:t>
            </w:r>
          </w:p>
          <w:p>
            <w:pPr>
              <w:pStyle w:val="ListParagraph"/>
              <w:numPr>
                <w:ilvl w:val="0"/>
                <w:numId w:val="1"/>
              </w:numPr>
              <w:spacing w:after="60"/>
            </w:pPr>
            <w:r>
              <w:rPr>
                <w:sz w:val="19"/>
                <w:szCs w:val="19"/>
              </w:rPr>
              <w:t xml:space="preserve">Turnaround Time: Clear turnaround-time commitments provided.</w:t>
            </w:r>
          </w:p>
          <w:p>
            <w:pPr>
              <w:pStyle w:val="ListParagraph"/>
              <w:numPr>
                <w:ilvl w:val="0"/>
                <w:numId w:val="1"/>
              </w:numPr>
              <w:spacing w:after="60"/>
            </w:pPr>
            <w:r>
              <w:rPr>
                <w:sz w:val="19"/>
                <w:szCs w:val="19"/>
              </w:rPr>
              <w:t xml:space="preserve">Jurisdictional Coverage: Individually named correspondent firms covering all jurisdictions specified by BNM.</w:t>
            </w:r>
          </w:p>
          <w:p>
            <w:pPr>
              <w:pStyle w:val="ListParagraph"/>
              <w:numPr>
                <w:ilvl w:val="0"/>
                <w:numId w:val="1"/>
              </w:numPr>
              <w:spacing w:after="60"/>
            </w:pPr>
            <w:r>
              <w:rPr>
                <w:sz w:val="19"/>
                <w:szCs w:val="19"/>
              </w:rPr>
              <w:t xml:space="preserve">Limitation(s): No specific central bank client was identified.</w:t>
            </w:r>
          </w:p>
        </w:tc>
      </w:tr>
      <w:tr>
        <w:tc>
          <w:tcPr>
            <w:shd w:fill="FFFFFF" w:color="auto" w:val="clear"/>
            <w:tcMar>
              <w:top w:type="dxa" w:w="80"/>
              <w:left w:type="dxa" w:w="100"/>
              <w:bottom w:type="dxa" w:w="80"/>
              <w:right w:type="dxa" w:w="100"/>
            </w:tcMar>
            <w:vAlign w:val="center"/>
          </w:tcPr>
          <w:p>
            <w:pPr>
              <w:spacing w:after="160" w:line="276"/>
            </w:pPr>
            <w:r>
              <w:rPr>
                <w:b/>
                <w:bCs/>
                <w:sz w:val="20"/>
                <w:szCs w:val="20"/>
              </w:rPr>
              <w:t xml:space="preserve">Covington &amp; Burling</w:t>
            </w:r>
          </w:p>
        </w:tc>
        <w:tc>
          <w:tcPr>
            <w:shd w:fill="FFFFFF" w:color="auto" w:val="clear"/>
            <w:tcMar>
              <w:top w:type="dxa" w:w="80"/>
              <w:left w:type="dxa" w:w="100"/>
              <w:bottom w:type="dxa" w:w="80"/>
              <w:right w:type="dxa" w:w="100"/>
            </w:tcMar>
            <w:vAlign w:val="center"/>
          </w:tcPr>
          <w:p>
            <w:pPr>
              <w:spacing w:after="160" w:line="276"/>
              <w:jc w:val="center"/>
            </w:pPr>
            <w:r>
              <w:rPr>
                <w:sz w:val="20"/>
                <w:szCs w:val="20"/>
              </w:rPr>
              <w:t xml:space="preserve">Tier 2</w:t>
            </w:r>
          </w:p>
        </w:tc>
        <w:tc>
          <w:tcPr>
            <w:shd w:fill="FFFFFF" w:color="auto" w:val="clear"/>
            <w:tcMar>
              <w:top w:type="dxa" w:w="80"/>
              <w:left w:type="dxa" w:w="100"/>
              <w:bottom w:type="dxa" w:w="80"/>
              <w:right w:type="dxa" w:w="100"/>
            </w:tcMar>
            <w:vAlign w:val="center"/>
          </w:tcPr>
          <w:p>
            <w:pPr>
              <w:pStyle w:val="ListParagraph"/>
              <w:numPr>
                <w:ilvl w:val="0"/>
                <w:numId w:val="1"/>
              </w:numPr>
              <w:spacing w:after="60"/>
            </w:pPr>
            <w:r>
              <w:rPr>
                <w:sz w:val="19"/>
                <w:szCs w:val="19"/>
              </w:rPr>
              <w:t xml:space="preserve">Relevant Experience: Credible sovereign wealth fund experience.</w:t>
            </w:r>
          </w:p>
          <w:p>
            <w:pPr>
              <w:pStyle w:val="ListParagraph"/>
              <w:numPr>
                <w:ilvl w:val="0"/>
                <w:numId w:val="1"/>
              </w:numPr>
              <w:spacing w:after="60"/>
            </w:pPr>
            <w:r>
              <w:rPr>
                <w:sz w:val="19"/>
                <w:szCs w:val="19"/>
              </w:rPr>
              <w:t xml:space="preserve">Regulatory Expertise: Strong UK and EU regulatory leadership, supported by extensive firm-wide regulator-alumni credentials.</w:t>
            </w:r>
          </w:p>
          <w:p>
            <w:pPr>
              <w:pStyle w:val="ListParagraph"/>
              <w:numPr>
                <w:ilvl w:val="0"/>
                <w:numId w:val="1"/>
              </w:numPr>
              <w:spacing w:after="60"/>
            </w:pPr>
            <w:r>
              <w:rPr>
                <w:sz w:val="19"/>
                <w:szCs w:val="19"/>
              </w:rPr>
              <w:t xml:space="preserve">Limitation(s): US regulatory expertise within the proposed team was less clearly demonstrated; certain central bank engagements cited were based on experience gained before the lawyers joined the firm.</w:t>
            </w:r>
          </w:p>
        </w:tc>
      </w:tr>
    </w:tbl>
    <w:p>
      <w:pPr>
        <w:spacing w:after="240" w:line="276"/>
      </w:pPr>
      <w:r>
        <w:rPr>
          <w:i/>
          <w:iCs/>
          <w:sz w:val="19"/>
          <w:szCs w:val="19"/>
        </w:rPr>
        <w:t xml:space="preserve">Note: Tiers reflect an indicative internal assessment based on firms' latest Chambers rankings for relevant regulatory practice areas and do not constitute official firm-wide tiers.</w:t>
      </w:r>
    </w:p>
    <w:p>
      <w:pPr>
        <w:spacing w:after="120" w:before="200"/>
      </w:pPr>
      <w:r>
        <w:rPr>
          <w:b/>
          <w:bCs/>
          <w:sz w:val="22"/>
          <w:szCs w:val="22"/>
        </w:rPr>
        <w:t xml:space="preserve">Rationale for Not Rating Local Firms</w:t>
      </w:r>
    </w:p>
    <w:p>
      <w:pPr>
        <w:spacing w:after="160" w:line="276"/>
      </w:pPr>
      <w:r>
        <w:rPr>
          <w:sz w:val="21"/>
          <w:szCs w:val="21"/>
        </w:rPr>
        <w:t xml:space="preserve">7. Christopher &amp; Lee Ong, Albar &amp; Partners, Zul Rafique &amp; Partners, Skrine and Shearn Delamore &amp; Co.±7 were not scored alongside the foreign firms above. Their proposed approach for US/EU regulatory advice relies substantially on foreign partner firms, with the local firm performing a coordination role only; as these firms do not assume liability for the advice given by their partners, they do not meet the direct-expertise and accountability basis on which the technical criteria were scored. Christopher &amp; Lee Ong additionally demonstrated access to relevant expertise through its international partners but lacked in-house US/EU capability and demonstrated central bank experience. None of the five local firms is recommended for shortlisting on this basis.</w:t>
      </w:r>
    </w:p>
    <w:p>
      <w:pPr>
        <w:spacing w:after="120" w:before="200"/>
      </w:pPr>
      <w:r>
        <w:rPr>
          <w:b/>
          <w:bCs/>
          <w:sz w:val="22"/>
          <w:szCs w:val="22"/>
        </w:rPr>
        <w:t xml:space="preserve">Request for Proposal (RFP) Questionnaire</w:t>
      </w:r>
    </w:p>
    <w:p>
      <w:pPr>
        <w:spacing w:after="160" w:line="276"/>
      </w:pPr>
      <w:r>
        <w:rPr>
          <w:sz w:val="21"/>
          <w:szCs w:val="21"/>
        </w:rPr>
        <w:t xml:space="preserve">8. The RFP questionnaire (Appendix 1) is submitted for Penolong Gabenor's approval prior to issuance to the shortlisted firms, to further assess technical and service capability, proposed scope, commercial proposals and value-added services offered to the Bank.</w:t>
      </w:r>
    </w:p>
    <w:p>
      <w:pPr>
        <w:spacing w:after="320" w:line="276"/>
      </w:pPr>
      <w:r>
        <w:rPr>
          <w:sz w:val="21"/>
          <w:szCs w:val="21"/>
        </w:rPr>
        <w:t xml:space="preserve">9. Based on the above, we seek Penolong Gabenor's approval of the shortlisted firms and the RFP for further assessment, please.</w:t>
      </w:r>
    </w:p>
    <w:p>
      <w:r>
        <w:rPr>
          <w:i/>
          <w:iCs/>
          <w:sz w:val="16"/>
          <w:szCs w:val="16"/>
        </w:rPr>
        <w:t xml:space="preserve">\\JOPPK\JOPPK Main\TRMS\COMPLIANCE\External Legal Counsel\RFP Memo To AG\Memo Template - V2.Docx</w:t>
      </w:r>
    </w:p>
    <w:p>
      <w:pPr>
        <w:spacing w:before="200"/>
      </w:pPr>
      <w:r>
        <w:rPr>
          <w:sz w:val="16"/>
          <w:szCs w:val="16"/>
        </w:rPr>
        <w:t xml:space="preserve">¹1 GLPS Clause 13.3 requires departments to shortlist at least three (3) potential external legal counsels for consideration and approval.</w:t>
      </w:r>
    </w:p>
    <w:p>
      <w:r>
        <w:rPr>
          <w:sz w:val="16"/>
          <w:szCs w:val="16"/>
        </w:rPr>
        <w:t xml:space="preserve">±2 The approving authority is contingent upon the estimated legal fees; based on the RFI fee ranges, this is expected to fall within the authority of the Department Director and Sector Assistant Governor / any Deputy Governor.</w:t>
      </w:r>
    </w:p>
    <w:p>
      <w:r>
        <w:rPr>
          <w:sz w:val="16"/>
          <w:szCs w:val="16"/>
        </w:rPr>
        <w:t xml:space="preserve">±3 1 firm declined participation.</w:t>
      </w:r>
    </w:p>
    <w:p>
      <w:r>
        <w:rPr>
          <w:sz w:val="16"/>
          <w:szCs w:val="16"/>
          <w:highlight w:val="yellow"/>
          <w:highlightCs w:val="yellow"/>
        </w:rPr>
        <w:t xml:space="preserve">±7 [xxxx — confirm Shearn Delamore's inclusion in the RFI and outcome]</w:t>
      </w:r>
    </w:p>
    <w:p>
      <w:r>
        <w:br w:type="page"/>
      </w:r>
    </w:p>
    <w:p>
      <w:pPr>
        <w:spacing w:after="120" w:before="200"/>
      </w:pPr>
      <w:r>
        <w:rPr>
          <w:b/>
          <w:bCs/>
          <w:sz w:val="22"/>
          <w:szCs w:val="22"/>
        </w:rPr>
        <w:t xml:space="preserve">Appendix 1: RFP Questionnaire</w:t>
      </w:r>
    </w:p>
    <w:p>
      <w:pPr>
        <w:spacing w:after="120" w:before="200"/>
      </w:pPr>
      <w:r>
        <w:rPr>
          <w:b/>
          <w:bCs/>
          <w:sz w:val="22"/>
          <w:szCs w:val="22"/>
        </w:rPr>
        <w:t xml:space="preserve">Appendix 2: Scoring Rubric Set</w:t>
      </w:r>
    </w:p>
    <w:p>
      <w:r>
        <w:br w:type="page"/>
      </w:r>
    </w:p>
    <w:p>
      <w:pPr>
        <w:spacing w:after="120" w:before="200"/>
      </w:pPr>
      <w:r>
        <w:rPr>
          <w:b/>
          <w:bCs/>
          <w:sz w:val="22"/>
          <w:szCs w:val="22"/>
        </w:rPr>
        <w:t xml:space="preserve">Appendix 3: Detailed Firm-Level RFI Findings</w:t>
      </w:r>
    </w:p>
    <w:p>
      <w:pPr>
        <w:spacing w:after="160" w:line="276"/>
      </w:pPr>
      <w:r>
        <w:rPr>
          <w:i/>
          <w:iCs/>
          <w:sz w:val="21"/>
          <w:szCs w:val="21"/>
        </w:rPr>
        <w:t xml:space="preserve">(Unchanged — retained in full from the original memo; not reproduced here as appendix length is not in scope for this revision.)</w:t>
      </w:r>
    </w:p>
    <w:sectPr>
      <w:headerReference w:type="default" r:id="rId7"/>
      <w:footerReference w:type="default" r:id="rId8"/>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p>
    <w:pPr>
      <w:jc w:val="center"/>
    </w:pPr>
    <w:r>
      <w:rPr>
        <w:b/>
        <w:bCs/>
        <w:sz w:val="18"/>
        <w:szCs w:val="18"/>
      </w:rPr>
      <w:t xml:space="preserve">SULIT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8"/>
        <w:szCs w:val="18"/>
      </w:rPr>
      <w:t xml:space="preserve">SULIT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2026-09-09T01:09:14.376Z</dcterms:created>
  <dcterms:modified xsi:type="dcterms:W3CDTF">2026-09-09T01:09:14.388Z</dcterms:modified>
</cp:coreProperties>
</file>

<file path=docProps/custom.xml><?xml version="1.0" encoding="utf-8"?>
<Properties xmlns="http://schemas.openxmlformats.org/officeDocument/2006/custom-properties" xmlns:vt="http://schemas.openxmlformats.org/officeDocument/2006/docPropsVTypes"/>
</file>