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0"/>
          <w:szCs w:val="40"/>
        </w:rPr>
        <w:t xml:space="preserve">Data Case Study Review</w:t>
      </w:r>
    </w:p>
    <w:p>
      <w:pPr>
        <w:spacing w:after="200"/>
      </w:pPr>
      <w:r>
        <w:rPr>
          <w:i/>
          <w:iCs/>
          <w:color w:val="595959"/>
          <w:sz w:val="22"/>
          <w:szCs w:val="22"/>
        </w:rPr>
        <w:t xml:space="preserve">A structural review of two public Kaggle case studies</w:t>
      </w:r>
    </w:p>
    <w:p>
      <w:pPr>
        <w:pBdr>
          <w:bottom w:val="single" w:color="BFBFBF" w:sz="6" w:space="1"/>
        </w:pBdr>
        <w:spacing w:after="200"/>
      </w:pPr>
    </w:p>
    <w:p>
      <w:pPr>
        <w:spacing w:after="160" w:line="276"/>
      </w:pPr>
      <w:r>
        <w:rPr>
          <w:i w:val="false"/>
          <w:iCs w:val="false"/>
          <w:sz w:val="21"/>
          <w:szCs w:val="21"/>
        </w:rPr>
        <w:t xml:space="preserve">This document summarises two public Kaggle case studies against a common lens: business context, data structure, and analytical approach. Section 1 covers the Cyclistic Bike Share capstone; Section 2 covers a published HR analytics EDA notebook. Where a source did not expose its underlying computed results for direct verification, this review focuses on framing, structure, and method rather than restating unverified figures.</w:t>
      </w:r>
    </w:p>
    <w:p>
      <w:pPr>
        <w:pStyle w:val="Heading1"/>
        <w:spacing w:after="160" w:before="400"/>
      </w:pPr>
      <w:r>
        <w:rPr>
          <w:b/>
          <w:bCs/>
          <w:color w:val="1F4E5F"/>
          <w:sz w:val="32"/>
          <w:szCs w:val="32"/>
        </w:rPr>
        <w:t xml:space="preserve">Section 1 — Cyclistic Bike Share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Mar>
              <w:top w:type="dxa" w:w="100"/>
              <w:left w:type="dxa" w:w="120"/>
              <w:bottom w:type="dxa" w:w="100"/>
              <w:right w:type="dxa" w:w="120"/>
            </w:tcMar>
          </w:tcPr>
          <w:p>
            <w:r>
              <w:rPr>
                <w:b/>
                <w:bCs/>
                <w:sz w:val="20"/>
                <w:szCs w:val="20"/>
              </w:rPr>
              <w:t xml:space="preserve">Source</w:t>
            </w:r>
          </w:p>
        </w:tc>
        <w:tc>
          <w:tcPr>
            <w:tcW w:type="dxa" w:w="6900"/>
            <w:tcMar>
              <w:top w:type="dxa" w:w="100"/>
              <w:left w:type="dxa" w:w="120"/>
              <w:bottom w:type="dxa" w:w="100"/>
              <w:right w:type="dxa" w:w="120"/>
            </w:tcMar>
          </w:tcPr>
          <w:p>
            <w:r>
              <w:rPr>
                <w:sz w:val="20"/>
                <w:szCs w:val="20"/>
              </w:rPr>
              <w:t xml:space="preserve">Kaggle — Cyclistic Bike Share dataset (Google Data Analytics Capstone)</w:t>
            </w:r>
          </w:p>
        </w:tc>
      </w:tr>
      <w:tr>
        <w:tc>
          <w:tcPr>
            <w:tcW w:type="dxa" w:w="2600"/>
            <w:shd w:fill="F2F2F2" w:val="clear"/>
            <w:tcMar>
              <w:top w:type="dxa" w:w="100"/>
              <w:left w:type="dxa" w:w="120"/>
              <w:bottom w:type="dxa" w:w="100"/>
              <w:right w:type="dxa" w:w="120"/>
            </w:tcMar>
          </w:tcPr>
          <w:p>
            <w:r>
              <w:rPr>
                <w:b/>
                <w:bCs/>
                <w:sz w:val="20"/>
                <w:szCs w:val="20"/>
              </w:rPr>
              <w:t xml:space="preserve">Underlying data</w:t>
            </w:r>
          </w:p>
        </w:tc>
        <w:tc>
          <w:tcPr>
            <w:tcW w:type="dxa" w:w="6900"/>
            <w:tcMar>
              <w:top w:type="dxa" w:w="100"/>
              <w:left w:type="dxa" w:w="120"/>
              <w:bottom w:type="dxa" w:w="100"/>
              <w:right w:type="dxa" w:w="120"/>
            </w:tcMar>
          </w:tcPr>
          <w:p>
            <w:r>
              <w:rPr>
                <w:sz w:val="20"/>
                <w:szCs w:val="20"/>
              </w:rPr>
              <w:t xml:space="preserve">Divvy bike-share trip data, Chicago (data provided by Motivate International Inc.)</w:t>
            </w:r>
          </w:p>
        </w:tc>
      </w:tr>
      <w:tr>
        <w:tc>
          <w:tcPr>
            <w:tcW w:type="dxa" w:w="2600"/>
            <w:shd w:fill="F2F2F2" w:val="clear"/>
            <w:tcMar>
              <w:top w:type="dxa" w:w="100"/>
              <w:left w:type="dxa" w:w="120"/>
              <w:bottom w:type="dxa" w:w="100"/>
              <w:right w:type="dxa" w:w="120"/>
            </w:tcMar>
          </w:tcPr>
          <w:p>
            <w:r>
              <w:rPr>
                <w:b/>
                <w:bCs/>
                <w:sz w:val="20"/>
                <w:szCs w:val="20"/>
              </w:rPr>
              <w:t xml:space="preserve">Format</w:t>
            </w:r>
          </w:p>
        </w:tc>
        <w:tc>
          <w:tcPr>
            <w:tcW w:type="dxa" w:w="6900"/>
            <w:tcMar>
              <w:top w:type="dxa" w:w="100"/>
              <w:left w:type="dxa" w:w="120"/>
              <w:bottom w:type="dxa" w:w="100"/>
              <w:right w:type="dxa" w:w="120"/>
            </w:tcMar>
          </w:tcPr>
          <w:p>
            <w:r>
              <w:rPr>
                <w:sz w:val="20"/>
                <w:szCs w:val="20"/>
              </w:rPr>
              <w:t xml:space="preserve">Monthly CSV files, one row per ride</w:t>
            </w:r>
          </w:p>
        </w:tc>
      </w:tr>
    </w:tbl>
    <w:p>
      <w:pPr>
        <w:spacing w:before="200"/>
      </w:pPr>
    </w:p>
    <w:p>
      <w:pPr>
        <w:pStyle w:val="Heading2"/>
        <w:spacing w:after="120" w:before="280"/>
      </w:pPr>
      <w:r>
        <w:rPr>
          <w:b/>
          <w:bCs/>
          <w:color w:val="1F4E5F"/>
          <w:sz w:val="24"/>
          <w:szCs w:val="24"/>
        </w:rPr>
        <w:t xml:space="preserve">1.1 Background</w:t>
      </w:r>
    </w:p>
    <w:p>
      <w:pPr>
        <w:spacing w:after="160" w:line="276"/>
      </w:pPr>
      <w:r>
        <w:rPr>
          <w:i w:val="false"/>
          <w:iCs w:val="false"/>
          <w:sz w:val="21"/>
          <w:szCs w:val="21"/>
        </w:rPr>
        <w:t xml:space="preserve">Cyclistic is a bike-share program (fictionalised for the capstone) operating a fleet of geotracked bicycles across a network of docking stations. Riders access bikes under two pricing structures: single-ride or full-day passes (“casual riders”) and annual memberships (“members”). Cyclistic's stated finding is that annual members are the more profitable segment, which sets up the case study's business task.</w:t>
      </w:r>
    </w:p>
    <w:p>
      <w:pPr>
        <w:pStyle w:val="Heading2"/>
        <w:spacing w:after="120" w:before="280"/>
      </w:pPr>
      <w:r>
        <w:rPr>
          <w:b/>
          <w:bCs/>
          <w:color w:val="1F4E5F"/>
          <w:sz w:val="24"/>
          <w:szCs w:val="24"/>
        </w:rPr>
        <w:t xml:space="preserve">1.2 Business Task</w:t>
      </w:r>
    </w:p>
    <w:p>
      <w:pPr>
        <w:pStyle w:val="ListParagraph"/>
        <w:numPr>
          <w:ilvl w:val="0"/>
          <w:numId w:val="2"/>
        </w:numPr>
        <w:spacing w:after="80" w:line="270"/>
      </w:pPr>
      <w:r>
        <w:rPr>
          <w:sz w:val="21"/>
          <w:szCs w:val="21"/>
        </w:rPr>
        <w:t xml:space="preserve">Design a marketing strategy aimed at converting casual riders into annual members.</w:t>
      </w:r>
    </w:p>
    <w:p>
      <w:pPr>
        <w:pStyle w:val="ListParagraph"/>
        <w:numPr>
          <w:ilvl w:val="0"/>
          <w:numId w:val="2"/>
        </w:numPr>
        <w:spacing w:after="80" w:line="270"/>
      </w:pPr>
      <w:r>
        <w:rPr>
          <w:sz w:val="21"/>
          <w:szCs w:val="21"/>
        </w:rPr>
        <w:t xml:space="preserve">Core question: how do annual members and casual riders use Cyclistic bikes differently?</w:t>
      </w:r>
    </w:p>
    <w:p>
      <w:pPr>
        <w:pStyle w:val="ListParagraph"/>
        <w:numPr>
          <w:ilvl w:val="0"/>
          <w:numId w:val="2"/>
        </w:numPr>
        <w:spacing w:after="80" w:line="270"/>
      </w:pPr>
      <w:r>
        <w:rPr>
          <w:sz w:val="21"/>
          <w:szCs w:val="21"/>
        </w:rPr>
        <w:t xml:space="preserve">Secondary questions typically explored: why would casual riders buy a membership, and how could digital media influence that decision?</w:t>
      </w:r>
    </w:p>
    <w:p>
      <w:pPr>
        <w:pStyle w:val="Heading2"/>
        <w:spacing w:after="120" w:before="280"/>
      </w:pPr>
      <w:r>
        <w:rPr>
          <w:b/>
          <w:bCs/>
          <w:color w:val="1F4E5F"/>
          <w:sz w:val="24"/>
          <w:szCs w:val="24"/>
        </w:rPr>
        <w:t xml:space="preserve">1.3 Data Structure</w:t>
      </w:r>
    </w:p>
    <w:p>
      <w:pPr>
        <w:spacing w:after="160" w:line="276"/>
      </w:pPr>
      <w:r>
        <w:rPr>
          <w:i w:val="false"/>
          <w:iCs w:val="false"/>
          <w:sz w:val="21"/>
          <w:szCs w:val="21"/>
        </w:rPr>
        <w:t xml:space="preserve">Each ride record typically includes the following fields:</w:t>
      </w:r>
    </w:p>
    <w:p>
      <w:pPr>
        <w:pStyle w:val="ListParagraph"/>
        <w:numPr>
          <w:ilvl w:val="0"/>
          <w:numId w:val="2"/>
        </w:numPr>
        <w:spacing w:after="80" w:line="270"/>
      </w:pPr>
      <w:r>
        <w:rPr>
          <w:sz w:val="21"/>
          <w:szCs w:val="21"/>
        </w:rPr>
        <w:t xml:space="preserve">ride_id — unique identifier per ride</w:t>
      </w:r>
    </w:p>
    <w:p>
      <w:pPr>
        <w:pStyle w:val="ListParagraph"/>
        <w:numPr>
          <w:ilvl w:val="0"/>
          <w:numId w:val="2"/>
        </w:numPr>
        <w:spacing w:after="80" w:line="270"/>
      </w:pPr>
      <w:r>
        <w:rPr>
          <w:sz w:val="21"/>
          <w:szCs w:val="21"/>
        </w:rPr>
        <w:t xml:space="preserve">rideable_type — classic, docked, or electric bike</w:t>
      </w:r>
    </w:p>
    <w:p>
      <w:pPr>
        <w:pStyle w:val="ListParagraph"/>
        <w:numPr>
          <w:ilvl w:val="0"/>
          <w:numId w:val="2"/>
        </w:numPr>
        <w:spacing w:after="80" w:line="270"/>
      </w:pPr>
      <w:r>
        <w:rPr>
          <w:sz w:val="21"/>
          <w:szCs w:val="21"/>
        </w:rPr>
        <w:t xml:space="preserve">started_at / ended_at — ride start and end timestamps</w:t>
      </w:r>
    </w:p>
    <w:p>
      <w:pPr>
        <w:pStyle w:val="ListParagraph"/>
        <w:numPr>
          <w:ilvl w:val="0"/>
          <w:numId w:val="2"/>
        </w:numPr>
        <w:spacing w:after="80" w:line="270"/>
      </w:pPr>
      <w:r>
        <w:rPr>
          <w:sz w:val="21"/>
          <w:szCs w:val="21"/>
        </w:rPr>
        <w:t xml:space="preserve">start_station_name / start_station_id and end_station_name / end_station_id</w:t>
      </w:r>
    </w:p>
    <w:p>
      <w:pPr>
        <w:pStyle w:val="ListParagraph"/>
        <w:numPr>
          <w:ilvl w:val="0"/>
          <w:numId w:val="2"/>
        </w:numPr>
        <w:spacing w:after="80" w:line="270"/>
      </w:pPr>
      <w:r>
        <w:rPr>
          <w:sz w:val="21"/>
          <w:szCs w:val="21"/>
        </w:rPr>
        <w:t xml:space="preserve">start_lat / start_lng and end_lat / end_lng — station coordinates</w:t>
      </w:r>
    </w:p>
    <w:p>
      <w:pPr>
        <w:pStyle w:val="ListParagraph"/>
        <w:numPr>
          <w:ilvl w:val="0"/>
          <w:numId w:val="2"/>
        </w:numPr>
        <w:spacing w:after="80" w:line="270"/>
      </w:pPr>
      <w:r>
        <w:rPr>
          <w:sz w:val="21"/>
          <w:szCs w:val="21"/>
        </w:rPr>
        <w:t xml:space="preserve">member_casual — rider type (member vs. casual)</w:t>
      </w:r>
    </w:p>
    <w:p>
      <w:pPr>
        <w:pStyle w:val="Heading2"/>
        <w:spacing w:after="120" w:before="280"/>
      </w:pPr>
      <w:r>
        <w:rPr>
          <w:b/>
          <w:bCs/>
          <w:color w:val="1F4E5F"/>
          <w:sz w:val="24"/>
          <w:szCs w:val="24"/>
        </w:rPr>
        <w:t xml:space="preserve">1.4 Analytical Approach</w:t>
      </w:r>
    </w:p>
    <w:p>
      <w:pPr>
        <w:spacing w:after="160" w:line="276"/>
      </w:pPr>
      <w:r>
        <w:rPr>
          <w:i w:val="false"/>
          <w:iCs w:val="false"/>
          <w:sz w:val="21"/>
          <w:szCs w:val="21"/>
        </w:rPr>
        <w:t xml:space="preserve">Public analyses of this dataset generally follow the six-phase framework taught in the Google Data Analytics Certificate: Ask, Prepare, Process, Analyze, Share, Act.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Mar>
              <w:top w:type="dxa" w:w="160"/>
              <w:left w:type="dxa" w:w="200"/>
              <w:bottom w:type="dxa" w:w="160"/>
              <w:right w:type="dxa" w:w="200"/>
            </w:tcMar>
          </w:tcPr>
          <w:p>
            <w:pPr>
              <w:spacing w:after="80"/>
            </w:pPr>
            <w:r>
              <w:rPr>
                <w:b/>
                <w:bCs/>
                <w:color w:val="1F4E5F"/>
                <w:sz w:val="21"/>
                <w:szCs w:val="21"/>
              </w:rPr>
              <w:t xml:space="preserve">Typical workflow</w:t>
            </w:r>
          </w:p>
          <w:p>
            <w:pPr>
              <w:spacing w:after="40" w:line="260"/>
            </w:pPr>
            <w:r>
              <w:rPr>
                <w:sz w:val="20"/>
                <w:szCs w:val="20"/>
              </w:rPr>
              <w:t xml:space="preserve">Ask — confirm the business task and stakeholders (marketing director, analytics team, executives).</w:t>
            </w:r>
          </w:p>
          <w:p>
            <w:pPr>
              <w:spacing w:after="40" w:line="260"/>
            </w:pPr>
            <w:r>
              <w:rPr>
                <w:sz w:val="20"/>
                <w:szCs w:val="20"/>
              </w:rPr>
              <w:t xml:space="preserve">Prepare — consolidate 12 months of monthly CSVs; check licensing and data currency.</w:t>
            </w:r>
          </w:p>
          <w:p>
            <w:pPr>
              <w:spacing w:after="40" w:line="260"/>
            </w:pPr>
            <w:r>
              <w:rPr>
                <w:sz w:val="20"/>
                <w:szCs w:val="20"/>
              </w:rPr>
              <w:t xml:space="preserve">Process — clean timestamps, remove test/maintenance rides, handle missing station data, derive ride length and day-of-week fields.</w:t>
            </w:r>
          </w:p>
          <w:p>
            <w:pPr>
              <w:spacing w:after="40" w:line="260"/>
            </w:pPr>
            <w:r>
              <w:rPr>
                <w:sz w:val="20"/>
                <w:szCs w:val="20"/>
              </w:rPr>
              <w:t xml:space="preserve">Analyze — compare ride duration, frequency, time-of-day/day-of-week patterns, and bike-type preference between members and casual riders.</w:t>
            </w:r>
          </w:p>
          <w:p>
            <w:pPr>
              <w:spacing w:after="40" w:line="260"/>
            </w:pPr>
            <w:r>
              <w:rPr>
                <w:sz w:val="20"/>
                <w:szCs w:val="20"/>
              </w:rPr>
              <w:t xml:space="preserve">Share — visualise differences (e.g., duration distributions, weekday vs. weekend usage) for a non-technical audience.</w:t>
            </w:r>
          </w:p>
          <w:p>
            <w:pPr>
              <w:spacing w:after="40" w:line="260"/>
            </w:pPr>
            <w:r>
              <w:rPr>
                <w:sz w:val="20"/>
                <w:szCs w:val="20"/>
              </w:rPr>
              <w:t xml:space="preserve">Act — translate the differences into a targeted conversion campaign.</w:t>
            </w:r>
          </w:p>
        </w:tc>
      </w:tr>
    </w:tbl>
    <w:p>
      <w:pPr>
        <w:pStyle w:val="Heading2"/>
        <w:spacing w:after="120" w:before="280"/>
      </w:pPr>
      <w:r>
        <w:rPr>
          <w:b/>
          <w:bCs/>
          <w:color w:val="1F4E5F"/>
          <w:sz w:val="24"/>
          <w:szCs w:val="24"/>
        </w:rPr>
        <w:t xml:space="preserve">1.5 Notes for This Review</w:t>
      </w:r>
    </w:p>
    <w:p>
      <w:pPr>
        <w:spacing w:after="160" w:line="276"/>
      </w:pPr>
      <w:r>
        <w:rPr>
          <w:i/>
          <w:iCs/>
          <w:sz w:val="21"/>
          <w:szCs w:val="21"/>
        </w:rPr>
        <w:t xml:space="preserve">This section is a structural summary of the published case study framework rather than a re-run of the analysis. Specific figures (average ride duration, member/casual split, seasonal peaks, etc.) vary across public write-ups depending on which year of data was used and are not reproduced here without direct access to the source file — recommend pulling the CSVs directly if exact statistics are needed for this write-up.</w:t>
      </w:r>
    </w:p>
    <w:p>
      <w:pPr>
        <w:pStyle w:val="Heading1"/>
        <w:spacing w:after="160" w:before="400"/>
      </w:pPr>
      <w:r>
        <w:rPr>
          <w:b/>
          <w:bCs/>
          <w:color w:val="1F4E5F"/>
          <w:sz w:val="32"/>
          <w:szCs w:val="32"/>
        </w:rPr>
        <w:t xml:space="preserve">Section 2 — HR Dataset (EDA)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Mar>
              <w:top w:type="dxa" w:w="100"/>
              <w:left w:type="dxa" w:w="120"/>
              <w:bottom w:type="dxa" w:w="100"/>
              <w:right w:type="dxa" w:w="120"/>
            </w:tcMar>
          </w:tcPr>
          <w:p>
            <w:r>
              <w:rPr>
                <w:b/>
                <w:bCs/>
                <w:sz w:val="20"/>
                <w:szCs w:val="20"/>
              </w:rPr>
              <w:t xml:space="preserve">Source</w:t>
            </w:r>
          </w:p>
        </w:tc>
        <w:tc>
          <w:tcPr>
            <w:tcW w:type="dxa" w:w="6900"/>
            <w:tcMar>
              <w:top w:type="dxa" w:w="100"/>
              <w:left w:type="dxa" w:w="120"/>
              <w:bottom w:type="dxa" w:w="100"/>
              <w:right w:type="dxa" w:w="120"/>
            </w:tcMar>
          </w:tcPr>
          <w:p>
            <w:r>
              <w:rPr>
                <w:sz w:val="20"/>
                <w:szCs w:val="20"/>
              </w:rPr>
              <w:t xml:space="preserve">Kaggle notebook — “HR Dataset (EDA)” by shifanaaz125</w:t>
            </w:r>
          </w:p>
        </w:tc>
      </w:tr>
      <w:tr>
        <w:tc>
          <w:tcPr>
            <w:tcW w:type="dxa" w:w="2600"/>
            <w:shd w:fill="F2F2F2" w:val="clear"/>
            <w:tcMar>
              <w:top w:type="dxa" w:w="100"/>
              <w:left w:type="dxa" w:w="120"/>
              <w:bottom w:type="dxa" w:w="100"/>
              <w:right w:type="dxa" w:w="120"/>
            </w:tcMar>
          </w:tcPr>
          <w:p>
            <w:r>
              <w:rPr>
                <w:b/>
                <w:bCs/>
                <w:sz w:val="20"/>
                <w:szCs w:val="20"/>
              </w:rPr>
              <w:t xml:space="preserve">Underlying data</w:t>
            </w:r>
          </w:p>
        </w:tc>
        <w:tc>
          <w:tcPr>
            <w:tcW w:type="dxa" w:w="6900"/>
            <w:tcMar>
              <w:top w:type="dxa" w:w="100"/>
              <w:left w:type="dxa" w:w="120"/>
              <w:bottom w:type="dxa" w:w="100"/>
              <w:right w:type="dxa" w:w="120"/>
            </w:tcMar>
          </w:tcPr>
          <w:p>
            <w:r>
              <w:rPr>
                <w:sz w:val="20"/>
                <w:szCs w:val="20"/>
              </w:rPr>
              <w:t xml:space="preserve">Kaggle “HR Analytics” employee dataset (commonly the IBM-style HR attrition dataset)</w:t>
            </w:r>
          </w:p>
        </w:tc>
      </w:tr>
      <w:tr>
        <w:tc>
          <w:tcPr>
            <w:tcW w:type="dxa" w:w="2600"/>
            <w:shd w:fill="F2F2F2" w:val="clear"/>
            <w:tcMar>
              <w:top w:type="dxa" w:w="100"/>
              <w:left w:type="dxa" w:w="120"/>
              <w:bottom w:type="dxa" w:w="100"/>
              <w:right w:type="dxa" w:w="120"/>
            </w:tcMar>
          </w:tcPr>
          <w:p>
            <w:r>
              <w:rPr>
                <w:b/>
                <w:bCs/>
                <w:sz w:val="20"/>
                <w:szCs w:val="20"/>
              </w:rPr>
              <w:t xml:space="preserve">Format</w:t>
            </w:r>
          </w:p>
        </w:tc>
        <w:tc>
          <w:tcPr>
            <w:tcW w:type="dxa" w:w="6900"/>
            <w:tcMar>
              <w:top w:type="dxa" w:w="100"/>
              <w:left w:type="dxa" w:w="120"/>
              <w:bottom w:type="dxa" w:w="100"/>
              <w:right w:type="dxa" w:w="120"/>
            </w:tcMar>
          </w:tcPr>
          <w:p>
            <w:r>
              <w:rPr>
                <w:sz w:val="20"/>
                <w:szCs w:val="20"/>
              </w:rPr>
              <w:t xml:space="preserve">Single CSV, one row per employee record</w:t>
            </w:r>
          </w:p>
        </w:tc>
      </w:tr>
    </w:tbl>
    <w:p>
      <w:pPr>
        <w:spacing w:before="200"/>
      </w:pPr>
    </w:p>
    <w:p>
      <w:pPr>
        <w:pStyle w:val="Heading2"/>
        <w:spacing w:after="120" w:before="280"/>
      </w:pPr>
      <w:r>
        <w:rPr>
          <w:b/>
          <w:bCs/>
          <w:color w:val="1F4E5F"/>
          <w:sz w:val="24"/>
          <w:szCs w:val="24"/>
        </w:rPr>
        <w:t xml:space="preserve">2.1 Background</w:t>
      </w:r>
    </w:p>
    <w:p>
      <w:pPr>
        <w:spacing w:after="160" w:line="276"/>
      </w:pPr>
      <w:r>
        <w:rPr>
          <w:i w:val="false"/>
          <w:iCs w:val="false"/>
          <w:sz w:val="21"/>
          <w:szCs w:val="21"/>
        </w:rPr>
        <w:t xml:space="preserve">This notebook is an exploratory data analysis (EDA) exercise on an employee-level HR dataset. The stated purpose of this class of dataset is to help an HR function understand which employee characteristics are associated with attrition, so that retention interventions can be targeted rather than generic.</w:t>
      </w:r>
    </w:p>
    <w:p>
      <w:pPr>
        <w:pStyle w:val="Heading2"/>
        <w:spacing w:after="120" w:before="280"/>
      </w:pPr>
      <w:r>
        <w:rPr>
          <w:b/>
          <w:bCs/>
          <w:color w:val="1F4E5F"/>
          <w:sz w:val="24"/>
          <w:szCs w:val="24"/>
        </w:rPr>
        <w:t xml:space="preserve">2.2 Business Task</w:t>
      </w:r>
    </w:p>
    <w:p>
      <w:pPr>
        <w:pStyle w:val="ListParagraph"/>
        <w:numPr>
          <w:ilvl w:val="0"/>
          <w:numId w:val="2"/>
        </w:numPr>
        <w:spacing w:after="80" w:line="270"/>
      </w:pPr>
      <w:r>
        <w:rPr>
          <w:sz w:val="21"/>
          <w:szCs w:val="21"/>
        </w:rPr>
        <w:t xml:space="preserve">Understand which employee attributes are most associated with attrition.</w:t>
      </w:r>
    </w:p>
    <w:p>
      <w:pPr>
        <w:pStyle w:val="ListParagraph"/>
        <w:numPr>
          <w:ilvl w:val="0"/>
          <w:numId w:val="2"/>
        </w:numPr>
        <w:spacing w:after="80" w:line="270"/>
      </w:pPr>
      <w:r>
        <w:rPr>
          <w:sz w:val="21"/>
          <w:szCs w:val="21"/>
        </w:rPr>
        <w:t xml:space="preserve">Surface patterns across demographic, role, compensation, and satisfaction variables.</w:t>
      </w:r>
    </w:p>
    <w:p>
      <w:pPr>
        <w:pStyle w:val="ListParagraph"/>
        <w:numPr>
          <w:ilvl w:val="0"/>
          <w:numId w:val="2"/>
        </w:numPr>
        <w:spacing w:after="80" w:line="270"/>
      </w:pPr>
      <w:r>
        <w:rPr>
          <w:sz w:val="21"/>
          <w:szCs w:val="21"/>
        </w:rPr>
        <w:t xml:space="preserve">Produce visual, non-technical summaries that an HR audience can act on.</w:t>
      </w:r>
    </w:p>
    <w:p>
      <w:pPr>
        <w:pStyle w:val="Heading2"/>
        <w:spacing w:after="120" w:before="280"/>
      </w:pPr>
      <w:r>
        <w:rPr>
          <w:b/>
          <w:bCs/>
          <w:color w:val="1F4E5F"/>
          <w:sz w:val="24"/>
          <w:szCs w:val="24"/>
        </w:rPr>
        <w:t xml:space="preserve">2.3 Data Structure</w:t>
      </w:r>
    </w:p>
    <w:p>
      <w:pPr>
        <w:spacing w:after="160" w:line="276"/>
      </w:pPr>
      <w:r>
        <w:rPr>
          <w:i w:val="false"/>
          <w:iCs w:val="false"/>
          <w:sz w:val="21"/>
          <w:szCs w:val="21"/>
        </w:rPr>
        <w:t xml:space="preserve">Datasets of this type typically consist of one row per employee, with fields spanning several categories:</w:t>
      </w:r>
    </w:p>
    <w:p>
      <w:pPr>
        <w:pStyle w:val="ListParagraph"/>
        <w:numPr>
          <w:ilvl w:val="0"/>
          <w:numId w:val="2"/>
        </w:numPr>
        <w:spacing w:after="80" w:line="270"/>
      </w:pPr>
      <w:r>
        <w:rPr>
          <w:sz w:val="21"/>
          <w:szCs w:val="21"/>
        </w:rPr>
        <w:t xml:space="preserve">Demographic — age, gender, marital status, distance from home</w:t>
      </w:r>
    </w:p>
    <w:p>
      <w:pPr>
        <w:pStyle w:val="ListParagraph"/>
        <w:numPr>
          <w:ilvl w:val="0"/>
          <w:numId w:val="2"/>
        </w:numPr>
        <w:spacing w:after="80" w:line="270"/>
      </w:pPr>
      <w:r>
        <w:rPr>
          <w:sz w:val="21"/>
          <w:szCs w:val="21"/>
        </w:rPr>
        <w:t xml:space="preserve">Employment — department, job role, job level, years at company, overtime status</w:t>
      </w:r>
    </w:p>
    <w:p>
      <w:pPr>
        <w:pStyle w:val="ListParagraph"/>
        <w:numPr>
          <w:ilvl w:val="0"/>
          <w:numId w:val="2"/>
        </w:numPr>
        <w:spacing w:after="80" w:line="270"/>
      </w:pPr>
      <w:r>
        <w:rPr>
          <w:sz w:val="21"/>
          <w:szCs w:val="21"/>
        </w:rPr>
        <w:t xml:space="preserve">Compensation — monthly income, salary hike percentage, stock option level</w:t>
      </w:r>
    </w:p>
    <w:p>
      <w:pPr>
        <w:pStyle w:val="ListParagraph"/>
        <w:numPr>
          <w:ilvl w:val="0"/>
          <w:numId w:val="2"/>
        </w:numPr>
        <w:spacing w:after="80" w:line="270"/>
      </w:pPr>
      <w:r>
        <w:rPr>
          <w:sz w:val="21"/>
          <w:szCs w:val="21"/>
        </w:rPr>
        <w:t xml:space="preserve">Satisfaction / engagement — job satisfaction, environment satisfaction, work-life balance</w:t>
      </w:r>
    </w:p>
    <w:p>
      <w:pPr>
        <w:pStyle w:val="ListParagraph"/>
        <w:numPr>
          <w:ilvl w:val="0"/>
          <w:numId w:val="2"/>
        </w:numPr>
        <w:spacing w:after="80" w:line="270"/>
      </w:pPr>
      <w:r>
        <w:rPr>
          <w:sz w:val="21"/>
          <w:szCs w:val="21"/>
        </w:rPr>
        <w:t xml:space="preserve">Outcome variable — attrition (yes/no)</w:t>
      </w:r>
    </w:p>
    <w:p>
      <w:pPr>
        <w:pStyle w:val="Heading2"/>
        <w:spacing w:after="120" w:before="280"/>
      </w:pPr>
      <w:r>
        <w:rPr>
          <w:b/>
          <w:bCs/>
          <w:color w:val="1F4E5F"/>
          <w:sz w:val="24"/>
          <w:szCs w:val="24"/>
        </w:rPr>
        <w:t xml:space="preserve">2.4 Analytical Approach</w:t>
      </w:r>
    </w:p>
    <w:p>
      <w:pPr>
        <w:spacing w:after="160" w:line="276"/>
      </w:pPr>
      <w:r>
        <w:rPr>
          <w:i w:val="false"/>
          <w:iCs w:val="false"/>
          <w:sz w:val="21"/>
          <w:szCs w:val="21"/>
        </w:rPr>
        <w:t xml:space="preserve">An EDA notebook of this kind generally proceeds through the following stages: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Mar>
              <w:top w:type="dxa" w:w="160"/>
              <w:left w:type="dxa" w:w="200"/>
              <w:bottom w:type="dxa" w:w="160"/>
              <w:right w:type="dxa" w:w="200"/>
            </w:tcMar>
          </w:tcPr>
          <w:p>
            <w:pPr>
              <w:spacing w:after="80"/>
            </w:pPr>
            <w:r>
              <w:rPr>
                <w:b/>
                <w:bCs/>
                <w:color w:val="1F4E5F"/>
                <w:sz w:val="21"/>
                <w:szCs w:val="21"/>
              </w:rPr>
              <w:t xml:space="preserve">Typical workflow</w:t>
            </w:r>
          </w:p>
          <w:p>
            <w:pPr>
              <w:spacing w:after="40" w:line="260"/>
            </w:pPr>
            <w:r>
              <w:rPr>
                <w:sz w:val="20"/>
                <w:szCs w:val="20"/>
              </w:rPr>
              <w:t xml:space="preserve">Data quality check — inspect shape, data types, missing values, and duplicates.</w:t>
            </w:r>
          </w:p>
          <w:p>
            <w:pPr>
              <w:spacing w:after="40" w:line="260"/>
            </w:pPr>
            <w:r>
              <w:rPr>
                <w:sz w:val="20"/>
                <w:szCs w:val="20"/>
              </w:rPr>
              <w:t xml:space="preserve">Univariate analysis — distribution of individual variables (e.g., age, income, tenure).</w:t>
            </w:r>
          </w:p>
          <w:p>
            <w:pPr>
              <w:spacing w:after="40" w:line="260"/>
            </w:pPr>
            <w:r>
              <w:rPr>
                <w:sz w:val="20"/>
                <w:szCs w:val="20"/>
              </w:rPr>
              <w:t xml:space="preserve">Bivariate analysis — relationship between each variable and the attrition outcome, usually via grouped bar charts, box plots, or crosstabs.</w:t>
            </w:r>
          </w:p>
          <w:p>
            <w:pPr>
              <w:spacing w:after="40" w:line="260"/>
            </w:pPr>
            <w:r>
              <w:rPr>
                <w:sz w:val="20"/>
                <w:szCs w:val="20"/>
              </w:rPr>
              <w:t xml:space="preserve">Correlation analysis — a correlation matrix or heatmap across numeric fields to flag multicollinearity or strong associations.</w:t>
            </w:r>
          </w:p>
          <w:p>
            <w:pPr>
              <w:spacing w:after="40" w:line="260"/>
            </w:pPr>
            <w:r>
              <w:rPr>
                <w:sz w:val="20"/>
                <w:szCs w:val="20"/>
              </w:rPr>
              <w:t xml:space="preserve">Segment framing — grouping employees by department, role, or tenure band to compare attrition rates across segments.</w:t>
            </w:r>
          </w:p>
        </w:tc>
      </w:tr>
    </w:tbl>
    <w:p>
      <w:pPr>
        <w:pStyle w:val="Heading2"/>
        <w:spacing w:after="120" w:before="280"/>
      </w:pPr>
      <w:r>
        <w:rPr>
          <w:b/>
          <w:bCs/>
          <w:color w:val="1F4E5F"/>
          <w:sz w:val="24"/>
          <w:szCs w:val="24"/>
        </w:rPr>
        <w:t xml:space="preserve">2.5 Notes for This Review</w:t>
      </w:r>
    </w:p>
    <w:p>
      <w:pPr>
        <w:spacing w:after="160" w:line="276"/>
      </w:pPr>
      <w:r>
        <w:rPr>
          <w:i/>
          <w:iCs/>
          <w:sz w:val="21"/>
          <w:szCs w:val="21"/>
        </w:rPr>
        <w:t xml:space="preserve">Kaggle notebook pages render via JavaScript and are not accessible through automated retrieval without direct file access, so this section deliberately does not restate specific attrition rates, correlation values, or chart outputs attributed to the notebook — doing so without verification would risk misrepresenting the author's actual results. If exact figures are needed for this case study, the most reliable path is exporting the notebook (or the underlying CSV) directly and running the analysis in-house.</w:t>
      </w:r>
    </w:p>
    <w:p>
      <w:pPr>
        <w:pBdr>
          <w:bottom w:val="single" w:color="BFBFBF" w:sz="6" w:space="1"/>
        </w:pBdr>
        <w:spacing w:after="200"/>
      </w:pPr>
    </w:p>
    <w:p>
      <w:pPr>
        <w:spacing w:after="160" w:line="276"/>
      </w:pPr>
      <w:r>
        <w:rPr>
          <w:i/>
          <w:iCs/>
          <w:sz w:val="21"/>
          <w:szCs w:val="21"/>
        </w:rPr>
        <w:t xml:space="preserve">Prepared as a structural review of two public Kaggle case studies. Section-specific figures should be verified against source data before external use.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2026-09-13T12:39:28.952Z</dcterms:created>
  <dcterms:modified xsi:type="dcterms:W3CDTF">2026-09-13T12:39:28.962Z</dcterms:modified>
</cp:coreProperties>
</file>

<file path=docProps/custom.xml><?xml version="1.0" encoding="utf-8"?>
<Properties xmlns="http://schemas.openxmlformats.org/officeDocument/2006/custom-properties" xmlns:vt="http://schemas.openxmlformats.org/officeDocument/2006/docPropsVTypes"/>
</file>