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start"/>
        <w:rPr/>
      </w:pPr>
      <w:r>
        <w:rPr/>
        <w:t>Calculation Breakdown for BIPV Facade Area Results</w:t>
      </w:r>
    </w:p>
    <w:p>
      <w:pPr>
        <w:pStyle w:val="Heading2"/>
        <w:numPr>
          <w:ilvl w:val="1"/>
          <w:numId w:val="1"/>
        </w:numPr>
        <w:bidi w:val="0"/>
        <w:ind w:hanging="0" w:start="0"/>
        <w:jc w:val="start"/>
        <w:rPr/>
      </w:pPr>
      <w:r>
        <w:rPr/>
      </w:r>
    </w:p>
    <w:p>
      <w:pPr>
        <w:pStyle w:val="Heading2"/>
        <w:numPr>
          <w:ilvl w:val="1"/>
          <w:numId w:val="1"/>
        </w:numPr>
        <w:bidi w:val="0"/>
        <w:ind w:hanging="0" w:start="0"/>
        <w:jc w:val="start"/>
        <w:rPr/>
      </w:pPr>
      <w:r>
        <w:rPr/>
        <w:t>1. What the Pipeline Calculates</w:t>
      </w:r>
    </w:p>
    <w:p>
      <w:pPr>
        <w:pStyle w:val="BodyText"/>
        <w:bidi w:val="0"/>
        <w:jc w:val="start"/>
        <w:rPr/>
      </w:pPr>
      <w:r>
        <w:rPr/>
        <w:t>For each street-level building image, the pipeline estimates:</w:t>
      </w:r>
    </w:p>
    <w:p>
      <w:pPr>
        <w:pStyle w:val="BodyText"/>
        <w:numPr>
          <w:ilvl w:val="0"/>
          <w:numId w:val="2"/>
        </w:numPr>
        <w:tabs>
          <w:tab w:val="left" w:pos="709" w:leader="none"/>
        </w:tabs>
        <w:bidi w:val="0"/>
        <w:ind w:hanging="283" w:start="709"/>
        <w:jc w:val="start"/>
        <w:rPr/>
      </w:pPr>
      <w:r>
        <w:rPr/>
        <w:t>Number of floors</w:t>
      </w:r>
    </w:p>
    <w:p>
      <w:pPr>
        <w:pStyle w:val="BodyText"/>
        <w:numPr>
          <w:ilvl w:val="0"/>
          <w:numId w:val="2"/>
        </w:numPr>
        <w:tabs>
          <w:tab w:val="left" w:pos="709" w:leader="none"/>
        </w:tabs>
        <w:bidi w:val="0"/>
        <w:ind w:hanging="283" w:start="709"/>
        <w:jc w:val="start"/>
        <w:rPr/>
      </w:pPr>
      <w:r>
        <w:rPr/>
        <w:t>Real-world facade height in metres</w:t>
      </w:r>
    </w:p>
    <w:p>
      <w:pPr>
        <w:pStyle w:val="BodyText"/>
        <w:numPr>
          <w:ilvl w:val="0"/>
          <w:numId w:val="2"/>
        </w:numPr>
        <w:tabs>
          <w:tab w:val="left" w:pos="709" w:leader="none"/>
        </w:tabs>
        <w:bidi w:val="0"/>
        <w:ind w:hanging="283" w:start="709"/>
        <w:jc w:val="start"/>
        <w:rPr/>
      </w:pPr>
      <w:r>
        <w:rPr/>
        <w:t>Real-world facade width in metres</w:t>
      </w:r>
    </w:p>
    <w:p>
      <w:pPr>
        <w:pStyle w:val="BodyText"/>
        <w:numPr>
          <w:ilvl w:val="0"/>
          <w:numId w:val="2"/>
        </w:numPr>
        <w:tabs>
          <w:tab w:val="left" w:pos="709" w:leader="none"/>
        </w:tabs>
        <w:bidi w:val="0"/>
        <w:ind w:hanging="283" w:start="709"/>
        <w:jc w:val="start"/>
        <w:rPr/>
      </w:pPr>
      <w:r>
        <w:rPr/>
        <w:t>Total facade area in square metres</w:t>
      </w:r>
    </w:p>
    <w:p>
      <w:pPr>
        <w:pStyle w:val="BodyText"/>
        <w:numPr>
          <w:ilvl w:val="0"/>
          <w:numId w:val="2"/>
        </w:numPr>
        <w:tabs>
          <w:tab w:val="left" w:pos="709" w:leader="none"/>
        </w:tabs>
        <w:bidi w:val="0"/>
        <w:ind w:hanging="283" w:start="709"/>
        <w:jc w:val="start"/>
        <w:rPr/>
      </w:pPr>
      <w:r>
        <w:rPr/>
        <w:t>Usable BIPV facade area in square metres</w:t>
      </w:r>
    </w:p>
    <w:p>
      <w:pPr>
        <w:pStyle w:val="BodyText"/>
        <w:numPr>
          <w:ilvl w:val="0"/>
          <w:numId w:val="2"/>
        </w:numPr>
        <w:tabs>
          <w:tab w:val="left" w:pos="709" w:leader="none"/>
        </w:tabs>
        <w:bidi w:val="0"/>
        <w:ind w:hanging="283" w:start="709"/>
        <w:jc w:val="start"/>
        <w:rPr/>
      </w:pPr>
      <w:r>
        <w:rPr/>
        <w:t>Percentage of facade usable for BIPV</w:t>
      </w:r>
    </w:p>
    <w:p>
      <w:pPr>
        <w:pStyle w:val="BodyText"/>
        <w:numPr>
          <w:ilvl w:val="0"/>
          <w:numId w:val="2"/>
        </w:numPr>
        <w:tabs>
          <w:tab w:val="left" w:pos="709" w:leader="none"/>
        </w:tabs>
        <w:bidi w:val="0"/>
        <w:ind w:hanging="283" w:start="709"/>
        <w:jc w:val="start"/>
        <w:rPr/>
      </w:pPr>
      <w:r>
        <w:rPr/>
        <w:t>Percentage of facade excluded from BIPV</w:t>
      </w:r>
    </w:p>
    <w:p>
      <w:pPr>
        <w:pStyle w:val="BodyText"/>
        <w:numPr>
          <w:ilvl w:val="0"/>
          <w:numId w:val="2"/>
        </w:numPr>
        <w:tabs>
          <w:tab w:val="left" w:pos="709" w:leader="none"/>
        </w:tabs>
        <w:bidi w:val="0"/>
        <w:ind w:hanging="283" w:start="709"/>
        <w:jc w:val="start"/>
        <w:rPr/>
      </w:pPr>
      <w:r>
        <w:rPr/>
        <w:t>Number of PV panels that can fit</w:t>
      </w:r>
    </w:p>
    <w:p>
      <w:pPr>
        <w:pStyle w:val="BodyText"/>
        <w:numPr>
          <w:ilvl w:val="0"/>
          <w:numId w:val="2"/>
        </w:numPr>
        <w:tabs>
          <w:tab w:val="left" w:pos="709" w:leader="none"/>
        </w:tabs>
        <w:bidi w:val="0"/>
        <w:ind w:hanging="283" w:start="709"/>
        <w:jc w:val="start"/>
        <w:rPr/>
      </w:pPr>
      <w:r>
        <w:rPr/>
        <w:t>Installed PV capacity in kWp</w:t>
      </w:r>
    </w:p>
    <w:p>
      <w:pPr>
        <w:pStyle w:val="BodyText"/>
        <w:numPr>
          <w:ilvl w:val="0"/>
          <w:numId w:val="2"/>
        </w:numPr>
        <w:tabs>
          <w:tab w:val="left" w:pos="709" w:leader="none"/>
        </w:tabs>
        <w:bidi w:val="0"/>
        <w:ind w:hanging="283" w:start="709"/>
        <w:jc w:val="start"/>
        <w:rPr/>
      </w:pPr>
      <w:r>
        <w:rPr/>
        <w:t>Estimated annual energy output in kWh</w:t>
      </w:r>
    </w:p>
    <w:p>
      <w:pPr>
        <w:pStyle w:val="BodyText"/>
        <w:numPr>
          <w:ilvl w:val="0"/>
          <w:numId w:val="2"/>
        </w:numPr>
        <w:tabs>
          <w:tab w:val="left" w:pos="709" w:leader="none"/>
        </w:tabs>
        <w:bidi w:val="0"/>
        <w:ind w:hanging="283" w:start="709"/>
        <w:jc w:val="start"/>
        <w:rPr/>
      </w:pPr>
      <w:r>
        <w:rPr/>
        <w:t>JSON and Excel outputs for PVsyst-ready downstream use</w:t>
      </w:r>
    </w:p>
    <w:p>
      <w:pPr>
        <w:pStyle w:val="BodyText"/>
        <w:bidi w:val="0"/>
        <w:jc w:val="start"/>
        <w:rPr/>
      </w:pPr>
      <w:r>
        <w:rPr/>
        <w:t>The image-processing stages are:</w:t>
      </w:r>
    </w:p>
    <w:p>
      <w:pPr>
        <w:pStyle w:val="BodyText"/>
        <w:numPr>
          <w:ilvl w:val="0"/>
          <w:numId w:val="3"/>
        </w:numPr>
        <w:tabs>
          <w:tab w:val="left" w:pos="709" w:leader="none"/>
        </w:tabs>
        <w:bidi w:val="0"/>
        <w:ind w:hanging="283" w:start="709"/>
        <w:jc w:val="start"/>
        <w:rPr/>
      </w:pPr>
      <w:r>
        <w:rPr/>
        <w:t>Facade image input</w:t>
      </w:r>
    </w:p>
    <w:p>
      <w:pPr>
        <w:pStyle w:val="BodyText"/>
        <w:numPr>
          <w:ilvl w:val="0"/>
          <w:numId w:val="3"/>
        </w:numPr>
        <w:tabs>
          <w:tab w:val="left" w:pos="709" w:leader="none"/>
        </w:tabs>
        <w:bidi w:val="0"/>
        <w:ind w:hanging="283" w:start="709"/>
        <w:jc w:val="start"/>
        <w:rPr/>
      </w:pPr>
      <w:r>
        <w:rPr/>
        <w:t>Obstacle detection</w:t>
      </w:r>
    </w:p>
    <w:p>
      <w:pPr>
        <w:pStyle w:val="BodyText"/>
        <w:numPr>
          <w:ilvl w:val="0"/>
          <w:numId w:val="3"/>
        </w:numPr>
        <w:tabs>
          <w:tab w:val="left" w:pos="709" w:leader="none"/>
        </w:tabs>
        <w:bidi w:val="0"/>
        <w:ind w:hanging="283" w:start="709"/>
        <w:jc w:val="start"/>
        <w:rPr/>
      </w:pPr>
      <w:r>
        <w:rPr/>
        <w:t>Obstacle removal / inpainting</w:t>
      </w:r>
    </w:p>
    <w:p>
      <w:pPr>
        <w:pStyle w:val="BodyText"/>
        <w:numPr>
          <w:ilvl w:val="0"/>
          <w:numId w:val="3"/>
        </w:numPr>
        <w:tabs>
          <w:tab w:val="left" w:pos="709" w:leader="none"/>
        </w:tabs>
        <w:bidi w:val="0"/>
        <w:ind w:hanging="283" w:start="709"/>
        <w:jc w:val="start"/>
        <w:rPr/>
      </w:pPr>
      <w:r>
        <w:rPr/>
        <w:t>Facade alignment / rectification</w:t>
      </w:r>
    </w:p>
    <w:p>
      <w:pPr>
        <w:pStyle w:val="BodyText"/>
        <w:numPr>
          <w:ilvl w:val="0"/>
          <w:numId w:val="3"/>
        </w:numPr>
        <w:tabs>
          <w:tab w:val="left" w:pos="709" w:leader="none"/>
        </w:tabs>
        <w:bidi w:val="0"/>
        <w:ind w:hanging="283" w:start="709"/>
        <w:jc w:val="start"/>
        <w:rPr/>
      </w:pPr>
      <w:r>
        <w:rPr/>
        <w:t>Facade segmentation result</w:t>
      </w:r>
    </w:p>
    <w:p>
      <w:pPr>
        <w:pStyle w:val="BodyText"/>
        <w:numPr>
          <w:ilvl w:val="0"/>
          <w:numId w:val="3"/>
        </w:numPr>
        <w:tabs>
          <w:tab w:val="left" w:pos="709" w:leader="none"/>
        </w:tabs>
        <w:bidi w:val="0"/>
        <w:ind w:hanging="283" w:start="709"/>
        <w:jc w:val="start"/>
        <w:rPr/>
      </w:pPr>
      <w:r>
        <w:rPr/>
        <w:t>Area and PV capacity estimation</w:t>
      </w:r>
    </w:p>
    <w:p>
      <w:pPr>
        <w:pStyle w:val="Heading2"/>
        <w:numPr>
          <w:ilvl w:val="0"/>
          <w:numId w:val="0"/>
        </w:numPr>
        <w:bidi w:val="0"/>
        <w:ind w:hanging="0" w:start="0"/>
        <w:jc w:val="start"/>
        <w:rPr/>
      </w:pPr>
      <w:r>
        <w:rPr/>
        <w:t>2. How the Number of Floors Is Obtained</w:t>
      </w:r>
    </w:p>
    <w:p>
      <w:pPr>
        <w:pStyle w:val="BodyText"/>
        <w:bidi w:val="0"/>
        <w:jc w:val="start"/>
        <w:rPr/>
      </w:pPr>
      <w:r>
        <w:rPr/>
        <w:t>The model detects windows and opening rows on the facade. These detected openings are grouped vertically into floor bands.</w:t>
      </w:r>
    </w:p>
    <w:p>
      <w:pPr>
        <w:pStyle w:val="BodyText"/>
        <w:bidi w:val="0"/>
        <w:jc w:val="start"/>
        <w:rPr/>
      </w:pPr>
      <w:r>
        <w:rPr/>
        <w:t>For example, if the detected window rows form four clear horizontal bands, the model estimates:</w:t>
      </w:r>
    </w:p>
    <w:p>
      <w:pPr>
        <w:pStyle w:val="PreformattedText"/>
        <w:shd w:val="clear" w:fill="E1E1E1"/>
        <w:bidi w:val="0"/>
        <w:spacing w:before="0" w:after="283"/>
        <w:jc w:val="start"/>
        <w:rPr/>
      </w:pPr>
      <w:r>
        <w:rPr/>
        <w:t>num_floors = 4</w:t>
      </w:r>
    </w:p>
    <w:p>
      <w:pPr>
        <w:pStyle w:val="BodyText"/>
        <w:bidi w:val="0"/>
        <w:jc w:val="start"/>
        <w:rPr/>
      </w:pPr>
      <w:r>
        <w:rPr/>
        <w:t>The result also records where the floor count came from:</w:t>
      </w:r>
    </w:p>
    <w:p>
      <w:pPr>
        <w:pStyle w:val="PreformattedText"/>
        <w:shd w:val="clear" w:fill="E1E1E1"/>
        <w:bidi w:val="0"/>
        <w:spacing w:before="0" w:after="283"/>
        <w:jc w:val="start"/>
        <w:rPr/>
      </w:pPr>
      <w:r>
        <w:rPr/>
        <w:t>floor_count_source</w:t>
      </w:r>
    </w:p>
    <w:p>
      <w:pPr>
        <w:pStyle w:val="BodyText"/>
        <w:bidi w:val="0"/>
        <w:jc w:val="start"/>
        <w:rPr/>
      </w:pPr>
      <w:r>
        <w:rPr/>
        <w:t>Typical values include:</w:t>
      </w:r>
    </w:p>
    <w:p>
      <w:pPr>
        <w:pStyle w:val="PreformattedText"/>
        <w:shd w:val="clear" w:fill="E1E1E1"/>
        <w:bidi w:val="0"/>
        <w:spacing w:before="0" w:after="283"/>
        <w:jc w:val="start"/>
        <w:rPr/>
      </w:pPr>
      <w:r>
        <w:rPr/>
        <w:t>dino_window_boxes</w:t>
        <w:br/>
        <w:t>segmented_window_mask</w:t>
        <w:br/>
        <w:t>segmented_window_mask_with_facade_extent</w:t>
      </w:r>
    </w:p>
    <w:p>
      <w:pPr>
        <w:pStyle w:val="BodyText"/>
        <w:bidi w:val="0"/>
        <w:jc w:val="start"/>
        <w:rPr/>
      </w:pPr>
      <w:r>
        <w:rPr/>
        <w:t>This means the model can count floors either from direct Grounding DINO window detections or from the final segmented window/opening mask.</w:t>
      </w:r>
    </w:p>
    <w:p>
      <w:pPr>
        <w:pStyle w:val="Heading2"/>
        <w:numPr>
          <w:ilvl w:val="1"/>
          <w:numId w:val="1"/>
        </w:numPr>
        <w:bidi w:val="0"/>
        <w:ind w:hanging="0" w:start="0"/>
        <w:jc w:val="start"/>
        <w:rPr/>
      </w:pPr>
      <w:r>
        <w:rPr/>
        <w:t>3. How Facade Height Is Calculated</w:t>
      </w:r>
    </w:p>
    <w:p>
      <w:pPr>
        <w:pStyle w:val="BodyText"/>
        <w:bidi w:val="0"/>
        <w:jc w:val="start"/>
        <w:rPr/>
      </w:pPr>
      <w:r>
        <w:rPr/>
        <w:t>The real-world facade height is estimated using:</w:t>
      </w:r>
    </w:p>
    <w:p>
      <w:pPr>
        <w:pStyle w:val="PreformattedText"/>
        <w:shd w:val="clear" w:fill="E1E1E1"/>
        <w:bidi w:val="0"/>
        <w:spacing w:before="0" w:after="283"/>
        <w:jc w:val="start"/>
        <w:rPr/>
      </w:pPr>
      <w:r>
        <w:rPr/>
        <w:t>Facade height (m) = Number of floors × Estimated floor height (m)</w:t>
      </w:r>
    </w:p>
    <w:p>
      <w:pPr>
        <w:pStyle w:val="BodyText"/>
        <w:bidi w:val="0"/>
        <w:jc w:val="start"/>
        <w:rPr/>
      </w:pPr>
      <w:r>
        <w:rPr/>
        <w:t>The floor height is an architectural prior. In this project, the default urban value is usually:</w:t>
      </w:r>
    </w:p>
    <w:p>
      <w:pPr>
        <w:pStyle w:val="PreformattedText"/>
        <w:shd w:val="clear" w:fill="E1E1E1"/>
        <w:bidi w:val="0"/>
        <w:spacing w:before="0" w:after="283"/>
        <w:jc w:val="start"/>
        <w:rPr/>
      </w:pPr>
      <w:r>
        <w:rPr/>
        <w:t>3.3 m per floor</w:t>
      </w:r>
    </w:p>
    <w:p>
      <w:pPr>
        <w:pStyle w:val="BodyText"/>
        <w:bidi w:val="0"/>
        <w:jc w:val="start"/>
        <w:rPr/>
      </w:pPr>
      <w:r>
        <w:rPr/>
        <w:t>For buildings with smaller windows or high-rise characteristics, the model may use:</w:t>
      </w:r>
    </w:p>
    <w:p>
      <w:pPr>
        <w:pStyle w:val="PreformattedText"/>
        <w:shd w:val="clear" w:fill="E1E1E1"/>
        <w:bidi w:val="0"/>
        <w:spacing w:before="0" w:after="283"/>
        <w:jc w:val="start"/>
        <w:rPr/>
      </w:pPr>
      <w:r>
        <w:rPr/>
        <w:t>3.4 m per floor</w:t>
      </w:r>
    </w:p>
    <w:p>
      <w:pPr>
        <w:pStyle w:val="BodyText"/>
        <w:bidi w:val="0"/>
        <w:jc w:val="start"/>
        <w:rPr/>
      </w:pPr>
      <w:r>
        <w:rPr/>
        <w:t>For low-rise buildings with larger window proportions, it may use:</w:t>
      </w:r>
    </w:p>
    <w:p>
      <w:pPr>
        <w:pStyle w:val="PreformattedText"/>
        <w:shd w:val="clear" w:fill="E1E1E1"/>
        <w:bidi w:val="0"/>
        <w:spacing w:before="0" w:after="283"/>
        <w:jc w:val="start"/>
        <w:rPr/>
      </w:pPr>
      <w:r>
        <w:rPr/>
        <w:t>3.1 m per floor</w:t>
      </w:r>
    </w:p>
    <w:p>
      <w:pPr>
        <w:pStyle w:val="BodyText"/>
        <w:bidi w:val="0"/>
        <w:jc w:val="start"/>
        <w:rPr/>
      </w:pPr>
      <w:r>
        <w:rPr/>
        <w:t xml:space="preserve">Example for </w:t>
      </w:r>
      <w:r>
        <w:rPr>
          <w:rFonts w:ascii="Liberation Mono" w:hAnsi="Liberation Mono"/>
        </w:rPr>
        <w:t>IMG_2000</w:t>
      </w:r>
      <w:r>
        <w:rPr/>
        <w:t>:</w:t>
      </w:r>
    </w:p>
    <w:p>
      <w:pPr>
        <w:pStyle w:val="PreformattedText"/>
        <w:shd w:val="clear" w:fill="E1E1E1"/>
        <w:bidi w:val="0"/>
        <w:spacing w:before="0" w:after="283"/>
        <w:jc w:val="start"/>
        <w:rPr/>
      </w:pPr>
      <w:r>
        <w:rPr/>
        <w:t>Number of floors = 4</w:t>
        <w:br/>
        <w:t>Estimated floor height = 3.3 m</w:t>
        <w:br/>
        <w:br/>
        <w:t>Facade height = 4 × 3.3</w:t>
        <w:br/>
        <w:t xml:space="preserve">              = 13.2 m</w:t>
      </w:r>
    </w:p>
    <w:p>
      <w:pPr>
        <w:pStyle w:val="BodyText"/>
        <w:bidi w:val="0"/>
        <w:jc w:val="start"/>
        <w:rPr/>
      </w:pPr>
      <w:r>
        <w:rPr/>
        <w:t xml:space="preserve">Example for </w:t>
      </w:r>
      <w:r>
        <w:rPr>
          <w:rFonts w:ascii="Liberation Mono" w:hAnsi="Liberation Mono"/>
        </w:rPr>
        <w:t>IMG_0000</w:t>
      </w:r>
      <w:r>
        <w:rPr/>
        <w:t>:</w:t>
      </w:r>
    </w:p>
    <w:p>
      <w:pPr>
        <w:pStyle w:val="PreformattedText"/>
        <w:shd w:val="clear" w:fill="E1E1E1"/>
        <w:bidi w:val="0"/>
        <w:spacing w:before="0" w:after="283"/>
        <w:jc w:val="start"/>
        <w:rPr/>
      </w:pPr>
      <w:r>
        <w:rPr/>
        <w:t>Number of floors = 15</w:t>
        <w:br/>
        <w:t>Estimated floor height = 3.4 m</w:t>
        <w:br/>
        <w:br/>
        <w:t>Facade height = 15 × 3.4</w:t>
        <w:br/>
        <w:t xml:space="preserve">              = 51.0 m</w:t>
      </w:r>
    </w:p>
    <w:p>
      <w:pPr>
        <w:pStyle w:val="Heading2"/>
        <w:numPr>
          <w:ilvl w:val="1"/>
          <w:numId w:val="1"/>
        </w:numPr>
        <w:bidi w:val="0"/>
        <w:ind w:hanging="0" w:start="0"/>
        <w:jc w:val="start"/>
        <w:rPr/>
      </w:pPr>
      <w:r>
        <w:rPr/>
        <w:t>4. How Pixel-to-Metre Scaling Is Obtained</w:t>
      </w:r>
    </w:p>
    <w:p>
      <w:pPr>
        <w:pStyle w:val="BodyText"/>
        <w:bidi w:val="0"/>
        <w:jc w:val="start"/>
        <w:rPr/>
      </w:pPr>
      <w:r>
        <w:rPr/>
        <w:t>After facade segmentation, the model knows the facade height in pixels:</w:t>
      </w:r>
    </w:p>
    <w:p>
      <w:pPr>
        <w:pStyle w:val="PreformattedText"/>
        <w:shd w:val="clear" w:fill="E1E1E1"/>
        <w:bidi w:val="0"/>
        <w:spacing w:before="0" w:after="283"/>
        <w:jc w:val="start"/>
        <w:rPr/>
      </w:pPr>
      <w:r>
        <w:rPr/>
        <w:t>facade_height_px</w:t>
      </w:r>
    </w:p>
    <w:p>
      <w:pPr>
        <w:pStyle w:val="BodyText"/>
        <w:bidi w:val="0"/>
        <w:jc w:val="start"/>
        <w:rPr/>
      </w:pPr>
      <w:r>
        <w:rPr/>
        <w:t>It also estimates the real-world height in metres:</w:t>
      </w:r>
    </w:p>
    <w:p>
      <w:pPr>
        <w:pStyle w:val="PreformattedText"/>
        <w:shd w:val="clear" w:fill="E1E1E1"/>
        <w:bidi w:val="0"/>
        <w:spacing w:before="0" w:after="283"/>
        <w:jc w:val="start"/>
        <w:rPr/>
      </w:pPr>
      <w:r>
        <w:rPr/>
        <w:t>height_m</w:t>
      </w:r>
    </w:p>
    <w:p>
      <w:pPr>
        <w:pStyle w:val="BodyText"/>
        <w:bidi w:val="0"/>
        <w:jc w:val="start"/>
        <w:rPr/>
      </w:pPr>
      <w:r>
        <w:rPr/>
        <w:t>The pixel-to-metre scale is:</w:t>
      </w:r>
    </w:p>
    <w:p>
      <w:pPr>
        <w:pStyle w:val="PreformattedText"/>
        <w:shd w:val="clear" w:fill="E1E1E1"/>
        <w:bidi w:val="0"/>
        <w:spacing w:before="0" w:after="283"/>
        <w:jc w:val="start"/>
        <w:rPr/>
      </w:pPr>
      <w:r>
        <w:rPr/>
        <w:t>pixels_per_meter = facade_height_px / height_m</w:t>
      </w:r>
    </w:p>
    <w:p>
      <w:pPr>
        <w:pStyle w:val="BodyText"/>
        <w:bidi w:val="0"/>
        <w:jc w:val="start"/>
        <w:rPr/>
      </w:pPr>
      <w:r>
        <w:rPr/>
        <w:t>This tells the model how many image pixels represent one metre in real-world facade height.</w:t>
      </w:r>
    </w:p>
    <w:p>
      <w:pPr>
        <w:pStyle w:val="BodyText"/>
        <w:bidi w:val="0"/>
        <w:jc w:val="start"/>
        <w:rPr/>
      </w:pPr>
      <w:r>
        <w:rPr/>
        <w:t xml:space="preserve">Example for </w:t>
      </w:r>
      <w:r>
        <w:rPr>
          <w:rFonts w:ascii="Liberation Mono" w:hAnsi="Liberation Mono"/>
        </w:rPr>
        <w:t>IMG_2000</w:t>
      </w:r>
      <w:r>
        <w:rPr/>
        <w:t>:</w:t>
      </w:r>
    </w:p>
    <w:p>
      <w:pPr>
        <w:pStyle w:val="PreformattedText"/>
        <w:shd w:val="clear" w:fill="E1E1E1"/>
        <w:bidi w:val="0"/>
        <w:spacing w:before="0" w:after="283"/>
        <w:jc w:val="start"/>
        <w:rPr/>
      </w:pPr>
      <w:r>
        <w:rPr/>
        <w:t>pixels_per_meter = 35.1515 px/m</w:t>
      </w:r>
    </w:p>
    <w:p>
      <w:pPr>
        <w:pStyle w:val="BodyText"/>
        <w:bidi w:val="0"/>
        <w:jc w:val="start"/>
        <w:rPr/>
      </w:pPr>
      <w:r>
        <w:rPr/>
        <w:t>This means approximately 35.15 pixels in the rectified facade image represent 1 metre in real life.</w:t>
      </w:r>
    </w:p>
    <w:p>
      <w:pPr>
        <w:pStyle w:val="Heading2"/>
        <w:numPr>
          <w:ilvl w:val="1"/>
          <w:numId w:val="1"/>
        </w:numPr>
        <w:bidi w:val="0"/>
        <w:ind w:hanging="0" w:start="0"/>
        <w:jc w:val="start"/>
        <w:rPr/>
      </w:pPr>
      <w:r>
        <w:rPr/>
        <w:t>5. How Facade Width Is Calculated</w:t>
      </w:r>
    </w:p>
    <w:p>
      <w:pPr>
        <w:pStyle w:val="BodyText"/>
        <w:bidi w:val="0"/>
        <w:jc w:val="start"/>
        <w:rPr/>
      </w:pPr>
      <w:r>
        <w:rPr/>
        <w:t>Once the model knows the pixel-to-metre scale, it converts facade width from pixels into metres:</w:t>
      </w:r>
    </w:p>
    <w:p>
      <w:pPr>
        <w:pStyle w:val="PreformattedText"/>
        <w:shd w:val="clear" w:fill="E1E1E1"/>
        <w:bidi w:val="0"/>
        <w:spacing w:before="0" w:after="283"/>
        <w:jc w:val="start"/>
        <w:rPr/>
      </w:pPr>
      <w:r>
        <w:rPr/>
        <w:t>Facade width (m) = facade_width_px / pixels_per_meter</w:t>
      </w:r>
    </w:p>
    <w:p>
      <w:pPr>
        <w:pStyle w:val="BodyText"/>
        <w:bidi w:val="0"/>
        <w:jc w:val="start"/>
        <w:rPr/>
      </w:pPr>
      <w:r>
        <w:rPr/>
        <w:t xml:space="preserve">The </w:t>
      </w:r>
      <w:r>
        <w:rPr>
          <w:rFonts w:ascii="Liberation Mono" w:hAnsi="Liberation Mono"/>
        </w:rPr>
        <w:t>facade_width_px</w:t>
      </w:r>
      <w:r>
        <w:rPr/>
        <w:t xml:space="preserve"> is obtained from the width of the segmented facade mask after rectification.</w:t>
      </w:r>
    </w:p>
    <w:p>
      <w:pPr>
        <w:pStyle w:val="BodyText"/>
        <w:bidi w:val="0"/>
        <w:jc w:val="start"/>
        <w:rPr/>
      </w:pPr>
      <w:r>
        <w:rPr/>
        <w:t xml:space="preserve">For example, </w:t>
      </w:r>
      <w:r>
        <w:rPr>
          <w:rFonts w:ascii="Liberation Mono" w:hAnsi="Liberation Mono"/>
        </w:rPr>
        <w:t>IMG_2000</w:t>
      </w:r>
      <w:r>
        <w:rPr/>
        <w:t xml:space="preserve"> produced:</w:t>
      </w:r>
    </w:p>
    <w:p>
      <w:pPr>
        <w:pStyle w:val="PreformattedText"/>
        <w:shd w:val="clear" w:fill="E1E1E1"/>
        <w:bidi w:val="0"/>
        <w:spacing w:before="0" w:after="283"/>
        <w:jc w:val="start"/>
        <w:rPr/>
      </w:pPr>
      <w:r>
        <w:rPr/>
        <w:t>Facade width = 28.16 m</w:t>
      </w:r>
    </w:p>
    <w:p>
      <w:pPr>
        <w:pStyle w:val="BodyText"/>
        <w:bidi w:val="0"/>
        <w:jc w:val="start"/>
        <w:rPr/>
      </w:pPr>
      <w:r>
        <w:rPr/>
        <w:t>This means the segmented, rectified facade was estimated to represent a real-world width of approximately 28.16 metres.</w:t>
      </w:r>
    </w:p>
    <w:p>
      <w:pPr>
        <w:pStyle w:val="Heading2"/>
        <w:numPr>
          <w:ilvl w:val="1"/>
          <w:numId w:val="1"/>
        </w:numPr>
        <w:bidi w:val="0"/>
        <w:ind w:hanging="0" w:start="0"/>
        <w:jc w:val="start"/>
        <w:rPr/>
      </w:pPr>
      <w:r>
        <w:rPr/>
        <w:t>6. How Total Facade Area Is Calculated</w:t>
      </w:r>
    </w:p>
    <w:p>
      <w:pPr>
        <w:pStyle w:val="BodyText"/>
        <w:bidi w:val="0"/>
        <w:jc w:val="start"/>
        <w:rPr/>
      </w:pPr>
      <w:r>
        <w:rPr/>
        <w:t>The total facade area is calculated using the standard rectangle area equation:</w:t>
      </w:r>
    </w:p>
    <w:p>
      <w:pPr>
        <w:pStyle w:val="PreformattedText"/>
        <w:shd w:val="clear" w:fill="E1E1E1"/>
        <w:bidi w:val="0"/>
        <w:spacing w:before="0" w:after="283"/>
        <w:jc w:val="start"/>
        <w:rPr/>
      </w:pPr>
      <w:r>
        <w:rPr/>
        <w:t>Total facade area (m²) = Facade height (m) × Facade width (m)</w:t>
      </w:r>
    </w:p>
    <w:p>
      <w:pPr>
        <w:pStyle w:val="BodyText"/>
        <w:bidi w:val="0"/>
        <w:jc w:val="start"/>
        <w:rPr/>
      </w:pPr>
      <w:r>
        <w:rPr/>
        <w:t xml:space="preserve">Example for </w:t>
      </w:r>
      <w:r>
        <w:rPr>
          <w:rFonts w:ascii="Liberation Mono" w:hAnsi="Liberation Mono"/>
        </w:rPr>
        <w:t>IMG_2000</w:t>
      </w:r>
      <w:r>
        <w:rPr/>
        <w:t>:</w:t>
      </w:r>
    </w:p>
    <w:p>
      <w:pPr>
        <w:pStyle w:val="PreformattedText"/>
        <w:shd w:val="clear" w:fill="E1E1E1"/>
        <w:bidi w:val="0"/>
        <w:spacing w:before="0" w:after="283"/>
        <w:jc w:val="start"/>
        <w:rPr/>
      </w:pPr>
      <w:r>
        <w:rPr/>
        <w:t>Height = 13.20 m</w:t>
        <w:br/>
        <w:t>Width  = 28.16 m</w:t>
        <w:br/>
        <w:br/>
        <w:t>Total facade area = 13.20 × 28.16</w:t>
        <w:br/>
        <w:t xml:space="preserve">                  = 371.76 m²</w:t>
      </w:r>
    </w:p>
    <w:p>
      <w:pPr>
        <w:pStyle w:val="BodyText"/>
        <w:bidi w:val="0"/>
        <w:jc w:val="start"/>
        <w:rPr/>
      </w:pPr>
      <w:r>
        <w:rPr/>
        <w:t xml:space="preserve">Example for </w:t>
      </w:r>
      <w:r>
        <w:rPr>
          <w:rFonts w:ascii="Liberation Mono" w:hAnsi="Liberation Mono"/>
        </w:rPr>
        <w:t>IMG_2001</w:t>
      </w:r>
      <w:r>
        <w:rPr/>
        <w:t>:</w:t>
      </w:r>
    </w:p>
    <w:p>
      <w:pPr>
        <w:pStyle w:val="PreformattedText"/>
        <w:shd w:val="clear" w:fill="E1E1E1"/>
        <w:bidi w:val="0"/>
        <w:spacing w:before="0" w:after="283"/>
        <w:jc w:val="start"/>
        <w:rPr/>
      </w:pPr>
      <w:r>
        <w:rPr/>
        <w:t>Height = 19.80 m</w:t>
        <w:br/>
        <w:t>Width  = 34.34 m</w:t>
        <w:br/>
        <w:br/>
        <w:t>Total facade area = 19.80 × 34.34</w:t>
        <w:br/>
        <w:t xml:space="preserve">                  = 679.84 m²</w:t>
      </w:r>
    </w:p>
    <w:p>
      <w:pPr>
        <w:pStyle w:val="Heading2"/>
        <w:numPr>
          <w:ilvl w:val="1"/>
          <w:numId w:val="1"/>
        </w:numPr>
        <w:bidi w:val="0"/>
        <w:ind w:hanging="0" w:start="0"/>
        <w:jc w:val="start"/>
        <w:rPr/>
      </w:pPr>
      <w:r>
        <w:rPr/>
        <w:t>7. How the Mask Pixel Count Is Used</w:t>
      </w:r>
    </w:p>
    <w:p>
      <w:pPr>
        <w:pStyle w:val="BodyText"/>
        <w:bidi w:val="0"/>
        <w:jc w:val="start"/>
        <w:rPr/>
      </w:pPr>
      <w:r>
        <w:rPr/>
        <w:t>The segmentation output is a binary mask. Each pixel is either:</w:t>
      </w:r>
    </w:p>
    <w:p>
      <w:pPr>
        <w:pStyle w:val="PreformattedText"/>
        <w:shd w:val="clear" w:fill="E1E1E1"/>
        <w:bidi w:val="0"/>
        <w:spacing w:before="0" w:after="283"/>
        <w:jc w:val="start"/>
        <w:rPr/>
      </w:pPr>
      <w:r>
        <w:rPr/>
        <w:t>True  = belongs to the region</w:t>
        <w:br/>
        <w:t>False = does not belong to the region</w:t>
      </w:r>
    </w:p>
    <w:p>
      <w:pPr>
        <w:pStyle w:val="BodyText"/>
        <w:bidi w:val="0"/>
        <w:jc w:val="start"/>
        <w:rPr/>
      </w:pPr>
      <w:r>
        <w:rPr/>
        <w:t xml:space="preserve">In Python, </w:t>
      </w:r>
      <w:r>
        <w:rPr>
          <w:rFonts w:ascii="Liberation Mono" w:hAnsi="Liberation Mono"/>
        </w:rPr>
        <w:t>True</w:t>
      </w:r>
      <w:r>
        <w:rPr/>
        <w:t xml:space="preserve"> behaves like </w:t>
      </w:r>
      <w:r>
        <w:rPr>
          <w:rFonts w:ascii="Liberation Mono" w:hAnsi="Liberation Mono"/>
        </w:rPr>
        <w:t>1</w:t>
      </w:r>
      <w:r>
        <w:rPr/>
        <w:t xml:space="preserve"> and </w:t>
      </w:r>
      <w:r>
        <w:rPr>
          <w:rFonts w:ascii="Liberation Mono" w:hAnsi="Liberation Mono"/>
        </w:rPr>
        <w:t>False</w:t>
      </w:r>
      <w:r>
        <w:rPr/>
        <w:t xml:space="preserve"> behaves like </w:t>
      </w:r>
      <w:r>
        <w:rPr>
          <w:rFonts w:ascii="Liberation Mono" w:hAnsi="Liberation Mono"/>
        </w:rPr>
        <w:t>0</w:t>
      </w:r>
      <w:r>
        <w:rPr/>
        <w:t>.</w:t>
      </w:r>
    </w:p>
    <w:p>
      <w:pPr>
        <w:pStyle w:val="BodyText"/>
        <w:bidi w:val="0"/>
        <w:jc w:val="start"/>
        <w:rPr/>
      </w:pPr>
      <w:r>
        <w:rPr/>
        <w:t>Therefore, the model counts pixels by summing the mask:</w:t>
      </w:r>
    </w:p>
    <w:p>
      <w:pPr>
        <w:pStyle w:val="PreformattedText"/>
        <w:shd w:val="clear" w:fill="E1E1E1"/>
        <w:bidi w:val="0"/>
        <w:spacing w:before="0" w:after="283"/>
        <w:jc w:val="start"/>
        <w:rPr/>
      </w:pPr>
      <w:r>
        <w:rPr/>
        <w:t>facade_area_px = facade_mask.sum()</w:t>
        <w:br/>
        <w:t>usable_area_px = usable_mask.sum()</w:t>
      </w:r>
    </w:p>
    <w:p>
      <w:pPr>
        <w:pStyle w:val="BodyText"/>
        <w:bidi w:val="0"/>
        <w:jc w:val="start"/>
        <w:rPr/>
      </w:pPr>
      <w:r>
        <w:rPr/>
        <w:t>The facade mask contains all pixels classified as facade wall surface. The usable mask contains only the pixels that remain after excluding windows, doors, balconies, roof/opening areas, and other unavailable regions.</w:t>
      </w:r>
    </w:p>
    <w:p>
      <w:pPr>
        <w:pStyle w:val="Heading2"/>
        <w:numPr>
          <w:ilvl w:val="1"/>
          <w:numId w:val="1"/>
        </w:numPr>
        <w:bidi w:val="0"/>
        <w:ind w:hanging="0" w:start="0"/>
        <w:jc w:val="start"/>
        <w:rPr/>
      </w:pPr>
      <w:r>
        <w:rPr/>
        <w:t>8. How Pixels Are Converted to Square Metres</w:t>
      </w:r>
    </w:p>
    <w:p>
      <w:pPr>
        <w:pStyle w:val="BodyText"/>
        <w:bidi w:val="0"/>
        <w:jc w:val="start"/>
        <w:rPr/>
      </w:pPr>
      <w:r>
        <w:rPr/>
        <w:t>The model first calculates how much real-world area one facade pixel represents:</w:t>
      </w:r>
    </w:p>
    <w:p>
      <w:pPr>
        <w:pStyle w:val="PreformattedText"/>
        <w:shd w:val="clear" w:fill="E1E1E1"/>
        <w:bidi w:val="0"/>
        <w:spacing w:before="0" w:after="283"/>
        <w:jc w:val="start"/>
        <w:rPr/>
      </w:pPr>
      <w:r>
        <w:rPr/>
        <w:t>m² per pixel = total facade area (m²) / facade area pixel count</w:t>
      </w:r>
    </w:p>
    <w:p>
      <w:pPr>
        <w:pStyle w:val="BodyText"/>
        <w:bidi w:val="0"/>
        <w:jc w:val="start"/>
        <w:rPr/>
      </w:pPr>
      <w:r>
        <w:rPr/>
        <w:t>In code this is:</w:t>
      </w:r>
    </w:p>
    <w:p>
      <w:pPr>
        <w:pStyle w:val="PreformattedText"/>
        <w:shd w:val="clear" w:fill="E1E1E1"/>
        <w:bidi w:val="0"/>
        <w:spacing w:before="0" w:after="283"/>
        <w:jc w:val="start"/>
        <w:rPr/>
      </w:pPr>
      <w:r>
        <w:rPr/>
        <w:t>px_to_m2 = dimensions["total_facade_area_m2"] / facade_area_px</w:t>
      </w:r>
    </w:p>
    <w:p>
      <w:pPr>
        <w:pStyle w:val="BodyText"/>
        <w:bidi w:val="0"/>
        <w:jc w:val="start"/>
        <w:rPr/>
      </w:pPr>
      <w:r>
        <w:rPr/>
        <w:t>Then the usable BIPV area is:</w:t>
      </w:r>
    </w:p>
    <w:p>
      <w:pPr>
        <w:pStyle w:val="PreformattedText"/>
        <w:shd w:val="clear" w:fill="E1E1E1"/>
        <w:bidi w:val="0"/>
        <w:spacing w:before="0" w:after="283"/>
        <w:jc w:val="start"/>
        <w:rPr/>
      </w:pPr>
      <w:r>
        <w:rPr/>
        <w:t>Usable area (m²) = usable mask pixel count × m² per pixel</w:t>
      </w:r>
    </w:p>
    <w:p>
      <w:pPr>
        <w:pStyle w:val="BodyText"/>
        <w:bidi w:val="0"/>
        <w:jc w:val="start"/>
        <w:rPr/>
      </w:pPr>
      <w:r>
        <w:rPr/>
        <w:t>In code this is:</w:t>
      </w:r>
    </w:p>
    <w:p>
      <w:pPr>
        <w:pStyle w:val="PreformattedText"/>
        <w:shd w:val="clear" w:fill="E1E1E1"/>
        <w:bidi w:val="0"/>
        <w:spacing w:before="0" w:after="283"/>
        <w:jc w:val="start"/>
        <w:rPr/>
      </w:pPr>
      <w:r>
        <w:rPr/>
        <w:t>usable_area_m2 = usable_mask.sum() * px_to_m2</w:t>
      </w:r>
    </w:p>
    <w:p>
      <w:pPr>
        <w:pStyle w:val="BodyText"/>
        <w:bidi w:val="0"/>
        <w:jc w:val="start"/>
        <w:rPr/>
      </w:pPr>
      <w:r>
        <w:rPr/>
        <w:t>This means the model does not guess the usable area directly. It:</w:t>
      </w:r>
    </w:p>
    <w:p>
      <w:pPr>
        <w:pStyle w:val="BodyText"/>
        <w:numPr>
          <w:ilvl w:val="0"/>
          <w:numId w:val="4"/>
        </w:numPr>
        <w:tabs>
          <w:tab w:val="left" w:pos="709" w:leader="none"/>
        </w:tabs>
        <w:bidi w:val="0"/>
        <w:ind w:hanging="283" w:start="709"/>
        <w:jc w:val="start"/>
        <w:rPr/>
      </w:pPr>
      <w:r>
        <w:rPr/>
        <w:t>Segments the facade.</w:t>
      </w:r>
    </w:p>
    <w:p>
      <w:pPr>
        <w:pStyle w:val="BodyText"/>
        <w:numPr>
          <w:ilvl w:val="0"/>
          <w:numId w:val="4"/>
        </w:numPr>
        <w:tabs>
          <w:tab w:val="left" w:pos="709" w:leader="none"/>
        </w:tabs>
        <w:bidi w:val="0"/>
        <w:ind w:hanging="283" w:start="709"/>
        <w:jc w:val="start"/>
        <w:rPr/>
      </w:pPr>
      <w:r>
        <w:rPr/>
        <w:t>Counts facade pixels.</w:t>
      </w:r>
    </w:p>
    <w:p>
      <w:pPr>
        <w:pStyle w:val="BodyText"/>
        <w:numPr>
          <w:ilvl w:val="0"/>
          <w:numId w:val="4"/>
        </w:numPr>
        <w:tabs>
          <w:tab w:val="left" w:pos="709" w:leader="none"/>
        </w:tabs>
        <w:bidi w:val="0"/>
        <w:ind w:hanging="283" w:start="709"/>
        <w:jc w:val="start"/>
        <w:rPr/>
      </w:pPr>
      <w:r>
        <w:rPr/>
        <w:t>Converts the total facade into real-world square metres.</w:t>
      </w:r>
    </w:p>
    <w:p>
      <w:pPr>
        <w:pStyle w:val="BodyText"/>
        <w:numPr>
          <w:ilvl w:val="0"/>
          <w:numId w:val="4"/>
        </w:numPr>
        <w:tabs>
          <w:tab w:val="left" w:pos="709" w:leader="none"/>
        </w:tabs>
        <w:bidi w:val="0"/>
        <w:ind w:hanging="283" w:start="709"/>
        <w:jc w:val="start"/>
        <w:rPr/>
      </w:pPr>
      <w:r>
        <w:rPr/>
        <w:t>Calculates the square-metre value of each pixel.</w:t>
      </w:r>
    </w:p>
    <w:p>
      <w:pPr>
        <w:pStyle w:val="BodyText"/>
        <w:numPr>
          <w:ilvl w:val="0"/>
          <w:numId w:val="4"/>
        </w:numPr>
        <w:tabs>
          <w:tab w:val="left" w:pos="709" w:leader="none"/>
        </w:tabs>
        <w:bidi w:val="0"/>
        <w:ind w:hanging="283" w:start="709"/>
        <w:jc w:val="start"/>
        <w:rPr/>
      </w:pPr>
      <w:r>
        <w:rPr/>
        <w:t>Counts usable pixels.</w:t>
      </w:r>
    </w:p>
    <w:p>
      <w:pPr>
        <w:pStyle w:val="BodyText"/>
        <w:numPr>
          <w:ilvl w:val="0"/>
          <w:numId w:val="4"/>
        </w:numPr>
        <w:tabs>
          <w:tab w:val="left" w:pos="709" w:leader="none"/>
        </w:tabs>
        <w:bidi w:val="0"/>
        <w:ind w:hanging="283" w:start="709"/>
        <w:jc w:val="start"/>
        <w:rPr/>
      </w:pPr>
      <w:r>
        <w:rPr/>
        <w:t>Converts usable pixels into square metres.</w:t>
      </w:r>
    </w:p>
    <w:p>
      <w:pPr>
        <w:pStyle w:val="Heading2"/>
        <w:numPr>
          <w:ilvl w:val="0"/>
          <w:numId w:val="0"/>
        </w:numPr>
        <w:bidi w:val="0"/>
        <w:ind w:hanging="0" w:start="0"/>
        <w:jc w:val="start"/>
        <w:rPr/>
      </w:pPr>
      <w:r>
        <w:rPr/>
        <w:t>9. What Is Excluded From Usable BIPV Area</w:t>
      </w:r>
    </w:p>
    <w:p>
      <w:pPr>
        <w:pStyle w:val="BodyText"/>
        <w:bidi w:val="0"/>
        <w:jc w:val="start"/>
        <w:rPr/>
      </w:pPr>
      <w:r>
        <w:rPr/>
        <w:t>The usable BIPV area is the facade wall area remaining after exclusions.</w:t>
      </w:r>
    </w:p>
    <w:p>
      <w:pPr>
        <w:pStyle w:val="BodyText"/>
        <w:bidi w:val="0"/>
        <w:jc w:val="start"/>
        <w:rPr/>
      </w:pPr>
      <w:r>
        <w:rPr/>
        <w:t>The excluded regions include:</w:t>
      </w:r>
    </w:p>
    <w:p>
      <w:pPr>
        <w:pStyle w:val="BodyText"/>
        <w:numPr>
          <w:ilvl w:val="0"/>
          <w:numId w:val="5"/>
        </w:numPr>
        <w:tabs>
          <w:tab w:val="left" w:pos="709" w:leader="none"/>
        </w:tabs>
        <w:bidi w:val="0"/>
        <w:ind w:hanging="283" w:start="709"/>
        <w:jc w:val="start"/>
        <w:rPr/>
      </w:pPr>
      <w:r>
        <w:rPr/>
        <w:t>Windows</w:t>
      </w:r>
    </w:p>
    <w:p>
      <w:pPr>
        <w:pStyle w:val="BodyText"/>
        <w:numPr>
          <w:ilvl w:val="0"/>
          <w:numId w:val="5"/>
        </w:numPr>
        <w:tabs>
          <w:tab w:val="left" w:pos="709" w:leader="none"/>
        </w:tabs>
        <w:bidi w:val="0"/>
        <w:ind w:hanging="283" w:start="709"/>
        <w:jc w:val="start"/>
        <w:rPr/>
      </w:pPr>
      <w:r>
        <w:rPr/>
        <w:t>Doors</w:t>
      </w:r>
    </w:p>
    <w:p>
      <w:pPr>
        <w:pStyle w:val="BodyText"/>
        <w:numPr>
          <w:ilvl w:val="0"/>
          <w:numId w:val="5"/>
        </w:numPr>
        <w:tabs>
          <w:tab w:val="left" w:pos="709" w:leader="none"/>
        </w:tabs>
        <w:bidi w:val="0"/>
        <w:ind w:hanging="283" w:start="709"/>
        <w:jc w:val="start"/>
        <w:rPr/>
      </w:pPr>
      <w:r>
        <w:rPr/>
        <w:t>Balconies</w:t>
      </w:r>
    </w:p>
    <w:p>
      <w:pPr>
        <w:pStyle w:val="BodyText"/>
        <w:numPr>
          <w:ilvl w:val="0"/>
          <w:numId w:val="5"/>
        </w:numPr>
        <w:tabs>
          <w:tab w:val="left" w:pos="709" w:leader="none"/>
        </w:tabs>
        <w:bidi w:val="0"/>
        <w:ind w:hanging="283" w:start="709"/>
        <w:jc w:val="start"/>
        <w:rPr/>
      </w:pPr>
      <w:r>
        <w:rPr/>
        <w:t>Roof/opening masks where detected</w:t>
      </w:r>
    </w:p>
    <w:p>
      <w:pPr>
        <w:pStyle w:val="BodyText"/>
        <w:numPr>
          <w:ilvl w:val="0"/>
          <w:numId w:val="5"/>
        </w:numPr>
        <w:tabs>
          <w:tab w:val="left" w:pos="709" w:leader="none"/>
        </w:tabs>
        <w:bidi w:val="0"/>
        <w:ind w:hanging="283" w:start="709"/>
        <w:jc w:val="start"/>
        <w:rPr/>
      </w:pPr>
      <w:r>
        <w:rPr/>
        <w:t>Architectural voids or unavailable facade regions</w:t>
      </w:r>
    </w:p>
    <w:p>
      <w:pPr>
        <w:pStyle w:val="BodyText"/>
        <w:numPr>
          <w:ilvl w:val="0"/>
          <w:numId w:val="5"/>
        </w:numPr>
        <w:tabs>
          <w:tab w:val="left" w:pos="709" w:leader="none"/>
        </w:tabs>
        <w:bidi w:val="0"/>
        <w:ind w:hanging="283" w:start="709"/>
        <w:jc w:val="start"/>
        <w:rPr/>
      </w:pPr>
      <w:r>
        <w:rPr/>
        <w:t>Optional obstacle exclusion if enabled</w:t>
      </w:r>
    </w:p>
    <w:p>
      <w:pPr>
        <w:pStyle w:val="BodyText"/>
        <w:bidi w:val="0"/>
        <w:jc w:val="start"/>
        <w:rPr/>
      </w:pPr>
      <w:r>
        <w:rPr/>
        <w:t>The general logic is:</w:t>
      </w:r>
    </w:p>
    <w:p>
      <w:pPr>
        <w:pStyle w:val="PreformattedText"/>
        <w:shd w:val="clear" w:fill="E1E1E1"/>
        <w:bidi w:val="0"/>
        <w:spacing w:before="0" w:after="283"/>
        <w:jc w:val="start"/>
        <w:rPr/>
      </w:pPr>
      <w:r>
        <w:rPr/>
        <w:t>usable_mask = facade_mask</w:t>
        <w:br/>
        <w:t xml:space="preserve">              - window_mask</w:t>
        <w:br/>
        <w:t xml:space="preserve">              - door_mask</w:t>
        <w:br/>
        <w:t xml:space="preserve">              - balcony_mask</w:t>
        <w:br/>
        <w:t xml:space="preserve">              - roof/opening mask</w:t>
      </w:r>
    </w:p>
    <w:p>
      <w:pPr>
        <w:pStyle w:val="BodyText"/>
        <w:bidi w:val="0"/>
        <w:jc w:val="start"/>
        <w:rPr/>
      </w:pPr>
      <w:r>
        <w:rPr/>
        <w:t>The code also dilates some exclusions slightly to represent mounting clearance around openings.</w:t>
      </w:r>
    </w:p>
    <w:p>
      <w:pPr>
        <w:pStyle w:val="Heading2"/>
        <w:numPr>
          <w:ilvl w:val="1"/>
          <w:numId w:val="1"/>
        </w:numPr>
        <w:bidi w:val="0"/>
        <w:ind w:hanging="0" w:start="0"/>
        <w:jc w:val="start"/>
        <w:rPr/>
      </w:pPr>
      <w:r>
        <w:rPr/>
        <w:t>10. How Usable and Excluded Percentages Are Calculated</w:t>
      </w:r>
    </w:p>
    <w:p>
      <w:pPr>
        <w:pStyle w:val="BodyText"/>
        <w:bidi w:val="0"/>
        <w:jc w:val="start"/>
        <w:rPr/>
      </w:pPr>
      <w:r>
        <w:rPr/>
        <w:t>Usable percentage:</w:t>
      </w:r>
    </w:p>
    <w:p>
      <w:pPr>
        <w:pStyle w:val="PreformattedText"/>
        <w:shd w:val="clear" w:fill="E1E1E1"/>
        <w:bidi w:val="0"/>
        <w:spacing w:before="0" w:after="283"/>
        <w:jc w:val="start"/>
        <w:rPr/>
      </w:pPr>
      <w:r>
        <w:rPr/>
        <w:t>Usable area (%) = usable area (m²) / total facade area (m²) × 100</w:t>
      </w:r>
    </w:p>
    <w:p>
      <w:pPr>
        <w:pStyle w:val="BodyText"/>
        <w:bidi w:val="0"/>
        <w:jc w:val="start"/>
        <w:rPr/>
      </w:pPr>
      <w:r>
        <w:rPr/>
        <w:t>Excluded area:</w:t>
      </w:r>
    </w:p>
    <w:p>
      <w:pPr>
        <w:pStyle w:val="PreformattedText"/>
        <w:shd w:val="clear" w:fill="E1E1E1"/>
        <w:bidi w:val="0"/>
        <w:spacing w:before="0" w:after="283"/>
        <w:jc w:val="start"/>
        <w:rPr/>
      </w:pPr>
      <w:r>
        <w:rPr/>
        <w:t>Excluded area (m²) = total facade area (m²) - usable area (m²)</w:t>
      </w:r>
    </w:p>
    <w:p>
      <w:pPr>
        <w:pStyle w:val="BodyText"/>
        <w:bidi w:val="0"/>
        <w:jc w:val="start"/>
        <w:rPr/>
      </w:pPr>
      <w:r>
        <w:rPr/>
        <w:t>Excluded percentage:</w:t>
      </w:r>
    </w:p>
    <w:p>
      <w:pPr>
        <w:pStyle w:val="PreformattedText"/>
        <w:shd w:val="clear" w:fill="E1E1E1"/>
        <w:bidi w:val="0"/>
        <w:spacing w:before="0" w:after="283"/>
        <w:jc w:val="start"/>
        <w:rPr/>
      </w:pPr>
      <w:r>
        <w:rPr/>
        <w:t>Excluded area (%) = 100 - usable area (%)</w:t>
      </w:r>
    </w:p>
    <w:p>
      <w:pPr>
        <w:pStyle w:val="BodyText"/>
        <w:bidi w:val="0"/>
        <w:jc w:val="start"/>
        <w:rPr/>
      </w:pPr>
      <w:r>
        <w:rPr/>
        <w:t xml:space="preserve">Example for </w:t>
      </w:r>
      <w:r>
        <w:rPr>
          <w:rFonts w:ascii="Liberation Mono" w:hAnsi="Liberation Mono"/>
        </w:rPr>
        <w:t>IMG_2000</w:t>
      </w:r>
      <w:r>
        <w:rPr/>
        <w:t>:</w:t>
      </w:r>
    </w:p>
    <w:p>
      <w:pPr>
        <w:pStyle w:val="PreformattedText"/>
        <w:shd w:val="clear" w:fill="E1E1E1"/>
        <w:bidi w:val="0"/>
        <w:spacing w:before="0" w:after="283"/>
        <w:jc w:val="start"/>
        <w:rPr/>
      </w:pPr>
      <w:r>
        <w:rPr/>
        <w:t>Total facade area = 371.76 m²</w:t>
        <w:br/>
        <w:t>Usable area       = 252.89 m²</w:t>
        <w:br/>
        <w:br/>
        <w:t>Usable percentage = 252.89 / 371.76 × 100</w:t>
        <w:br/>
        <w:t xml:space="preserve">                  = 68.03%</w:t>
        <w:br/>
        <w:br/>
        <w:t>Excluded area     = 371.76 - 252.89</w:t>
        <w:br/>
        <w:t xml:space="preserve">                  = 118.87 m²</w:t>
        <w:br/>
        <w:br/>
        <w:t>Excluded percent  = 100 - 68.03</w:t>
        <w:br/>
        <w:t xml:space="preserve">                  = 31.97%</w:t>
      </w:r>
    </w:p>
    <w:p>
      <w:pPr>
        <w:pStyle w:val="Heading2"/>
        <w:numPr>
          <w:ilvl w:val="1"/>
          <w:numId w:val="1"/>
        </w:numPr>
        <w:bidi w:val="0"/>
        <w:ind w:hanging="0" w:start="0"/>
        <w:jc w:val="start"/>
        <w:rPr/>
      </w:pPr>
      <w:r>
        <w:rPr/>
        <w:t>11. How Panel Count Is Calculated</w:t>
      </w:r>
    </w:p>
    <w:p>
      <w:pPr>
        <w:pStyle w:val="BodyText"/>
        <w:bidi w:val="0"/>
        <w:jc w:val="start"/>
        <w:rPr/>
      </w:pPr>
      <w:r>
        <w:rPr/>
        <w:t>The project assumes:</w:t>
      </w:r>
    </w:p>
    <w:p>
      <w:pPr>
        <w:pStyle w:val="PreformattedText"/>
        <w:shd w:val="clear" w:fill="E1E1E1"/>
        <w:bidi w:val="0"/>
        <w:spacing w:before="0" w:after="283"/>
        <w:jc w:val="start"/>
        <w:rPr/>
      </w:pPr>
      <w:r>
        <w:rPr/>
        <w:t>Panel area = 1.7 m²</w:t>
        <w:br/>
        <w:t>Panel power = 350 W</w:t>
      </w:r>
    </w:p>
    <w:p>
      <w:pPr>
        <w:pStyle w:val="BodyText"/>
        <w:bidi w:val="0"/>
        <w:jc w:val="start"/>
        <w:rPr/>
      </w:pPr>
      <w:r>
        <w:rPr/>
        <w:t>The number of panels is calculated as:</w:t>
      </w:r>
    </w:p>
    <w:p>
      <w:pPr>
        <w:pStyle w:val="PreformattedText"/>
        <w:shd w:val="clear" w:fill="E1E1E1"/>
        <w:bidi w:val="0"/>
        <w:spacing w:before="0" w:after="283"/>
        <w:jc w:val="start"/>
        <w:rPr/>
      </w:pPr>
      <w:r>
        <w:rPr/>
        <w:t>Number of panels = floor(usable area / panel area)</w:t>
      </w:r>
    </w:p>
    <w:p>
      <w:pPr>
        <w:pStyle w:val="BodyText"/>
        <w:bidi w:val="0"/>
        <w:jc w:val="start"/>
        <w:rPr/>
      </w:pPr>
      <w:r>
        <w:rPr/>
        <w:t xml:space="preserve">The </w:t>
      </w:r>
      <w:r>
        <w:rPr>
          <w:rFonts w:ascii="Liberation Mono" w:hAnsi="Liberation Mono"/>
        </w:rPr>
        <w:t>floor</w:t>
      </w:r>
      <w:r>
        <w:rPr/>
        <w:t xml:space="preserve"> operation means only complete panels are counted.</w:t>
      </w:r>
    </w:p>
    <w:p>
      <w:pPr>
        <w:pStyle w:val="BodyText"/>
        <w:bidi w:val="0"/>
        <w:jc w:val="start"/>
        <w:rPr/>
      </w:pPr>
      <w:r>
        <w:rPr/>
        <w:t xml:space="preserve">Example for </w:t>
      </w:r>
      <w:r>
        <w:rPr>
          <w:rFonts w:ascii="Liberation Mono" w:hAnsi="Liberation Mono"/>
        </w:rPr>
        <w:t>IMG_2000</w:t>
      </w:r>
      <w:r>
        <w:rPr/>
        <w:t>:</w:t>
      </w:r>
    </w:p>
    <w:p>
      <w:pPr>
        <w:pStyle w:val="PreformattedText"/>
        <w:shd w:val="clear" w:fill="E1E1E1"/>
        <w:bidi w:val="0"/>
        <w:spacing w:before="0" w:after="283"/>
        <w:jc w:val="start"/>
        <w:rPr/>
      </w:pPr>
      <w:r>
        <w:rPr/>
        <w:t>Usable area = 252.89 m²</w:t>
        <w:br/>
        <w:t>Panel area  = 1.7 m²</w:t>
        <w:br/>
        <w:br/>
        <w:t>Panels = floor(252.89 / 1.7)</w:t>
        <w:br/>
        <w:t xml:space="preserve">       = floor(148.76)</w:t>
        <w:br/>
        <w:t xml:space="preserve">       = 148 panels</w:t>
      </w:r>
    </w:p>
    <w:p>
      <w:pPr>
        <w:pStyle w:val="Heading2"/>
        <w:numPr>
          <w:ilvl w:val="1"/>
          <w:numId w:val="1"/>
        </w:numPr>
        <w:bidi w:val="0"/>
        <w:ind w:hanging="0" w:start="0"/>
        <w:jc w:val="start"/>
        <w:rPr/>
      </w:pPr>
      <w:r>
        <w:rPr/>
        <w:t>12. How Installed Capacity Is Calculated</w:t>
      </w:r>
    </w:p>
    <w:p>
      <w:pPr>
        <w:pStyle w:val="BodyText"/>
        <w:bidi w:val="0"/>
        <w:jc w:val="start"/>
        <w:rPr/>
      </w:pPr>
      <w:r>
        <w:rPr/>
        <w:t>Each panel is assumed to be:</w:t>
      </w:r>
    </w:p>
    <w:p>
      <w:pPr>
        <w:pStyle w:val="PreformattedText"/>
        <w:shd w:val="clear" w:fill="E1E1E1"/>
        <w:bidi w:val="0"/>
        <w:spacing w:before="0" w:after="283"/>
        <w:jc w:val="start"/>
        <w:rPr/>
      </w:pPr>
      <w:r>
        <w:rPr/>
        <w:t>350 W = 0.35 kW</w:t>
      </w:r>
    </w:p>
    <w:p>
      <w:pPr>
        <w:pStyle w:val="BodyText"/>
        <w:bidi w:val="0"/>
        <w:jc w:val="start"/>
        <w:rPr/>
      </w:pPr>
      <w:r>
        <w:rPr/>
        <w:t>Installed capacity is:</w:t>
      </w:r>
    </w:p>
    <w:p>
      <w:pPr>
        <w:pStyle w:val="PreformattedText"/>
        <w:shd w:val="clear" w:fill="E1E1E1"/>
        <w:bidi w:val="0"/>
        <w:spacing w:before="0" w:after="283"/>
        <w:jc w:val="start"/>
        <w:rPr/>
      </w:pPr>
      <w:r>
        <w:rPr/>
        <w:t>Total capacity (kW) = number of panels × watts per panel / 1000</w:t>
      </w:r>
    </w:p>
    <w:p>
      <w:pPr>
        <w:pStyle w:val="BodyText"/>
        <w:bidi w:val="0"/>
        <w:jc w:val="start"/>
        <w:rPr/>
      </w:pPr>
      <w:r>
        <w:rPr/>
        <w:t xml:space="preserve">Example for </w:t>
      </w:r>
      <w:r>
        <w:rPr>
          <w:rFonts w:ascii="Liberation Mono" w:hAnsi="Liberation Mono"/>
        </w:rPr>
        <w:t>IMG_2000</w:t>
      </w:r>
      <w:r>
        <w:rPr/>
        <w:t>:</w:t>
      </w:r>
    </w:p>
    <w:p>
      <w:pPr>
        <w:pStyle w:val="PreformattedText"/>
        <w:shd w:val="clear" w:fill="E1E1E1"/>
        <w:bidi w:val="0"/>
        <w:spacing w:before="0" w:after="283"/>
        <w:jc w:val="start"/>
        <w:rPr/>
      </w:pPr>
      <w:r>
        <w:rPr/>
        <w:t>Panels = 148</w:t>
        <w:br/>
        <w:t>Watts per panel = 350 W</w:t>
        <w:br/>
        <w:br/>
        <w:t>Capacity = 148 × 350 / 1000</w:t>
        <w:br/>
        <w:t xml:space="preserve">         = 51.8 kW</w:t>
      </w:r>
    </w:p>
    <w:p>
      <w:pPr>
        <w:pStyle w:val="Heading2"/>
        <w:numPr>
          <w:ilvl w:val="1"/>
          <w:numId w:val="1"/>
        </w:numPr>
        <w:bidi w:val="0"/>
        <w:ind w:hanging="0" w:start="0"/>
        <w:jc w:val="start"/>
        <w:rPr/>
      </w:pPr>
      <w:r>
        <w:rPr/>
        <w:t>13. How Annual Energy Output Is Calculated</w:t>
      </w:r>
    </w:p>
    <w:p>
      <w:pPr>
        <w:pStyle w:val="BodyText"/>
        <w:bidi w:val="0"/>
        <w:jc w:val="start"/>
        <w:rPr/>
      </w:pPr>
      <w:r>
        <w:rPr/>
        <w:t>The project uses a specific yield assumption:</w:t>
      </w:r>
    </w:p>
    <w:p>
      <w:pPr>
        <w:pStyle w:val="PreformattedText"/>
        <w:shd w:val="clear" w:fill="E1E1E1"/>
        <w:bidi w:val="0"/>
        <w:spacing w:before="0" w:after="283"/>
        <w:jc w:val="start"/>
        <w:rPr/>
      </w:pPr>
      <w:r>
        <w:rPr/>
        <w:t>Specific yield = 950 kWh/kWp/year</w:t>
      </w:r>
    </w:p>
    <w:p>
      <w:pPr>
        <w:pStyle w:val="BodyText"/>
        <w:bidi w:val="0"/>
        <w:jc w:val="start"/>
        <w:rPr/>
      </w:pPr>
      <w:r>
        <w:rPr/>
        <w:t>Annual energy is calculated as:</w:t>
      </w:r>
    </w:p>
    <w:p>
      <w:pPr>
        <w:pStyle w:val="PreformattedText"/>
        <w:shd w:val="clear" w:fill="E1E1E1"/>
        <w:bidi w:val="0"/>
        <w:spacing w:before="0" w:after="283"/>
        <w:jc w:val="start"/>
        <w:rPr/>
      </w:pPr>
      <w:r>
        <w:rPr/>
        <w:t>Annual energy (kWh) = installed capacity (kWp) × specific yield</w:t>
      </w:r>
    </w:p>
    <w:p>
      <w:pPr>
        <w:pStyle w:val="BodyText"/>
        <w:bidi w:val="0"/>
        <w:jc w:val="start"/>
        <w:rPr/>
      </w:pPr>
      <w:r>
        <w:rPr/>
        <w:t xml:space="preserve">Example for </w:t>
      </w:r>
      <w:r>
        <w:rPr>
          <w:rFonts w:ascii="Liberation Mono" w:hAnsi="Liberation Mono"/>
        </w:rPr>
        <w:t>IMG_2000</w:t>
      </w:r>
      <w:r>
        <w:rPr/>
        <w:t>:</w:t>
      </w:r>
    </w:p>
    <w:p>
      <w:pPr>
        <w:pStyle w:val="PreformattedText"/>
        <w:shd w:val="clear" w:fill="E1E1E1"/>
        <w:bidi w:val="0"/>
        <w:spacing w:before="0" w:after="283"/>
        <w:jc w:val="start"/>
        <w:rPr/>
      </w:pPr>
      <w:r>
        <w:rPr/>
        <w:t>Installed capacity = 51.8 kWp</w:t>
        <w:br/>
        <w:t>Specific yield = 950 kWh/kWp/year</w:t>
        <w:br/>
        <w:br/>
        <w:t>Annual energy = 51.8 × 950</w:t>
        <w:br/>
        <w:t xml:space="preserve">              = 49,210 kWh/year</w:t>
      </w:r>
    </w:p>
    <w:p>
      <w:pPr>
        <w:pStyle w:val="BodyText"/>
        <w:bidi w:val="0"/>
        <w:jc w:val="start"/>
        <w:rPr/>
      </w:pPr>
      <w:r>
        <w:rPr/>
        <w:t>This is a simplified PV yield estimate. It is useful for screening and comparison, but a full PVsyst simulation would later refine it using orientation, climate data, shading, system losses, and module parameters.</w:t>
      </w:r>
    </w:p>
    <w:p>
      <w:pPr>
        <w:pStyle w:val="Heading2"/>
        <w:numPr>
          <w:ilvl w:val="1"/>
          <w:numId w:val="1"/>
        </w:numPr>
        <w:bidi w:val="0"/>
        <w:ind w:hanging="0" w:start="0"/>
        <w:jc w:val="start"/>
        <w:rPr/>
      </w:pPr>
      <w:r>
        <w:rPr/>
        <w:t>14. Batch Result Table</w:t>
      </w:r>
    </w:p>
    <w:tbl>
      <w:tblPr>
        <w:tblW w:w="5000" w:type="pct"/>
        <w:jc w:val="start"/>
        <w:tblInd w:w="-5" w:type="dxa"/>
        <w:tblLayout w:type="fixed"/>
        <w:tblCellMar>
          <w:top w:w="55" w:type="dxa"/>
          <w:start w:w="55" w:type="dxa"/>
          <w:bottom w:w="55" w:type="dxa"/>
          <w:end w:w="55" w:type="dxa"/>
        </w:tblCellMar>
      </w:tblPr>
      <w:tblGrid>
        <w:gridCol w:w="830"/>
        <w:gridCol w:w="832"/>
        <w:gridCol w:w="830"/>
        <w:gridCol w:w="831"/>
        <w:gridCol w:w="832"/>
        <w:gridCol w:w="830"/>
        <w:gridCol w:w="831"/>
        <w:gridCol w:w="832"/>
        <w:gridCol w:w="830"/>
        <w:gridCol w:w="831"/>
        <w:gridCol w:w="832"/>
        <w:gridCol w:w="831"/>
      </w:tblGrid>
      <w:tr>
        <w:trPr>
          <w:tblHeader w:val="true"/>
        </w:trPr>
        <w:tc>
          <w:tcPr>
            <w:tcW w:w="830" w:type="dxa"/>
            <w:tcBorders>
              <w:top w:val="single" w:sz="4" w:space="0" w:color="000000"/>
              <w:start w:val="single" w:sz="4" w:space="0" w:color="000000"/>
              <w:bottom w:val="single" w:sz="4" w:space="0" w:color="000000"/>
            </w:tcBorders>
          </w:tcPr>
          <w:p>
            <w:pPr>
              <w:pStyle w:val="TableHeading"/>
              <w:bidi w:val="0"/>
              <w:jc w:val="start"/>
              <w:rPr/>
            </w:pPr>
            <w:r>
              <w:rPr/>
              <w:t>Building</w:t>
            </w:r>
          </w:p>
        </w:tc>
        <w:tc>
          <w:tcPr>
            <w:tcW w:w="832" w:type="dxa"/>
            <w:tcBorders>
              <w:top w:val="single" w:sz="4" w:space="0" w:color="000000"/>
              <w:start w:val="single" w:sz="4" w:space="0" w:color="000000"/>
              <w:bottom w:val="single" w:sz="4" w:space="0" w:color="000000"/>
            </w:tcBorders>
          </w:tcPr>
          <w:p>
            <w:pPr>
              <w:pStyle w:val="TableHeading"/>
              <w:bidi w:val="0"/>
              <w:jc w:val="end"/>
              <w:rPr/>
            </w:pPr>
            <w:r>
              <w:rPr/>
              <w:t>Floors</w:t>
            </w:r>
          </w:p>
        </w:tc>
        <w:tc>
          <w:tcPr>
            <w:tcW w:w="830" w:type="dxa"/>
            <w:tcBorders>
              <w:top w:val="single" w:sz="4" w:space="0" w:color="000000"/>
              <w:start w:val="single" w:sz="4" w:space="0" w:color="000000"/>
              <w:bottom w:val="single" w:sz="4" w:space="0" w:color="000000"/>
            </w:tcBorders>
          </w:tcPr>
          <w:p>
            <w:pPr>
              <w:pStyle w:val="TableHeading"/>
              <w:bidi w:val="0"/>
              <w:jc w:val="end"/>
              <w:rPr/>
            </w:pPr>
            <w:r>
              <w:rPr/>
              <w:t>Height (m)</w:t>
            </w:r>
          </w:p>
        </w:tc>
        <w:tc>
          <w:tcPr>
            <w:tcW w:w="831" w:type="dxa"/>
            <w:tcBorders>
              <w:top w:val="single" w:sz="4" w:space="0" w:color="000000"/>
              <w:start w:val="single" w:sz="4" w:space="0" w:color="000000"/>
              <w:bottom w:val="single" w:sz="4" w:space="0" w:color="000000"/>
            </w:tcBorders>
          </w:tcPr>
          <w:p>
            <w:pPr>
              <w:pStyle w:val="TableHeading"/>
              <w:bidi w:val="0"/>
              <w:jc w:val="end"/>
              <w:rPr/>
            </w:pPr>
            <w:r>
              <w:rPr/>
              <w:t>Width (m)</w:t>
            </w:r>
          </w:p>
        </w:tc>
        <w:tc>
          <w:tcPr>
            <w:tcW w:w="832" w:type="dxa"/>
            <w:tcBorders>
              <w:top w:val="single" w:sz="4" w:space="0" w:color="000000"/>
              <w:start w:val="single" w:sz="4" w:space="0" w:color="000000"/>
              <w:bottom w:val="single" w:sz="4" w:space="0" w:color="000000"/>
            </w:tcBorders>
          </w:tcPr>
          <w:p>
            <w:pPr>
              <w:pStyle w:val="TableHeading"/>
              <w:bidi w:val="0"/>
              <w:jc w:val="end"/>
              <w:rPr/>
            </w:pPr>
            <w:r>
              <w:rPr/>
              <w:t>Total facade area (m²)</w:t>
            </w:r>
          </w:p>
        </w:tc>
        <w:tc>
          <w:tcPr>
            <w:tcW w:w="830" w:type="dxa"/>
            <w:tcBorders>
              <w:top w:val="single" w:sz="4" w:space="0" w:color="000000"/>
              <w:start w:val="single" w:sz="4" w:space="0" w:color="000000"/>
              <w:bottom w:val="single" w:sz="4" w:space="0" w:color="000000"/>
            </w:tcBorders>
          </w:tcPr>
          <w:p>
            <w:pPr>
              <w:pStyle w:val="TableHeading"/>
              <w:bidi w:val="0"/>
              <w:jc w:val="end"/>
              <w:rPr/>
            </w:pPr>
            <w:r>
              <w:rPr/>
              <w:t>Segmented usable area (m²)</w:t>
            </w:r>
          </w:p>
        </w:tc>
        <w:tc>
          <w:tcPr>
            <w:tcW w:w="831" w:type="dxa"/>
            <w:tcBorders>
              <w:top w:val="single" w:sz="4" w:space="0" w:color="000000"/>
              <w:start w:val="single" w:sz="4" w:space="0" w:color="000000"/>
              <w:bottom w:val="single" w:sz="4" w:space="0" w:color="000000"/>
            </w:tcBorders>
          </w:tcPr>
          <w:p>
            <w:pPr>
              <w:pStyle w:val="TableHeading"/>
              <w:bidi w:val="0"/>
              <w:jc w:val="end"/>
              <w:rPr/>
            </w:pPr>
            <w:r>
              <w:rPr/>
              <w:t>Usable area (%)</w:t>
            </w:r>
          </w:p>
        </w:tc>
        <w:tc>
          <w:tcPr>
            <w:tcW w:w="832" w:type="dxa"/>
            <w:tcBorders>
              <w:top w:val="single" w:sz="4" w:space="0" w:color="000000"/>
              <w:start w:val="single" w:sz="4" w:space="0" w:color="000000"/>
              <w:bottom w:val="single" w:sz="4" w:space="0" w:color="000000"/>
            </w:tcBorders>
          </w:tcPr>
          <w:p>
            <w:pPr>
              <w:pStyle w:val="TableHeading"/>
              <w:bidi w:val="0"/>
              <w:jc w:val="end"/>
              <w:rPr/>
            </w:pPr>
            <w:r>
              <w:rPr/>
              <w:t>Excluded area (m²)</w:t>
            </w:r>
          </w:p>
        </w:tc>
        <w:tc>
          <w:tcPr>
            <w:tcW w:w="830" w:type="dxa"/>
            <w:tcBorders>
              <w:top w:val="single" w:sz="4" w:space="0" w:color="000000"/>
              <w:start w:val="single" w:sz="4" w:space="0" w:color="000000"/>
              <w:bottom w:val="single" w:sz="4" w:space="0" w:color="000000"/>
            </w:tcBorders>
          </w:tcPr>
          <w:p>
            <w:pPr>
              <w:pStyle w:val="TableHeading"/>
              <w:bidi w:val="0"/>
              <w:jc w:val="end"/>
              <w:rPr/>
            </w:pPr>
            <w:r>
              <w:rPr/>
              <w:t>Excluded area (%)</w:t>
            </w:r>
          </w:p>
        </w:tc>
        <w:tc>
          <w:tcPr>
            <w:tcW w:w="831" w:type="dxa"/>
            <w:tcBorders>
              <w:top w:val="single" w:sz="4" w:space="0" w:color="000000"/>
              <w:start w:val="single" w:sz="4" w:space="0" w:color="000000"/>
              <w:bottom w:val="single" w:sz="4" w:space="0" w:color="000000"/>
            </w:tcBorders>
          </w:tcPr>
          <w:p>
            <w:pPr>
              <w:pStyle w:val="TableHeading"/>
              <w:bidi w:val="0"/>
              <w:jc w:val="end"/>
              <w:rPr/>
            </w:pPr>
            <w:r>
              <w:rPr/>
              <w:t>Panels</w:t>
            </w:r>
          </w:p>
        </w:tc>
        <w:tc>
          <w:tcPr>
            <w:tcW w:w="832" w:type="dxa"/>
            <w:tcBorders>
              <w:top w:val="single" w:sz="4" w:space="0" w:color="000000"/>
              <w:start w:val="single" w:sz="4" w:space="0" w:color="000000"/>
              <w:bottom w:val="single" w:sz="4" w:space="0" w:color="000000"/>
            </w:tcBorders>
          </w:tcPr>
          <w:p>
            <w:pPr>
              <w:pStyle w:val="TableHeading"/>
              <w:bidi w:val="0"/>
              <w:jc w:val="end"/>
              <w:rPr/>
            </w:pPr>
            <w:r>
              <w:rPr/>
              <w:t>Capacity (kWp)</w:t>
            </w:r>
          </w:p>
        </w:tc>
        <w:tc>
          <w:tcPr>
            <w:tcW w:w="831"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Annual energy (kWh)</w:t>
            </w:r>
          </w:p>
        </w:tc>
      </w:tr>
      <w:tr>
        <w:trPr/>
        <w:tc>
          <w:tcPr>
            <w:tcW w:w="830" w:type="dxa"/>
            <w:tcBorders>
              <w:start w:val="single" w:sz="4" w:space="0" w:color="000000"/>
              <w:bottom w:val="single" w:sz="4" w:space="0" w:color="000000"/>
            </w:tcBorders>
          </w:tcPr>
          <w:p>
            <w:pPr>
              <w:pStyle w:val="TableContents"/>
              <w:bidi w:val="0"/>
              <w:jc w:val="start"/>
              <w:rPr/>
            </w:pPr>
            <w:r>
              <w:rPr/>
              <w:t>IMG_2000</w:t>
            </w:r>
          </w:p>
        </w:tc>
        <w:tc>
          <w:tcPr>
            <w:tcW w:w="832" w:type="dxa"/>
            <w:tcBorders>
              <w:start w:val="single" w:sz="4" w:space="0" w:color="000000"/>
              <w:bottom w:val="single" w:sz="4" w:space="0" w:color="000000"/>
            </w:tcBorders>
          </w:tcPr>
          <w:p>
            <w:pPr>
              <w:pStyle w:val="TableContents"/>
              <w:bidi w:val="0"/>
              <w:jc w:val="end"/>
              <w:rPr/>
            </w:pPr>
            <w:r>
              <w:rPr/>
              <w:t>4</w:t>
            </w:r>
          </w:p>
        </w:tc>
        <w:tc>
          <w:tcPr>
            <w:tcW w:w="830" w:type="dxa"/>
            <w:tcBorders>
              <w:start w:val="single" w:sz="4" w:space="0" w:color="000000"/>
              <w:bottom w:val="single" w:sz="4" w:space="0" w:color="000000"/>
            </w:tcBorders>
          </w:tcPr>
          <w:p>
            <w:pPr>
              <w:pStyle w:val="TableContents"/>
              <w:bidi w:val="0"/>
              <w:jc w:val="end"/>
              <w:rPr/>
            </w:pPr>
            <w:r>
              <w:rPr/>
              <w:t>13.20</w:t>
            </w:r>
          </w:p>
        </w:tc>
        <w:tc>
          <w:tcPr>
            <w:tcW w:w="831" w:type="dxa"/>
            <w:tcBorders>
              <w:start w:val="single" w:sz="4" w:space="0" w:color="000000"/>
              <w:bottom w:val="single" w:sz="4" w:space="0" w:color="000000"/>
            </w:tcBorders>
          </w:tcPr>
          <w:p>
            <w:pPr>
              <w:pStyle w:val="TableContents"/>
              <w:bidi w:val="0"/>
              <w:jc w:val="end"/>
              <w:rPr/>
            </w:pPr>
            <w:r>
              <w:rPr/>
              <w:t>28.16</w:t>
            </w:r>
          </w:p>
        </w:tc>
        <w:tc>
          <w:tcPr>
            <w:tcW w:w="832" w:type="dxa"/>
            <w:tcBorders>
              <w:start w:val="single" w:sz="4" w:space="0" w:color="000000"/>
              <w:bottom w:val="single" w:sz="4" w:space="0" w:color="000000"/>
            </w:tcBorders>
          </w:tcPr>
          <w:p>
            <w:pPr>
              <w:pStyle w:val="TableContents"/>
              <w:bidi w:val="0"/>
              <w:jc w:val="end"/>
              <w:rPr/>
            </w:pPr>
            <w:r>
              <w:rPr/>
              <w:t>371.76</w:t>
            </w:r>
          </w:p>
        </w:tc>
        <w:tc>
          <w:tcPr>
            <w:tcW w:w="830" w:type="dxa"/>
            <w:tcBorders>
              <w:start w:val="single" w:sz="4" w:space="0" w:color="000000"/>
              <w:bottom w:val="single" w:sz="4" w:space="0" w:color="000000"/>
            </w:tcBorders>
          </w:tcPr>
          <w:p>
            <w:pPr>
              <w:pStyle w:val="TableContents"/>
              <w:bidi w:val="0"/>
              <w:jc w:val="end"/>
              <w:rPr/>
            </w:pPr>
            <w:r>
              <w:rPr/>
              <w:t>252.89</w:t>
            </w:r>
          </w:p>
        </w:tc>
        <w:tc>
          <w:tcPr>
            <w:tcW w:w="831" w:type="dxa"/>
            <w:tcBorders>
              <w:start w:val="single" w:sz="4" w:space="0" w:color="000000"/>
              <w:bottom w:val="single" w:sz="4" w:space="0" w:color="000000"/>
            </w:tcBorders>
          </w:tcPr>
          <w:p>
            <w:pPr>
              <w:pStyle w:val="TableContents"/>
              <w:bidi w:val="0"/>
              <w:jc w:val="end"/>
              <w:rPr/>
            </w:pPr>
            <w:r>
              <w:rPr/>
              <w:t>68.03</w:t>
            </w:r>
          </w:p>
        </w:tc>
        <w:tc>
          <w:tcPr>
            <w:tcW w:w="832" w:type="dxa"/>
            <w:tcBorders>
              <w:start w:val="single" w:sz="4" w:space="0" w:color="000000"/>
              <w:bottom w:val="single" w:sz="4" w:space="0" w:color="000000"/>
            </w:tcBorders>
          </w:tcPr>
          <w:p>
            <w:pPr>
              <w:pStyle w:val="TableContents"/>
              <w:bidi w:val="0"/>
              <w:jc w:val="end"/>
              <w:rPr/>
            </w:pPr>
            <w:r>
              <w:rPr/>
              <w:t>118.87</w:t>
            </w:r>
          </w:p>
        </w:tc>
        <w:tc>
          <w:tcPr>
            <w:tcW w:w="830" w:type="dxa"/>
            <w:tcBorders>
              <w:start w:val="single" w:sz="4" w:space="0" w:color="000000"/>
              <w:bottom w:val="single" w:sz="4" w:space="0" w:color="000000"/>
            </w:tcBorders>
          </w:tcPr>
          <w:p>
            <w:pPr>
              <w:pStyle w:val="TableContents"/>
              <w:bidi w:val="0"/>
              <w:jc w:val="end"/>
              <w:rPr/>
            </w:pPr>
            <w:r>
              <w:rPr/>
              <w:t>31.97</w:t>
            </w:r>
          </w:p>
        </w:tc>
        <w:tc>
          <w:tcPr>
            <w:tcW w:w="831" w:type="dxa"/>
            <w:tcBorders>
              <w:start w:val="single" w:sz="4" w:space="0" w:color="000000"/>
              <w:bottom w:val="single" w:sz="4" w:space="0" w:color="000000"/>
            </w:tcBorders>
          </w:tcPr>
          <w:p>
            <w:pPr>
              <w:pStyle w:val="TableContents"/>
              <w:bidi w:val="0"/>
              <w:jc w:val="end"/>
              <w:rPr/>
            </w:pPr>
            <w:r>
              <w:rPr/>
              <w:t>148</w:t>
            </w:r>
          </w:p>
        </w:tc>
        <w:tc>
          <w:tcPr>
            <w:tcW w:w="832" w:type="dxa"/>
            <w:tcBorders>
              <w:start w:val="single" w:sz="4" w:space="0" w:color="000000"/>
              <w:bottom w:val="single" w:sz="4" w:space="0" w:color="000000"/>
            </w:tcBorders>
          </w:tcPr>
          <w:p>
            <w:pPr>
              <w:pStyle w:val="TableContents"/>
              <w:bidi w:val="0"/>
              <w:jc w:val="end"/>
              <w:rPr/>
            </w:pPr>
            <w:r>
              <w:rPr/>
              <w:t>51.80</w:t>
            </w:r>
          </w:p>
        </w:tc>
        <w:tc>
          <w:tcPr>
            <w:tcW w:w="831" w:type="dxa"/>
            <w:tcBorders>
              <w:start w:val="single" w:sz="4" w:space="0" w:color="000000"/>
              <w:bottom w:val="single" w:sz="4" w:space="0" w:color="000000"/>
              <w:end w:val="single" w:sz="4" w:space="0" w:color="000000"/>
            </w:tcBorders>
          </w:tcPr>
          <w:p>
            <w:pPr>
              <w:pStyle w:val="TableContents"/>
              <w:bidi w:val="0"/>
              <w:jc w:val="end"/>
              <w:rPr/>
            </w:pPr>
            <w:r>
              <w:rPr/>
              <w:t>49,210.0</w:t>
            </w:r>
          </w:p>
        </w:tc>
      </w:tr>
      <w:tr>
        <w:trPr/>
        <w:tc>
          <w:tcPr>
            <w:tcW w:w="830" w:type="dxa"/>
            <w:tcBorders>
              <w:start w:val="single" w:sz="4" w:space="0" w:color="000000"/>
              <w:bottom w:val="single" w:sz="4" w:space="0" w:color="000000"/>
            </w:tcBorders>
          </w:tcPr>
          <w:p>
            <w:pPr>
              <w:pStyle w:val="TableContents"/>
              <w:bidi w:val="0"/>
              <w:jc w:val="start"/>
              <w:rPr/>
            </w:pPr>
            <w:r>
              <w:rPr/>
              <w:t>IMG_2001</w:t>
            </w:r>
          </w:p>
        </w:tc>
        <w:tc>
          <w:tcPr>
            <w:tcW w:w="832" w:type="dxa"/>
            <w:tcBorders>
              <w:start w:val="single" w:sz="4" w:space="0" w:color="000000"/>
              <w:bottom w:val="single" w:sz="4" w:space="0" w:color="000000"/>
            </w:tcBorders>
          </w:tcPr>
          <w:p>
            <w:pPr>
              <w:pStyle w:val="TableContents"/>
              <w:bidi w:val="0"/>
              <w:jc w:val="end"/>
              <w:rPr/>
            </w:pPr>
            <w:r>
              <w:rPr/>
              <w:t>6</w:t>
            </w:r>
          </w:p>
        </w:tc>
        <w:tc>
          <w:tcPr>
            <w:tcW w:w="830" w:type="dxa"/>
            <w:tcBorders>
              <w:start w:val="single" w:sz="4" w:space="0" w:color="000000"/>
              <w:bottom w:val="single" w:sz="4" w:space="0" w:color="000000"/>
            </w:tcBorders>
          </w:tcPr>
          <w:p>
            <w:pPr>
              <w:pStyle w:val="TableContents"/>
              <w:bidi w:val="0"/>
              <w:jc w:val="end"/>
              <w:rPr/>
            </w:pPr>
            <w:r>
              <w:rPr/>
              <w:t>19.80</w:t>
            </w:r>
          </w:p>
        </w:tc>
        <w:tc>
          <w:tcPr>
            <w:tcW w:w="831" w:type="dxa"/>
            <w:tcBorders>
              <w:start w:val="single" w:sz="4" w:space="0" w:color="000000"/>
              <w:bottom w:val="single" w:sz="4" w:space="0" w:color="000000"/>
            </w:tcBorders>
          </w:tcPr>
          <w:p>
            <w:pPr>
              <w:pStyle w:val="TableContents"/>
              <w:bidi w:val="0"/>
              <w:jc w:val="end"/>
              <w:rPr/>
            </w:pPr>
            <w:r>
              <w:rPr/>
              <w:t>34.34</w:t>
            </w:r>
          </w:p>
        </w:tc>
        <w:tc>
          <w:tcPr>
            <w:tcW w:w="832" w:type="dxa"/>
            <w:tcBorders>
              <w:start w:val="single" w:sz="4" w:space="0" w:color="000000"/>
              <w:bottom w:val="single" w:sz="4" w:space="0" w:color="000000"/>
            </w:tcBorders>
          </w:tcPr>
          <w:p>
            <w:pPr>
              <w:pStyle w:val="TableContents"/>
              <w:bidi w:val="0"/>
              <w:jc w:val="end"/>
              <w:rPr/>
            </w:pPr>
            <w:r>
              <w:rPr/>
              <w:t>679.84</w:t>
            </w:r>
          </w:p>
        </w:tc>
        <w:tc>
          <w:tcPr>
            <w:tcW w:w="830" w:type="dxa"/>
            <w:tcBorders>
              <w:start w:val="single" w:sz="4" w:space="0" w:color="000000"/>
              <w:bottom w:val="single" w:sz="4" w:space="0" w:color="000000"/>
            </w:tcBorders>
          </w:tcPr>
          <w:p>
            <w:pPr>
              <w:pStyle w:val="TableContents"/>
              <w:bidi w:val="0"/>
              <w:jc w:val="end"/>
              <w:rPr/>
            </w:pPr>
            <w:r>
              <w:rPr/>
              <w:t>519.16</w:t>
            </w:r>
          </w:p>
        </w:tc>
        <w:tc>
          <w:tcPr>
            <w:tcW w:w="831" w:type="dxa"/>
            <w:tcBorders>
              <w:start w:val="single" w:sz="4" w:space="0" w:color="000000"/>
              <w:bottom w:val="single" w:sz="4" w:space="0" w:color="000000"/>
            </w:tcBorders>
          </w:tcPr>
          <w:p>
            <w:pPr>
              <w:pStyle w:val="TableContents"/>
              <w:bidi w:val="0"/>
              <w:jc w:val="end"/>
              <w:rPr/>
            </w:pPr>
            <w:r>
              <w:rPr/>
              <w:t>76.36</w:t>
            </w:r>
          </w:p>
        </w:tc>
        <w:tc>
          <w:tcPr>
            <w:tcW w:w="832" w:type="dxa"/>
            <w:tcBorders>
              <w:start w:val="single" w:sz="4" w:space="0" w:color="000000"/>
              <w:bottom w:val="single" w:sz="4" w:space="0" w:color="000000"/>
            </w:tcBorders>
          </w:tcPr>
          <w:p>
            <w:pPr>
              <w:pStyle w:val="TableContents"/>
              <w:bidi w:val="0"/>
              <w:jc w:val="end"/>
              <w:rPr/>
            </w:pPr>
            <w:r>
              <w:rPr/>
              <w:t>160.68</w:t>
            </w:r>
          </w:p>
        </w:tc>
        <w:tc>
          <w:tcPr>
            <w:tcW w:w="830" w:type="dxa"/>
            <w:tcBorders>
              <w:start w:val="single" w:sz="4" w:space="0" w:color="000000"/>
              <w:bottom w:val="single" w:sz="4" w:space="0" w:color="000000"/>
            </w:tcBorders>
          </w:tcPr>
          <w:p>
            <w:pPr>
              <w:pStyle w:val="TableContents"/>
              <w:bidi w:val="0"/>
              <w:jc w:val="end"/>
              <w:rPr/>
            </w:pPr>
            <w:r>
              <w:rPr/>
              <w:t>23.64</w:t>
            </w:r>
          </w:p>
        </w:tc>
        <w:tc>
          <w:tcPr>
            <w:tcW w:w="831" w:type="dxa"/>
            <w:tcBorders>
              <w:start w:val="single" w:sz="4" w:space="0" w:color="000000"/>
              <w:bottom w:val="single" w:sz="4" w:space="0" w:color="000000"/>
            </w:tcBorders>
          </w:tcPr>
          <w:p>
            <w:pPr>
              <w:pStyle w:val="TableContents"/>
              <w:bidi w:val="0"/>
              <w:jc w:val="end"/>
              <w:rPr/>
            </w:pPr>
            <w:r>
              <w:rPr/>
              <w:t>305</w:t>
            </w:r>
          </w:p>
        </w:tc>
        <w:tc>
          <w:tcPr>
            <w:tcW w:w="832" w:type="dxa"/>
            <w:tcBorders>
              <w:start w:val="single" w:sz="4" w:space="0" w:color="000000"/>
              <w:bottom w:val="single" w:sz="4" w:space="0" w:color="000000"/>
            </w:tcBorders>
          </w:tcPr>
          <w:p>
            <w:pPr>
              <w:pStyle w:val="TableContents"/>
              <w:bidi w:val="0"/>
              <w:jc w:val="end"/>
              <w:rPr/>
            </w:pPr>
            <w:r>
              <w:rPr/>
              <w:t>106.75</w:t>
            </w:r>
          </w:p>
        </w:tc>
        <w:tc>
          <w:tcPr>
            <w:tcW w:w="831" w:type="dxa"/>
            <w:tcBorders>
              <w:start w:val="single" w:sz="4" w:space="0" w:color="000000"/>
              <w:bottom w:val="single" w:sz="4" w:space="0" w:color="000000"/>
              <w:end w:val="single" w:sz="4" w:space="0" w:color="000000"/>
            </w:tcBorders>
          </w:tcPr>
          <w:p>
            <w:pPr>
              <w:pStyle w:val="TableContents"/>
              <w:bidi w:val="0"/>
              <w:jc w:val="end"/>
              <w:rPr/>
            </w:pPr>
            <w:r>
              <w:rPr/>
              <w:t>101,412.5</w:t>
            </w:r>
          </w:p>
        </w:tc>
      </w:tr>
      <w:tr>
        <w:trPr/>
        <w:tc>
          <w:tcPr>
            <w:tcW w:w="830" w:type="dxa"/>
            <w:tcBorders>
              <w:start w:val="single" w:sz="4" w:space="0" w:color="000000"/>
              <w:bottom w:val="single" w:sz="4" w:space="0" w:color="000000"/>
            </w:tcBorders>
          </w:tcPr>
          <w:p>
            <w:pPr>
              <w:pStyle w:val="TableContents"/>
              <w:bidi w:val="0"/>
              <w:jc w:val="start"/>
              <w:rPr/>
            </w:pPr>
            <w:r>
              <w:rPr/>
              <w:t>IMG_2222</w:t>
            </w:r>
          </w:p>
        </w:tc>
        <w:tc>
          <w:tcPr>
            <w:tcW w:w="832" w:type="dxa"/>
            <w:tcBorders>
              <w:start w:val="single" w:sz="4" w:space="0" w:color="000000"/>
              <w:bottom w:val="single" w:sz="4" w:space="0" w:color="000000"/>
            </w:tcBorders>
          </w:tcPr>
          <w:p>
            <w:pPr>
              <w:pStyle w:val="TableContents"/>
              <w:bidi w:val="0"/>
              <w:jc w:val="end"/>
              <w:rPr/>
            </w:pPr>
            <w:r>
              <w:rPr/>
              <w:t>4</w:t>
            </w:r>
          </w:p>
        </w:tc>
        <w:tc>
          <w:tcPr>
            <w:tcW w:w="830" w:type="dxa"/>
            <w:tcBorders>
              <w:start w:val="single" w:sz="4" w:space="0" w:color="000000"/>
              <w:bottom w:val="single" w:sz="4" w:space="0" w:color="000000"/>
            </w:tcBorders>
          </w:tcPr>
          <w:p>
            <w:pPr>
              <w:pStyle w:val="TableContents"/>
              <w:bidi w:val="0"/>
              <w:jc w:val="end"/>
              <w:rPr/>
            </w:pPr>
            <w:r>
              <w:rPr/>
              <w:t>13.20</w:t>
            </w:r>
          </w:p>
        </w:tc>
        <w:tc>
          <w:tcPr>
            <w:tcW w:w="831" w:type="dxa"/>
            <w:tcBorders>
              <w:start w:val="single" w:sz="4" w:space="0" w:color="000000"/>
              <w:bottom w:val="single" w:sz="4" w:space="0" w:color="000000"/>
            </w:tcBorders>
          </w:tcPr>
          <w:p>
            <w:pPr>
              <w:pStyle w:val="TableContents"/>
              <w:bidi w:val="0"/>
              <w:jc w:val="end"/>
              <w:rPr/>
            </w:pPr>
            <w:r>
              <w:rPr/>
              <w:t>21.48</w:t>
            </w:r>
          </w:p>
        </w:tc>
        <w:tc>
          <w:tcPr>
            <w:tcW w:w="832" w:type="dxa"/>
            <w:tcBorders>
              <w:start w:val="single" w:sz="4" w:space="0" w:color="000000"/>
              <w:bottom w:val="single" w:sz="4" w:space="0" w:color="000000"/>
            </w:tcBorders>
          </w:tcPr>
          <w:p>
            <w:pPr>
              <w:pStyle w:val="TableContents"/>
              <w:bidi w:val="0"/>
              <w:jc w:val="end"/>
              <w:rPr/>
            </w:pPr>
            <w:r>
              <w:rPr/>
              <w:t>283.51</w:t>
            </w:r>
          </w:p>
        </w:tc>
        <w:tc>
          <w:tcPr>
            <w:tcW w:w="830" w:type="dxa"/>
            <w:tcBorders>
              <w:start w:val="single" w:sz="4" w:space="0" w:color="000000"/>
              <w:bottom w:val="single" w:sz="4" w:space="0" w:color="000000"/>
            </w:tcBorders>
          </w:tcPr>
          <w:p>
            <w:pPr>
              <w:pStyle w:val="TableContents"/>
              <w:bidi w:val="0"/>
              <w:jc w:val="end"/>
              <w:rPr/>
            </w:pPr>
            <w:r>
              <w:rPr/>
              <w:t>216.92</w:t>
            </w:r>
          </w:p>
        </w:tc>
        <w:tc>
          <w:tcPr>
            <w:tcW w:w="831" w:type="dxa"/>
            <w:tcBorders>
              <w:start w:val="single" w:sz="4" w:space="0" w:color="000000"/>
              <w:bottom w:val="single" w:sz="4" w:space="0" w:color="000000"/>
            </w:tcBorders>
          </w:tcPr>
          <w:p>
            <w:pPr>
              <w:pStyle w:val="TableContents"/>
              <w:bidi w:val="0"/>
              <w:jc w:val="end"/>
              <w:rPr/>
            </w:pPr>
            <w:r>
              <w:rPr/>
              <w:t>76.51</w:t>
            </w:r>
          </w:p>
        </w:tc>
        <w:tc>
          <w:tcPr>
            <w:tcW w:w="832" w:type="dxa"/>
            <w:tcBorders>
              <w:start w:val="single" w:sz="4" w:space="0" w:color="000000"/>
              <w:bottom w:val="single" w:sz="4" w:space="0" w:color="000000"/>
            </w:tcBorders>
          </w:tcPr>
          <w:p>
            <w:pPr>
              <w:pStyle w:val="TableContents"/>
              <w:bidi w:val="0"/>
              <w:jc w:val="end"/>
              <w:rPr/>
            </w:pPr>
            <w:r>
              <w:rPr/>
              <w:t>66.59</w:t>
            </w:r>
          </w:p>
        </w:tc>
        <w:tc>
          <w:tcPr>
            <w:tcW w:w="830" w:type="dxa"/>
            <w:tcBorders>
              <w:start w:val="single" w:sz="4" w:space="0" w:color="000000"/>
              <w:bottom w:val="single" w:sz="4" w:space="0" w:color="000000"/>
            </w:tcBorders>
          </w:tcPr>
          <w:p>
            <w:pPr>
              <w:pStyle w:val="TableContents"/>
              <w:bidi w:val="0"/>
              <w:jc w:val="end"/>
              <w:rPr/>
            </w:pPr>
            <w:r>
              <w:rPr/>
              <w:t>23.49</w:t>
            </w:r>
          </w:p>
        </w:tc>
        <w:tc>
          <w:tcPr>
            <w:tcW w:w="831" w:type="dxa"/>
            <w:tcBorders>
              <w:start w:val="single" w:sz="4" w:space="0" w:color="000000"/>
              <w:bottom w:val="single" w:sz="4" w:space="0" w:color="000000"/>
            </w:tcBorders>
          </w:tcPr>
          <w:p>
            <w:pPr>
              <w:pStyle w:val="TableContents"/>
              <w:bidi w:val="0"/>
              <w:jc w:val="end"/>
              <w:rPr/>
            </w:pPr>
            <w:r>
              <w:rPr/>
              <w:t>127</w:t>
            </w:r>
          </w:p>
        </w:tc>
        <w:tc>
          <w:tcPr>
            <w:tcW w:w="832" w:type="dxa"/>
            <w:tcBorders>
              <w:start w:val="single" w:sz="4" w:space="0" w:color="000000"/>
              <w:bottom w:val="single" w:sz="4" w:space="0" w:color="000000"/>
            </w:tcBorders>
          </w:tcPr>
          <w:p>
            <w:pPr>
              <w:pStyle w:val="TableContents"/>
              <w:bidi w:val="0"/>
              <w:jc w:val="end"/>
              <w:rPr/>
            </w:pPr>
            <w:r>
              <w:rPr/>
              <w:t>44.45</w:t>
            </w:r>
          </w:p>
        </w:tc>
        <w:tc>
          <w:tcPr>
            <w:tcW w:w="831" w:type="dxa"/>
            <w:tcBorders>
              <w:start w:val="single" w:sz="4" w:space="0" w:color="000000"/>
              <w:bottom w:val="single" w:sz="4" w:space="0" w:color="000000"/>
              <w:end w:val="single" w:sz="4" w:space="0" w:color="000000"/>
            </w:tcBorders>
          </w:tcPr>
          <w:p>
            <w:pPr>
              <w:pStyle w:val="TableContents"/>
              <w:bidi w:val="0"/>
              <w:jc w:val="end"/>
              <w:rPr/>
            </w:pPr>
            <w:r>
              <w:rPr/>
              <w:t>42,227.5</w:t>
            </w:r>
          </w:p>
        </w:tc>
      </w:tr>
      <w:tr>
        <w:trPr/>
        <w:tc>
          <w:tcPr>
            <w:tcW w:w="830" w:type="dxa"/>
            <w:tcBorders>
              <w:start w:val="single" w:sz="4" w:space="0" w:color="000000"/>
              <w:bottom w:val="single" w:sz="4" w:space="0" w:color="000000"/>
            </w:tcBorders>
          </w:tcPr>
          <w:p>
            <w:pPr>
              <w:pStyle w:val="TableContents"/>
              <w:bidi w:val="0"/>
              <w:jc w:val="start"/>
              <w:rPr/>
            </w:pPr>
            <w:r>
              <w:rPr/>
              <w:t>IMG_6387</w:t>
            </w:r>
          </w:p>
        </w:tc>
        <w:tc>
          <w:tcPr>
            <w:tcW w:w="832" w:type="dxa"/>
            <w:tcBorders>
              <w:start w:val="single" w:sz="4" w:space="0" w:color="000000"/>
              <w:bottom w:val="single" w:sz="4" w:space="0" w:color="000000"/>
            </w:tcBorders>
          </w:tcPr>
          <w:p>
            <w:pPr>
              <w:pStyle w:val="TableContents"/>
              <w:bidi w:val="0"/>
              <w:jc w:val="end"/>
              <w:rPr/>
            </w:pPr>
            <w:r>
              <w:rPr/>
              <w:t>4</w:t>
            </w:r>
          </w:p>
        </w:tc>
        <w:tc>
          <w:tcPr>
            <w:tcW w:w="830" w:type="dxa"/>
            <w:tcBorders>
              <w:start w:val="single" w:sz="4" w:space="0" w:color="000000"/>
              <w:bottom w:val="single" w:sz="4" w:space="0" w:color="000000"/>
            </w:tcBorders>
          </w:tcPr>
          <w:p>
            <w:pPr>
              <w:pStyle w:val="TableContents"/>
              <w:bidi w:val="0"/>
              <w:jc w:val="end"/>
              <w:rPr/>
            </w:pPr>
            <w:r>
              <w:rPr/>
              <w:t>12.40</w:t>
            </w:r>
          </w:p>
        </w:tc>
        <w:tc>
          <w:tcPr>
            <w:tcW w:w="831" w:type="dxa"/>
            <w:tcBorders>
              <w:start w:val="single" w:sz="4" w:space="0" w:color="000000"/>
              <w:bottom w:val="single" w:sz="4" w:space="0" w:color="000000"/>
            </w:tcBorders>
          </w:tcPr>
          <w:p>
            <w:pPr>
              <w:pStyle w:val="TableContents"/>
              <w:bidi w:val="0"/>
              <w:jc w:val="end"/>
              <w:rPr/>
            </w:pPr>
            <w:r>
              <w:rPr/>
              <w:t>18.19</w:t>
            </w:r>
          </w:p>
        </w:tc>
        <w:tc>
          <w:tcPr>
            <w:tcW w:w="832" w:type="dxa"/>
            <w:tcBorders>
              <w:start w:val="single" w:sz="4" w:space="0" w:color="000000"/>
              <w:bottom w:val="single" w:sz="4" w:space="0" w:color="000000"/>
            </w:tcBorders>
          </w:tcPr>
          <w:p>
            <w:pPr>
              <w:pStyle w:val="TableContents"/>
              <w:bidi w:val="0"/>
              <w:jc w:val="end"/>
              <w:rPr/>
            </w:pPr>
            <w:r>
              <w:rPr/>
              <w:t>225.54</w:t>
            </w:r>
          </w:p>
        </w:tc>
        <w:tc>
          <w:tcPr>
            <w:tcW w:w="830" w:type="dxa"/>
            <w:tcBorders>
              <w:start w:val="single" w:sz="4" w:space="0" w:color="000000"/>
              <w:bottom w:val="single" w:sz="4" w:space="0" w:color="000000"/>
            </w:tcBorders>
          </w:tcPr>
          <w:p>
            <w:pPr>
              <w:pStyle w:val="TableContents"/>
              <w:bidi w:val="0"/>
              <w:jc w:val="end"/>
              <w:rPr/>
            </w:pPr>
            <w:r>
              <w:rPr/>
              <w:t>179.43</w:t>
            </w:r>
          </w:p>
        </w:tc>
        <w:tc>
          <w:tcPr>
            <w:tcW w:w="831" w:type="dxa"/>
            <w:tcBorders>
              <w:start w:val="single" w:sz="4" w:space="0" w:color="000000"/>
              <w:bottom w:val="single" w:sz="4" w:space="0" w:color="000000"/>
            </w:tcBorders>
          </w:tcPr>
          <w:p>
            <w:pPr>
              <w:pStyle w:val="TableContents"/>
              <w:bidi w:val="0"/>
              <w:jc w:val="end"/>
              <w:rPr/>
            </w:pPr>
            <w:r>
              <w:rPr/>
              <w:t>79.55</w:t>
            </w:r>
          </w:p>
        </w:tc>
        <w:tc>
          <w:tcPr>
            <w:tcW w:w="832" w:type="dxa"/>
            <w:tcBorders>
              <w:start w:val="single" w:sz="4" w:space="0" w:color="000000"/>
              <w:bottom w:val="single" w:sz="4" w:space="0" w:color="000000"/>
            </w:tcBorders>
          </w:tcPr>
          <w:p>
            <w:pPr>
              <w:pStyle w:val="TableContents"/>
              <w:bidi w:val="0"/>
              <w:jc w:val="end"/>
              <w:rPr/>
            </w:pPr>
            <w:r>
              <w:rPr/>
              <w:t>46.11</w:t>
            </w:r>
          </w:p>
        </w:tc>
        <w:tc>
          <w:tcPr>
            <w:tcW w:w="830" w:type="dxa"/>
            <w:tcBorders>
              <w:start w:val="single" w:sz="4" w:space="0" w:color="000000"/>
              <w:bottom w:val="single" w:sz="4" w:space="0" w:color="000000"/>
            </w:tcBorders>
          </w:tcPr>
          <w:p>
            <w:pPr>
              <w:pStyle w:val="TableContents"/>
              <w:bidi w:val="0"/>
              <w:jc w:val="end"/>
              <w:rPr/>
            </w:pPr>
            <w:r>
              <w:rPr/>
              <w:t>20.45</w:t>
            </w:r>
          </w:p>
        </w:tc>
        <w:tc>
          <w:tcPr>
            <w:tcW w:w="831" w:type="dxa"/>
            <w:tcBorders>
              <w:start w:val="single" w:sz="4" w:space="0" w:color="000000"/>
              <w:bottom w:val="single" w:sz="4" w:space="0" w:color="000000"/>
            </w:tcBorders>
          </w:tcPr>
          <w:p>
            <w:pPr>
              <w:pStyle w:val="TableContents"/>
              <w:bidi w:val="0"/>
              <w:jc w:val="end"/>
              <w:rPr/>
            </w:pPr>
            <w:r>
              <w:rPr/>
              <w:t>105</w:t>
            </w:r>
          </w:p>
        </w:tc>
        <w:tc>
          <w:tcPr>
            <w:tcW w:w="832" w:type="dxa"/>
            <w:tcBorders>
              <w:start w:val="single" w:sz="4" w:space="0" w:color="000000"/>
              <w:bottom w:val="single" w:sz="4" w:space="0" w:color="000000"/>
            </w:tcBorders>
          </w:tcPr>
          <w:p>
            <w:pPr>
              <w:pStyle w:val="TableContents"/>
              <w:bidi w:val="0"/>
              <w:jc w:val="end"/>
              <w:rPr/>
            </w:pPr>
            <w:r>
              <w:rPr/>
              <w:t>36.75</w:t>
            </w:r>
          </w:p>
        </w:tc>
        <w:tc>
          <w:tcPr>
            <w:tcW w:w="831" w:type="dxa"/>
            <w:tcBorders>
              <w:start w:val="single" w:sz="4" w:space="0" w:color="000000"/>
              <w:bottom w:val="single" w:sz="4" w:space="0" w:color="000000"/>
              <w:end w:val="single" w:sz="4" w:space="0" w:color="000000"/>
            </w:tcBorders>
          </w:tcPr>
          <w:p>
            <w:pPr>
              <w:pStyle w:val="TableContents"/>
              <w:bidi w:val="0"/>
              <w:jc w:val="end"/>
              <w:rPr/>
            </w:pPr>
            <w:r>
              <w:rPr/>
              <w:t>34,912.5</w:t>
            </w:r>
          </w:p>
        </w:tc>
      </w:tr>
      <w:tr>
        <w:trPr/>
        <w:tc>
          <w:tcPr>
            <w:tcW w:w="830" w:type="dxa"/>
            <w:tcBorders>
              <w:start w:val="single" w:sz="4" w:space="0" w:color="000000"/>
              <w:bottom w:val="single" w:sz="4" w:space="0" w:color="000000"/>
            </w:tcBorders>
          </w:tcPr>
          <w:p>
            <w:pPr>
              <w:pStyle w:val="TableContents"/>
              <w:bidi w:val="0"/>
              <w:jc w:val="start"/>
              <w:rPr/>
            </w:pPr>
            <w:r>
              <w:rPr/>
              <w:t>IMG_0000</w:t>
            </w:r>
          </w:p>
        </w:tc>
        <w:tc>
          <w:tcPr>
            <w:tcW w:w="832" w:type="dxa"/>
            <w:tcBorders>
              <w:start w:val="single" w:sz="4" w:space="0" w:color="000000"/>
              <w:bottom w:val="single" w:sz="4" w:space="0" w:color="000000"/>
            </w:tcBorders>
          </w:tcPr>
          <w:p>
            <w:pPr>
              <w:pStyle w:val="TableContents"/>
              <w:bidi w:val="0"/>
              <w:jc w:val="end"/>
              <w:rPr/>
            </w:pPr>
            <w:r>
              <w:rPr/>
              <w:t>15</w:t>
            </w:r>
          </w:p>
        </w:tc>
        <w:tc>
          <w:tcPr>
            <w:tcW w:w="830" w:type="dxa"/>
            <w:tcBorders>
              <w:start w:val="single" w:sz="4" w:space="0" w:color="000000"/>
              <w:bottom w:val="single" w:sz="4" w:space="0" w:color="000000"/>
            </w:tcBorders>
          </w:tcPr>
          <w:p>
            <w:pPr>
              <w:pStyle w:val="TableContents"/>
              <w:bidi w:val="0"/>
              <w:jc w:val="end"/>
              <w:rPr/>
            </w:pPr>
            <w:r>
              <w:rPr/>
              <w:t>51.00</w:t>
            </w:r>
          </w:p>
        </w:tc>
        <w:tc>
          <w:tcPr>
            <w:tcW w:w="831" w:type="dxa"/>
            <w:tcBorders>
              <w:start w:val="single" w:sz="4" w:space="0" w:color="000000"/>
              <w:bottom w:val="single" w:sz="4" w:space="0" w:color="000000"/>
            </w:tcBorders>
          </w:tcPr>
          <w:p>
            <w:pPr>
              <w:pStyle w:val="TableContents"/>
              <w:bidi w:val="0"/>
              <w:jc w:val="end"/>
              <w:rPr/>
            </w:pPr>
            <w:r>
              <w:rPr/>
              <w:t>31.01</w:t>
            </w:r>
          </w:p>
        </w:tc>
        <w:tc>
          <w:tcPr>
            <w:tcW w:w="832" w:type="dxa"/>
            <w:tcBorders>
              <w:start w:val="single" w:sz="4" w:space="0" w:color="000000"/>
              <w:bottom w:val="single" w:sz="4" w:space="0" w:color="000000"/>
            </w:tcBorders>
          </w:tcPr>
          <w:p>
            <w:pPr>
              <w:pStyle w:val="TableContents"/>
              <w:bidi w:val="0"/>
              <w:jc w:val="end"/>
              <w:rPr/>
            </w:pPr>
            <w:r>
              <w:rPr/>
              <w:t>1,581.34</w:t>
            </w:r>
          </w:p>
        </w:tc>
        <w:tc>
          <w:tcPr>
            <w:tcW w:w="830" w:type="dxa"/>
            <w:tcBorders>
              <w:start w:val="single" w:sz="4" w:space="0" w:color="000000"/>
              <w:bottom w:val="single" w:sz="4" w:space="0" w:color="000000"/>
            </w:tcBorders>
          </w:tcPr>
          <w:p>
            <w:pPr>
              <w:pStyle w:val="TableContents"/>
              <w:bidi w:val="0"/>
              <w:jc w:val="end"/>
              <w:rPr/>
            </w:pPr>
            <w:r>
              <w:rPr/>
              <w:t>1,395.60</w:t>
            </w:r>
          </w:p>
        </w:tc>
        <w:tc>
          <w:tcPr>
            <w:tcW w:w="831" w:type="dxa"/>
            <w:tcBorders>
              <w:start w:val="single" w:sz="4" w:space="0" w:color="000000"/>
              <w:bottom w:val="single" w:sz="4" w:space="0" w:color="000000"/>
            </w:tcBorders>
          </w:tcPr>
          <w:p>
            <w:pPr>
              <w:pStyle w:val="TableContents"/>
              <w:bidi w:val="0"/>
              <w:jc w:val="end"/>
              <w:rPr/>
            </w:pPr>
            <w:r>
              <w:rPr/>
              <w:t>88.25</w:t>
            </w:r>
          </w:p>
        </w:tc>
        <w:tc>
          <w:tcPr>
            <w:tcW w:w="832" w:type="dxa"/>
            <w:tcBorders>
              <w:start w:val="single" w:sz="4" w:space="0" w:color="000000"/>
              <w:bottom w:val="single" w:sz="4" w:space="0" w:color="000000"/>
            </w:tcBorders>
          </w:tcPr>
          <w:p>
            <w:pPr>
              <w:pStyle w:val="TableContents"/>
              <w:bidi w:val="0"/>
              <w:jc w:val="end"/>
              <w:rPr/>
            </w:pPr>
            <w:r>
              <w:rPr/>
              <w:t>185.74</w:t>
            </w:r>
          </w:p>
        </w:tc>
        <w:tc>
          <w:tcPr>
            <w:tcW w:w="830" w:type="dxa"/>
            <w:tcBorders>
              <w:start w:val="single" w:sz="4" w:space="0" w:color="000000"/>
              <w:bottom w:val="single" w:sz="4" w:space="0" w:color="000000"/>
            </w:tcBorders>
          </w:tcPr>
          <w:p>
            <w:pPr>
              <w:pStyle w:val="TableContents"/>
              <w:bidi w:val="0"/>
              <w:jc w:val="end"/>
              <w:rPr/>
            </w:pPr>
            <w:r>
              <w:rPr/>
              <w:t>11.75</w:t>
            </w:r>
          </w:p>
        </w:tc>
        <w:tc>
          <w:tcPr>
            <w:tcW w:w="831" w:type="dxa"/>
            <w:tcBorders>
              <w:start w:val="single" w:sz="4" w:space="0" w:color="000000"/>
              <w:bottom w:val="single" w:sz="4" w:space="0" w:color="000000"/>
            </w:tcBorders>
          </w:tcPr>
          <w:p>
            <w:pPr>
              <w:pStyle w:val="TableContents"/>
              <w:bidi w:val="0"/>
              <w:jc w:val="end"/>
              <w:rPr/>
            </w:pPr>
            <w:r>
              <w:rPr/>
              <w:t>820</w:t>
            </w:r>
          </w:p>
        </w:tc>
        <w:tc>
          <w:tcPr>
            <w:tcW w:w="832" w:type="dxa"/>
            <w:tcBorders>
              <w:start w:val="single" w:sz="4" w:space="0" w:color="000000"/>
              <w:bottom w:val="single" w:sz="4" w:space="0" w:color="000000"/>
            </w:tcBorders>
          </w:tcPr>
          <w:p>
            <w:pPr>
              <w:pStyle w:val="TableContents"/>
              <w:bidi w:val="0"/>
              <w:jc w:val="end"/>
              <w:rPr/>
            </w:pPr>
            <w:r>
              <w:rPr/>
              <w:t>287.00</w:t>
            </w:r>
          </w:p>
        </w:tc>
        <w:tc>
          <w:tcPr>
            <w:tcW w:w="831" w:type="dxa"/>
            <w:tcBorders>
              <w:start w:val="single" w:sz="4" w:space="0" w:color="000000"/>
              <w:bottom w:val="single" w:sz="4" w:space="0" w:color="000000"/>
              <w:end w:val="single" w:sz="4" w:space="0" w:color="000000"/>
            </w:tcBorders>
          </w:tcPr>
          <w:p>
            <w:pPr>
              <w:pStyle w:val="TableContents"/>
              <w:bidi w:val="0"/>
              <w:jc w:val="end"/>
              <w:rPr/>
            </w:pPr>
            <w:r>
              <w:rPr/>
              <w:t>272,650.0</w:t>
            </w:r>
          </w:p>
        </w:tc>
      </w:tr>
      <w:tr>
        <w:trPr/>
        <w:tc>
          <w:tcPr>
            <w:tcW w:w="830" w:type="dxa"/>
            <w:tcBorders>
              <w:start w:val="single" w:sz="4" w:space="0" w:color="000000"/>
              <w:bottom w:val="single" w:sz="4" w:space="0" w:color="000000"/>
            </w:tcBorders>
          </w:tcPr>
          <w:p>
            <w:pPr>
              <w:pStyle w:val="TableContents"/>
              <w:bidi w:val="0"/>
              <w:jc w:val="start"/>
              <w:rPr/>
            </w:pPr>
            <w:r>
              <w:rPr>
                <w:b/>
              </w:rPr>
              <w:t>Total</w:t>
            </w:r>
          </w:p>
        </w:tc>
        <w:tc>
          <w:tcPr>
            <w:tcW w:w="832" w:type="dxa"/>
            <w:tcBorders>
              <w:start w:val="single" w:sz="4" w:space="0" w:color="000000"/>
              <w:bottom w:val="single" w:sz="4" w:space="0" w:color="000000"/>
            </w:tcBorders>
          </w:tcPr>
          <w:p>
            <w:pPr>
              <w:pStyle w:val="TableContents"/>
              <w:bidi w:val="0"/>
              <w:jc w:val="end"/>
              <w:rPr/>
            </w:pPr>
            <w:r>
              <w:rPr/>
              <w:t>—</w:t>
            </w:r>
          </w:p>
        </w:tc>
        <w:tc>
          <w:tcPr>
            <w:tcW w:w="830" w:type="dxa"/>
            <w:tcBorders>
              <w:start w:val="single" w:sz="4" w:space="0" w:color="000000"/>
              <w:bottom w:val="single" w:sz="4" w:space="0" w:color="000000"/>
            </w:tcBorders>
          </w:tcPr>
          <w:p>
            <w:pPr>
              <w:pStyle w:val="TableContents"/>
              <w:bidi w:val="0"/>
              <w:jc w:val="end"/>
              <w:rPr/>
            </w:pPr>
            <w:r>
              <w:rPr/>
              <w:t>—</w:t>
            </w:r>
          </w:p>
        </w:tc>
        <w:tc>
          <w:tcPr>
            <w:tcW w:w="831" w:type="dxa"/>
            <w:tcBorders>
              <w:start w:val="single" w:sz="4" w:space="0" w:color="000000"/>
              <w:bottom w:val="single" w:sz="4" w:space="0" w:color="000000"/>
            </w:tcBorders>
          </w:tcPr>
          <w:p>
            <w:pPr>
              <w:pStyle w:val="TableContents"/>
              <w:bidi w:val="0"/>
              <w:jc w:val="end"/>
              <w:rPr/>
            </w:pPr>
            <w:r>
              <w:rPr/>
              <w:t>—</w:t>
            </w:r>
          </w:p>
        </w:tc>
        <w:tc>
          <w:tcPr>
            <w:tcW w:w="832" w:type="dxa"/>
            <w:tcBorders>
              <w:start w:val="single" w:sz="4" w:space="0" w:color="000000"/>
              <w:bottom w:val="single" w:sz="4" w:space="0" w:color="000000"/>
            </w:tcBorders>
          </w:tcPr>
          <w:p>
            <w:pPr>
              <w:pStyle w:val="TableContents"/>
              <w:bidi w:val="0"/>
              <w:jc w:val="start"/>
              <w:rPr/>
            </w:pPr>
            <w:r>
              <w:rPr>
                <w:b/>
              </w:rPr>
              <w:t>3,141.99</w:t>
            </w:r>
          </w:p>
        </w:tc>
        <w:tc>
          <w:tcPr>
            <w:tcW w:w="830" w:type="dxa"/>
            <w:tcBorders>
              <w:start w:val="single" w:sz="4" w:space="0" w:color="000000"/>
              <w:bottom w:val="single" w:sz="4" w:space="0" w:color="000000"/>
            </w:tcBorders>
          </w:tcPr>
          <w:p>
            <w:pPr>
              <w:pStyle w:val="TableContents"/>
              <w:bidi w:val="0"/>
              <w:jc w:val="start"/>
              <w:rPr/>
            </w:pPr>
            <w:r>
              <w:rPr>
                <w:b/>
              </w:rPr>
              <w:t>2,564.00</w:t>
            </w:r>
          </w:p>
        </w:tc>
        <w:tc>
          <w:tcPr>
            <w:tcW w:w="831" w:type="dxa"/>
            <w:tcBorders>
              <w:start w:val="single" w:sz="4" w:space="0" w:color="000000"/>
              <w:bottom w:val="single" w:sz="4" w:space="0" w:color="000000"/>
            </w:tcBorders>
          </w:tcPr>
          <w:p>
            <w:pPr>
              <w:pStyle w:val="TableContents"/>
              <w:bidi w:val="0"/>
              <w:jc w:val="start"/>
              <w:rPr/>
            </w:pPr>
            <w:r>
              <w:rPr>
                <w:b/>
              </w:rPr>
              <w:t>81.60</w:t>
            </w:r>
          </w:p>
        </w:tc>
        <w:tc>
          <w:tcPr>
            <w:tcW w:w="832" w:type="dxa"/>
            <w:tcBorders>
              <w:start w:val="single" w:sz="4" w:space="0" w:color="000000"/>
              <w:bottom w:val="single" w:sz="4" w:space="0" w:color="000000"/>
            </w:tcBorders>
          </w:tcPr>
          <w:p>
            <w:pPr>
              <w:pStyle w:val="TableContents"/>
              <w:bidi w:val="0"/>
              <w:jc w:val="start"/>
              <w:rPr/>
            </w:pPr>
            <w:r>
              <w:rPr>
                <w:b/>
              </w:rPr>
              <w:t>578.00</w:t>
            </w:r>
          </w:p>
        </w:tc>
        <w:tc>
          <w:tcPr>
            <w:tcW w:w="830" w:type="dxa"/>
            <w:tcBorders>
              <w:start w:val="single" w:sz="4" w:space="0" w:color="000000"/>
              <w:bottom w:val="single" w:sz="4" w:space="0" w:color="000000"/>
            </w:tcBorders>
          </w:tcPr>
          <w:p>
            <w:pPr>
              <w:pStyle w:val="TableContents"/>
              <w:bidi w:val="0"/>
              <w:jc w:val="start"/>
              <w:rPr/>
            </w:pPr>
            <w:r>
              <w:rPr>
                <w:b/>
              </w:rPr>
              <w:t>18.40</w:t>
            </w:r>
          </w:p>
        </w:tc>
        <w:tc>
          <w:tcPr>
            <w:tcW w:w="831" w:type="dxa"/>
            <w:tcBorders>
              <w:start w:val="single" w:sz="4" w:space="0" w:color="000000"/>
              <w:bottom w:val="single" w:sz="4" w:space="0" w:color="000000"/>
            </w:tcBorders>
          </w:tcPr>
          <w:p>
            <w:pPr>
              <w:pStyle w:val="TableContents"/>
              <w:bidi w:val="0"/>
              <w:jc w:val="start"/>
              <w:rPr/>
            </w:pPr>
            <w:r>
              <w:rPr>
                <w:b/>
              </w:rPr>
              <w:t>1,505</w:t>
            </w:r>
          </w:p>
        </w:tc>
        <w:tc>
          <w:tcPr>
            <w:tcW w:w="832" w:type="dxa"/>
            <w:tcBorders>
              <w:start w:val="single" w:sz="4" w:space="0" w:color="000000"/>
              <w:bottom w:val="single" w:sz="4" w:space="0" w:color="000000"/>
            </w:tcBorders>
          </w:tcPr>
          <w:p>
            <w:pPr>
              <w:pStyle w:val="TableContents"/>
              <w:bidi w:val="0"/>
              <w:jc w:val="start"/>
              <w:rPr/>
            </w:pPr>
            <w:r>
              <w:rPr>
                <w:b/>
              </w:rPr>
              <w:t>526.75</w:t>
            </w:r>
          </w:p>
        </w:tc>
        <w:tc>
          <w:tcPr>
            <w:tcW w:w="831" w:type="dxa"/>
            <w:tcBorders>
              <w:start w:val="single" w:sz="4" w:space="0" w:color="000000"/>
              <w:bottom w:val="single" w:sz="4" w:space="0" w:color="000000"/>
              <w:end w:val="single" w:sz="4" w:space="0" w:color="000000"/>
            </w:tcBorders>
          </w:tcPr>
          <w:p>
            <w:pPr>
              <w:pStyle w:val="TableContents"/>
              <w:bidi w:val="0"/>
              <w:jc w:val="start"/>
              <w:rPr/>
            </w:pPr>
            <w:r>
              <w:rPr>
                <w:b/>
              </w:rPr>
              <w:t>500,412.5</w:t>
            </w:r>
          </w:p>
        </w:tc>
      </w:tr>
    </w:tbl>
    <w:p>
      <w:pPr>
        <w:pStyle w:val="BodyText"/>
        <w:bidi w:val="0"/>
        <w:jc w:val="start"/>
        <w:rPr/>
      </w:pPr>
      <w:r>
        <w:rPr/>
      </w:r>
    </w:p>
    <w:p>
      <w:pPr>
        <w:pStyle w:val="Heading2"/>
        <w:numPr>
          <w:ilvl w:val="1"/>
          <w:numId w:val="1"/>
        </w:numPr>
        <w:bidi w:val="0"/>
        <w:ind w:hanging="0" w:start="0"/>
        <w:jc w:val="start"/>
        <w:rPr/>
      </w:pPr>
      <w:r>
        <w:rPr/>
        <w:t>15. Worked Example: IMG_2000</w:t>
      </w:r>
    </w:p>
    <w:p>
      <w:pPr>
        <w:pStyle w:val="Heading3"/>
        <w:numPr>
          <w:ilvl w:val="2"/>
          <w:numId w:val="1"/>
        </w:numPr>
        <w:bidi w:val="0"/>
        <w:ind w:hanging="0" w:start="0"/>
        <w:jc w:val="start"/>
        <w:rPr/>
      </w:pPr>
      <w:r>
        <w:rPr/>
        <w:t>Step 1: Floor count</w:t>
      </w:r>
    </w:p>
    <w:p>
      <w:pPr>
        <w:pStyle w:val="PreformattedText"/>
        <w:shd w:val="clear" w:fill="E1E1E1"/>
        <w:bidi w:val="0"/>
        <w:spacing w:before="0" w:after="283"/>
        <w:jc w:val="start"/>
        <w:rPr/>
      </w:pPr>
      <w:r>
        <w:rPr/>
        <w:t>Detected floors = 4</w:t>
      </w:r>
    </w:p>
    <w:p>
      <w:pPr>
        <w:pStyle w:val="Heading3"/>
        <w:numPr>
          <w:ilvl w:val="2"/>
          <w:numId w:val="1"/>
        </w:numPr>
        <w:bidi w:val="0"/>
        <w:ind w:hanging="0" w:start="0"/>
        <w:jc w:val="start"/>
        <w:rPr/>
      </w:pPr>
      <w:r>
        <w:rPr/>
        <w:t>Step 2: Facade height</w:t>
      </w:r>
    </w:p>
    <w:p>
      <w:pPr>
        <w:pStyle w:val="PreformattedText"/>
        <w:shd w:val="clear" w:fill="E1E1E1"/>
        <w:bidi w:val="0"/>
        <w:spacing w:before="0" w:after="283"/>
        <w:jc w:val="start"/>
        <w:rPr/>
      </w:pPr>
      <w:r>
        <w:rPr/>
        <w:t>Floor height prior = 3.3 m</w:t>
        <w:br/>
        <w:br/>
        <w:t>Height = 4 × 3.3</w:t>
        <w:br/>
        <w:t xml:space="preserve">       = 13.2 m</w:t>
      </w:r>
    </w:p>
    <w:p>
      <w:pPr>
        <w:pStyle w:val="Heading3"/>
        <w:numPr>
          <w:ilvl w:val="2"/>
          <w:numId w:val="1"/>
        </w:numPr>
        <w:bidi w:val="0"/>
        <w:ind w:hanging="0" w:start="0"/>
        <w:jc w:val="start"/>
        <w:rPr/>
      </w:pPr>
      <w:r>
        <w:rPr/>
        <w:t>Step 3: Facade width</w:t>
      </w:r>
    </w:p>
    <w:p>
      <w:pPr>
        <w:pStyle w:val="PreformattedText"/>
        <w:shd w:val="clear" w:fill="E1E1E1"/>
        <w:bidi w:val="0"/>
        <w:spacing w:before="0" w:after="283"/>
        <w:jc w:val="start"/>
        <w:rPr/>
      </w:pPr>
      <w:r>
        <w:rPr/>
        <w:t>Width = 28.16 m</w:t>
      </w:r>
    </w:p>
    <w:p>
      <w:pPr>
        <w:pStyle w:val="BodyText"/>
        <w:bidi w:val="0"/>
        <w:jc w:val="start"/>
        <w:rPr/>
      </w:pPr>
      <w:r>
        <w:rPr/>
        <w:t>This was obtained from the rectified facade mask width and the pixel-to-metre scale.</w:t>
      </w:r>
    </w:p>
    <w:p>
      <w:pPr>
        <w:pStyle w:val="Heading3"/>
        <w:numPr>
          <w:ilvl w:val="2"/>
          <w:numId w:val="1"/>
        </w:numPr>
        <w:bidi w:val="0"/>
        <w:ind w:hanging="0" w:start="0"/>
        <w:jc w:val="start"/>
        <w:rPr/>
      </w:pPr>
      <w:r>
        <w:rPr/>
        <w:t>Step 4: Total facade area</w:t>
      </w:r>
    </w:p>
    <w:p>
      <w:pPr>
        <w:pStyle w:val="PreformattedText"/>
        <w:shd w:val="clear" w:fill="E1E1E1"/>
        <w:bidi w:val="0"/>
        <w:spacing w:before="0" w:after="283"/>
        <w:jc w:val="start"/>
        <w:rPr/>
      </w:pPr>
      <w:r>
        <w:rPr/>
        <w:t>Area = 13.2 × 28.16</w:t>
        <w:br/>
        <w:t xml:space="preserve">     = 371.76 m²</w:t>
      </w:r>
    </w:p>
    <w:p>
      <w:pPr>
        <w:pStyle w:val="Heading3"/>
        <w:numPr>
          <w:ilvl w:val="2"/>
          <w:numId w:val="1"/>
        </w:numPr>
        <w:bidi w:val="0"/>
        <w:ind w:hanging="0" w:start="0"/>
        <w:jc w:val="start"/>
        <w:rPr/>
      </w:pPr>
      <w:r>
        <w:rPr/>
        <w:t>Step 5: Usable area</w:t>
      </w:r>
    </w:p>
    <w:p>
      <w:pPr>
        <w:pStyle w:val="PreformattedText"/>
        <w:shd w:val="clear" w:fill="E1E1E1"/>
        <w:bidi w:val="0"/>
        <w:spacing w:before="0" w:after="283"/>
        <w:jc w:val="start"/>
        <w:rPr/>
      </w:pPr>
      <w:r>
        <w:rPr/>
        <w:t>Usable area = 252.89 m²</w:t>
      </w:r>
    </w:p>
    <w:p>
      <w:pPr>
        <w:pStyle w:val="BodyText"/>
        <w:bidi w:val="0"/>
        <w:jc w:val="start"/>
        <w:rPr/>
      </w:pPr>
      <w:r>
        <w:rPr/>
        <w:t>This comes from counting the usable pixels in the final BIPV mask and converting them to square metres.</w:t>
      </w:r>
    </w:p>
    <w:p>
      <w:pPr>
        <w:pStyle w:val="Heading3"/>
        <w:numPr>
          <w:ilvl w:val="2"/>
          <w:numId w:val="1"/>
        </w:numPr>
        <w:bidi w:val="0"/>
        <w:ind w:hanging="0" w:start="0"/>
        <w:jc w:val="start"/>
        <w:rPr/>
      </w:pPr>
      <w:r>
        <w:rPr/>
        <w:t>Step 6: Usable percentage</w:t>
      </w:r>
    </w:p>
    <w:p>
      <w:pPr>
        <w:pStyle w:val="PreformattedText"/>
        <w:shd w:val="clear" w:fill="E1E1E1"/>
        <w:bidi w:val="0"/>
        <w:spacing w:before="0" w:after="283"/>
        <w:jc w:val="start"/>
        <w:rPr/>
      </w:pPr>
      <w:r>
        <w:rPr/>
        <w:t>Usable percentage = 252.89 / 371.76 × 100</w:t>
        <w:br/>
        <w:t xml:space="preserve">                  = 68.03%</w:t>
      </w:r>
    </w:p>
    <w:p>
      <w:pPr>
        <w:pStyle w:val="Heading3"/>
        <w:numPr>
          <w:ilvl w:val="2"/>
          <w:numId w:val="1"/>
        </w:numPr>
        <w:bidi w:val="0"/>
        <w:ind w:hanging="0" w:start="0"/>
        <w:jc w:val="start"/>
        <w:rPr/>
      </w:pPr>
      <w:r>
        <w:rPr/>
        <w:t>Step 7: Excluded area</w:t>
      </w:r>
    </w:p>
    <w:p>
      <w:pPr>
        <w:pStyle w:val="PreformattedText"/>
        <w:shd w:val="clear" w:fill="E1E1E1"/>
        <w:bidi w:val="0"/>
        <w:spacing w:before="0" w:after="283"/>
        <w:jc w:val="start"/>
        <w:rPr/>
      </w:pPr>
      <w:r>
        <w:rPr/>
        <w:t>Excluded area = 371.76 - 252.89</w:t>
        <w:br/>
        <w:t xml:space="preserve">              = 118.87 m²</w:t>
      </w:r>
    </w:p>
    <w:p>
      <w:pPr>
        <w:pStyle w:val="Heading3"/>
        <w:numPr>
          <w:ilvl w:val="2"/>
          <w:numId w:val="1"/>
        </w:numPr>
        <w:bidi w:val="0"/>
        <w:ind w:hanging="0" w:start="0"/>
        <w:jc w:val="start"/>
        <w:rPr/>
      </w:pPr>
      <w:r>
        <w:rPr/>
        <w:t>Step 8: Panel count</w:t>
      </w:r>
    </w:p>
    <w:p>
      <w:pPr>
        <w:pStyle w:val="PreformattedText"/>
        <w:shd w:val="clear" w:fill="E1E1E1"/>
        <w:bidi w:val="0"/>
        <w:spacing w:before="0" w:after="283"/>
        <w:jc w:val="start"/>
        <w:rPr/>
      </w:pPr>
      <w:r>
        <w:rPr/>
        <w:t>Panel count = floor(252.89 / 1.7)</w:t>
        <w:br/>
        <w:t xml:space="preserve">            = 148 panels</w:t>
      </w:r>
    </w:p>
    <w:p>
      <w:pPr>
        <w:pStyle w:val="Heading3"/>
        <w:numPr>
          <w:ilvl w:val="2"/>
          <w:numId w:val="1"/>
        </w:numPr>
        <w:bidi w:val="0"/>
        <w:ind w:hanging="0" w:start="0"/>
        <w:jc w:val="start"/>
        <w:rPr/>
      </w:pPr>
      <w:r>
        <w:rPr/>
        <w:t>Step 9: Installed capacity</w:t>
      </w:r>
    </w:p>
    <w:p>
      <w:pPr>
        <w:pStyle w:val="PreformattedText"/>
        <w:shd w:val="clear" w:fill="E1E1E1"/>
        <w:bidi w:val="0"/>
        <w:spacing w:before="0" w:after="283"/>
        <w:jc w:val="start"/>
        <w:rPr/>
      </w:pPr>
      <w:r>
        <w:rPr/>
        <w:t>Capacity = 148 × 350 / 1000</w:t>
        <w:br/>
        <w:t xml:space="preserve">         = 51.8 kWp</w:t>
      </w:r>
    </w:p>
    <w:p>
      <w:pPr>
        <w:pStyle w:val="Heading3"/>
        <w:numPr>
          <w:ilvl w:val="2"/>
          <w:numId w:val="1"/>
        </w:numPr>
        <w:bidi w:val="0"/>
        <w:ind w:hanging="0" w:start="0"/>
        <w:jc w:val="start"/>
        <w:rPr/>
      </w:pPr>
      <w:r>
        <w:rPr/>
        <w:t>Step 10: Annual energy</w:t>
      </w:r>
    </w:p>
    <w:p>
      <w:pPr>
        <w:pStyle w:val="PreformattedText"/>
        <w:shd w:val="clear" w:fill="E1E1E1"/>
        <w:bidi w:val="0"/>
        <w:spacing w:before="0" w:after="283"/>
        <w:jc w:val="start"/>
        <w:rPr/>
      </w:pPr>
      <w:r>
        <w:rPr/>
        <w:t>Annual energy = 51.8 × 950</w:t>
        <w:br/>
        <w:t xml:space="preserve">              = 49,210 kWh/year</w:t>
      </w:r>
    </w:p>
    <w:p>
      <w:pPr>
        <w:pStyle w:val="Heading2"/>
        <w:numPr>
          <w:ilvl w:val="1"/>
          <w:numId w:val="1"/>
        </w:numPr>
        <w:bidi w:val="0"/>
        <w:ind w:hanging="0" w:start="0"/>
        <w:jc w:val="start"/>
        <w:rPr/>
      </w:pPr>
      <w:r>
        <w:rPr/>
        <w:t xml:space="preserve">16. </w:t>
      </w:r>
      <w:r>
        <w:rPr/>
        <w:t xml:space="preserve">Just some Key </w:t>
      </w:r>
      <w:r>
        <w:rPr/>
        <w:t xml:space="preserve"> Explanation </w:t>
      </w:r>
      <w:r>
        <w:rPr/>
        <w:t xml:space="preserve">To Some Questions </w:t>
      </w:r>
    </w:p>
    <w:p>
      <w:pPr>
        <w:pStyle w:val="BodyText"/>
        <w:bidi w:val="0"/>
        <w:jc w:val="start"/>
        <w:rPr/>
      </w:pPr>
      <w:r>
        <w:rPr/>
        <w:t>If asked how the model knows the real-world size, the answer is:</w:t>
      </w:r>
    </w:p>
    <w:p>
      <w:pPr>
        <w:pStyle w:val="BodyText"/>
        <w:bidi w:val="0"/>
        <w:jc w:val="start"/>
        <w:rPr/>
      </w:pPr>
      <w:r>
        <w:rPr/>
        <w:t>The model estimates real-world scale from the detected number of floors and an architectural floor-height prior. It then uses the rectified facade mask to calculate facade width and pixel-to-square-metre conversion. If Google Earth dimensions are supplied, the model can use those dimensions directly as the calibration reference.</w:t>
      </w:r>
    </w:p>
    <w:p>
      <w:pPr>
        <w:pStyle w:val="BodyText"/>
        <w:bidi w:val="0"/>
        <w:jc w:val="start"/>
        <w:rPr/>
      </w:pPr>
      <w:r>
        <w:rPr/>
        <w:t>If asked whether the result is a direct physical measurement, the answer is:</w:t>
      </w:r>
    </w:p>
    <w:p>
      <w:pPr>
        <w:pStyle w:val="BodyText"/>
        <w:bidi w:val="0"/>
        <w:jc w:val="start"/>
        <w:rPr/>
      </w:pPr>
      <w:r>
        <w:rPr/>
        <w:t>No. In automatic mode, it is an image-based engineering estimate. It becomes metrically stronger when calibrated with Google Earth or measured facade dimensions. The segmentation determines the usable fraction, while the scale estimation converts that fraction into square metres.</w:t>
      </w:r>
    </w:p>
    <w:p>
      <w:pPr>
        <w:pStyle w:val="BodyText"/>
        <w:bidi w:val="0"/>
        <w:jc w:val="start"/>
        <w:rPr/>
      </w:pPr>
      <w:r>
        <w:rPr/>
        <w:t>If asked why the usable area is lower than the total facade area, the answer is:</w:t>
      </w:r>
    </w:p>
    <w:p>
      <w:pPr>
        <w:pStyle w:val="BodyText"/>
        <w:bidi w:val="0"/>
        <w:jc w:val="start"/>
        <w:rPr/>
      </w:pPr>
      <w:r>
        <w:rPr/>
        <w:t>Because windows, doors, balconies, roof/opening areas, and unavailable facade regions are excluded from the installable BIPV surface. The usable area represents the remaining facade wall surface where BIPV modules could potentially be installed.</w:t>
      </w:r>
    </w:p>
    <w:p>
      <w:pPr>
        <w:pStyle w:val="BodyText"/>
        <w:bidi w:val="0"/>
        <w:jc w:val="start"/>
        <w:rPr/>
      </w:pPr>
      <w:r>
        <w:rPr/>
        <w:t>If asked why panel count is lower than usable area divided exactly by panel area, the answer is:</w:t>
      </w:r>
    </w:p>
    <w:p>
      <w:pPr>
        <w:pStyle w:val="BodyText"/>
        <w:bidi w:val="0"/>
        <w:jc w:val="start"/>
        <w:rPr/>
      </w:pPr>
      <w:r>
        <w:rPr/>
        <w:t>The panel count uses only complete panels:</w:t>
      </w:r>
    </w:p>
    <w:p>
      <w:pPr>
        <w:pStyle w:val="PreformattedText"/>
        <w:shd w:val="clear" w:fill="E1E1E1"/>
        <w:bidi w:val="0"/>
        <w:spacing w:before="0" w:after="283"/>
        <w:jc w:val="start"/>
        <w:rPr/>
      </w:pPr>
      <w:r>
        <w:rPr/>
        <w:t>floor(usable area / panel area)</w:t>
      </w:r>
    </w:p>
    <w:p>
      <w:pPr>
        <w:pStyle w:val="BodyText"/>
        <w:bidi w:val="0"/>
        <w:jc w:val="start"/>
        <w:rPr/>
      </w:pPr>
      <w:r>
        <w:rPr/>
        <w:t>Partial panels are not counted.</w:t>
      </w:r>
    </w:p>
    <w:p>
      <w:pPr>
        <w:pStyle w:val="Heading2"/>
        <w:numPr>
          <w:ilvl w:val="1"/>
          <w:numId w:val="1"/>
        </w:numPr>
        <w:bidi w:val="0"/>
        <w:ind w:hanging="0" w:start="0"/>
        <w:jc w:val="start"/>
        <w:rPr/>
      </w:pPr>
      <w:r>
        <w:rPr/>
        <w:t>17. Limitations to State Clearly</w:t>
      </w:r>
    </w:p>
    <w:p>
      <w:pPr>
        <w:pStyle w:val="BodyText"/>
        <w:bidi w:val="0"/>
        <w:jc w:val="start"/>
        <w:rPr/>
      </w:pPr>
      <w:r>
        <w:rPr/>
        <w:t>The current results are suitable for preliminary BIPV facade screening. However, the following limitations should be acknowledged:</w:t>
      </w:r>
    </w:p>
    <w:p>
      <w:pPr>
        <w:pStyle w:val="BodyText"/>
        <w:numPr>
          <w:ilvl w:val="0"/>
          <w:numId w:val="6"/>
        </w:numPr>
        <w:tabs>
          <w:tab w:val="left" w:pos="709" w:leader="none"/>
        </w:tabs>
        <w:bidi w:val="0"/>
        <w:ind w:hanging="283" w:start="709"/>
        <w:jc w:val="start"/>
        <w:rPr/>
      </w:pPr>
      <w:r>
        <w:rPr/>
        <w:t>Automatic scale estimation depends on the assumed floor height.</w:t>
      </w:r>
    </w:p>
    <w:p>
      <w:pPr>
        <w:pStyle w:val="BodyText"/>
        <w:numPr>
          <w:ilvl w:val="0"/>
          <w:numId w:val="6"/>
        </w:numPr>
        <w:tabs>
          <w:tab w:val="left" w:pos="709" w:leader="none"/>
        </w:tabs>
        <w:bidi w:val="0"/>
        <w:ind w:hanging="283" w:start="709"/>
        <w:jc w:val="start"/>
        <w:rPr/>
      </w:pPr>
      <w:r>
        <w:rPr/>
        <w:t>Strong perspective distortion can affect facade width estimation.</w:t>
      </w:r>
    </w:p>
    <w:p>
      <w:pPr>
        <w:pStyle w:val="BodyText"/>
        <w:numPr>
          <w:ilvl w:val="0"/>
          <w:numId w:val="6"/>
        </w:numPr>
        <w:tabs>
          <w:tab w:val="left" w:pos="709" w:leader="none"/>
        </w:tabs>
        <w:bidi w:val="0"/>
        <w:ind w:hanging="283" w:start="709"/>
        <w:jc w:val="start"/>
        <w:rPr/>
      </w:pPr>
      <w:r>
        <w:rPr/>
        <w:t>Missed or false window segmentation affects usable area.</w:t>
      </w:r>
    </w:p>
    <w:p>
      <w:pPr>
        <w:pStyle w:val="BodyText"/>
        <w:numPr>
          <w:ilvl w:val="0"/>
          <w:numId w:val="6"/>
        </w:numPr>
        <w:tabs>
          <w:tab w:val="left" w:pos="709" w:leader="none"/>
        </w:tabs>
        <w:bidi w:val="0"/>
        <w:ind w:hanging="283" w:start="709"/>
        <w:jc w:val="start"/>
        <w:rPr/>
      </w:pPr>
      <w:r>
        <w:rPr/>
        <w:t>Obstacle reconstruction may not perfectly recover hidden architecture.</w:t>
      </w:r>
    </w:p>
    <w:p>
      <w:pPr>
        <w:pStyle w:val="BodyText"/>
        <w:numPr>
          <w:ilvl w:val="0"/>
          <w:numId w:val="6"/>
        </w:numPr>
        <w:tabs>
          <w:tab w:val="left" w:pos="709" w:leader="none"/>
        </w:tabs>
        <w:bidi w:val="0"/>
        <w:ind w:hanging="283" w:start="709"/>
        <w:jc w:val="start"/>
        <w:rPr/>
      </w:pPr>
      <w:r>
        <w:rPr/>
        <w:t>Annual energy is estimated using a fixed specific yield, not full irradiance simulation.</w:t>
      </w:r>
    </w:p>
    <w:p>
      <w:pPr>
        <w:pStyle w:val="BodyText"/>
        <w:numPr>
          <w:ilvl w:val="0"/>
          <w:numId w:val="6"/>
        </w:numPr>
        <w:tabs>
          <w:tab w:val="left" w:pos="709" w:leader="none"/>
        </w:tabs>
        <w:bidi w:val="0"/>
        <w:ind w:hanging="283" w:start="709"/>
        <w:jc w:val="start"/>
        <w:rPr/>
      </w:pPr>
      <w:r>
        <w:rPr/>
        <w:t>Full PVsyst validation should use measured facade dimensions, orientation, shading, and local meteorological data.</w:t>
      </w:r>
    </w:p>
    <w:p>
      <w:pPr>
        <w:pStyle w:val="Heading2"/>
        <w:numPr>
          <w:ilvl w:val="0"/>
          <w:numId w:val="0"/>
        </w:numPr>
        <w:bidi w:val="0"/>
        <w:ind w:hanging="0" w:start="0"/>
        <w:jc w:val="start"/>
        <w:rPr/>
      </w:pPr>
      <w:r>
        <w:rPr/>
        <w:t>18. Summary Statement</w:t>
      </w:r>
    </w:p>
    <w:p>
      <w:pPr>
        <w:pStyle w:val="BodyText"/>
        <w:bidi w:val="0"/>
        <w:jc w:val="start"/>
        <w:rPr/>
      </w:pPr>
      <w:r>
        <w:rPr/>
        <w:t>The pipeline converts a street-level building image into structured BIPV-ready outputs by detecting the facade, removing obstacles, rectifying the facade, segmenting usable and unusable regions, converting mask pixels into square metres, and estimating PV panel capacity and annual energy yield. The calculations are based on explicit geometric formulas and binary mask pixel counts, making the process explainable and reproducible.</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Liberation Sans"/>
      <w:color w:val="auto"/>
      <w:kern w:val="0"/>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LibreOffice/26.2.1.2$Linux_X86_64 LibreOffice_project/620$Build-2</Application>
  <AppVersion>15.0000</AppVersion>
  <Pages>9</Pages>
  <Words>1778</Words>
  <Characters>9027</Characters>
  <CharactersWithSpaces>10792</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2026-06-09T20:20:46Z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