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Análisis del ERP Syspro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Hammersmith One" w:cs="Hammersmith One" w:eastAsia="Hammersmith One" w:hAnsi="Hammersmith One"/>
          <w:sz w:val="28"/>
          <w:szCs w:val="28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sz w:val="28"/>
          <w:szCs w:val="28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Hammersmith One" w:cs="Hammersmith One" w:eastAsia="Hammersmith One" w:hAnsi="Hammersmith One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xxrj2k8sky9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_sxxrj2k8sky9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/>
          </w:pPr>
          <w:hyperlink w:anchor="_5rgizqxs378g"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_5rgizqxs378g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/>
          </w:pPr>
          <w:hyperlink w:anchor="_9rmwcu14qfar">
            <w:r w:rsidDel="00000000" w:rsidR="00000000" w:rsidRPr="00000000">
              <w:rPr>
                <w:b w:val="1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_9rmwcu14qfar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/>
          </w:pPr>
          <w:hyperlink w:anchor="_2thfz0ftkrhk">
            <w:r w:rsidDel="00000000" w:rsidR="00000000" w:rsidRPr="00000000">
              <w:rPr>
                <w:b w:val="1"/>
                <w:rtl w:val="0"/>
              </w:rPr>
              <w:t xml:space="preserve">Mercados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_2thfz0ftkrhk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030"/>
            </w:tabs>
            <w:spacing w:before="200" w:line="240" w:lineRule="auto"/>
            <w:ind w:left="0" w:firstLine="0"/>
            <w:rPr/>
          </w:pPr>
          <w:hyperlink w:anchor="_hxi5r3q86dzh">
            <w:r w:rsidDel="00000000" w:rsidR="00000000" w:rsidRPr="00000000">
              <w:rPr>
                <w:b w:val="1"/>
                <w:rtl w:val="0"/>
              </w:rPr>
              <w:t xml:space="preserve">Beneficios destacables por usar este ERP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_hxi5r3q86dzh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030"/>
            </w:tabs>
            <w:spacing w:after="80" w:before="200" w:line="240" w:lineRule="auto"/>
            <w:ind w:left="0" w:firstLine="0"/>
            <w:rPr/>
          </w:pPr>
          <w:hyperlink w:anchor="_9nc9bxxe873y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_9nc9bxxe873y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ageBreakBefore w:val="0"/>
        <w:jc w:val="lef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bookmarkStart w:colFirst="0" w:colLast="0" w:name="_sxxrj2k8sky9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SYSPRO es uno de los paquetes de software ERP más popular y mejor valorado por sus usuarios. Cuenta con casi 15.000 instalaciones en todo el mundo y cerca de 360.000 clientes.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Está diseñado para ayudar a las empresas a automatizar e integrar los procesos empresariales básicos. El software está disponible como un servicio alojado como software como servicio (SaaS) o como un servicio en las instalaciones. La aplicación ayuda a los usuarios en la planificación del trabajo y la asignación de recursos según la cartera de pedidos existentes y previstos.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administración centralizada y el monitoreo de los diferentes procesos de negocios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ayudan a los usuarios a mejorar el rendimiento general y a evitar la redundancia de datos.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jc w:val="both"/>
        <w:rPr>
          <w:rFonts w:ascii="Hammersmith One" w:cs="Hammersmith One" w:eastAsia="Hammersmith One" w:hAnsi="Hammersmith On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bookmarkStart w:colFirst="0" w:colLast="0" w:name="_5rgizqxs378g" w:id="1"/>
      <w:bookmarkEnd w:id="1"/>
      <w:r w:rsidDel="00000000" w:rsidR="00000000" w:rsidRPr="00000000">
        <w:rPr>
          <w:b w:val="1"/>
          <w:rtl w:val="0"/>
        </w:rPr>
        <w:t xml:space="preserve">Evaluación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Puntos a favor: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Fácil de usar.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Amplia variedad de funcionalidades.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Limitación de funcionalidad por usuario.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Interfaz de usuario sólida e intuitiva.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Soporte adecuado.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Capacidad para instalar SQL.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Grandes posibilidades de personalización.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72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Puntos en contra: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Problemas con actualizaciones.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Ausencia de distribuidores locales.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Complejo de instalar.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Soporte algo lento.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144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Configuración de permisos compleja.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Despliegue: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Cloud (en la nube)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left="1440" w:hanging="360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On premise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(en casa - aplicaciones locales)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Recomendable para: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Medianas y grandes empresas.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jc w:val="both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 50 a 1000 usuarios.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1440" w:hanging="360"/>
        <w:jc w:val="both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Reportes diarios.</w:t>
      </w:r>
    </w:p>
    <w:p w:rsidR="00000000" w:rsidDel="00000000" w:rsidP="00000000" w:rsidRDefault="00000000" w:rsidRPr="00000000" w14:paraId="00000029">
      <w:pPr>
        <w:pStyle w:val="Heading4"/>
        <w:pageBreakBefore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bookmarkStart w:colFirst="0" w:colLast="0" w:name="_9rmwcu14qfar" w:id="2"/>
      <w:bookmarkEnd w:id="2"/>
      <w:r w:rsidDel="00000000" w:rsidR="00000000" w:rsidRPr="00000000">
        <w:rPr>
          <w:b w:val="1"/>
          <w:rtl w:val="0"/>
        </w:rPr>
        <w:t xml:space="preserve">Funcionalidades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Gestión contable.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CRM (Customer Relationship Management).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Dashboard.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Gestión financiera.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Gestión del inventario.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Compras.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Distribución.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Gestión de ventas.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SCM (Software Configuration Management).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WHM (Web Host Manager).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720" w:firstLine="0"/>
        <w:jc w:val="both"/>
        <w:rPr>
          <w:rFonts w:ascii="Hammersmith One" w:cs="Hammersmith One" w:eastAsia="Hammersmith One" w:hAnsi="Hammersmith On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esta forma, se puede afirmar que Syspro es una solución de software Enterprise Resource Planning (ERP) altamente escalable y construida en la industria que puede implementarse en la nube, en las instalaciones de tu empresa o acceder a través de cualquier dispositivo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bookmarkStart w:colFirst="0" w:colLast="0" w:name="_2thfz0ftkrhk" w:id="3"/>
      <w:bookmarkEnd w:id="3"/>
      <w:r w:rsidDel="00000000" w:rsidR="00000000" w:rsidRPr="00000000">
        <w:rPr>
          <w:b w:val="1"/>
          <w:rtl w:val="0"/>
        </w:rPr>
        <w:t xml:space="preserve">Mercados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Los mercados en los que se encuentra este ERP son: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Europa, Australia, Brasil, Canadá, Alemania, India, Medio Oriente, África, Reino Unido y Estados Unidos.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bookmarkStart w:colFirst="0" w:colLast="0" w:name="_hxi5r3q86dzh" w:id="4"/>
      <w:bookmarkEnd w:id="4"/>
      <w:r w:rsidDel="00000000" w:rsidR="00000000" w:rsidRPr="00000000">
        <w:rPr>
          <w:b w:val="1"/>
          <w:rtl w:val="0"/>
        </w:rPr>
        <w:t xml:space="preserve">Beneficios destacables por usar este ERP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SYSPRO está especialmente pensado para: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Ayudar a los usuarios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proteger sus datos comerciales críticos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con controles de acceso de usuarios, definiendo procesos comerciales y garantizando el cumplimiento en toda la cadena de suministro.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Automatizar diferentes aspectos del proceso comercial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hacerlos más eficientes, menos propensos a errores y liberar recursos de realizar tareas mundanas.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Combinar los pagos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tanto para los beneficiarios de Cuentas por Pagar, como de los libros de Caja en un solo archivo para fines bancarios.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Facilitar el procesamiento de órdenes basado en reglas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ensamblar y configurar productos de fabricación sobre pedido.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Aportar análisis de tipo hipotético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identificar relaciones ocultas entre los datos almacenados en la base de datos.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720" w:firstLine="0"/>
        <w:jc w:val="both"/>
        <w:rPr>
          <w:rFonts w:ascii="Hammersmith One" w:cs="Hammersmith One" w:eastAsia="Hammersmith One" w:hAnsi="Hammersmith On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left="720" w:firstLine="0"/>
        <w:jc w:val="both"/>
        <w:rPr>
          <w:rFonts w:ascii="Hammersmith One" w:cs="Hammersmith One" w:eastAsia="Hammersmith One" w:hAnsi="Hammersmith On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bookmarkStart w:colFirst="0" w:colLast="0" w:name="_9nc9bxxe873y" w:id="5"/>
      <w:bookmarkEnd w:id="5"/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https://papelesdeinteligencia.com/syspro-erp/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https://www.syspro.com/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http://www.syspro.es/proyecto_7.html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https://www.softwareadvice.com/au/erp/syspro-profile/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https://www.appvizer.es/organizacion-planificacion/mrp/syspro-erp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https://www.capterra.es/software/6963/syspro-erp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https://en.wikipedia.org/wiki/Syspro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pterra.es/software/6963/syspro-erp" TargetMode="External"/><Relationship Id="rId10" Type="http://schemas.openxmlformats.org/officeDocument/2006/relationships/hyperlink" Target="https://www.appvizer.es/organizacion-planificacion/mrp/syspro-erp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en.wikipedia.org/wiki/Sysp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ftwareadvice.com/au/erp/syspro-pro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lesdeinteligencia.com/syspro-erp/" TargetMode="External"/><Relationship Id="rId7" Type="http://schemas.openxmlformats.org/officeDocument/2006/relationships/hyperlink" Target="https://www.syspro.com/" TargetMode="External"/><Relationship Id="rId8" Type="http://schemas.openxmlformats.org/officeDocument/2006/relationships/hyperlink" Target="http://www.syspro.es/proyecto_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