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Hammersmith One" w:cs="Hammersmith One" w:eastAsia="Hammersmith One" w:hAnsi="Hammersmith One"/>
          <w:b w:val="1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rtl w:val="0"/>
        </w:rPr>
        <w:t xml:space="preserve">Práctica 1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Hammersmith One" w:cs="Hammersmith One" w:eastAsia="Hammersmith One" w:hAnsi="Hammersmith On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28"/>
          <w:szCs w:val="28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¿Cuántas instrucciones máquina comprende el programa?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4050" cy="294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¿En qué instrucciones máquina se traducen las pseudoinstrucciones presentes?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¿En qué dirección de memoria se encuentra la instrucción add $s0,$s0,$s0?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0x0040000C.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¿Qué instrucción del programa se codifica como 0x01288020?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add $s0,$t1,$t0.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Diga en hexadecimal el valor del perímetro calculado por el programa. 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0x0000006e.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¿Cuántos bytes de la memoria principal están ocupados por las variables del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programa?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3 palabras * 4 bytes = 12.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¿Cuántas instrucciones de acceso a la memoria contiene el programa?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Solo las lw, es decir, 2.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¿En qué dirección se escribe el valor del perímetro?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0x00400024.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¿Por qué la pseudoinstrucción la $t0, A se traduce en solo una instrucción máquina y la $t1, B lo hace en dos?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la $t0, A solo tiene datos en la parte alta y, por tanto, se traduce en únicamente como instrucción lui. Por otra parte, $t1, B tiene datos en la parte y baja, por lo que se traduce como una combinación entre ori y lui.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Justificar el valor (4) que aparece en la directiva .space 4?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1 space te deja 8 bits = 1 byte y, por tanto, te deja 32 bits, es decir, 4 bytes para escribir datos.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Afectaría al valor final de P si en lugar de la directiva .space 4 hiciésemos uso de la directiva .word 0?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No afecta.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¿Qué valor contiene el registro $t1 cuando se ejecuta la instrucción lw $s1,0($t1)?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0x10000000.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28"/>
          <w:szCs w:val="28"/>
          <w:rtl w:val="0"/>
        </w:rPr>
        <w:t xml:space="preserve">Ejercicio 3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¿Cuál es la codificación de la instrucción máquina syscall?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0x0000000c.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¿En qué instrucción máquina se ha traducido la pseudoinstrucción move $a0,$a1?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addu $4, $0, $18.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Sustituye ahora la instrucción sw $s2,0($t2) por sw $s2,2($t2). ¿Qué ocurre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cuando se intenta ejecutar el programa? Razone la respuesta.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No se puede acceder a la dirección de memoria donde apunta.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28"/>
          <w:szCs w:val="28"/>
          <w:rtl w:val="0"/>
        </w:rPr>
        <w:t xml:space="preserve">Ejercicio 4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¿Cuál de estas instrucciones es una traducción incorrecta de la pseudoinstrucción de movimiento de datos move $t0, $t1 (copia el contenido de $t1 en $t0)?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and $t0, $t1, $zero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 ¿Cuáles de las siguientes instrucciones son buenas traducciones de la pseudoinstrucción li $t0,100 (almacena el valor decimal 100 en $t0)?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ori $t0, $zero, 0x64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jc w:val="both"/>
        <w:rPr>
          <w:rFonts w:ascii="Helvetica Neue" w:cs="Helvetica Neue" w:eastAsia="Helvetica Neue" w:hAnsi="Helvetica Neue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addi $t0, $zero, 0x64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jc w:val="both"/>
        <w:rPr>
          <w:rFonts w:ascii="Helvetica Neue" w:cs="Helvetica Neue" w:eastAsia="Helvetica Neue" w:hAnsi="Helvetica Neue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ori $t0, $zero, 100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jc w:val="both"/>
        <w:rPr>
          <w:rFonts w:ascii="Helvetica Neue" w:cs="Helvetica Neue" w:eastAsia="Helvetica Neue" w:hAnsi="Helvetica Neue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addi $t0, 0x64, $zero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jc w:val="both"/>
        <w:rPr>
          <w:rFonts w:ascii="Helvetica Neue" w:cs="Helvetica Neue" w:eastAsia="Helvetica Neue" w:hAnsi="Helvetica Neue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xori $t0, $zero, 100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jc w:val="both"/>
        <w:rPr>
          <w:rFonts w:ascii="Helvetica Neue" w:cs="Helvetica Neue" w:eastAsia="Helvetica Neue" w:hAnsi="Helvetica Neue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addi $t0, $zero, 100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 El código siguiente origina un error durante su ejecución. ¿Dónde y por qué se produce?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 $t0, 0x10003000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lw $t1, 2($t0)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NO se puede cargar una dirección de memoria en un inmediato.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4. Aunque la letra ele ("l") de las instrucciones lui y lw (y también lh y lb) significa load en inglés, ¿qué diferencia fundamental hay entre estas dos instrucciones? </w:t>
      </w: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La diferencia fundamental entre las instrucciones es que lui solo carga la parte alta y lw carga la palabra entera.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5. Suponga que tenemos una variable N declarada de la siguiente manera: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.data 0x10000000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N: .space 4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Indica la instrucción o instrucciones máquina adecuadas para asignar los siguientes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valores: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N = 0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→ li.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N = -1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→ 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N = 0x100000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→ la u ori y lui.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N = 0x100040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→ la u ori y lui.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• N = 200000 (en decimal)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→ ori y lui (más optimizado, con un lui).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6. ¿Cómo traducirías a instrucciones máquina la pseudoinstrucción li $t0, -1?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lui $1, -1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ff"/>
          <w:sz w:val="24"/>
          <w:szCs w:val="24"/>
          <w:rtl w:val="0"/>
        </w:rPr>
        <w:t xml:space="preserve">ori $8, $1, -1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7. Supón que el segmento de datos de un programa en ensamblador MIPS contiene la siguiente descripción: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.data 0x10000000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X: .space 4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cada uno de los siguientes casos, indica qué valor escriben las instrucciones sobre la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posición de memoria X: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$t0,X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sw $zero,0($t0)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$t0,X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 $zero,0($t0)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sh $zero,2($t0)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$t0,X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sb $zero,0($t0)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sb $zero,1($t0)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sb $zero,2($t0)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sb $zero,3($t0)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$t0, X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lui $t1, 0x0001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sw $t1,0($t0)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$t0,X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lui $t1,0xFFFF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ori $t1,$t1,0xFFFF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sw $t1,0($t0)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lui $t0,0x1000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andi $t1,$t1,0x0000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sw $t1,0($t0)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$t0,X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lw $t1,0($t0)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sw $t1,0($t0)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 $t1,50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sw $t1,X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 $t0,0x50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sw $t0,X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 $t0,0x10000000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 $t1,0xFFFFFFFF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sw $t1,0($t0)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Helvetica Neue" w:cs="Helvetica Neue" w:eastAsia="Helvetica Neue" w:hAnsi="Helvetica Neue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Hammersmith One" w:cs="Hammersmith One" w:eastAsia="Hammersmith One" w:hAnsi="Hammersmith On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