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360" w:lineRule="auto"/>
        <w:jc w:val="center"/>
        <w:rPr>
          <w:rFonts w:ascii="Montserrat Light" w:cs="Montserrat Light" w:eastAsia="Montserrat Light" w:hAnsi="Montserrat Light"/>
          <w:color w:val="6aa84f"/>
          <w:sz w:val="96"/>
          <w:szCs w:val="96"/>
        </w:rPr>
      </w:pPr>
      <w:bookmarkStart w:colFirst="0" w:colLast="0" w:name="_rbdb8wd5q3pq" w:id="0"/>
      <w:bookmarkEnd w:id="0"/>
      <w:r w:rsidDel="00000000" w:rsidR="00000000" w:rsidRPr="00000000">
        <w:rPr>
          <w:rFonts w:ascii="Montserrat Light" w:cs="Montserrat Light" w:eastAsia="Montserrat Light" w:hAnsi="Montserrat Light"/>
          <w:color w:val="6aa84f"/>
          <w:sz w:val="96"/>
          <w:szCs w:val="96"/>
          <w:rtl w:val="0"/>
        </w:rPr>
        <w:t xml:space="preserve">PRÁCTICA 4</w:t>
      </w:r>
    </w:p>
    <w:p w:rsidR="00000000" w:rsidDel="00000000" w:rsidP="00000000" w:rsidRDefault="00000000" w:rsidRPr="00000000" w14:paraId="00000002">
      <w:pPr>
        <w:pageBreakBefore w:val="0"/>
        <w:spacing w:line="360" w:lineRule="auto"/>
        <w:ind w:left="0" w:firstLine="0"/>
        <w:jc w:val="left"/>
        <w:rPr>
          <w:rFonts w:ascii="Hammersmith One" w:cs="Hammersmith One" w:eastAsia="Hammersmith One" w:hAnsi="Hammersmith One"/>
          <w:sz w:val="36"/>
          <w:szCs w:val="36"/>
        </w:rPr>
      </w:pPr>
      <w:r w:rsidDel="00000000" w:rsidR="00000000" w:rsidRPr="00000000">
        <w:rPr>
          <w:rFonts w:ascii="Hammersmith One" w:cs="Hammersmith One" w:eastAsia="Hammersmith One" w:hAnsi="Hammersmith One"/>
          <w:sz w:val="36"/>
          <w:szCs w:val="36"/>
        </w:rPr>
        <w:drawing>
          <wp:anchor allowOverlap="1" behindDoc="0" distB="114300" distT="114300" distL="114300" distR="114300" hidden="0" layoutInCell="1" locked="0" relativeHeight="0" simplePos="0">
            <wp:simplePos x="0" y="0"/>
            <wp:positionH relativeFrom="page">
              <wp:posOffset>576220</wp:posOffset>
            </wp:positionH>
            <wp:positionV relativeFrom="page">
              <wp:posOffset>2302763</wp:posOffset>
            </wp:positionV>
            <wp:extent cx="6481805" cy="3683700"/>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481805" cy="3683700"/>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pageBreakBefore w:val="0"/>
        <w:spacing w:line="360" w:lineRule="auto"/>
        <w:ind w:left="720" w:firstLine="0"/>
        <w:jc w:val="both"/>
        <w:rPr>
          <w:rFonts w:ascii="Hammersmith One" w:cs="Hammersmith One" w:eastAsia="Hammersmith One" w:hAnsi="Hammersmith One"/>
          <w:sz w:val="36"/>
          <w:szCs w:val="36"/>
        </w:rPr>
      </w:pPr>
      <w:r w:rsidDel="00000000" w:rsidR="00000000" w:rsidRPr="00000000">
        <w:rPr>
          <w:rtl w:val="0"/>
        </w:rPr>
      </w:r>
    </w:p>
    <w:p w:rsidR="00000000" w:rsidDel="00000000" w:rsidP="00000000" w:rsidRDefault="00000000" w:rsidRPr="00000000" w14:paraId="00000004">
      <w:pPr>
        <w:pageBreakBefore w:val="0"/>
        <w:spacing w:line="360" w:lineRule="auto"/>
        <w:ind w:left="720" w:firstLine="0"/>
        <w:jc w:val="both"/>
        <w:rPr>
          <w:rFonts w:ascii="Hammersmith One" w:cs="Hammersmith One" w:eastAsia="Hammersmith One" w:hAnsi="Hammersmith One"/>
          <w:sz w:val="36"/>
          <w:szCs w:val="36"/>
        </w:rPr>
      </w:pPr>
      <w:r w:rsidDel="00000000" w:rsidR="00000000" w:rsidRPr="00000000">
        <w:rPr>
          <w:rtl w:val="0"/>
        </w:rPr>
      </w:r>
    </w:p>
    <w:p w:rsidR="00000000" w:rsidDel="00000000" w:rsidP="00000000" w:rsidRDefault="00000000" w:rsidRPr="00000000" w14:paraId="00000005">
      <w:pPr>
        <w:pageBreakBefore w:val="0"/>
        <w:spacing w:line="360" w:lineRule="auto"/>
        <w:ind w:left="0" w:firstLine="0"/>
        <w:jc w:val="right"/>
        <w:rPr>
          <w:rFonts w:ascii="Oswald" w:cs="Oswald" w:eastAsia="Oswald" w:hAnsi="Oswald"/>
          <w:color w:val="6aa84f"/>
          <w:sz w:val="36"/>
          <w:szCs w:val="36"/>
        </w:rPr>
      </w:pPr>
      <w:r w:rsidDel="00000000" w:rsidR="00000000" w:rsidRPr="00000000">
        <w:rPr>
          <w:rFonts w:ascii="Oswald" w:cs="Oswald" w:eastAsia="Oswald" w:hAnsi="Oswald"/>
          <w:color w:val="6aa84f"/>
          <w:sz w:val="36"/>
          <w:szCs w:val="36"/>
          <w:rtl w:val="0"/>
        </w:rPr>
        <w:t xml:space="preserve">Miembros del equipo:</w:t>
      </w:r>
    </w:p>
    <w:p w:rsidR="00000000" w:rsidDel="00000000" w:rsidP="00000000" w:rsidRDefault="00000000" w:rsidRPr="00000000" w14:paraId="00000006">
      <w:pPr>
        <w:pageBreakBefore w:val="0"/>
        <w:numPr>
          <w:ilvl w:val="0"/>
          <w:numId w:val="1"/>
        </w:numPr>
        <w:spacing w:line="360" w:lineRule="auto"/>
        <w:ind w:left="6944.881889763779" w:hanging="360"/>
        <w:jc w:val="both"/>
        <w:rPr>
          <w:rFonts w:ascii="Oswald" w:cs="Oswald" w:eastAsia="Oswald" w:hAnsi="Oswald"/>
          <w:sz w:val="24"/>
          <w:szCs w:val="24"/>
        </w:rPr>
      </w:pPr>
      <w:r w:rsidDel="00000000" w:rsidR="00000000" w:rsidRPr="00000000">
        <w:rPr>
          <w:rFonts w:ascii="Oswald" w:cs="Oswald" w:eastAsia="Oswald" w:hAnsi="Oswald"/>
          <w:color w:val="6aa84f"/>
          <w:sz w:val="24"/>
          <w:szCs w:val="24"/>
          <w:rtl w:val="0"/>
        </w:rPr>
        <w:t xml:space="preserve">David</w:t>
      </w:r>
      <w:r w:rsidDel="00000000" w:rsidR="00000000" w:rsidRPr="00000000">
        <w:rPr>
          <w:rFonts w:ascii="Oswald" w:cs="Oswald" w:eastAsia="Oswald" w:hAnsi="Oswald"/>
          <w:sz w:val="24"/>
          <w:szCs w:val="24"/>
          <w:rtl w:val="0"/>
        </w:rPr>
        <w:t xml:space="preserve"> Arnal García</w:t>
      </w:r>
    </w:p>
    <w:p w:rsidR="00000000" w:rsidDel="00000000" w:rsidP="00000000" w:rsidRDefault="00000000" w:rsidRPr="00000000" w14:paraId="00000007">
      <w:pPr>
        <w:pageBreakBefore w:val="0"/>
        <w:numPr>
          <w:ilvl w:val="0"/>
          <w:numId w:val="1"/>
        </w:numPr>
        <w:spacing w:line="360" w:lineRule="auto"/>
        <w:ind w:left="6944.881889763779" w:hanging="360"/>
        <w:jc w:val="both"/>
        <w:rPr>
          <w:rFonts w:ascii="Oswald" w:cs="Oswald" w:eastAsia="Oswald" w:hAnsi="Oswald"/>
          <w:sz w:val="24"/>
          <w:szCs w:val="24"/>
        </w:rPr>
      </w:pPr>
      <w:r w:rsidDel="00000000" w:rsidR="00000000" w:rsidRPr="00000000">
        <w:rPr>
          <w:rFonts w:ascii="Oswald" w:cs="Oswald" w:eastAsia="Oswald" w:hAnsi="Oswald"/>
          <w:color w:val="6aa84f"/>
          <w:sz w:val="24"/>
          <w:szCs w:val="24"/>
          <w:rtl w:val="0"/>
        </w:rPr>
        <w:t xml:space="preserve">Víctor</w:t>
      </w:r>
      <w:r w:rsidDel="00000000" w:rsidR="00000000" w:rsidRPr="00000000">
        <w:rPr>
          <w:rFonts w:ascii="Oswald" w:cs="Oswald" w:eastAsia="Oswald" w:hAnsi="Oswald"/>
          <w:sz w:val="24"/>
          <w:szCs w:val="24"/>
          <w:rtl w:val="0"/>
        </w:rPr>
        <w:t xml:space="preserve"> Fayos Momparler</w:t>
      </w:r>
    </w:p>
    <w:p w:rsidR="00000000" w:rsidDel="00000000" w:rsidP="00000000" w:rsidRDefault="00000000" w:rsidRPr="00000000" w14:paraId="00000008">
      <w:pPr>
        <w:pageBreakBefore w:val="0"/>
        <w:numPr>
          <w:ilvl w:val="0"/>
          <w:numId w:val="1"/>
        </w:numPr>
        <w:spacing w:line="360" w:lineRule="auto"/>
        <w:ind w:left="6944.881889763779" w:hanging="360"/>
        <w:jc w:val="both"/>
        <w:rPr>
          <w:rFonts w:ascii="Oswald" w:cs="Oswald" w:eastAsia="Oswald" w:hAnsi="Oswald"/>
          <w:sz w:val="24"/>
          <w:szCs w:val="24"/>
        </w:rPr>
      </w:pPr>
      <w:r w:rsidDel="00000000" w:rsidR="00000000" w:rsidRPr="00000000">
        <w:rPr>
          <w:rFonts w:ascii="Oswald" w:cs="Oswald" w:eastAsia="Oswald" w:hAnsi="Oswald"/>
          <w:color w:val="6aa84f"/>
          <w:sz w:val="24"/>
          <w:szCs w:val="24"/>
          <w:rtl w:val="0"/>
        </w:rPr>
        <w:t xml:space="preserve">Ángel </w:t>
      </w:r>
      <w:r w:rsidDel="00000000" w:rsidR="00000000" w:rsidRPr="00000000">
        <w:rPr>
          <w:rFonts w:ascii="Oswald" w:cs="Oswald" w:eastAsia="Oswald" w:hAnsi="Oswald"/>
          <w:sz w:val="24"/>
          <w:szCs w:val="24"/>
          <w:rtl w:val="0"/>
        </w:rPr>
        <w:t xml:space="preserve">Pérez González</w:t>
      </w:r>
    </w:p>
    <w:p w:rsidR="00000000" w:rsidDel="00000000" w:rsidP="00000000" w:rsidRDefault="00000000" w:rsidRPr="00000000" w14:paraId="00000009">
      <w:pPr>
        <w:pageBreakBefore w:val="0"/>
        <w:numPr>
          <w:ilvl w:val="0"/>
          <w:numId w:val="1"/>
        </w:numPr>
        <w:spacing w:line="360" w:lineRule="auto"/>
        <w:ind w:left="6944.881889763779" w:hanging="360"/>
        <w:jc w:val="both"/>
        <w:rPr>
          <w:rFonts w:ascii="Oswald" w:cs="Oswald" w:eastAsia="Oswald" w:hAnsi="Oswald"/>
          <w:sz w:val="24"/>
          <w:szCs w:val="24"/>
        </w:rPr>
      </w:pPr>
      <w:r w:rsidDel="00000000" w:rsidR="00000000" w:rsidRPr="00000000">
        <w:rPr>
          <w:rFonts w:ascii="Oswald" w:cs="Oswald" w:eastAsia="Oswald" w:hAnsi="Oswald"/>
          <w:color w:val="6aa84f"/>
          <w:sz w:val="24"/>
          <w:szCs w:val="24"/>
          <w:rtl w:val="0"/>
        </w:rPr>
        <w:t xml:space="preserve">Josep</w:t>
      </w:r>
      <w:r w:rsidDel="00000000" w:rsidR="00000000" w:rsidRPr="00000000">
        <w:rPr>
          <w:rFonts w:ascii="Oswald" w:cs="Oswald" w:eastAsia="Oswald" w:hAnsi="Oswald"/>
          <w:sz w:val="24"/>
          <w:szCs w:val="24"/>
          <w:rtl w:val="0"/>
        </w:rPr>
        <w:t xml:space="preserve"> Molina Martínez</w:t>
      </w:r>
    </w:p>
    <w:p w:rsidR="00000000" w:rsidDel="00000000" w:rsidP="00000000" w:rsidRDefault="00000000" w:rsidRPr="00000000" w14:paraId="0000000A">
      <w:pPr>
        <w:pageBreakBefore w:val="0"/>
        <w:spacing w:line="360" w:lineRule="auto"/>
        <w:jc w:val="right"/>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0B">
      <w:pPr>
        <w:pageBreakBefore w:val="0"/>
        <w:spacing w:line="360" w:lineRule="auto"/>
        <w:ind w:left="0" w:firstLine="0"/>
        <w:jc w:val="both"/>
        <w:rPr>
          <w:rFonts w:ascii="Hammersmith One" w:cs="Hammersmith One" w:eastAsia="Hammersmith One" w:hAnsi="Hammersmith One"/>
          <w:sz w:val="36"/>
          <w:szCs w:val="36"/>
        </w:rPr>
      </w:pPr>
      <w:r w:rsidDel="00000000" w:rsidR="00000000" w:rsidRPr="00000000">
        <w:rPr>
          <w:rtl w:val="0"/>
        </w:rPr>
      </w:r>
    </w:p>
    <w:p w:rsidR="00000000" w:rsidDel="00000000" w:rsidP="00000000" w:rsidRDefault="00000000" w:rsidRPr="00000000" w14:paraId="0000000C">
      <w:pPr>
        <w:pageBreakBefore w:val="0"/>
        <w:numPr>
          <w:ilvl w:val="0"/>
          <w:numId w:val="3"/>
        </w:numPr>
        <w:spacing w:line="360" w:lineRule="auto"/>
        <w:ind w:left="720" w:hanging="360"/>
        <w:jc w:val="both"/>
        <w:rPr/>
      </w:pPr>
      <w:r w:rsidDel="00000000" w:rsidR="00000000" w:rsidRPr="00000000">
        <w:rPr>
          <w:rFonts w:ascii="Hammersmith One" w:cs="Hammersmith One" w:eastAsia="Hammersmith One" w:hAnsi="Hammersmith One"/>
          <w:sz w:val="36"/>
          <w:szCs w:val="36"/>
          <w:rtl w:val="0"/>
        </w:rPr>
        <w:t xml:space="preserve"> Localización de la Norma 14001</w:t>
      </w:r>
    </w:p>
    <w:p w:rsidR="00000000" w:rsidDel="00000000" w:rsidP="00000000" w:rsidRDefault="00000000" w:rsidRPr="00000000" w14:paraId="0000000D">
      <w:pPr>
        <w:pageBreakBefore w:val="0"/>
        <w:numPr>
          <w:ilvl w:val="1"/>
          <w:numId w:val="3"/>
        </w:numPr>
        <w:spacing w:line="360" w:lineRule="auto"/>
        <w:ind w:left="1440" w:hanging="360"/>
        <w:jc w:val="both"/>
        <w:rPr/>
      </w:pPr>
      <w:r w:rsidDel="00000000" w:rsidR="00000000" w:rsidRPr="00000000">
        <w:rPr>
          <w:rFonts w:ascii="Helvetica Neue" w:cs="Helvetica Neue" w:eastAsia="Helvetica Neue" w:hAnsi="Helvetica Neue"/>
          <w:sz w:val="24"/>
          <w:szCs w:val="24"/>
          <w:rtl w:val="0"/>
        </w:rPr>
        <w:t xml:space="preserve">La norma la hemos encontrado yendo al Polibuscador, en el apartado de «Bases de datos». Después, en la página de AENOR hemos buscado la «Norma 14001» en el buscador integrado en la plataforma.</w:t>
      </w:r>
    </w:p>
    <w:p w:rsidR="00000000" w:rsidDel="00000000" w:rsidP="00000000" w:rsidRDefault="00000000" w:rsidRPr="00000000" w14:paraId="0000000E">
      <w:pPr>
        <w:pageBreakBefore w:val="0"/>
        <w:spacing w:line="360" w:lineRule="auto"/>
        <w:ind w:left="1440" w:firstLine="0"/>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Pr>
        <w:drawing>
          <wp:inline distB="114300" distT="114300" distL="114300" distR="114300">
            <wp:extent cx="4557078" cy="2205038"/>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57078" cy="220503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spacing w:line="360" w:lineRule="auto"/>
        <w:ind w:left="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0">
      <w:pPr>
        <w:pageBreakBefore w:val="0"/>
        <w:spacing w:line="360" w:lineRule="auto"/>
        <w:ind w:left="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1">
      <w:pPr>
        <w:pageBreakBefore w:val="0"/>
        <w:numPr>
          <w:ilvl w:val="0"/>
          <w:numId w:val="3"/>
        </w:numPr>
        <w:spacing w:line="360" w:lineRule="auto"/>
        <w:ind w:left="720" w:hanging="360"/>
        <w:jc w:val="both"/>
        <w:rPr/>
      </w:pPr>
      <w:r w:rsidDel="00000000" w:rsidR="00000000" w:rsidRPr="00000000">
        <w:rPr>
          <w:rFonts w:ascii="Hammersmith One" w:cs="Hammersmith One" w:eastAsia="Hammersmith One" w:hAnsi="Hammersmith One"/>
          <w:sz w:val="36"/>
          <w:szCs w:val="36"/>
          <w:rtl w:val="0"/>
        </w:rPr>
        <w:t xml:space="preserve"> </w:t>
      </w:r>
      <w:r w:rsidDel="00000000" w:rsidR="00000000" w:rsidRPr="00000000">
        <w:rPr>
          <w:rFonts w:ascii="Hammersmith One" w:cs="Hammersmith One" w:eastAsia="Hammersmith One" w:hAnsi="Hammersmith One"/>
          <w:sz w:val="36"/>
          <w:szCs w:val="36"/>
          <w:rtl w:val="0"/>
        </w:rPr>
        <w:t xml:space="preserve">Código ético</w:t>
      </w:r>
    </w:p>
    <w:p w:rsidR="00000000" w:rsidDel="00000000" w:rsidP="00000000" w:rsidRDefault="00000000" w:rsidRPr="00000000" w14:paraId="00000012">
      <w:pPr>
        <w:pageBreakBefore w:val="0"/>
        <w:numPr>
          <w:ilvl w:val="1"/>
          <w:numId w:val="3"/>
        </w:numPr>
        <w:spacing w:after="0" w:before="0" w:line="360" w:lineRule="auto"/>
        <w:ind w:left="1440" w:hanging="360"/>
        <w:jc w:val="both"/>
        <w:rPr/>
      </w:pPr>
      <w:r w:rsidDel="00000000" w:rsidR="00000000" w:rsidRPr="00000000">
        <w:rPr>
          <w:rFonts w:ascii="Helvetica Neue" w:cs="Helvetica Neue" w:eastAsia="Helvetica Neue" w:hAnsi="Helvetica Neue"/>
          <w:b w:val="1"/>
          <w:sz w:val="24"/>
          <w:szCs w:val="24"/>
          <w:rtl w:val="0"/>
        </w:rPr>
        <w:t xml:space="preserve">Sistema de gestión ambiental (3.1.2): </w:t>
      </w:r>
      <w:r w:rsidDel="00000000" w:rsidR="00000000" w:rsidRPr="00000000">
        <w:rPr>
          <w:rFonts w:ascii="Helvetica Neue" w:cs="Helvetica Neue" w:eastAsia="Helvetica Neue" w:hAnsi="Helvetica Neue"/>
          <w:sz w:val="24"/>
          <w:szCs w:val="24"/>
          <w:rtl w:val="0"/>
        </w:rPr>
        <w:t xml:space="preserve">Contará con un sistema de gestión que deberá lidiar de forma adecuada con los aspectos ambientales, así como cumplir con las leyes vigentes, otros requisitos y encontrar y evitar, respectivamente, las oportunidades y los riesgos.</w:t>
      </w:r>
    </w:p>
    <w:p w:rsidR="00000000" w:rsidDel="00000000" w:rsidP="00000000" w:rsidRDefault="00000000" w:rsidRPr="00000000" w14:paraId="00000013">
      <w:pPr>
        <w:pageBreakBefore w:val="0"/>
        <w:numPr>
          <w:ilvl w:val="1"/>
          <w:numId w:val="3"/>
        </w:numPr>
        <w:spacing w:after="0" w:before="200" w:line="360" w:lineRule="auto"/>
        <w:ind w:left="1440" w:hanging="360"/>
        <w:jc w:val="both"/>
        <w:rPr/>
      </w:pPr>
      <w:r w:rsidDel="00000000" w:rsidR="00000000" w:rsidRPr="00000000">
        <w:rPr>
          <w:rFonts w:ascii="Helvetica Neue" w:cs="Helvetica Neue" w:eastAsia="Helvetica Neue" w:hAnsi="Helvetica Neue"/>
          <w:b w:val="1"/>
          <w:sz w:val="24"/>
          <w:szCs w:val="24"/>
          <w:rtl w:val="0"/>
        </w:rPr>
        <w:t xml:space="preserve">Política ambiental (3.1.3):</w:t>
      </w:r>
      <w:r w:rsidDel="00000000" w:rsidR="00000000" w:rsidRPr="00000000">
        <w:rPr>
          <w:rFonts w:ascii="Helvetica Neue" w:cs="Helvetica Neue" w:eastAsia="Helvetica Neue" w:hAnsi="Helvetica Neue"/>
          <w:sz w:val="24"/>
          <w:szCs w:val="24"/>
          <w:rtl w:val="0"/>
        </w:rPr>
        <w:t xml:space="preserve"> Intenciones de la empresa de forma que haya un desempeño ambiental.</w:t>
      </w:r>
      <w:r w:rsidDel="00000000" w:rsidR="00000000" w:rsidRPr="00000000">
        <w:rPr>
          <w:rtl w:val="0"/>
        </w:rPr>
      </w:r>
    </w:p>
    <w:p w:rsidR="00000000" w:rsidDel="00000000" w:rsidP="00000000" w:rsidRDefault="00000000" w:rsidRPr="00000000" w14:paraId="00000014">
      <w:pPr>
        <w:pageBreakBefore w:val="0"/>
        <w:numPr>
          <w:ilvl w:val="1"/>
          <w:numId w:val="3"/>
        </w:numPr>
        <w:spacing w:after="0" w:before="200" w:line="360" w:lineRule="auto"/>
        <w:ind w:left="1440" w:hanging="360"/>
        <w:jc w:val="both"/>
        <w:rPr/>
      </w:pPr>
      <w:r w:rsidDel="00000000" w:rsidR="00000000" w:rsidRPr="00000000">
        <w:rPr>
          <w:rFonts w:ascii="Helvetica Neue" w:cs="Helvetica Neue" w:eastAsia="Helvetica Neue" w:hAnsi="Helvetica Neue"/>
          <w:b w:val="1"/>
          <w:sz w:val="24"/>
          <w:szCs w:val="24"/>
          <w:rtl w:val="0"/>
        </w:rPr>
        <w:t xml:space="preserve">Medio ambiente (3.2.1):</w:t>
      </w:r>
      <w:r w:rsidDel="00000000" w:rsidR="00000000" w:rsidRPr="00000000">
        <w:rPr>
          <w:rFonts w:ascii="Helvetica Neue" w:cs="Helvetica Neue" w:eastAsia="Helvetica Neue" w:hAnsi="Helvetica Neue"/>
          <w:sz w:val="24"/>
          <w:szCs w:val="24"/>
          <w:rtl w:val="0"/>
        </w:rPr>
        <w:t xml:space="preserve"> Estado o característica del medio ambiente, determinado en un punto específico en el tiempo.</w:t>
      </w:r>
      <w:r w:rsidDel="00000000" w:rsidR="00000000" w:rsidRPr="00000000">
        <w:rPr>
          <w:rtl w:val="0"/>
        </w:rPr>
      </w:r>
    </w:p>
    <w:p w:rsidR="00000000" w:rsidDel="00000000" w:rsidP="00000000" w:rsidRDefault="00000000" w:rsidRPr="00000000" w14:paraId="00000015">
      <w:pPr>
        <w:pageBreakBefore w:val="0"/>
        <w:numPr>
          <w:ilvl w:val="1"/>
          <w:numId w:val="3"/>
        </w:numPr>
        <w:spacing w:after="0" w:before="200" w:line="360" w:lineRule="auto"/>
        <w:ind w:left="1440" w:hanging="360"/>
        <w:jc w:val="both"/>
        <w:rPr/>
      </w:pPr>
      <w:r w:rsidDel="00000000" w:rsidR="00000000" w:rsidRPr="00000000">
        <w:rPr>
          <w:rFonts w:ascii="Helvetica Neue" w:cs="Helvetica Neue" w:eastAsia="Helvetica Neue" w:hAnsi="Helvetica Neue"/>
          <w:b w:val="1"/>
          <w:sz w:val="24"/>
          <w:szCs w:val="24"/>
          <w:rtl w:val="0"/>
        </w:rPr>
        <w:t xml:space="preserve">Aspecto ambiental (3.2.2):</w:t>
      </w:r>
      <w:r w:rsidDel="00000000" w:rsidR="00000000" w:rsidRPr="00000000">
        <w:rPr>
          <w:rFonts w:ascii="Helvetica Neue" w:cs="Helvetica Neue" w:eastAsia="Helvetica Neue" w:hAnsi="Helvetica Neue"/>
          <w:sz w:val="24"/>
          <w:szCs w:val="24"/>
          <w:rtl w:val="0"/>
        </w:rPr>
        <w:t xml:space="preserve"> La empresa debe tener en cuenta que los productos o servicios interactúen o puedan interactuar de forma responsable con el medio ambiente. Relacionado con el impacto ambiental, nombrado más abajo.</w:t>
      </w:r>
    </w:p>
    <w:p w:rsidR="00000000" w:rsidDel="00000000" w:rsidP="00000000" w:rsidRDefault="00000000" w:rsidRPr="00000000" w14:paraId="00000016">
      <w:pPr>
        <w:pageBreakBefore w:val="0"/>
        <w:numPr>
          <w:ilvl w:val="1"/>
          <w:numId w:val="3"/>
        </w:numPr>
        <w:spacing w:after="0" w:before="200" w:line="360" w:lineRule="auto"/>
        <w:ind w:left="1440" w:hanging="360"/>
        <w:jc w:val="both"/>
        <w:rPr/>
      </w:pPr>
      <w:r w:rsidDel="00000000" w:rsidR="00000000" w:rsidRPr="00000000">
        <w:rPr>
          <w:rFonts w:ascii="Helvetica Neue" w:cs="Helvetica Neue" w:eastAsia="Helvetica Neue" w:hAnsi="Helvetica Neue"/>
          <w:b w:val="1"/>
          <w:sz w:val="24"/>
          <w:szCs w:val="24"/>
          <w:rtl w:val="0"/>
        </w:rPr>
        <w:t xml:space="preserve">Condición ambiental (3.2.3): </w:t>
      </w:r>
      <w:r w:rsidDel="00000000" w:rsidR="00000000" w:rsidRPr="00000000">
        <w:rPr>
          <w:rFonts w:ascii="Helvetica Neue" w:cs="Helvetica Neue" w:eastAsia="Helvetica Neue" w:hAnsi="Helvetica Neue"/>
          <w:sz w:val="24"/>
          <w:szCs w:val="24"/>
          <w:rtl w:val="0"/>
        </w:rPr>
        <w:t xml:space="preserve">La empresa debe tener en cuenta el estado actual del medio ambiente a la hora de evaluar el impacto ambiental.</w:t>
      </w:r>
    </w:p>
    <w:p w:rsidR="00000000" w:rsidDel="00000000" w:rsidP="00000000" w:rsidRDefault="00000000" w:rsidRPr="00000000" w14:paraId="00000017">
      <w:pPr>
        <w:pageBreakBefore w:val="0"/>
        <w:numPr>
          <w:ilvl w:val="1"/>
          <w:numId w:val="3"/>
        </w:numPr>
        <w:spacing w:after="0" w:before="200" w:line="360" w:lineRule="auto"/>
        <w:ind w:left="1440" w:hanging="360"/>
        <w:jc w:val="both"/>
        <w:rPr/>
      </w:pPr>
      <w:r w:rsidDel="00000000" w:rsidR="00000000" w:rsidRPr="00000000">
        <w:rPr>
          <w:rFonts w:ascii="Helvetica Neue" w:cs="Helvetica Neue" w:eastAsia="Helvetica Neue" w:hAnsi="Helvetica Neue"/>
          <w:b w:val="1"/>
          <w:sz w:val="24"/>
          <w:szCs w:val="24"/>
          <w:rtl w:val="0"/>
        </w:rPr>
        <w:t xml:space="preserve">Impacto ambiental (3.2.4): </w:t>
      </w:r>
      <w:r w:rsidDel="00000000" w:rsidR="00000000" w:rsidRPr="00000000">
        <w:rPr>
          <w:rFonts w:ascii="Helvetica Neue" w:cs="Helvetica Neue" w:eastAsia="Helvetica Neue" w:hAnsi="Helvetica Neue"/>
          <w:sz w:val="24"/>
          <w:szCs w:val="24"/>
          <w:rtl w:val="0"/>
        </w:rPr>
        <w:t xml:space="preserve">Las consecuencias en el medio ambiente que pueda producir la empresa. Ya sean adversas o beneficiosas, deben ser evaluadas.</w:t>
      </w:r>
    </w:p>
    <w:p w:rsidR="00000000" w:rsidDel="00000000" w:rsidP="00000000" w:rsidRDefault="00000000" w:rsidRPr="00000000" w14:paraId="00000018">
      <w:pPr>
        <w:pageBreakBefore w:val="0"/>
        <w:numPr>
          <w:ilvl w:val="1"/>
          <w:numId w:val="3"/>
        </w:numPr>
        <w:spacing w:after="0" w:before="200" w:line="360" w:lineRule="auto"/>
        <w:ind w:left="1440" w:hanging="360"/>
        <w:jc w:val="both"/>
        <w:rPr/>
      </w:pPr>
      <w:r w:rsidDel="00000000" w:rsidR="00000000" w:rsidRPr="00000000">
        <w:rPr>
          <w:rFonts w:ascii="Helvetica Neue" w:cs="Helvetica Neue" w:eastAsia="Helvetica Neue" w:hAnsi="Helvetica Neue"/>
          <w:b w:val="1"/>
          <w:sz w:val="24"/>
          <w:szCs w:val="24"/>
          <w:rtl w:val="0"/>
        </w:rPr>
        <w:t xml:space="preserve">Objetivo ambiental (3.2.6): </w:t>
      </w:r>
      <w:r w:rsidDel="00000000" w:rsidR="00000000" w:rsidRPr="00000000">
        <w:rPr>
          <w:rFonts w:ascii="Helvetica Neue" w:cs="Helvetica Neue" w:eastAsia="Helvetica Neue" w:hAnsi="Helvetica Neue"/>
          <w:sz w:val="24"/>
          <w:szCs w:val="24"/>
          <w:rtl w:val="0"/>
        </w:rPr>
        <w:t xml:space="preserve">El objetivo de la organización debe ser coherente con la política ambiental de la empresa.</w:t>
      </w:r>
    </w:p>
    <w:p w:rsidR="00000000" w:rsidDel="00000000" w:rsidP="00000000" w:rsidRDefault="00000000" w:rsidRPr="00000000" w14:paraId="00000019">
      <w:pPr>
        <w:pageBreakBefore w:val="0"/>
        <w:numPr>
          <w:ilvl w:val="1"/>
          <w:numId w:val="3"/>
        </w:numPr>
        <w:spacing w:after="0" w:before="200" w:line="360" w:lineRule="auto"/>
        <w:ind w:left="1440" w:hanging="360"/>
        <w:jc w:val="both"/>
        <w:rPr/>
      </w:pPr>
      <w:r w:rsidDel="00000000" w:rsidR="00000000" w:rsidRPr="00000000">
        <w:rPr>
          <w:rFonts w:ascii="Helvetica Neue" w:cs="Helvetica Neue" w:eastAsia="Helvetica Neue" w:hAnsi="Helvetica Neue"/>
          <w:b w:val="1"/>
          <w:sz w:val="24"/>
          <w:szCs w:val="24"/>
          <w:rtl w:val="0"/>
        </w:rPr>
        <w:t xml:space="preserve">Prevención de la contaminación (3.2.7): </w:t>
      </w:r>
      <w:r w:rsidDel="00000000" w:rsidR="00000000" w:rsidRPr="00000000">
        <w:rPr>
          <w:rFonts w:ascii="Helvetica Neue" w:cs="Helvetica Neue" w:eastAsia="Helvetica Neue" w:hAnsi="Helvetica Neue"/>
          <w:sz w:val="24"/>
          <w:szCs w:val="24"/>
          <w:rtl w:val="0"/>
        </w:rPr>
        <w:t xml:space="preserve">Utilización en la organización de procesos, prácticas, técnicas, materiales, productos, servicios o energía para evitar, reducir o controlar la generación, emisión o descarga de cualquier tipo de residuos para reducir impactos ambientales.</w:t>
      </w:r>
    </w:p>
    <w:p w:rsidR="00000000" w:rsidDel="00000000" w:rsidP="00000000" w:rsidRDefault="00000000" w:rsidRPr="00000000" w14:paraId="0000001A">
      <w:pPr>
        <w:pageBreakBefore w:val="0"/>
        <w:numPr>
          <w:ilvl w:val="1"/>
          <w:numId w:val="3"/>
        </w:numPr>
        <w:spacing w:before="200" w:line="360" w:lineRule="auto"/>
        <w:ind w:left="1440" w:hanging="360"/>
        <w:jc w:val="both"/>
        <w:rPr/>
      </w:pPr>
      <w:r w:rsidDel="00000000" w:rsidR="00000000" w:rsidRPr="00000000">
        <w:rPr>
          <w:rFonts w:ascii="Helvetica Neue" w:cs="Helvetica Neue" w:eastAsia="Helvetica Neue" w:hAnsi="Helvetica Neue"/>
          <w:b w:val="1"/>
          <w:sz w:val="24"/>
          <w:szCs w:val="24"/>
          <w:rtl w:val="0"/>
        </w:rPr>
        <w:t xml:space="preserve">Ciclo de vida (3.3.3): </w:t>
      </w:r>
      <w:r w:rsidDel="00000000" w:rsidR="00000000" w:rsidRPr="00000000">
        <w:rPr>
          <w:rFonts w:ascii="Helvetica Neue" w:cs="Helvetica Neue" w:eastAsia="Helvetica Neue" w:hAnsi="Helvetica Neue"/>
          <w:sz w:val="24"/>
          <w:szCs w:val="24"/>
          <w:rtl w:val="0"/>
        </w:rPr>
        <w:t xml:space="preserve">Etapas consecutivas de un producto o servicio desde la adquisición de la materia prima hasta la disposición final que debe tener en cuenta la organización para ser coherente con los demás puntos del código medioambiental.</w:t>
      </w:r>
      <w:r w:rsidDel="00000000" w:rsidR="00000000" w:rsidRPr="00000000">
        <w:rPr>
          <w:rtl w:val="0"/>
        </w:rPr>
      </w:r>
    </w:p>
    <w:p w:rsidR="00000000" w:rsidDel="00000000" w:rsidP="00000000" w:rsidRDefault="00000000" w:rsidRPr="00000000" w14:paraId="0000001B">
      <w:pPr>
        <w:pageBreakBefore w:val="0"/>
        <w:spacing w:line="360" w:lineRule="auto"/>
        <w:ind w:left="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C">
      <w:pPr>
        <w:pageBreakBefore w:val="0"/>
        <w:spacing w:line="360" w:lineRule="auto"/>
        <w:ind w:left="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D">
      <w:pPr>
        <w:pageBreakBefore w:val="0"/>
        <w:numPr>
          <w:ilvl w:val="0"/>
          <w:numId w:val="3"/>
        </w:numPr>
        <w:spacing w:line="360" w:lineRule="auto"/>
        <w:ind w:left="720" w:hanging="360"/>
        <w:jc w:val="both"/>
        <w:rPr/>
      </w:pPr>
      <w:r w:rsidDel="00000000" w:rsidR="00000000" w:rsidRPr="00000000">
        <w:rPr>
          <w:rFonts w:ascii="Hammersmith One" w:cs="Hammersmith One" w:eastAsia="Hammersmith One" w:hAnsi="Hammersmith One"/>
          <w:sz w:val="36"/>
          <w:szCs w:val="36"/>
          <w:rtl w:val="0"/>
        </w:rPr>
        <w:t xml:space="preserve"> Normas AENOR</w:t>
      </w:r>
    </w:p>
    <w:p w:rsidR="00000000" w:rsidDel="00000000" w:rsidP="00000000" w:rsidRDefault="00000000" w:rsidRPr="00000000" w14:paraId="0000001E">
      <w:pPr>
        <w:pageBreakBefore w:val="0"/>
        <w:widowControl w:val="0"/>
        <w:numPr>
          <w:ilvl w:val="1"/>
          <w:numId w:val="3"/>
        </w:numPr>
        <w:spacing w:after="40" w:before="0" w:line="360" w:lineRule="auto"/>
        <w:ind w:left="1440" w:hanging="360"/>
        <w:jc w:val="both"/>
        <w:rPr/>
      </w:pPr>
      <w:r w:rsidDel="00000000" w:rsidR="00000000" w:rsidRPr="00000000">
        <w:rPr>
          <w:rFonts w:ascii="Helvetica Neue" w:cs="Helvetica Neue" w:eastAsia="Helvetica Neue" w:hAnsi="Helvetica Neue"/>
          <w:b w:val="1"/>
          <w:sz w:val="24"/>
          <w:szCs w:val="24"/>
          <w:rtl w:val="0"/>
        </w:rPr>
        <w:t xml:space="preserve">UNE 150008:2008</w:t>
      </w:r>
    </w:p>
    <w:p w:rsidR="00000000" w:rsidDel="00000000" w:rsidP="00000000" w:rsidRDefault="00000000" w:rsidRPr="00000000" w14:paraId="0000001F">
      <w:pPr>
        <w:pageBreakBefore w:val="0"/>
        <w:widowControl w:val="0"/>
        <w:spacing w:after="40" w:before="0" w:line="360" w:lineRule="auto"/>
        <w:ind w:left="144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Análisis y evaluación del riesgo ambiental.</w:t>
      </w:r>
    </w:p>
    <w:p w:rsidR="00000000" w:rsidDel="00000000" w:rsidP="00000000" w:rsidRDefault="00000000" w:rsidRPr="00000000" w14:paraId="00000020">
      <w:pPr>
        <w:pageBreakBefore w:val="0"/>
        <w:widowControl w:val="0"/>
        <w:numPr>
          <w:ilvl w:val="1"/>
          <w:numId w:val="3"/>
        </w:numPr>
        <w:spacing w:after="40" w:before="200" w:line="360" w:lineRule="auto"/>
        <w:ind w:left="1440" w:hanging="360"/>
        <w:jc w:val="both"/>
        <w:rPr/>
      </w:pPr>
      <w:r w:rsidDel="00000000" w:rsidR="00000000" w:rsidRPr="00000000">
        <w:rPr>
          <w:rFonts w:ascii="Helvetica Neue" w:cs="Helvetica Neue" w:eastAsia="Helvetica Neue" w:hAnsi="Helvetica Neue"/>
          <w:b w:val="1"/>
          <w:sz w:val="24"/>
          <w:szCs w:val="24"/>
          <w:rtl w:val="0"/>
        </w:rPr>
        <w:t xml:space="preserve">UNE 150011:2005</w:t>
      </w:r>
    </w:p>
    <w:p w:rsidR="00000000" w:rsidDel="00000000" w:rsidP="00000000" w:rsidRDefault="00000000" w:rsidRPr="00000000" w14:paraId="00000021">
      <w:pPr>
        <w:pageBreakBefore w:val="0"/>
        <w:widowControl w:val="0"/>
        <w:spacing w:after="40" w:before="0" w:line="360" w:lineRule="auto"/>
        <w:ind w:left="144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Gestión ambiental. Guía para la evaluación de los costes ambientales. Costes ambientales internos.</w:t>
      </w:r>
    </w:p>
    <w:p w:rsidR="00000000" w:rsidDel="00000000" w:rsidP="00000000" w:rsidRDefault="00000000" w:rsidRPr="00000000" w14:paraId="00000022">
      <w:pPr>
        <w:pageBreakBefore w:val="0"/>
        <w:widowControl w:val="0"/>
        <w:numPr>
          <w:ilvl w:val="1"/>
          <w:numId w:val="3"/>
        </w:numPr>
        <w:spacing w:after="40" w:before="200" w:line="360" w:lineRule="auto"/>
        <w:ind w:left="144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sz w:val="24"/>
          <w:szCs w:val="24"/>
          <w:rtl w:val="0"/>
        </w:rPr>
        <w:t xml:space="preserve">UNE 157921:2006</w:t>
      </w:r>
    </w:p>
    <w:p w:rsidR="00000000" w:rsidDel="00000000" w:rsidP="00000000" w:rsidRDefault="00000000" w:rsidRPr="00000000" w14:paraId="00000023">
      <w:pPr>
        <w:pageBreakBefore w:val="0"/>
        <w:widowControl w:val="0"/>
        <w:spacing w:after="40" w:before="0" w:line="360" w:lineRule="auto"/>
        <w:ind w:left="144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Criterios generales para la elaboración de estudios de impacto ambiental.</w:t>
      </w:r>
    </w:p>
    <w:p w:rsidR="00000000" w:rsidDel="00000000" w:rsidP="00000000" w:rsidRDefault="00000000" w:rsidRPr="00000000" w14:paraId="00000024">
      <w:pPr>
        <w:pageBreakBefore w:val="0"/>
        <w:widowControl w:val="0"/>
        <w:numPr>
          <w:ilvl w:val="1"/>
          <w:numId w:val="3"/>
        </w:numPr>
        <w:spacing w:after="40" w:before="200" w:line="360" w:lineRule="auto"/>
        <w:ind w:left="144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sz w:val="24"/>
          <w:szCs w:val="24"/>
          <w:rtl w:val="0"/>
        </w:rPr>
        <w:t xml:space="preserve">Otras normas que pueden interesar:</w:t>
      </w:r>
    </w:p>
    <w:p w:rsidR="00000000" w:rsidDel="00000000" w:rsidP="00000000" w:rsidRDefault="00000000" w:rsidRPr="00000000" w14:paraId="00000025">
      <w:pPr>
        <w:pageBreakBefore w:val="0"/>
        <w:widowControl w:val="0"/>
        <w:numPr>
          <w:ilvl w:val="0"/>
          <w:numId w:val="2"/>
        </w:numPr>
        <w:spacing w:after="40" w:before="0" w:line="360" w:lineRule="auto"/>
        <w:ind w:left="2160" w:hanging="360"/>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UNE-EN ISO 14015:2010</w:t>
      </w:r>
      <w:r w:rsidDel="00000000" w:rsidR="00000000" w:rsidRPr="00000000">
        <w:rPr>
          <w:rFonts w:ascii="Helvetica Neue" w:cs="Helvetica Neue" w:eastAsia="Helvetica Neue" w:hAnsi="Helvetica Neue"/>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26">
      <w:pPr>
        <w:pageBreakBefore w:val="0"/>
        <w:widowControl w:val="0"/>
        <w:numPr>
          <w:ilvl w:val="0"/>
          <w:numId w:val="2"/>
        </w:numPr>
        <w:spacing w:after="40" w:before="0" w:line="360" w:lineRule="auto"/>
        <w:ind w:left="2160" w:hanging="360"/>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UNE-EN ISO 14040:2006</w:t>
      </w:r>
      <w:r w:rsidDel="00000000" w:rsidR="00000000" w:rsidRPr="00000000">
        <w:rPr>
          <w:rFonts w:ascii="Helvetica Neue" w:cs="Helvetica Neue" w:eastAsia="Helvetica Neue" w:hAnsi="Helvetica Neue"/>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027">
      <w:pPr>
        <w:pageBreakBefore w:val="0"/>
        <w:spacing w:line="360" w:lineRule="auto"/>
        <w:ind w:lef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r>
    </w:p>
    <w:p w:rsidR="00000000" w:rsidDel="00000000" w:rsidP="00000000" w:rsidRDefault="00000000" w:rsidRPr="00000000" w14:paraId="00000028">
      <w:pPr>
        <w:pageBreakBefore w:val="0"/>
        <w:spacing w:line="360" w:lineRule="auto"/>
        <w:ind w:left="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9">
      <w:pPr>
        <w:pageBreakBefore w:val="0"/>
        <w:numPr>
          <w:ilvl w:val="0"/>
          <w:numId w:val="3"/>
        </w:numPr>
        <w:spacing w:line="360" w:lineRule="auto"/>
        <w:ind w:left="720" w:hanging="360"/>
        <w:jc w:val="both"/>
        <w:rPr/>
      </w:pPr>
      <w:r w:rsidDel="00000000" w:rsidR="00000000" w:rsidRPr="00000000">
        <w:rPr>
          <w:rFonts w:ascii="Hammersmith One" w:cs="Hammersmith One" w:eastAsia="Hammersmith One" w:hAnsi="Hammersmith One"/>
          <w:sz w:val="36"/>
          <w:szCs w:val="36"/>
          <w:rtl w:val="0"/>
        </w:rPr>
        <w:t xml:space="preserve"> Marco legal</w:t>
      </w:r>
    </w:p>
    <w:p w:rsidR="00000000" w:rsidDel="00000000" w:rsidP="00000000" w:rsidRDefault="00000000" w:rsidRPr="00000000" w14:paraId="0000002A">
      <w:pPr>
        <w:pageBreakBefore w:val="0"/>
        <w:numPr>
          <w:ilvl w:val="0"/>
          <w:numId w:val="4"/>
        </w:numPr>
        <w:spacing w:line="360" w:lineRule="auto"/>
        <w:ind w:left="1440" w:hanging="360"/>
        <w:jc w:val="both"/>
        <w:rPr>
          <w:rFonts w:ascii="Hammersmith One" w:cs="Hammersmith One" w:eastAsia="Hammersmith One" w:hAnsi="Hammersmith One"/>
          <w:sz w:val="28"/>
          <w:szCs w:val="28"/>
          <w:u w:val="none"/>
        </w:rPr>
      </w:pPr>
      <w:r w:rsidDel="00000000" w:rsidR="00000000" w:rsidRPr="00000000">
        <w:rPr>
          <w:rFonts w:ascii="Hammersmith One" w:cs="Hammersmith One" w:eastAsia="Hammersmith One" w:hAnsi="Hammersmith One"/>
          <w:sz w:val="28"/>
          <w:szCs w:val="28"/>
          <w:rtl w:val="0"/>
        </w:rPr>
        <w:t xml:space="preserve">Normativa española</w:t>
      </w:r>
    </w:p>
    <w:p w:rsidR="00000000" w:rsidDel="00000000" w:rsidP="00000000" w:rsidRDefault="00000000" w:rsidRPr="00000000" w14:paraId="0000002B">
      <w:pPr>
        <w:pageBreakBefore w:val="0"/>
        <w:numPr>
          <w:ilvl w:val="2"/>
          <w:numId w:val="3"/>
        </w:numPr>
        <w:spacing w:line="360" w:lineRule="auto"/>
        <w:ind w:left="2160" w:hanging="36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Ley 26/2007, de 23 de octubre, de Responsabilidad Medioambiental. </w:t>
      </w:r>
      <w:r w:rsidDel="00000000" w:rsidR="00000000" w:rsidRPr="00000000">
        <w:rPr>
          <w:rFonts w:ascii="Helvetica Neue" w:cs="Helvetica Neue" w:eastAsia="Helvetica Neue" w:hAnsi="Helvetica Neue"/>
          <w:rtl w:val="0"/>
        </w:rPr>
        <w:t xml:space="preserve">Incorpora al ordenamiento jurídico un régimen administrativo de responsabilidad ambiental de carácter objetivo e ilimitado basado en los principios de prevención y de que </w:t>
      </w:r>
      <w:r w:rsidDel="00000000" w:rsidR="00000000" w:rsidRPr="00000000">
        <w:rPr>
          <w:rFonts w:ascii="Helvetica Neue" w:cs="Helvetica Neue" w:eastAsia="Helvetica Neue" w:hAnsi="Helvetica Neue"/>
          <w:i w:val="1"/>
          <w:rtl w:val="0"/>
        </w:rPr>
        <w:t xml:space="preserve">«Quien contamina paga»</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2C">
      <w:pPr>
        <w:pageBreakBefore w:val="0"/>
        <w:numPr>
          <w:ilvl w:val="2"/>
          <w:numId w:val="3"/>
        </w:numPr>
        <w:spacing w:before="200" w:line="360" w:lineRule="auto"/>
        <w:ind w:left="2160" w:hanging="36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Ley 21/2013, de 9 de diciembre, de evaluación ambiental. </w:t>
      </w:r>
      <w:r w:rsidDel="00000000" w:rsidR="00000000" w:rsidRPr="00000000">
        <w:rPr>
          <w:rFonts w:ascii="Helvetica Neue" w:cs="Helvetica Neue" w:eastAsia="Helvetica Neue" w:hAnsi="Helvetica Neue"/>
          <w:rtl w:val="0"/>
        </w:rPr>
        <w:t xml:space="preserve">La evaluación ambiental es un instrumento plenamente consolidado que acompaña al desarrollo, asegurando que este sea sostenible e integrador.</w:t>
      </w:r>
      <w:r w:rsidDel="00000000" w:rsidR="00000000" w:rsidRPr="00000000">
        <w:rPr>
          <w:rtl w:val="0"/>
        </w:rPr>
      </w:r>
    </w:p>
    <w:p w:rsidR="00000000" w:rsidDel="00000000" w:rsidP="00000000" w:rsidRDefault="00000000" w:rsidRPr="00000000" w14:paraId="0000002D">
      <w:pPr>
        <w:pageBreakBefore w:val="0"/>
        <w:numPr>
          <w:ilvl w:val="1"/>
          <w:numId w:val="3"/>
        </w:numPr>
        <w:spacing w:before="200" w:line="360" w:lineRule="auto"/>
        <w:ind w:left="1440" w:hanging="360"/>
        <w:jc w:val="both"/>
        <w:rPr>
          <w:rFonts w:ascii="Hammersmith One" w:cs="Hammersmith One" w:eastAsia="Hammersmith One" w:hAnsi="Hammersmith One"/>
          <w:sz w:val="28"/>
          <w:szCs w:val="28"/>
        </w:rPr>
      </w:pPr>
      <w:r w:rsidDel="00000000" w:rsidR="00000000" w:rsidRPr="00000000">
        <w:rPr>
          <w:rFonts w:ascii="Hammersmith One" w:cs="Hammersmith One" w:eastAsia="Hammersmith One" w:hAnsi="Hammersmith One"/>
          <w:sz w:val="28"/>
          <w:szCs w:val="28"/>
          <w:rtl w:val="0"/>
        </w:rPr>
        <w:t xml:space="preserve">Normativa europea</w:t>
      </w:r>
    </w:p>
    <w:p w:rsidR="00000000" w:rsidDel="00000000" w:rsidP="00000000" w:rsidRDefault="00000000" w:rsidRPr="00000000" w14:paraId="0000002E">
      <w:pPr>
        <w:pageBreakBefore w:val="0"/>
        <w:numPr>
          <w:ilvl w:val="2"/>
          <w:numId w:val="3"/>
        </w:numPr>
        <w:spacing w:line="360" w:lineRule="auto"/>
        <w:ind w:left="2160" w:hanging="360"/>
        <w:jc w:val="both"/>
        <w:rPr>
          <w:rFonts w:ascii="Hammersmith One" w:cs="Hammersmith One" w:eastAsia="Hammersmith One" w:hAnsi="Hammersmith One"/>
          <w:sz w:val="28"/>
          <w:szCs w:val="28"/>
        </w:rPr>
      </w:pPr>
      <w:r w:rsidDel="00000000" w:rsidR="00000000" w:rsidRPr="00000000">
        <w:rPr>
          <w:rFonts w:ascii="Helvetica Neue" w:cs="Helvetica Neue" w:eastAsia="Helvetica Neue" w:hAnsi="Helvetica Neue"/>
          <w:sz w:val="24"/>
          <w:szCs w:val="24"/>
          <w:rtl w:val="0"/>
        </w:rPr>
        <w:t xml:space="preserve">Directiva 2004/35/CE del Parlamento Europeo y del Consejo. </w:t>
      </w:r>
      <w:r w:rsidDel="00000000" w:rsidR="00000000" w:rsidRPr="00000000">
        <w:rPr>
          <w:rFonts w:ascii="Helvetica Neue" w:cs="Helvetica Neue" w:eastAsia="Helvetica Neue" w:hAnsi="Helvetica Neue"/>
          <w:rtl w:val="0"/>
        </w:rPr>
        <w:t xml:space="preserve">Hemos escogido esta ley debido a su relación con la prevención y reparación de daños medioambientales.</w:t>
      </w:r>
      <w:r w:rsidDel="00000000" w:rsidR="00000000" w:rsidRPr="00000000">
        <w:rPr>
          <w:rFonts w:ascii="Helvetica Neue" w:cs="Helvetica Neue" w:eastAsia="Helvetica Neue" w:hAnsi="Helvetica Neue"/>
          <w:sz w:val="24"/>
          <w:szCs w:val="24"/>
          <w:rtl w:val="0"/>
        </w:rPr>
        <w:t xml:space="preserve"> </w:t>
      </w:r>
    </w:p>
    <w:p w:rsidR="00000000" w:rsidDel="00000000" w:rsidP="00000000" w:rsidRDefault="00000000" w:rsidRPr="00000000" w14:paraId="0000002F">
      <w:pPr>
        <w:pageBreakBefore w:val="0"/>
        <w:numPr>
          <w:ilvl w:val="2"/>
          <w:numId w:val="3"/>
        </w:numPr>
        <w:spacing w:before="200" w:line="360" w:lineRule="auto"/>
        <w:ind w:left="2160" w:hanging="36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Directiva 2014/52/UE del Parlamento Europeo y del Consejo. </w:t>
      </w:r>
      <w:r w:rsidDel="00000000" w:rsidR="00000000" w:rsidRPr="00000000">
        <w:rPr>
          <w:rFonts w:ascii="Helvetica Neue" w:cs="Helvetica Neue" w:eastAsia="Helvetica Neue" w:hAnsi="Helvetica Neue"/>
          <w:rtl w:val="0"/>
        </w:rPr>
        <w:t xml:space="preserve">Evaluación de las repercusiones de determinados proyectos públicos y privados sobre el medio ambiente.</w:t>
      </w:r>
    </w:p>
    <w:p w:rsidR="00000000" w:rsidDel="00000000" w:rsidP="00000000" w:rsidRDefault="00000000" w:rsidRPr="00000000" w14:paraId="00000030">
      <w:pPr>
        <w:pageBreakBefore w:val="0"/>
        <w:spacing w:line="360" w:lineRule="auto"/>
        <w:ind w:left="216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1">
      <w:pPr>
        <w:pageBreakBefore w:val="0"/>
        <w:spacing w:line="360" w:lineRule="auto"/>
        <w:ind w:left="216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2">
      <w:pPr>
        <w:pageBreakBefore w:val="0"/>
        <w:spacing w:line="360" w:lineRule="auto"/>
        <w:ind w:left="216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3">
      <w:pPr>
        <w:pageBreakBefore w:val="0"/>
        <w:spacing w:line="360" w:lineRule="auto"/>
        <w:ind w:left="216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4">
      <w:pPr>
        <w:pageBreakBefore w:val="0"/>
        <w:numPr>
          <w:ilvl w:val="1"/>
          <w:numId w:val="3"/>
        </w:numPr>
        <w:spacing w:before="200" w:line="360" w:lineRule="auto"/>
        <w:ind w:left="1440" w:hanging="360"/>
        <w:jc w:val="both"/>
        <w:rPr>
          <w:rFonts w:ascii="Hammersmith One" w:cs="Hammersmith One" w:eastAsia="Hammersmith One" w:hAnsi="Hammersmith One"/>
          <w:sz w:val="28"/>
          <w:szCs w:val="28"/>
        </w:rPr>
      </w:pPr>
      <w:r w:rsidDel="00000000" w:rsidR="00000000" w:rsidRPr="00000000">
        <w:rPr>
          <w:rFonts w:ascii="Hammersmith One" w:cs="Hammersmith One" w:eastAsia="Hammersmith One" w:hAnsi="Hammersmith One"/>
          <w:sz w:val="28"/>
          <w:szCs w:val="28"/>
          <w:rtl w:val="0"/>
        </w:rPr>
        <w:t xml:space="preserve">Otras normativas de interés:</w:t>
      </w:r>
    </w:p>
    <w:p w:rsidR="00000000" w:rsidDel="00000000" w:rsidP="00000000" w:rsidRDefault="00000000" w:rsidRPr="00000000" w14:paraId="00000035">
      <w:pPr>
        <w:pageBreakBefore w:val="0"/>
        <w:numPr>
          <w:ilvl w:val="0"/>
          <w:numId w:val="5"/>
        </w:numPr>
        <w:spacing w:line="360" w:lineRule="auto"/>
        <w:ind w:left="2160" w:hanging="360"/>
        <w:jc w:val="both"/>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sz w:val="24"/>
          <w:szCs w:val="24"/>
          <w:rtl w:val="0"/>
        </w:rPr>
        <w:t xml:space="preserve">Directiva 2010/75/UE del Parlamento Europeo y del Consejo sobre las emisiones industriales (prevención y control integrados de la contaminación).</w:t>
      </w:r>
      <w:r w:rsidDel="00000000" w:rsidR="00000000" w:rsidRPr="00000000">
        <w:rPr>
          <w:rFonts w:ascii="Helvetica Neue" w:cs="Helvetica Neue" w:eastAsia="Helvetica Neue" w:hAnsi="Helvetica Neue"/>
          <w:b w:val="1"/>
          <w:sz w:val="24"/>
          <w:szCs w:val="24"/>
          <w:rtl w:val="0"/>
        </w:rPr>
        <w:t xml:space="preserve"> </w:t>
      </w:r>
      <w:r w:rsidDel="00000000" w:rsidR="00000000" w:rsidRPr="00000000">
        <w:rPr>
          <w:rFonts w:ascii="Helvetica Neue" w:cs="Helvetica Neue" w:eastAsia="Helvetica Neue" w:hAnsi="Helvetica Neue"/>
          <w:rtl w:val="0"/>
        </w:rPr>
        <w:t xml:space="preserve">En cualquier proceso de eliminación de residuos se debe tener en cuenta el impacto que pueden producir las emisiones que se generen y, por tanto, de ahí la vital importancia de incluir esta ley.</w:t>
      </w:r>
    </w:p>
    <w:p w:rsidR="00000000" w:rsidDel="00000000" w:rsidP="00000000" w:rsidRDefault="00000000" w:rsidRPr="00000000" w14:paraId="00000036">
      <w:pPr>
        <w:pageBreakBefore w:val="0"/>
        <w:spacing w:line="360" w:lineRule="auto"/>
        <w:ind w:left="720" w:firstLine="0"/>
        <w:jc w:val="both"/>
        <w:rPr>
          <w:rFonts w:ascii="Hammersmith One" w:cs="Hammersmith One" w:eastAsia="Hammersmith One" w:hAnsi="Hammersmith One"/>
          <w:sz w:val="36"/>
          <w:szCs w:val="36"/>
        </w:rPr>
      </w:pPr>
      <w:r w:rsidDel="00000000" w:rsidR="00000000" w:rsidRPr="00000000">
        <w:rPr>
          <w:rtl w:val="0"/>
        </w:rPr>
      </w:r>
    </w:p>
    <w:p w:rsidR="00000000" w:rsidDel="00000000" w:rsidP="00000000" w:rsidRDefault="00000000" w:rsidRPr="00000000" w14:paraId="00000037">
      <w:pPr>
        <w:pageBreakBefore w:val="0"/>
        <w:spacing w:line="360" w:lineRule="auto"/>
        <w:ind w:left="720" w:firstLine="0"/>
        <w:jc w:val="both"/>
        <w:rPr>
          <w:rFonts w:ascii="Hammersmith One" w:cs="Hammersmith One" w:eastAsia="Hammersmith One" w:hAnsi="Hammersmith One"/>
          <w:sz w:val="36"/>
          <w:szCs w:val="36"/>
        </w:rPr>
      </w:pPr>
      <w:r w:rsidDel="00000000" w:rsidR="00000000" w:rsidRPr="00000000">
        <w:rPr>
          <w:rtl w:val="0"/>
        </w:rPr>
      </w:r>
    </w:p>
    <w:p w:rsidR="00000000" w:rsidDel="00000000" w:rsidP="00000000" w:rsidRDefault="00000000" w:rsidRPr="00000000" w14:paraId="00000038">
      <w:pPr>
        <w:pageBreakBefore w:val="0"/>
        <w:numPr>
          <w:ilvl w:val="0"/>
          <w:numId w:val="3"/>
        </w:numPr>
        <w:spacing w:line="360" w:lineRule="auto"/>
        <w:ind w:left="720" w:hanging="360"/>
        <w:jc w:val="both"/>
        <w:rPr>
          <w:rFonts w:ascii="Hammersmith One" w:cs="Hammersmith One" w:eastAsia="Hammersmith One" w:hAnsi="Hammersmith One"/>
          <w:sz w:val="36"/>
          <w:szCs w:val="36"/>
          <w:u w:val="none"/>
        </w:rPr>
      </w:pPr>
      <w:r w:rsidDel="00000000" w:rsidR="00000000" w:rsidRPr="00000000">
        <w:rPr>
          <w:rFonts w:ascii="Hammersmith One" w:cs="Hammersmith One" w:eastAsia="Hammersmith One" w:hAnsi="Hammersmith One"/>
          <w:sz w:val="36"/>
          <w:szCs w:val="36"/>
          <w:rtl w:val="0"/>
        </w:rPr>
        <w:t xml:space="preserve"> Bibliografía</w:t>
      </w:r>
      <w:r w:rsidDel="00000000" w:rsidR="00000000" w:rsidRPr="00000000">
        <w:rPr>
          <w:rFonts w:ascii="Hammersmith One" w:cs="Hammersmith One" w:eastAsia="Hammersmith One" w:hAnsi="Hammersmith One"/>
          <w:sz w:val="36"/>
          <w:szCs w:val="36"/>
          <w:vertAlign w:val="superscript"/>
        </w:rPr>
        <w:footnoteReference w:customMarkFollows="0" w:id="2"/>
      </w:r>
      <w:r w:rsidDel="00000000" w:rsidR="00000000" w:rsidRPr="00000000">
        <w:rPr>
          <w:rtl w:val="0"/>
        </w:rPr>
      </w:r>
    </w:p>
    <w:p w:rsidR="00000000" w:rsidDel="00000000" w:rsidP="00000000" w:rsidRDefault="00000000" w:rsidRPr="00000000" w14:paraId="00000039">
      <w:pPr>
        <w:pageBreakBefore w:val="0"/>
        <w:spacing w:line="360" w:lineRule="auto"/>
        <w:ind w:left="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A">
      <w:pPr>
        <w:pageBreakBefore w:val="0"/>
        <w:spacing w:line="360" w:lineRule="auto"/>
        <w:ind w:left="144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EUR-Lex - 32014L0052 - EN - EUR-Lex. </w:t>
      </w:r>
      <w:r w:rsidDel="00000000" w:rsidR="00000000" w:rsidRPr="00000000">
        <w:rPr>
          <w:rFonts w:ascii="Helvetica Neue" w:cs="Helvetica Neue" w:eastAsia="Helvetica Neue" w:hAnsi="Helvetica Neue"/>
          <w:i w:val="1"/>
          <w:rtl w:val="0"/>
        </w:rPr>
        <w:t xml:space="preserve">Eur-lex.europa.eu</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highlight w:val="white"/>
          <w:rtl w:val="0"/>
        </w:rPr>
        <w:t xml:space="preserve">[en línea] 2020.</w:t>
      </w:r>
      <w:r w:rsidDel="00000000" w:rsidR="00000000" w:rsidRPr="00000000">
        <w:rPr>
          <w:rtl w:val="0"/>
        </w:rPr>
      </w:r>
    </w:p>
    <w:p w:rsidR="00000000" w:rsidDel="00000000" w:rsidP="00000000" w:rsidRDefault="00000000" w:rsidRPr="00000000" w14:paraId="0000003B">
      <w:pPr>
        <w:pageBreakBefore w:val="0"/>
        <w:spacing w:line="360" w:lineRule="auto"/>
        <w:ind w:left="144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EUR-Lex - 32010L0075 - EN - EUR-Lex. </w:t>
      </w:r>
      <w:r w:rsidDel="00000000" w:rsidR="00000000" w:rsidRPr="00000000">
        <w:rPr>
          <w:rFonts w:ascii="Helvetica Neue" w:cs="Helvetica Neue" w:eastAsia="Helvetica Neue" w:hAnsi="Helvetica Neue"/>
          <w:i w:val="1"/>
          <w:rtl w:val="0"/>
        </w:rPr>
        <w:t xml:space="preserve">Eur-lex.europa.eu</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highlight w:val="white"/>
          <w:rtl w:val="0"/>
        </w:rPr>
        <w:t xml:space="preserve">[en línea] 2020.</w:t>
      </w:r>
      <w:r w:rsidDel="00000000" w:rsidR="00000000" w:rsidRPr="00000000">
        <w:rPr>
          <w:rtl w:val="0"/>
        </w:rPr>
      </w:r>
    </w:p>
    <w:p w:rsidR="00000000" w:rsidDel="00000000" w:rsidP="00000000" w:rsidRDefault="00000000" w:rsidRPr="00000000" w14:paraId="0000003C">
      <w:pPr>
        <w:pageBreakBefore w:val="0"/>
        <w:spacing w:line="360" w:lineRule="auto"/>
        <w:ind w:left="144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EUR-Lex - 32004L0035 - EN - EUR-Lex. </w:t>
      </w:r>
      <w:r w:rsidDel="00000000" w:rsidR="00000000" w:rsidRPr="00000000">
        <w:rPr>
          <w:rFonts w:ascii="Helvetica Neue" w:cs="Helvetica Neue" w:eastAsia="Helvetica Neue" w:hAnsi="Helvetica Neue"/>
          <w:i w:val="1"/>
          <w:rtl w:val="0"/>
        </w:rPr>
        <w:t xml:space="preserve">Eur-lex.europa.eu</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highlight w:val="white"/>
          <w:rtl w:val="0"/>
        </w:rPr>
        <w:t xml:space="preserve">[en línea] 2020.</w:t>
      </w:r>
      <w:r w:rsidDel="00000000" w:rsidR="00000000" w:rsidRPr="00000000">
        <w:rPr>
          <w:rtl w:val="0"/>
        </w:rPr>
      </w:r>
    </w:p>
    <w:p w:rsidR="00000000" w:rsidDel="00000000" w:rsidP="00000000" w:rsidRDefault="00000000" w:rsidRPr="00000000" w14:paraId="0000003D">
      <w:pPr>
        <w:pageBreakBefore w:val="0"/>
        <w:spacing w:line="360" w:lineRule="auto"/>
        <w:ind w:left="144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BOE.es - Documento BOE-A-2013-12913. </w:t>
      </w:r>
      <w:r w:rsidDel="00000000" w:rsidR="00000000" w:rsidRPr="00000000">
        <w:rPr>
          <w:rFonts w:ascii="Helvetica Neue" w:cs="Helvetica Neue" w:eastAsia="Helvetica Neue" w:hAnsi="Helvetica Neue"/>
          <w:i w:val="1"/>
          <w:rtl w:val="0"/>
        </w:rPr>
        <w:t xml:space="preserve">Boe.es</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highlight w:val="white"/>
          <w:rtl w:val="0"/>
        </w:rPr>
        <w:t xml:space="preserve">[en línea] 2020</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3E">
      <w:pPr>
        <w:pageBreakBefore w:val="0"/>
        <w:spacing w:line="360" w:lineRule="auto"/>
        <w:ind w:left="144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BOE.es - Documento BOE-A-2007-18475. </w:t>
      </w:r>
      <w:r w:rsidDel="00000000" w:rsidR="00000000" w:rsidRPr="00000000">
        <w:rPr>
          <w:rFonts w:ascii="Helvetica Neue" w:cs="Helvetica Neue" w:eastAsia="Helvetica Neue" w:hAnsi="Helvetica Neue"/>
          <w:i w:val="1"/>
          <w:rtl w:val="0"/>
        </w:rPr>
        <w:t xml:space="preserve">Boe.es</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highlight w:val="white"/>
          <w:rtl w:val="0"/>
        </w:rPr>
        <w:t xml:space="preserve">[en línea] 2020.</w:t>
      </w:r>
      <w:r w:rsidDel="00000000" w:rsidR="00000000" w:rsidRPr="00000000">
        <w:rPr>
          <w:rtl w:val="0"/>
        </w:rPr>
      </w:r>
    </w:p>
    <w:p w:rsidR="00000000" w:rsidDel="00000000" w:rsidP="00000000" w:rsidRDefault="00000000" w:rsidRPr="00000000" w14:paraId="0000003F">
      <w:pPr>
        <w:pageBreakBefore w:val="0"/>
        <w:spacing w:line="360" w:lineRule="auto"/>
        <w:ind w:left="1440" w:firstLine="0"/>
        <w:jc w:val="both"/>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BOE.es - Documento consolidado BOE-A-2011-13046. </w:t>
      </w:r>
      <w:r w:rsidDel="00000000" w:rsidR="00000000" w:rsidRPr="00000000">
        <w:rPr>
          <w:rFonts w:ascii="Helvetica Neue" w:cs="Helvetica Neue" w:eastAsia="Helvetica Neue" w:hAnsi="Helvetica Neue"/>
          <w:i w:val="1"/>
          <w:highlight w:val="white"/>
          <w:rtl w:val="0"/>
        </w:rPr>
        <w:t xml:space="preserve">Boe.es</w:t>
      </w:r>
      <w:r w:rsidDel="00000000" w:rsidR="00000000" w:rsidRPr="00000000">
        <w:rPr>
          <w:rFonts w:ascii="Helvetica Neue" w:cs="Helvetica Neue" w:eastAsia="Helvetica Neue" w:hAnsi="Helvetica Neue"/>
          <w:highlight w:val="white"/>
          <w:rtl w:val="0"/>
        </w:rPr>
        <w:t xml:space="preserve"> [en línea] 2020.</w:t>
      </w:r>
    </w:p>
    <w:p w:rsidR="00000000" w:rsidDel="00000000" w:rsidP="00000000" w:rsidRDefault="00000000" w:rsidRPr="00000000" w14:paraId="00000040">
      <w:pPr>
        <w:pageBreakBefore w:val="0"/>
        <w:spacing w:line="360" w:lineRule="auto"/>
        <w:ind w:left="1440" w:firstLine="0"/>
        <w:jc w:val="both"/>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UNE-EN ISO 14040:2006 Gestión ambiental. Análisis del ciclo de... </w:t>
      </w:r>
      <w:r w:rsidDel="00000000" w:rsidR="00000000" w:rsidRPr="00000000">
        <w:rPr>
          <w:rFonts w:ascii="Helvetica Neue" w:cs="Helvetica Neue" w:eastAsia="Helvetica Neue" w:hAnsi="Helvetica Neue"/>
          <w:i w:val="1"/>
          <w:highlight w:val="white"/>
          <w:rtl w:val="0"/>
        </w:rPr>
        <w:t xml:space="preserve">Une.org</w:t>
      </w:r>
      <w:r w:rsidDel="00000000" w:rsidR="00000000" w:rsidRPr="00000000">
        <w:rPr>
          <w:rFonts w:ascii="Helvetica Neue" w:cs="Helvetica Neue" w:eastAsia="Helvetica Neue" w:hAnsi="Helvetica Neue"/>
          <w:highlight w:val="white"/>
          <w:rtl w:val="0"/>
        </w:rPr>
        <w:t xml:space="preserve"> [en línea] 2020. </w:t>
      </w:r>
    </w:p>
    <w:p w:rsidR="00000000" w:rsidDel="00000000" w:rsidP="00000000" w:rsidRDefault="00000000" w:rsidRPr="00000000" w14:paraId="00000041">
      <w:pPr>
        <w:pageBreakBefore w:val="0"/>
        <w:spacing w:line="360" w:lineRule="auto"/>
        <w:ind w:left="1440" w:firstLine="0"/>
        <w:jc w:val="both"/>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UNE-EN ISO 14015:2010 Gestión ambiental. Evaluación ambiental ... </w:t>
      </w:r>
      <w:r w:rsidDel="00000000" w:rsidR="00000000" w:rsidRPr="00000000">
        <w:rPr>
          <w:rFonts w:ascii="Helvetica Neue" w:cs="Helvetica Neue" w:eastAsia="Helvetica Neue" w:hAnsi="Helvetica Neue"/>
          <w:i w:val="1"/>
          <w:highlight w:val="white"/>
          <w:rtl w:val="0"/>
        </w:rPr>
        <w:t xml:space="preserve">Une.org</w:t>
      </w:r>
      <w:r w:rsidDel="00000000" w:rsidR="00000000" w:rsidRPr="00000000">
        <w:rPr>
          <w:rFonts w:ascii="Helvetica Neue" w:cs="Helvetica Neue" w:eastAsia="Helvetica Neue" w:hAnsi="Helvetica Neue"/>
          <w:highlight w:val="white"/>
          <w:rtl w:val="0"/>
        </w:rPr>
        <w:t xml:space="preserve"> [en línea] 2020. </w:t>
      </w:r>
    </w:p>
    <w:p w:rsidR="00000000" w:rsidDel="00000000" w:rsidP="00000000" w:rsidRDefault="00000000" w:rsidRPr="00000000" w14:paraId="00000042">
      <w:pPr>
        <w:pageBreakBefore w:val="0"/>
        <w:spacing w:line="360" w:lineRule="auto"/>
        <w:ind w:left="1440" w:firstLine="0"/>
        <w:jc w:val="both"/>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UNE 157921:2006 Criterios generales para la elaboración de est... </w:t>
      </w:r>
      <w:r w:rsidDel="00000000" w:rsidR="00000000" w:rsidRPr="00000000">
        <w:rPr>
          <w:rFonts w:ascii="Helvetica Neue" w:cs="Helvetica Neue" w:eastAsia="Helvetica Neue" w:hAnsi="Helvetica Neue"/>
          <w:i w:val="1"/>
          <w:highlight w:val="white"/>
          <w:rtl w:val="0"/>
        </w:rPr>
        <w:t xml:space="preserve">Une.org</w:t>
      </w:r>
      <w:r w:rsidDel="00000000" w:rsidR="00000000" w:rsidRPr="00000000">
        <w:rPr>
          <w:rFonts w:ascii="Helvetica Neue" w:cs="Helvetica Neue" w:eastAsia="Helvetica Neue" w:hAnsi="Helvetica Neue"/>
          <w:highlight w:val="white"/>
          <w:rtl w:val="0"/>
        </w:rPr>
        <w:t xml:space="preserve"> [en línea] 2020. </w:t>
      </w:r>
    </w:p>
    <w:p w:rsidR="00000000" w:rsidDel="00000000" w:rsidP="00000000" w:rsidRDefault="00000000" w:rsidRPr="00000000" w14:paraId="00000043">
      <w:pPr>
        <w:pageBreakBefore w:val="0"/>
        <w:spacing w:line="360" w:lineRule="auto"/>
        <w:ind w:left="1440" w:firstLine="0"/>
        <w:jc w:val="both"/>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UNE 150011:2005 Gestión ambiental. Guía para la evaluación de ... </w:t>
      </w:r>
      <w:r w:rsidDel="00000000" w:rsidR="00000000" w:rsidRPr="00000000">
        <w:rPr>
          <w:rFonts w:ascii="Helvetica Neue" w:cs="Helvetica Neue" w:eastAsia="Helvetica Neue" w:hAnsi="Helvetica Neue"/>
          <w:i w:val="1"/>
          <w:highlight w:val="white"/>
          <w:rtl w:val="0"/>
        </w:rPr>
        <w:t xml:space="preserve">Une.org</w:t>
      </w:r>
      <w:r w:rsidDel="00000000" w:rsidR="00000000" w:rsidRPr="00000000">
        <w:rPr>
          <w:rFonts w:ascii="Helvetica Neue" w:cs="Helvetica Neue" w:eastAsia="Helvetica Neue" w:hAnsi="Helvetica Neue"/>
          <w:highlight w:val="white"/>
          <w:rtl w:val="0"/>
        </w:rPr>
        <w:t xml:space="preserve"> [en línea] 2020. </w:t>
      </w:r>
    </w:p>
    <w:p w:rsidR="00000000" w:rsidDel="00000000" w:rsidP="00000000" w:rsidRDefault="00000000" w:rsidRPr="00000000" w14:paraId="00000044">
      <w:pPr>
        <w:pageBreakBefore w:val="0"/>
        <w:spacing w:line="360" w:lineRule="auto"/>
        <w:ind w:left="1440" w:firstLine="0"/>
        <w:jc w:val="both"/>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UNE 150008:2008 Análisis y evaluación del riesgo ambiental. </w:t>
      </w:r>
      <w:r w:rsidDel="00000000" w:rsidR="00000000" w:rsidRPr="00000000">
        <w:rPr>
          <w:rFonts w:ascii="Helvetica Neue" w:cs="Helvetica Neue" w:eastAsia="Helvetica Neue" w:hAnsi="Helvetica Neue"/>
          <w:i w:val="1"/>
          <w:highlight w:val="white"/>
          <w:rtl w:val="0"/>
        </w:rPr>
        <w:t xml:space="preserve">Une.org</w:t>
      </w:r>
      <w:r w:rsidDel="00000000" w:rsidR="00000000" w:rsidRPr="00000000">
        <w:rPr>
          <w:rFonts w:ascii="Helvetica Neue" w:cs="Helvetica Neue" w:eastAsia="Helvetica Neue" w:hAnsi="Helvetica Neue"/>
          <w:highlight w:val="white"/>
          <w:rtl w:val="0"/>
        </w:rPr>
        <w:t xml:space="preserve"> [en línea] 2020. </w:t>
      </w:r>
    </w:p>
    <w:p w:rsidR="00000000" w:rsidDel="00000000" w:rsidP="00000000" w:rsidRDefault="00000000" w:rsidRPr="00000000" w14:paraId="00000045">
      <w:pPr>
        <w:pageBreakBefore w:val="0"/>
        <w:spacing w:line="360" w:lineRule="auto"/>
        <w:ind w:left="1440" w:firstLine="0"/>
        <w:jc w:val="both"/>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Buscador de Normas UNE - AENOR. Aenor.com [en línea] 2020.</w:t>
      </w:r>
      <w:r w:rsidDel="00000000" w:rsidR="00000000" w:rsidRPr="00000000">
        <w:rPr>
          <w:rtl w:val="0"/>
        </w:rPr>
      </w:r>
    </w:p>
    <w:p w:rsidR="00000000" w:rsidDel="00000000" w:rsidP="00000000" w:rsidRDefault="00000000" w:rsidRPr="00000000" w14:paraId="00000046">
      <w:pPr>
        <w:pageBreakBefore w:val="0"/>
        <w:spacing w:line="36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7">
      <w:pPr>
        <w:pageBreakBefore w:val="0"/>
        <w:spacing w:line="360" w:lineRule="auto"/>
        <w:jc w:val="both"/>
        <w:rPr>
          <w:rFonts w:ascii="Helvetica Neue" w:cs="Helvetica Neue" w:eastAsia="Helvetica Neue" w:hAnsi="Helvetica Neue"/>
          <w:sz w:val="24"/>
          <w:szCs w:val="24"/>
        </w:rPr>
      </w:pPr>
      <w:r w:rsidDel="00000000" w:rsidR="00000000" w:rsidRPr="00000000">
        <w:rPr>
          <w:rtl w:val="0"/>
        </w:rPr>
      </w:r>
    </w:p>
    <w:sectPr>
      <w:headerReference r:id="rId9" w:type="first"/>
      <w:footerReference r:id="rId10" w:type="default"/>
      <w:footerReference r:id="rId11" w:type="first"/>
      <w:pgSz w:h="16834" w:w="11909" w:orient="portrait"/>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ammersmith One">
    <w:embedRegular w:fontKey="{00000000-0000-0000-0000-000000000000}" r:id="rId1" w:subsetted="0"/>
  </w:font>
  <w:font w:name="Montserrat Light">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Helvetica Neue">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 w:name="Oswald">
    <w:embedRegular w:fontKey="{00000000-0000-0000-0000-000000000000}" r:id="rId10" w:subsetted="0"/>
    <w:embedBold w:fontKey="{00000000-0000-0000-0000-000000000000}" r:id="rId1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ageBreakBefore w:val="0"/>
      <w:jc w:val="left"/>
      <w:rPr/>
    </w:pPr>
    <w:r w:rsidDel="00000000" w:rsidR="00000000" w:rsidRPr="00000000">
      <w:rPr>
        <w:rtl w:val="0"/>
      </w:rPr>
    </w:r>
  </w:p>
  <w:p w:rsidR="00000000" w:rsidDel="00000000" w:rsidP="00000000" w:rsidRDefault="00000000" w:rsidRPr="00000000" w14:paraId="00000049">
    <w:pPr>
      <w:pageBreakBefore w:val="0"/>
      <w:jc w:val="right"/>
      <w:rPr>
        <w:color w:val="38761d"/>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pageBreakBefore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C">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Helvetica Neue" w:cs="Helvetica Neue" w:eastAsia="Helvetica Neue" w:hAnsi="Helvetica Neue"/>
          <w:sz w:val="20"/>
          <w:szCs w:val="20"/>
          <w:rtl w:val="0"/>
        </w:rPr>
        <w:t xml:space="preserve">Gestión ambiental. Evaluación ambiental de sitios y organizaciones (EASO). (ISO 14015:2001).</w:t>
      </w:r>
      <w:r w:rsidDel="00000000" w:rsidR="00000000" w:rsidRPr="00000000">
        <w:rPr>
          <w:rtl w:val="0"/>
        </w:rPr>
      </w:r>
    </w:p>
  </w:footnote>
  <w:footnote w:id="1">
    <w:p w:rsidR="00000000" w:rsidDel="00000000" w:rsidP="00000000" w:rsidRDefault="00000000" w:rsidRPr="00000000" w14:paraId="0000004D">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Helvetica Neue" w:cs="Helvetica Neue" w:eastAsia="Helvetica Neue" w:hAnsi="Helvetica Neue"/>
          <w:sz w:val="20"/>
          <w:szCs w:val="20"/>
          <w:rtl w:val="0"/>
        </w:rPr>
        <w:t xml:space="preserve">Gestión ambiental. Análisis del ciclo de vida. Principios y marco de referencia. (ISO 14040:2006).</w:t>
      </w:r>
      <w:r w:rsidDel="00000000" w:rsidR="00000000" w:rsidRPr="00000000">
        <w:rPr>
          <w:rtl w:val="0"/>
        </w:rPr>
      </w:r>
    </w:p>
  </w:footnote>
  <w:footnote w:id="2">
    <w:p w:rsidR="00000000" w:rsidDel="00000000" w:rsidP="00000000" w:rsidRDefault="00000000" w:rsidRPr="00000000" w14:paraId="0000004E">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Bibliografía en formato ISO-690</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480" w:hanging="360"/>
      </w:pPr>
      <w:rPr>
        <w:color w:val="6aa84f"/>
        <w:u w:val="none"/>
      </w:rPr>
    </w:lvl>
    <w:lvl w:ilvl="1">
      <w:start w:val="1"/>
      <w:numFmt w:val="bullet"/>
      <w:lvlText w:val="○"/>
      <w:lvlJc w:val="left"/>
      <w:pPr>
        <w:ind w:left="7200" w:hanging="360"/>
      </w:pPr>
      <w:rPr>
        <w:u w:val="none"/>
      </w:rPr>
    </w:lvl>
    <w:lvl w:ilvl="2">
      <w:start w:val="1"/>
      <w:numFmt w:val="bullet"/>
      <w:lvlText w:val="■"/>
      <w:lvlJc w:val="left"/>
      <w:pPr>
        <w:ind w:left="7920" w:hanging="360"/>
      </w:pPr>
      <w:rPr>
        <w:u w:val="none"/>
      </w:rPr>
    </w:lvl>
    <w:lvl w:ilvl="3">
      <w:start w:val="1"/>
      <w:numFmt w:val="bullet"/>
      <w:lvlText w:val="●"/>
      <w:lvlJc w:val="left"/>
      <w:pPr>
        <w:ind w:left="8640" w:hanging="360"/>
      </w:pPr>
      <w:rPr>
        <w:u w:val="none"/>
      </w:rPr>
    </w:lvl>
    <w:lvl w:ilvl="4">
      <w:start w:val="1"/>
      <w:numFmt w:val="bullet"/>
      <w:lvlText w:val="○"/>
      <w:lvlJc w:val="left"/>
      <w:pPr>
        <w:ind w:left="9360" w:hanging="360"/>
      </w:pPr>
      <w:rPr>
        <w:u w:val="none"/>
      </w:rPr>
    </w:lvl>
    <w:lvl w:ilvl="5">
      <w:start w:val="1"/>
      <w:numFmt w:val="bullet"/>
      <w:lvlText w:val="■"/>
      <w:lvlJc w:val="left"/>
      <w:pPr>
        <w:ind w:left="10080" w:hanging="360"/>
      </w:pPr>
      <w:rPr>
        <w:u w:val="none"/>
      </w:rPr>
    </w:lvl>
    <w:lvl w:ilvl="6">
      <w:start w:val="1"/>
      <w:numFmt w:val="bullet"/>
      <w:lvlText w:val="●"/>
      <w:lvlJc w:val="left"/>
      <w:pPr>
        <w:ind w:left="10800" w:hanging="360"/>
      </w:pPr>
      <w:rPr>
        <w:u w:val="none"/>
      </w:rPr>
    </w:lvl>
    <w:lvl w:ilvl="7">
      <w:start w:val="1"/>
      <w:numFmt w:val="bullet"/>
      <w:lvlText w:val="○"/>
      <w:lvlJc w:val="left"/>
      <w:pPr>
        <w:ind w:left="11520" w:hanging="360"/>
      </w:pPr>
      <w:rPr>
        <w:u w:val="none"/>
      </w:rPr>
    </w:lvl>
    <w:lvl w:ilvl="8">
      <w:start w:val="1"/>
      <w:numFmt w:val="bullet"/>
      <w:lvlText w:val="■"/>
      <w:lvlJc w:val="left"/>
      <w:pPr>
        <w:ind w:left="12240" w:hanging="360"/>
      </w:pPr>
      <w:rPr>
        <w:u w:val="none"/>
      </w:rPr>
    </w:lvl>
  </w:abstractNum>
  <w:abstractNum w:abstractNumId="2">
    <w:lvl w:ilvl="0">
      <w:start w:val="1"/>
      <w:numFmt w:val="bullet"/>
      <w:lvlText w:val="●"/>
      <w:lvlJc w:val="left"/>
      <w:pPr>
        <w:ind w:left="2160" w:hanging="360"/>
      </w:pPr>
      <w:rPr>
        <w:color w:val="93c47d"/>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rFonts w:ascii="Hammersmith One" w:cs="Hammersmith One" w:eastAsia="Hammersmith One" w:hAnsi="Hammersmith One"/>
        <w:b w:val="0"/>
        <w:color w:val="6aa84f"/>
        <w:sz w:val="36"/>
        <w:szCs w:val="36"/>
        <w:u w:val="none"/>
      </w:rPr>
    </w:lvl>
    <w:lvl w:ilvl="1">
      <w:start w:val="1"/>
      <w:numFmt w:val="lowerLetter"/>
      <w:lvlText w:val="%2."/>
      <w:lvlJc w:val="left"/>
      <w:pPr>
        <w:ind w:left="1440" w:hanging="360"/>
      </w:pPr>
      <w:rPr>
        <w:rFonts w:ascii="Helvetica Neue" w:cs="Helvetica Neue" w:eastAsia="Helvetica Neue" w:hAnsi="Helvetica Neue"/>
        <w:b w:val="0"/>
        <w:color w:val="93c47d"/>
        <w:sz w:val="24"/>
        <w:szCs w:val="24"/>
        <w:u w:val="none"/>
      </w:rPr>
    </w:lvl>
    <w:lvl w:ilvl="2">
      <w:start w:val="1"/>
      <w:numFmt w:val="bullet"/>
      <w:lvlText w:val="●"/>
      <w:lvlJc w:val="left"/>
      <w:pPr>
        <w:ind w:left="2160" w:hanging="360"/>
      </w:pPr>
      <w:rPr>
        <w:rFonts w:ascii="Arial" w:cs="Arial" w:eastAsia="Arial" w:hAnsi="Arial"/>
        <w:b w:val="0"/>
        <w:color w:val="93c47d"/>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color w:val="93c47d"/>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bullet"/>
      <w:lvlText w:val="●"/>
      <w:lvlJc w:val="left"/>
      <w:pPr>
        <w:ind w:left="2160" w:hanging="360"/>
      </w:pPr>
      <w:rPr>
        <w:color w:val="93c47d"/>
        <w:u w:val="none"/>
      </w:rPr>
    </w:lvl>
    <w:lvl w:ilvl="1">
      <w:start w:val="1"/>
      <w:numFmt w:val="bullet"/>
      <w:lvlText w:val="○"/>
      <w:lvlJc w:val="left"/>
      <w:pPr>
        <w:ind w:left="2880" w:hanging="360"/>
      </w:pPr>
      <w:rPr>
        <w:color w:val="b6d7a8"/>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ammersmithOne-regular.ttf"/><Relationship Id="rId2" Type="http://schemas.openxmlformats.org/officeDocument/2006/relationships/font" Target="fonts/MontserratLight-regular.ttf"/><Relationship Id="rId3" Type="http://schemas.openxmlformats.org/officeDocument/2006/relationships/font" Target="fonts/MontserratLight-bold.ttf"/><Relationship Id="rId4" Type="http://schemas.openxmlformats.org/officeDocument/2006/relationships/font" Target="fonts/MontserratLight-italic.ttf"/><Relationship Id="rId11" Type="http://schemas.openxmlformats.org/officeDocument/2006/relationships/font" Target="fonts/Oswald-bold.ttf"/><Relationship Id="rId10" Type="http://schemas.openxmlformats.org/officeDocument/2006/relationships/font" Target="fonts/Oswald-regular.ttf"/><Relationship Id="rId9" Type="http://schemas.openxmlformats.org/officeDocument/2006/relationships/font" Target="fonts/HelveticaNeue-boldItalic.ttf"/><Relationship Id="rId5" Type="http://schemas.openxmlformats.org/officeDocument/2006/relationships/font" Target="fonts/MontserratLight-boldItalic.ttf"/><Relationship Id="rId6" Type="http://schemas.openxmlformats.org/officeDocument/2006/relationships/font" Target="fonts/HelveticaNeue-regular.ttf"/><Relationship Id="rId7" Type="http://schemas.openxmlformats.org/officeDocument/2006/relationships/font" Target="fonts/HelveticaNeue-bold.ttf"/><Relationship Id="rId8" Type="http://schemas.openxmlformats.org/officeDocument/2006/relationships/font" Target="fonts/HelveticaNeu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