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Hammersmith One" w:cs="Hammersmith One" w:eastAsia="Hammersmith One" w:hAnsi="Hammersmith One"/>
          <w:b w:val="1"/>
          <w:sz w:val="32"/>
          <w:szCs w:val="32"/>
          <w:u w:val="single"/>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Hammersmith One" w:cs="Hammersmith One" w:eastAsia="Hammersmith One" w:hAnsi="Hammersmith One"/>
          <w:b w:val="1"/>
          <w:sz w:val="32"/>
          <w:szCs w:val="32"/>
          <w:u w:val="single"/>
        </w:rPr>
      </w:pPr>
      <w:r w:rsidDel="00000000" w:rsidR="00000000" w:rsidRPr="00000000">
        <w:rPr>
          <w:rFonts w:ascii="Hammersmith One" w:cs="Hammersmith One" w:eastAsia="Hammersmith One" w:hAnsi="Hammersmith One"/>
          <w:b w:val="1"/>
          <w:sz w:val="32"/>
          <w:szCs w:val="32"/>
          <w:u w:val="single"/>
          <w:rtl w:val="0"/>
        </w:rPr>
        <w:t xml:space="preserve">Ejercicio obligatorio multinomial</w:t>
      </w:r>
    </w:p>
    <w:p w:rsidR="00000000" w:rsidDel="00000000" w:rsidP="00000000" w:rsidRDefault="00000000" w:rsidRPr="00000000" w14:paraId="00000003">
      <w:pPr>
        <w:pageBreakBefore w:val="0"/>
        <w:spacing w:line="360" w:lineRule="auto"/>
        <w:jc w:val="center"/>
        <w:rPr>
          <w:rFonts w:ascii="Hammersmith One" w:cs="Hammersmith One" w:eastAsia="Hammersmith One" w:hAnsi="Hammersmith One"/>
          <w:sz w:val="32"/>
          <w:szCs w:val="32"/>
        </w:rPr>
      </w:pPr>
      <w:r w:rsidDel="00000000" w:rsidR="00000000" w:rsidRPr="00000000">
        <w:rPr>
          <w:rtl w:val="0"/>
        </w:rPr>
      </w:r>
    </w:p>
    <w:p w:rsidR="00000000" w:rsidDel="00000000" w:rsidP="00000000" w:rsidRDefault="00000000" w:rsidRPr="00000000" w14:paraId="00000004">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Gráfica de </w:t>
      </w:r>
      <w:r w:rsidDel="00000000" w:rsidR="00000000" w:rsidRPr="00000000">
        <w:rPr>
          <w:rFonts w:ascii="Helvetica Neue" w:cs="Helvetica Neue" w:eastAsia="Helvetica Neue" w:hAnsi="Helvetica Neue"/>
          <w:i w:val="1"/>
          <w:sz w:val="24"/>
          <w:szCs w:val="24"/>
          <w:rtl w:val="0"/>
        </w:rPr>
        <w:t xml:space="preserve">multinomial-exp.m</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05">
      <w:pPr>
        <w:pageBreakBefore w:val="0"/>
        <w:spacing w:line="36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731200" cy="400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tbl>
      <w:tblPr>
        <w:tblStyle w:val="Table1"/>
        <w:tblW w:w="969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60"/>
        <w:gridCol w:w="840"/>
        <w:gridCol w:w="840"/>
        <w:gridCol w:w="810"/>
        <w:gridCol w:w="825"/>
        <w:gridCol w:w="720"/>
        <w:gridCol w:w="885"/>
        <w:gridCol w:w="825"/>
        <w:gridCol w:w="825"/>
        <w:gridCol w:w="855"/>
        <w:tblGridChange w:id="0">
          <w:tblGrid>
            <w:gridCol w:w="1305"/>
            <w:gridCol w:w="960"/>
            <w:gridCol w:w="840"/>
            <w:gridCol w:w="840"/>
            <w:gridCol w:w="810"/>
            <w:gridCol w:w="825"/>
            <w:gridCol w:w="720"/>
            <w:gridCol w:w="885"/>
            <w:gridCol w:w="825"/>
            <w:gridCol w:w="825"/>
            <w:gridCol w:w="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35.67</w:t>
            </w:r>
          </w:p>
        </w:tc>
      </w:tr>
    </w:tbl>
    <w:p w:rsidR="00000000" w:rsidDel="00000000" w:rsidP="00000000" w:rsidRDefault="00000000" w:rsidRPr="00000000" w14:paraId="0000001F">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Como datos de entrenamiento, utilizamos el 90% de datos para entrenamiento y el otro 10% restante para test.</w:t>
      </w:r>
    </w:p>
    <w:p w:rsidR="00000000" w:rsidDel="00000000" w:rsidP="00000000" w:rsidRDefault="00000000" w:rsidRPr="00000000" w14:paraId="00000021">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raíz de estos resultados, podemos observar que los resultados mejoran a partir de un </w:t>
      </w:r>
      <w:r w:rsidDel="00000000" w:rsidR="00000000" w:rsidRPr="00000000">
        <w:rPr>
          <w:rFonts w:ascii="Helvetica Neue" w:cs="Helvetica Neue" w:eastAsia="Helvetica Neue" w:hAnsi="Helvetica Neue"/>
          <w:sz w:val="24"/>
          <w:szCs w:val="24"/>
          <w:highlight w:val="white"/>
          <w:rtl w:val="0"/>
        </w:rPr>
        <w:t xml:space="preserve">ϵ</w:t>
      </w:r>
      <w:r w:rsidDel="00000000" w:rsidR="00000000" w:rsidRPr="00000000">
        <w:rPr>
          <w:rFonts w:ascii="Helvetica Neue" w:cs="Helvetica Neue" w:eastAsia="Helvetica Neue" w:hAnsi="Helvetica Neue"/>
          <w:sz w:val="24"/>
          <w:szCs w:val="24"/>
          <w:rtl w:val="0"/>
        </w:rPr>
        <w:t xml:space="preserve"> &lt; 1e-8, manteniéndose aún así con estabilidad significativa hasta un </w:t>
      </w:r>
      <w:r w:rsidDel="00000000" w:rsidR="00000000" w:rsidRPr="00000000">
        <w:rPr>
          <w:rFonts w:ascii="Helvetica Neue" w:cs="Helvetica Neue" w:eastAsia="Helvetica Neue" w:hAnsi="Helvetica Neue"/>
          <w:sz w:val="24"/>
          <w:szCs w:val="24"/>
          <w:highlight w:val="white"/>
          <w:rtl w:val="0"/>
        </w:rPr>
        <w:t xml:space="preserve">ϵ</w:t>
      </w:r>
      <w:r w:rsidDel="00000000" w:rsidR="00000000" w:rsidRPr="00000000">
        <w:rPr>
          <w:rFonts w:ascii="Helvetica Neue" w:cs="Helvetica Neue" w:eastAsia="Helvetica Neue" w:hAnsi="Helvetica Neue"/>
          <w:sz w:val="24"/>
          <w:szCs w:val="24"/>
          <w:rtl w:val="0"/>
        </w:rPr>
        <w:t xml:space="preserve"> de valor 1e-5, por lo que este sería el valor límite deseable hasta el que aumentar </w:t>
      </w:r>
      <w:r w:rsidDel="00000000" w:rsidR="00000000" w:rsidRPr="00000000">
        <w:rPr>
          <w:rFonts w:ascii="Helvetica Neue" w:cs="Helvetica Neue" w:eastAsia="Helvetica Neue" w:hAnsi="Helvetica Neue"/>
          <w:sz w:val="24"/>
          <w:szCs w:val="24"/>
          <w:highlight w:val="white"/>
          <w:rtl w:val="0"/>
        </w:rPr>
        <w:t xml:space="preserve">ϵ. El resultado final es </w:t>
      </w:r>
      <w:r w:rsidDel="00000000" w:rsidR="00000000" w:rsidRPr="00000000">
        <w:rPr>
          <w:rFonts w:ascii="Helvetica Neue" w:cs="Helvetica Neue" w:eastAsia="Helvetica Neue" w:hAnsi="Helvetica Neue"/>
          <w:sz w:val="24"/>
          <w:szCs w:val="24"/>
          <w:rtl w:val="0"/>
        </w:rPr>
        <w:t xml:space="preserve">una gráfica prácticamente idéntica a la de la práctica.</w:t>
      </w:r>
    </w:p>
    <w:p w:rsidR="00000000" w:rsidDel="00000000" w:rsidP="00000000" w:rsidRDefault="00000000" w:rsidRPr="00000000" w14:paraId="00000025">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Resultados de </w:t>
      </w:r>
      <w:r w:rsidDel="00000000" w:rsidR="00000000" w:rsidRPr="00000000">
        <w:rPr>
          <w:rFonts w:ascii="Helvetica Neue" w:cs="Helvetica Neue" w:eastAsia="Helvetica Neue" w:hAnsi="Helvetica Neue"/>
          <w:i w:val="1"/>
          <w:sz w:val="24"/>
          <w:szCs w:val="24"/>
          <w:rtl w:val="0"/>
        </w:rPr>
        <w:t xml:space="preserve">multinomial-eva.m </w:t>
      </w:r>
      <w:r w:rsidDel="00000000" w:rsidR="00000000" w:rsidRPr="00000000">
        <w:rPr>
          <w:rFonts w:ascii="Helvetica Neue" w:cs="Helvetica Neue" w:eastAsia="Helvetica Neue" w:hAnsi="Helvetica Neue"/>
          <w:sz w:val="24"/>
          <w:szCs w:val="24"/>
          <w:rtl w:val="0"/>
        </w:rPr>
        <w:t xml:space="preserve">para los valores con error más bajo en </w:t>
      </w:r>
      <w:r w:rsidDel="00000000" w:rsidR="00000000" w:rsidRPr="00000000">
        <w:rPr>
          <w:rFonts w:ascii="Helvetica Neue" w:cs="Helvetica Neue" w:eastAsia="Helvetica Neue" w:hAnsi="Helvetica Neue"/>
          <w:i w:val="1"/>
          <w:sz w:val="24"/>
          <w:szCs w:val="24"/>
          <w:rtl w:val="0"/>
        </w:rPr>
        <w:t xml:space="preserve">multinomial-exp.m</w:t>
      </w:r>
      <w:r w:rsidDel="00000000" w:rsidR="00000000" w:rsidRPr="00000000">
        <w:rPr>
          <w:rFonts w:ascii="Helvetica Neue" w:cs="Helvetica Neue" w:eastAsia="Helvetica Neue" w:hAnsi="Helvetica Neue"/>
          <w:b w:val="1"/>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 (17.85%)</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7">
      <w:pPr>
        <w:pageBreakBefore w:val="0"/>
        <w:spacing w:line="360" w:lineRule="auto"/>
        <w:jc w:val="center"/>
        <w:rPr>
          <w:rFonts w:ascii="Helvetica Neue" w:cs="Helvetica Neue" w:eastAsia="Helvetica Neue" w:hAnsi="Helvetica Neue"/>
          <w:sz w:val="24"/>
          <w:szCs w:val="24"/>
        </w:rPr>
      </w:pPr>
      <w:r w:rsidDel="00000000" w:rsidR="00000000" w:rsidRPr="00000000">
        <w:rPr>
          <w:rtl w:val="0"/>
        </w:rPr>
      </w:r>
    </w:p>
    <w:tbl>
      <w:tblPr>
        <w:tblStyle w:val="Table2"/>
        <w:tblW w:w="394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60"/>
        <w:gridCol w:w="840"/>
        <w:gridCol w:w="840"/>
        <w:tblGridChange w:id="0">
          <w:tblGrid>
            <w:gridCol w:w="1305"/>
            <w:gridCol w:w="960"/>
            <w:gridCol w:w="840"/>
            <w:gridCol w:w="840"/>
          </w:tblGrid>
        </w:tblGridChange>
      </w:tblGrid>
      <w:tr>
        <w:trPr>
          <w:cantSplit w:val="0"/>
          <w:trHeight w:val="4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36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36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16.36</w:t>
            </w:r>
          </w:p>
        </w:tc>
      </w:tr>
    </w:tbl>
    <w:p w:rsidR="00000000" w:rsidDel="00000000" w:rsidP="00000000" w:rsidRDefault="00000000" w:rsidRPr="00000000" w14:paraId="00000030">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 comparar que nuestro clasificador multinomial, es fácil darse cuenta de que es mucho peor que el resultado para el clasificador lineal mostrado en la web de </w:t>
      </w:r>
      <w:r w:rsidDel="00000000" w:rsidR="00000000" w:rsidRPr="00000000">
        <w:rPr>
          <w:rFonts w:ascii="Helvetica Neue" w:cs="Helvetica Neue" w:eastAsia="Helvetica Neue" w:hAnsi="Helvetica Neue"/>
          <w:i w:val="1"/>
          <w:sz w:val="24"/>
          <w:szCs w:val="24"/>
          <w:rtl w:val="0"/>
        </w:rPr>
        <w:t xml:space="preserve">MNIST</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33">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731200" cy="26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Esto es debido a la naturaleza de la distribución multinomial, basada en casos favorables entre casos posibles, lo que haría que tuviese más probabilidades de error por la entrada, por ejemplo, de datos erróneos para el entrenamiento.</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Luis Alberto Álvarez Zavaleta</w:t>
    </w:r>
  </w:p>
  <w:p w:rsidR="00000000" w:rsidDel="00000000" w:rsidP="00000000" w:rsidRDefault="00000000" w:rsidRPr="00000000" w14:paraId="00000039">
    <w:pPr>
      <w:pageBreakBefore w:val="0"/>
      <w:rPr/>
    </w:pPr>
    <w:r w:rsidDel="00000000" w:rsidR="00000000" w:rsidRPr="00000000">
      <w:rPr>
        <w:rFonts w:ascii="Helvetica Neue" w:cs="Helvetica Neue" w:eastAsia="Helvetica Neue" w:hAnsi="Helvetica Neue"/>
        <w:b w:val="1"/>
        <w:sz w:val="24"/>
        <w:szCs w:val="24"/>
        <w:rtl w:val="0"/>
      </w:rPr>
      <w:t xml:space="preserve">David Arnal García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