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360" w:lineRule="auto"/>
        <w:jc w:val="center"/>
        <w:rPr>
          <w:rFonts w:ascii="Hammersmith One" w:cs="Hammersmith One" w:eastAsia="Hammersmith One" w:hAnsi="Hammersmith One"/>
          <w:b w:val="1"/>
          <w:sz w:val="48"/>
          <w:szCs w:val="48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48"/>
          <w:szCs w:val="48"/>
          <w:rtl w:val="0"/>
        </w:rPr>
        <w:t xml:space="preserve">Memoria PER</w:t>
      </w:r>
    </w:p>
    <w:p w:rsidR="00000000" w:rsidDel="00000000" w:rsidP="00000000" w:rsidRDefault="00000000" w:rsidRPr="00000000" w14:paraId="00000002">
      <w:pPr>
        <w:pageBreakBefore w:val="0"/>
        <w:spacing w:after="240" w:before="240" w:line="360" w:lineRule="auto"/>
        <w:jc w:val="both"/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  <w:rtl w:val="0"/>
        </w:rPr>
        <w:t xml:space="preserve">Ejercicio Obligatorio</w:t>
      </w:r>
    </w:p>
    <w:p w:rsidR="00000000" w:rsidDel="00000000" w:rsidP="00000000" w:rsidRDefault="00000000" w:rsidRPr="00000000" w14:paraId="00000003">
      <w:pPr>
        <w:pageBreakBefore w:val="0"/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PCA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continuación, tenemos la gráfica obtenida con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pca+knn-exp.m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utilizando, para ello, la distancia L2 implementada en el archivo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L2dist.m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del boletín y usando, a su vez,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knn.m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calcular los vecinos más cercanos y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pca.m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para reducir su dimensionalidad. En dicho ejercicio, se nos planteó hacer un estudio sobre los distintos números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utilizar en nuestro k-medias con tal de encontrar el mejor valor para reducir los errores.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762375" cy="2613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Resultados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pca+knn-exp.m y pca+knn-eva.m: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del clasificador</w:t>
            </w:r>
          </w:p>
        </w:tc>
      </w:tr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2.817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75.47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62.15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62.15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2.4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2.817</w:t>
            </w:r>
          </w:p>
        </w:tc>
      </w:tr>
      <w:tr>
        <w:trPr>
          <w:cantSplit w:val="0"/>
          <w:trHeight w:val="348.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de datos de evaluación con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2.84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de datos de evaluación sin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3.09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="36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Ahora compararemos los resultados que hemos obtenido con los disponibles en la página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MNIST: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Como podemos observar, al no aplica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 ningún preproceso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nuestro clasificador nos da un error de 3.09%, lo mismo que el implementado por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Kenneth WIlder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y proporciona 2% menos errores a la hora de clasificar en comparación con el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LeCun.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cuanto al resultado aplicando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PCA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nuestro clasificador da 2.84% de error, siendo 0.44% peor que el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LeCun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 1.04% peor que el de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Kennet Wilder.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 estos casos, dado que el porcentaje de error es muy cercano, habría que tener en cuenta, además del error obtenido, el coste computacional y temporal a la hora de ejecutar el algoritmo para decidir cuál de todos sería el mejor.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jc w:val="right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sz w:val="24"/>
        <w:szCs w:val="24"/>
        <w:rtl w:val="0"/>
      </w:rPr>
      <w:t xml:space="preserve">Luis Alberto Álvarez Zavaleta</w:t>
    </w:r>
  </w:p>
  <w:p w:rsidR="00000000" w:rsidDel="00000000" w:rsidP="00000000" w:rsidRDefault="00000000" w:rsidRPr="00000000" w14:paraId="0000002B">
    <w:pPr>
      <w:pageBreakBefore w:val="0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Fonts w:ascii="Roboto" w:cs="Roboto" w:eastAsia="Roboto" w:hAnsi="Roboto"/>
        <w:b w:val="1"/>
        <w:sz w:val="24"/>
        <w:szCs w:val="24"/>
        <w:rtl w:val="0"/>
      </w:rPr>
      <w:t xml:space="preserve">David Arnal García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