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Hammersmith One" w:cs="Hammersmith One" w:eastAsia="Hammersmith One" w:hAnsi="Hammersmith One"/>
          <w:i w:val="1"/>
          <w:sz w:val="48"/>
          <w:szCs w:val="48"/>
        </w:rPr>
      </w:pPr>
      <w:r w:rsidDel="00000000" w:rsidR="00000000" w:rsidRPr="00000000">
        <w:rPr>
          <w:rFonts w:ascii="Hammersmith One" w:cs="Hammersmith One" w:eastAsia="Hammersmith One" w:hAnsi="Hammersmith One"/>
          <w:sz w:val="48"/>
          <w:szCs w:val="48"/>
          <w:rtl w:val="0"/>
        </w:rPr>
        <w:t xml:space="preserve">Entregable 1: Mixturas de </w:t>
      </w:r>
      <w:r w:rsidDel="00000000" w:rsidR="00000000" w:rsidRPr="00000000">
        <w:rPr>
          <w:rFonts w:ascii="Hammersmith One" w:cs="Hammersmith One" w:eastAsia="Hammersmith One" w:hAnsi="Hammersmith One"/>
          <w:i w:val="1"/>
          <w:sz w:val="48"/>
          <w:szCs w:val="48"/>
          <w:rtl w:val="0"/>
        </w:rPr>
        <w:t xml:space="preserve">Gaussianas</w:t>
      </w:r>
    </w:p>
    <w:p w:rsidR="00000000" w:rsidDel="00000000" w:rsidP="00000000" w:rsidRDefault="00000000" w:rsidRPr="00000000" w14:paraId="00000002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Hammersmith One" w:cs="Hammersmith One" w:eastAsia="Hammersmith One" w:hAnsi="Hammersmith On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Alumnos: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right"/>
        <w:rPr>
          <w:rFonts w:ascii="Helvetica Neue" w:cs="Helvetica Neue" w:eastAsia="Helvetica Neue" w:hAnsi="Helvetica Neue"/>
          <w:b w:val="1"/>
          <w:sz w:val="28"/>
          <w:szCs w:val="28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Luis Alberto Álvarez Zavaleta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right"/>
        <w:rPr>
          <w:rFonts w:ascii="Helvetica Neue" w:cs="Helvetica Neue" w:eastAsia="Helvetica Neue" w:hAnsi="Helvetica Neue"/>
          <w:b w:val="1"/>
          <w:sz w:val="28"/>
          <w:szCs w:val="28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David Arnal García</w:t>
      </w:r>
    </w:p>
    <w:p w:rsidR="00000000" w:rsidDel="00000000" w:rsidP="00000000" w:rsidRDefault="00000000" w:rsidRPr="00000000" w14:paraId="00000013">
      <w:pPr>
        <w:jc w:val="righ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Helvetica Neue" w:cs="Helvetica Neue" w:eastAsia="Helvetica Neue" w:hAnsi="Helvetica Neu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lef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60.0" w:type="dxa"/>
        <w:jc w:val="left"/>
        <w:tblInd w:w="-11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840"/>
        <w:gridCol w:w="900"/>
        <w:gridCol w:w="885"/>
        <w:gridCol w:w="870"/>
        <w:gridCol w:w="855"/>
        <w:gridCol w:w="855"/>
        <w:gridCol w:w="885"/>
        <w:gridCol w:w="870"/>
        <w:gridCol w:w="855"/>
        <w:gridCol w:w="855"/>
        <w:gridCol w:w="870"/>
        <w:gridCol w:w="855"/>
        <w:tblGridChange w:id="0">
          <w:tblGrid>
            <w:gridCol w:w="765"/>
            <w:gridCol w:w="840"/>
            <w:gridCol w:w="900"/>
            <w:gridCol w:w="885"/>
            <w:gridCol w:w="870"/>
            <w:gridCol w:w="855"/>
            <w:gridCol w:w="855"/>
            <w:gridCol w:w="885"/>
            <w:gridCol w:w="870"/>
            <w:gridCol w:w="855"/>
            <w:gridCol w:w="855"/>
            <w:gridCol w:w="870"/>
            <w:gridCol w:w="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9e-1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5e-1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2e-1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1e-1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1e-2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color w:val="ff9900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9900"/>
                <w:sz w:val="20"/>
                <w:szCs w:val="20"/>
                <w:rtl w:val="0"/>
              </w:rPr>
              <w:t xml:space="preserve">1e-3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0000"/>
                <w:sz w:val="20"/>
                <w:szCs w:val="20"/>
                <w:rtl w:val="0"/>
              </w:rPr>
              <w:t xml:space="preserve">1e-4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color w:val="ff9900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9900"/>
                <w:sz w:val="20"/>
                <w:szCs w:val="20"/>
                <w:rtl w:val="0"/>
              </w:rPr>
              <w:t xml:space="preserve">1e-5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1e-6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1e-7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1e-8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1e-9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0"/>
                <w:szCs w:val="20"/>
                <w:rtl w:val="0"/>
              </w:rPr>
              <w:t xml:space="preserve">alpha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18.683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13.55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11.967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color w:val="ff9900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9900"/>
                <w:sz w:val="20"/>
                <w:szCs w:val="20"/>
                <w:rtl w:val="0"/>
              </w:rPr>
              <w:t xml:space="preserve">6.383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0000"/>
                <w:sz w:val="20"/>
                <w:szCs w:val="20"/>
                <w:rtl w:val="0"/>
              </w:rPr>
              <w:t xml:space="preserve">4.267</w:t>
            </w:r>
          </w:p>
        </w:tc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color w:val="ff9900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9900"/>
                <w:sz w:val="20"/>
                <w:szCs w:val="20"/>
                <w:rtl w:val="0"/>
              </w:rPr>
              <w:t xml:space="preserve">6.317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14.083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18.933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19.55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0"/>
                <w:szCs w:val="2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19.65</w:t>
            </w:r>
          </w:p>
        </w:tc>
      </w:tr>
    </w:tbl>
    <w:p w:rsidR="00000000" w:rsidDel="00000000" w:rsidP="00000000" w:rsidRDefault="00000000" w:rsidRPr="00000000" w14:paraId="00000035">
      <w:pPr>
        <w:spacing w:line="360" w:lineRule="auto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</w:rPr>
        <w:drawing>
          <wp:inline distB="114300" distT="114300" distL="114300" distR="114300">
            <wp:extent cx="5348288" cy="382909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829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Como podemos observar gracias a la tabla y al gráfico, el valor por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flat smoothing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que mejor resultado da es el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ff0000"/>
          <w:sz w:val="28"/>
          <w:szCs w:val="28"/>
          <w:rtl w:val="0"/>
        </w:rPr>
        <w:t xml:space="preserve">1e-4</w:t>
      </w:r>
      <w:r w:rsidDel="00000000" w:rsidR="00000000" w:rsidRPr="00000000">
        <w:rPr>
          <w:rFonts w:ascii="Helvetica Neue" w:cs="Helvetica Neue" w:eastAsia="Helvetica Neue" w:hAnsi="Helvetica Neue"/>
          <w:color w:val="ff0000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y siendo sus valores más cercanos, el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ff9900"/>
          <w:sz w:val="28"/>
          <w:szCs w:val="28"/>
          <w:rtl w:val="0"/>
        </w:rPr>
        <w:t xml:space="preserve">1e-3</w:t>
      </w:r>
      <w:r w:rsidDel="00000000" w:rsidR="00000000" w:rsidRPr="00000000">
        <w:rPr>
          <w:rFonts w:ascii="Helvetica Neue" w:cs="Helvetica Neue" w:eastAsia="Helvetica Neue" w:hAnsi="Helvetica Neue"/>
          <w:color w:val="ff99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y el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ff9900"/>
          <w:sz w:val="28"/>
          <w:szCs w:val="28"/>
          <w:rtl w:val="0"/>
        </w:rPr>
        <w:t xml:space="preserve">1e-5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los que más se acercan al mejor valor. Los demás valores, ya muestran un error más pronunciado.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72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314325</wp:posOffset>
            </wp:positionV>
            <wp:extent cx="3330683" cy="2376488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683" cy="2376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343409</wp:posOffset>
            </wp:positionV>
            <wp:extent cx="3333750" cy="2351484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51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 </w:t>
        <w:tab/>
        <w:tab/>
      </w:r>
      <w:r w:rsidDel="00000000" w:rsidR="00000000" w:rsidRPr="00000000">
        <w:rPr>
          <w:rFonts w:ascii="Helvetica Neue" w:cs="Helvetica Neue" w:eastAsia="Helvetica Neue" w:hAnsi="Helvetica Neue"/>
          <w:color w:val="ff0000"/>
          <w:sz w:val="28"/>
          <w:szCs w:val="28"/>
          <w:rtl w:val="0"/>
        </w:rPr>
        <w:t xml:space="preserve">𝞪 = 1e-3</w:t>
        <w:tab/>
        <w:tab/>
        <w:tab/>
        <w:tab/>
        <w:tab/>
        <w:tab/>
        <w:t xml:space="preserve">𝞪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ff0000"/>
          <w:sz w:val="28"/>
          <w:szCs w:val="28"/>
          <w:rtl w:val="0"/>
        </w:rPr>
        <w:t xml:space="preserve">= 1e-4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1209675</wp:posOffset>
            </wp:positionH>
            <wp:positionV relativeFrom="paragraph">
              <wp:posOffset>361950</wp:posOffset>
            </wp:positionV>
            <wp:extent cx="2976563" cy="2127393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2127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Helvetica Neue" w:cs="Helvetica Neue" w:eastAsia="Helvetica Neue" w:hAnsi="Helvetica Neue"/>
          <w:color w:val="ff0000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ab/>
        <w:tab/>
        <w:tab/>
        <w:tab/>
        <w:tab/>
      </w:r>
      <w:r w:rsidDel="00000000" w:rsidR="00000000" w:rsidRPr="00000000">
        <w:rPr>
          <w:rFonts w:ascii="Helvetica Neue" w:cs="Helvetica Neue" w:eastAsia="Helvetica Neue" w:hAnsi="Helvetica Neue"/>
          <w:color w:val="ff0000"/>
          <w:sz w:val="28"/>
          <w:szCs w:val="28"/>
          <w:rtl w:val="0"/>
        </w:rPr>
        <w:t xml:space="preserve">𝞪 = 1e-5</w:t>
      </w:r>
    </w:p>
    <w:p w:rsidR="00000000" w:rsidDel="00000000" w:rsidP="00000000" w:rsidRDefault="00000000" w:rsidRPr="00000000" w14:paraId="00000054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Observando las gráficas, podemos concluir que la que mejor resultado obtiene es la de 𝞪 = 1e-4, PCA = 100 y K = 50 con un error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1.6%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, siendo estos sus parámetros óptimos para el clasificador por mixtura de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gaussianas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. Aunque los valores con PCA = 50 y K = 100 obtienen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1.667%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, por lo que lo tendremos en cuenta para el siguiente apartado.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215"/>
        <w:gridCol w:w="1260"/>
        <w:gridCol w:w="1935"/>
        <w:gridCol w:w="3495"/>
        <w:tblGridChange w:id="0">
          <w:tblGrid>
            <w:gridCol w:w="1230"/>
            <w:gridCol w:w="1215"/>
            <w:gridCol w:w="1260"/>
            <w:gridCol w:w="1935"/>
            <w:gridCol w:w="3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Alpha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PCA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Ks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Intervalo de confianza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1e-4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50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[1.618, 1.62247]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1e-4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1.92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[1.917, 1.92269]</w:t>
            </w:r>
          </w:p>
        </w:tc>
      </w:tr>
    </w:tbl>
    <w:p w:rsidR="00000000" w:rsidDel="00000000" w:rsidP="00000000" w:rsidRDefault="00000000" w:rsidRPr="00000000" w14:paraId="0000006C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Como podemos observar, el mejor resultado lo obtenemos con una reducción de dimensionalidad, D = 50, con 100 distribuciones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gaussianas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, Ks = 100, y con un valor de suavizado, 𝞪 = 1e-4.</w:t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Además, obtenemos que, con una confianza de 95%, podemos asegurar que su error se encontrará entre el intervalo [1.618, 1.62247].</w:t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Comparándolo con el clasificador gaussiano, y el clasificador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PCA + gaussiano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con 200 dimensiones, se puede ver como el resultado es mejor, ya que hemos mejorado nuestro clasificador reduciendo el error en un 2.49% al utilizar las mixturas de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Gaussianas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, y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un 1.68% comparado con los resultados de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MNIST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 Alpha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Error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1e-4 (sin </w:t>
            </w:r>
            <w:r w:rsidDel="00000000" w:rsidR="00000000" w:rsidRPr="00000000">
              <w:rPr>
                <w:rFonts w:ascii="Helvetica Neue" w:cs="Helvetica Neue" w:eastAsia="Helvetica Neue" w:hAnsi="Helvetica Neue"/>
                <w:i w:val="1"/>
                <w:sz w:val="28"/>
                <w:szCs w:val="28"/>
                <w:rtl w:val="0"/>
              </w:rPr>
              <w:t xml:space="preserve">PCA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4.18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1e-4 (D = 200)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4.11</w:t>
            </w:r>
          </w:p>
        </w:tc>
      </w:tr>
    </w:tbl>
    <w:p w:rsidR="00000000" w:rsidDel="00000000" w:rsidP="00000000" w:rsidRDefault="00000000" w:rsidRPr="00000000" w14:paraId="00000079">
      <w:pPr>
        <w:jc w:val="left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</w:rPr>
        <w:drawing>
          <wp:inline distB="114300" distT="114300" distL="114300" distR="114300">
            <wp:extent cx="6109689" cy="21312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9689" cy="213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Implementaremos la terminación temprana para el algoritmo EM en el que haremos que termine cuando el error de validación/test no disminuya de una iteración a la siguiente. Para ello, modificaremos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mixgaussian.m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de la siguiente manera: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1371600</wp:posOffset>
            </wp:positionV>
            <wp:extent cx="5731200" cy="2413000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334902</wp:posOffset>
            </wp:positionV>
            <wp:extent cx="5731200" cy="2984500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Al evaluar esta nueva implementación en los conjuntos oficiales de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8"/>
          <w:szCs w:val="28"/>
          <w:rtl w:val="0"/>
        </w:rPr>
        <w:t xml:space="preserve">MNIST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para los valores óptimos, PCA = 50 y K = 100, obtenemos los siguientes resultados.</w:t>
      </w:r>
    </w:p>
    <w:p w:rsidR="00000000" w:rsidDel="00000000" w:rsidP="00000000" w:rsidRDefault="00000000" w:rsidRPr="00000000" w14:paraId="00000097">
      <w:pPr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215"/>
        <w:gridCol w:w="1260"/>
        <w:gridCol w:w="1935"/>
        <w:gridCol w:w="3495"/>
        <w:tblGridChange w:id="0">
          <w:tblGrid>
            <w:gridCol w:w="1230"/>
            <w:gridCol w:w="1215"/>
            <w:gridCol w:w="1260"/>
            <w:gridCol w:w="1935"/>
            <w:gridCol w:w="3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Alpha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PCA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Ks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sz w:val="28"/>
                <w:szCs w:val="28"/>
                <w:rtl w:val="0"/>
              </w:rPr>
              <w:t xml:space="preserve">Intervalo de confianza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1e-4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50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100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1.6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8"/>
                <w:szCs w:val="28"/>
                <w:rtl w:val="0"/>
              </w:rPr>
              <w:t xml:space="preserve">[1.598, 1.6]</w:t>
            </w:r>
          </w:p>
        </w:tc>
      </w:tr>
    </w:tbl>
    <w:p w:rsidR="00000000" w:rsidDel="00000000" w:rsidP="00000000" w:rsidRDefault="00000000" w:rsidRPr="00000000" w14:paraId="000000A2">
      <w:pPr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ammersmith One">
    <w:embedRegular w:fontKey="{00000000-0000-0000-0000-000000000000}" r:id="rId1" w:subsetted="0"/>
  </w:font>
  <w:font w:name="Helvetica Neu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50"/>
        <w:szCs w:val="5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ammersmithOne-regular.ttf"/><Relationship Id="rId2" Type="http://schemas.openxmlformats.org/officeDocument/2006/relationships/font" Target="fonts/HelveticaNeue-regular.ttf"/><Relationship Id="rId3" Type="http://schemas.openxmlformats.org/officeDocument/2006/relationships/font" Target="fonts/HelveticaNeue-bold.ttf"/><Relationship Id="rId4" Type="http://schemas.openxmlformats.org/officeDocument/2006/relationships/font" Target="fonts/HelveticaNeue-italic.ttf"/><Relationship Id="rId5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