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b/>
          <w:color w:val="DE683E"/>
          <w:sz w:val="18"/>
        </w:rPr>
        <w:t>PRODUCT REQUIREMENTS DOCUMENT</w:t>
      </w:r>
    </w:p>
    <w:p>
      <w:pPr>
        <w:pStyle w:val="Title"/>
      </w:pPr>
      <w:r>
        <w:t>Picturehouse Jaipur Product Requirements Document</w:t>
      </w:r>
    </w:p>
    <w:p>
      <w:pPr>
        <w:spacing w:after="340"/>
      </w:pPr>
      <w:r>
        <w:rPr>
          <w:color w:val="706962"/>
          <w:sz w:val="24"/>
        </w:rPr>
        <w:t>A local-first movie booking experience with shared rides to the theatre</w:t>
      </w:r>
    </w:p>
    <w:p>
      <w:pPr>
        <w:spacing w:before="80"/>
      </w:pPr>
      <w:r>
        <w:rPr>
          <w:color w:val="89837D"/>
          <w:sz w:val="18"/>
        </w:rPr>
        <w:t>Jaipur, Rajasthan  |  Version 1.0  |  18 October 2026</w:t>
      </w:r>
    </w:p>
    <w:p/>
    <w:p>
      <w:pPr>
        <w:pStyle w:val="Heading1"/>
      </w:pPr>
      <w:r>
        <w:t>1. Product summary</w:t>
      </w:r>
    </w:p>
    <w:p>
      <w:r>
        <w:t>Picturehouse Jaipur helps residents discover films, compare nearby theatre showtimes, book seats and coordinate a shared ride for the same screening. It combines a familiar Indian ticket-booking flow with a Jaipur-specific venue catalogue and a conversational carpool feature. The first release is a focused city MVP; payment, identity and messaging providers are pluggable and must be configured before live transactions.</w:t>
      </w:r>
    </w:p>
    <w:p>
      <w:pPr>
        <w:pStyle w:val="Heading2"/>
      </w:pPr>
      <w:r>
        <w:t>Product direction</w:t>
      </w:r>
    </w:p>
    <w:p>
      <w:r>
        <w:t>Make planning a cinema visit feel complete: choose the film, choose the seats, pay in INR, receive an entry QR, and optionally coordinate a ride with verified phone-number users who are going to the same show.</w:t>
      </w:r>
    </w:p>
    <w:p>
      <w:pPr>
        <w:pStyle w:val="Heading1"/>
      </w:pPr>
      <w:r>
        <w:t>2. Goals and measures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314F43"/>
            <w:vAlign w:val="center"/>
          </w:tcPr>
          <w:p>
            <w:pPr>
              <w:spacing w:after="60"/>
            </w:pPr>
            <w:r/>
            <w:r>
              <w:rPr>
                <w:rFonts w:ascii="Aptos" w:hAnsi="Aptos"/>
                <w:b/>
                <w:color w:val="FFFFFF"/>
                <w:sz w:val="17"/>
              </w:rPr>
              <w:t>Goal</w:t>
            </w:r>
          </w:p>
        </w:tc>
        <w:tc>
          <w:tcPr>
            <w:tcW w:type="dxa" w:w="4997"/>
            <w:shd w:fill="314F43"/>
            <w:vAlign w:val="center"/>
          </w:tcPr>
          <w:p>
            <w:pPr>
              <w:spacing w:after="60"/>
            </w:pPr>
            <w:r/>
            <w:r>
              <w:rPr>
                <w:rFonts w:ascii="Aptos" w:hAnsi="Aptos"/>
                <w:b/>
                <w:color w:val="FFFFFF"/>
                <w:sz w:val="17"/>
              </w:rPr>
              <w:t>MVP measure</w:t>
            </w:r>
          </w:p>
        </w:tc>
      </w:tr>
      <w:tr>
        <w:trPr>
          <w:cantSplit/>
        </w:trPr>
        <w:tc>
          <w:tcPr>
            <w:tcW w:type="dxa" w:w="4997"/>
            <w:vAlign w:val="center"/>
          </w:tcPr>
          <w:p>
            <w:pPr>
              <w:spacing w:after="60"/>
            </w:pPr>
            <w:r/>
            <w:r>
              <w:rPr>
                <w:rFonts w:ascii="Aptos" w:hAnsi="Aptos"/>
                <w:b w:val="0"/>
                <w:color w:val="292624"/>
                <w:sz w:val="16"/>
              </w:rPr>
              <w:t>Fast booking</w:t>
            </w:r>
          </w:p>
        </w:tc>
        <w:tc>
          <w:tcPr>
            <w:tcW w:type="dxa" w:w="4997"/>
            <w:vAlign w:val="center"/>
          </w:tcPr>
          <w:p>
            <w:pPr>
              <w:spacing w:after="60"/>
            </w:pPr>
            <w:r/>
            <w:r>
              <w:rPr>
                <w:rFonts w:ascii="Aptos" w:hAnsi="Aptos"/>
                <w:b w:val="0"/>
                <w:color w:val="292624"/>
                <w:sz w:val="16"/>
              </w:rPr>
              <w:t>A signed-in customer can reach seat selection from a film or theatre listing in three clear steps.</w:t>
            </w:r>
          </w:p>
        </w:tc>
      </w:tr>
      <w:tr>
        <w:trPr>
          <w:cantSplit/>
        </w:trPr>
        <w:tc>
          <w:tcPr>
            <w:tcW w:type="dxa" w:w="4997"/>
            <w:shd w:fill="F4F1EB"/>
            <w:vAlign w:val="center"/>
          </w:tcPr>
          <w:p>
            <w:pPr>
              <w:spacing w:after="60"/>
            </w:pPr>
            <w:r/>
            <w:r>
              <w:rPr>
                <w:rFonts w:ascii="Aptos" w:hAnsi="Aptos"/>
                <w:b w:val="0"/>
                <w:color w:val="292624"/>
                <w:sz w:val="16"/>
              </w:rPr>
              <w:t>Seat trust</w:t>
            </w:r>
          </w:p>
        </w:tc>
        <w:tc>
          <w:tcPr>
            <w:tcW w:type="dxa" w:w="4997"/>
            <w:shd w:fill="F4F1EB"/>
            <w:vAlign w:val="center"/>
          </w:tcPr>
          <w:p>
            <w:pPr>
              <w:spacing w:after="60"/>
            </w:pPr>
            <w:r/>
            <w:r>
              <w:rPr>
                <w:rFonts w:ascii="Aptos" w:hAnsi="Aptos"/>
                <w:b w:val="0"/>
                <w:color w:val="292624"/>
                <w:sz w:val="16"/>
              </w:rPr>
              <w:t>Every active show has a single authoritative seat state; competing requests cannot sell the same seat.</w:t>
            </w:r>
          </w:p>
        </w:tc>
      </w:tr>
      <w:tr>
        <w:trPr>
          <w:cantSplit/>
        </w:trPr>
        <w:tc>
          <w:tcPr>
            <w:tcW w:type="dxa" w:w="4997"/>
            <w:vAlign w:val="center"/>
          </w:tcPr>
          <w:p>
            <w:pPr>
              <w:spacing w:after="60"/>
            </w:pPr>
            <w:r/>
            <w:r>
              <w:rPr>
                <w:rFonts w:ascii="Aptos" w:hAnsi="Aptos"/>
                <w:b w:val="0"/>
                <w:color w:val="292624"/>
                <w:sz w:val="16"/>
              </w:rPr>
              <w:t>Jaipur relevance</w:t>
            </w:r>
          </w:p>
        </w:tc>
        <w:tc>
          <w:tcPr>
            <w:tcW w:type="dxa" w:w="4997"/>
            <w:vAlign w:val="center"/>
          </w:tcPr>
          <w:p>
            <w:pPr>
              <w:spacing w:after="60"/>
            </w:pPr>
            <w:r/>
            <w:r>
              <w:rPr>
                <w:rFonts w:ascii="Aptos" w:hAnsi="Aptos"/>
                <w:b w:val="0"/>
                <w:color w:val="292624"/>
                <w:sz w:val="16"/>
              </w:rPr>
              <w:t>Venue and ride discovery starts with Jaipur and supports neighbourhood-level pickup/dropoff.</w:t>
            </w:r>
          </w:p>
        </w:tc>
      </w:tr>
      <w:tr>
        <w:trPr>
          <w:cantSplit/>
        </w:trPr>
        <w:tc>
          <w:tcPr>
            <w:tcW w:type="dxa" w:w="4997"/>
            <w:shd w:fill="F4F1EB"/>
            <w:vAlign w:val="center"/>
          </w:tcPr>
          <w:p>
            <w:pPr>
              <w:spacing w:after="60"/>
            </w:pPr>
            <w:r/>
            <w:r>
              <w:rPr>
                <w:rFonts w:ascii="Aptos" w:hAnsi="Aptos"/>
                <w:b w:val="0"/>
                <w:color w:val="292624"/>
                <w:sz w:val="16"/>
              </w:rPr>
              <w:t>Complete visit</w:t>
            </w:r>
          </w:p>
        </w:tc>
        <w:tc>
          <w:tcPr>
            <w:tcW w:type="dxa" w:w="4997"/>
            <w:shd w:fill="F4F1EB"/>
            <w:vAlign w:val="center"/>
          </w:tcPr>
          <w:p>
            <w:pPr>
              <w:spacing w:after="60"/>
            </w:pPr>
            <w:r/>
            <w:r>
              <w:rPr>
                <w:rFonts w:ascii="Aptos" w:hAnsi="Aptos"/>
                <w:b w:val="0"/>
                <w:color w:val="292624"/>
                <w:sz w:val="16"/>
              </w:rPr>
              <w:t>Confirmed tickets produce an email QR ticket; WhatsApp delivery is attempted through an approved business integration.</w:t>
            </w:r>
          </w:p>
        </w:tc>
      </w:tr>
      <w:tr>
        <w:trPr>
          <w:cantSplit/>
        </w:trPr>
        <w:tc>
          <w:tcPr>
            <w:tcW w:type="dxa" w:w="4997"/>
            <w:vAlign w:val="center"/>
          </w:tcPr>
          <w:p>
            <w:pPr>
              <w:spacing w:after="60"/>
            </w:pPr>
            <w:r/>
            <w:r>
              <w:rPr>
                <w:rFonts w:ascii="Aptos" w:hAnsi="Aptos"/>
                <w:b w:val="0"/>
                <w:color w:val="292624"/>
                <w:sz w:val="16"/>
              </w:rPr>
              <w:t>Partner control</w:t>
            </w:r>
          </w:p>
        </w:tc>
        <w:tc>
          <w:tcPr>
            <w:tcW w:type="dxa" w:w="4997"/>
            <w:vAlign w:val="center"/>
          </w:tcPr>
          <w:p>
            <w:pPr>
              <w:spacing w:after="60"/>
            </w:pPr>
            <w:r/>
            <w:r>
              <w:rPr>
                <w:rFonts w:ascii="Aptos" w:hAnsi="Aptos"/>
                <w:b w:val="0"/>
                <w:color w:val="292624"/>
                <w:sz w:val="16"/>
              </w:rPr>
              <w:t>Verified theatre owners can manage only their own venue, catalogue and showtimes.</w:t>
            </w:r>
          </w:p>
        </w:tc>
      </w:tr>
    </w:tbl>
    <w:p>
      <w:pPr>
        <w:spacing w:after="20"/>
      </w:pPr>
    </w:p>
    <w:p>
      <w:pPr>
        <w:pStyle w:val="Heading1"/>
      </w:pPr>
      <w:r>
        <w:t>3. Users and roles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314F43"/>
            <w:vAlign w:val="center"/>
          </w:tcPr>
          <w:p>
            <w:pPr>
              <w:spacing w:after="60"/>
            </w:pPr>
            <w:r/>
            <w:r>
              <w:rPr>
                <w:rFonts w:ascii="Aptos" w:hAnsi="Aptos"/>
                <w:b/>
                <w:color w:val="FFFFFF"/>
                <w:sz w:val="17"/>
              </w:rPr>
              <w:t>User</w:t>
            </w:r>
          </w:p>
        </w:tc>
        <w:tc>
          <w:tcPr>
            <w:tcW w:type="dxa" w:w="3331"/>
            <w:shd w:fill="314F43"/>
            <w:vAlign w:val="center"/>
          </w:tcPr>
          <w:p>
            <w:pPr>
              <w:spacing w:after="60"/>
            </w:pPr>
            <w:r/>
            <w:r>
              <w:rPr>
                <w:rFonts w:ascii="Aptos" w:hAnsi="Aptos"/>
                <w:b/>
                <w:color w:val="FFFFFF"/>
                <w:sz w:val="17"/>
              </w:rPr>
              <w:t>Needs</w:t>
            </w:r>
          </w:p>
        </w:tc>
        <w:tc>
          <w:tcPr>
            <w:tcW w:type="dxa" w:w="3331"/>
            <w:shd w:fill="314F43"/>
            <w:vAlign w:val="center"/>
          </w:tcPr>
          <w:p>
            <w:pPr>
              <w:spacing w:after="60"/>
            </w:pPr>
            <w:r/>
            <w:r>
              <w:rPr>
                <w:rFonts w:ascii="Aptos" w:hAnsi="Aptos"/>
                <w:b/>
                <w:color w:val="FFFFFF"/>
                <w:sz w:val="17"/>
              </w:rPr>
              <w:t>Permissions</w:t>
            </w:r>
          </w:p>
        </w:tc>
      </w:tr>
      <w:tr>
        <w:trPr>
          <w:cantSplit/>
        </w:trPr>
        <w:tc>
          <w:tcPr>
            <w:tcW w:type="dxa" w:w="3331"/>
            <w:vAlign w:val="center"/>
          </w:tcPr>
          <w:p>
            <w:pPr>
              <w:spacing w:after="60"/>
            </w:pPr>
            <w:r/>
            <w:r>
              <w:rPr>
                <w:rFonts w:ascii="Aptos" w:hAnsi="Aptos"/>
                <w:b w:val="0"/>
                <w:color w:val="292624"/>
                <w:sz w:val="16"/>
              </w:rPr>
              <w:t>Customer</w:t>
            </w:r>
          </w:p>
        </w:tc>
        <w:tc>
          <w:tcPr>
            <w:tcW w:type="dxa" w:w="3331"/>
            <w:vAlign w:val="center"/>
          </w:tcPr>
          <w:p>
            <w:pPr>
              <w:spacing w:after="60"/>
            </w:pPr>
            <w:r/>
            <w:r>
              <w:rPr>
                <w:rFonts w:ascii="Aptos" w:hAnsi="Aptos"/>
                <w:b w:val="0"/>
                <w:color w:val="292624"/>
                <w:sz w:val="16"/>
              </w:rPr>
              <w:t>Discover, book, pay, retrieve QR, post/join rides and chat.</w:t>
            </w:r>
          </w:p>
        </w:tc>
        <w:tc>
          <w:tcPr>
            <w:tcW w:type="dxa" w:w="3331"/>
            <w:vAlign w:val="center"/>
          </w:tcPr>
          <w:p>
            <w:pPr>
              <w:spacing w:after="60"/>
            </w:pPr>
            <w:r/>
            <w:r>
              <w:rPr>
                <w:rFonts w:ascii="Aptos" w:hAnsi="Aptos"/>
                <w:b w:val="0"/>
                <w:color w:val="292624"/>
                <w:sz w:val="16"/>
              </w:rPr>
              <w:t>Browse Jaipur listings; manage own profile, bookings and rides.</w:t>
            </w:r>
          </w:p>
        </w:tc>
      </w:tr>
      <w:tr>
        <w:trPr>
          <w:cantSplit/>
        </w:trPr>
        <w:tc>
          <w:tcPr>
            <w:tcW w:type="dxa" w:w="3331"/>
            <w:shd w:fill="F4F1EB"/>
            <w:vAlign w:val="center"/>
          </w:tcPr>
          <w:p>
            <w:pPr>
              <w:spacing w:after="60"/>
            </w:pPr>
            <w:r/>
            <w:r>
              <w:rPr>
                <w:rFonts w:ascii="Aptos" w:hAnsi="Aptos"/>
                <w:b w:val="0"/>
                <w:color w:val="292624"/>
                <w:sz w:val="16"/>
              </w:rPr>
              <w:t>Theatre owner</w:t>
            </w:r>
          </w:p>
        </w:tc>
        <w:tc>
          <w:tcPr>
            <w:tcW w:type="dxa" w:w="3331"/>
            <w:shd w:fill="F4F1EB"/>
            <w:vAlign w:val="center"/>
          </w:tcPr>
          <w:p>
            <w:pPr>
              <w:spacing w:after="60"/>
            </w:pPr>
            <w:r/>
            <w:r>
              <w:rPr>
                <w:rFonts w:ascii="Aptos" w:hAnsi="Aptos"/>
                <w:b w:val="0"/>
                <w:color w:val="292624"/>
                <w:sz w:val="16"/>
              </w:rPr>
              <w:t>Publish accurate venue, movie and show information.</w:t>
            </w:r>
          </w:p>
        </w:tc>
        <w:tc>
          <w:tcPr>
            <w:tcW w:type="dxa" w:w="3331"/>
            <w:shd w:fill="F4F1EB"/>
            <w:vAlign w:val="center"/>
          </w:tcPr>
          <w:p>
            <w:pPr>
              <w:spacing w:after="60"/>
            </w:pPr>
            <w:r/>
            <w:r>
              <w:rPr>
                <w:rFonts w:ascii="Aptos" w:hAnsi="Aptos"/>
                <w:b w:val="0"/>
                <w:color w:val="292624"/>
                <w:sz w:val="16"/>
              </w:rPr>
              <w:t>Create/update only mapped theatres, screens, movies and showtimes; inspect occupancy.</w:t>
            </w:r>
          </w:p>
        </w:tc>
      </w:tr>
      <w:tr>
        <w:trPr>
          <w:cantSplit/>
        </w:trPr>
        <w:tc>
          <w:tcPr>
            <w:tcW w:type="dxa" w:w="3331"/>
            <w:vAlign w:val="center"/>
          </w:tcPr>
          <w:p>
            <w:pPr>
              <w:spacing w:after="60"/>
            </w:pPr>
            <w:r/>
            <w:r>
              <w:rPr>
                <w:rFonts w:ascii="Aptos" w:hAnsi="Aptos"/>
                <w:b w:val="0"/>
                <w:color w:val="292624"/>
                <w:sz w:val="16"/>
              </w:rPr>
              <w:t>Platform admin</w:t>
            </w:r>
          </w:p>
        </w:tc>
        <w:tc>
          <w:tcPr>
            <w:tcW w:type="dxa" w:w="3331"/>
            <w:vAlign w:val="center"/>
          </w:tcPr>
          <w:p>
            <w:pPr>
              <w:spacing w:after="60"/>
            </w:pPr>
            <w:r/>
            <w:r>
              <w:rPr>
                <w:rFonts w:ascii="Aptos" w:hAnsi="Aptos"/>
                <w:b w:val="0"/>
                <w:color w:val="292624"/>
                <w:sz w:val="16"/>
              </w:rPr>
              <w:t>Keep catalogue trustworthy and resolve abuse.</w:t>
            </w:r>
          </w:p>
        </w:tc>
        <w:tc>
          <w:tcPr>
            <w:tcW w:type="dxa" w:w="3331"/>
            <w:vAlign w:val="center"/>
          </w:tcPr>
          <w:p>
            <w:pPr>
              <w:spacing w:after="60"/>
            </w:pPr>
            <w:r/>
            <w:r>
              <w:rPr>
                <w:rFonts w:ascii="Aptos" w:hAnsi="Aptos"/>
                <w:b w:val="0"/>
                <w:color w:val="292624"/>
                <w:sz w:val="16"/>
              </w:rPr>
              <w:t>Approve owners, manage city catalogue, moderate ride posts and audit operations.</w:t>
            </w:r>
          </w:p>
        </w:tc>
      </w:tr>
    </w:tbl>
    <w:p>
      <w:pPr>
        <w:spacing w:after="20"/>
      </w:pPr>
    </w:p>
    <w:p>
      <w:pPr>
        <w:pStyle w:val="Heading1"/>
      </w:pPr>
      <w:r>
        <w:t>4. MVP scope</w:t>
      </w:r>
    </w:p>
    <w:p>
      <w:pPr>
        <w:pStyle w:val="ListBullet"/>
        <w:spacing w:after="60"/>
      </w:pPr>
      <w:r>
        <w:t>Jaipur-only city configuration with theatre location, neighbourhood and distance labels.</w:t>
      </w:r>
    </w:p>
    <w:p>
      <w:pPr>
        <w:pStyle w:val="ListBullet"/>
        <w:spacing w:after="60"/>
      </w:pPr>
      <w:r>
        <w:t>Customer onboarding with email and Indian mobile verification; first-use signup before protected actions.</w:t>
      </w:r>
    </w:p>
    <w:p>
      <w:pPr>
        <w:pStyle w:val="ListBullet"/>
        <w:spacing w:after="60"/>
      </w:pPr>
      <w:r>
        <w:t>Film discovery by date, language, genre, certification, theatre and showtime.</w:t>
      </w:r>
    </w:p>
    <w:p>
      <w:pPr>
        <w:pStyle w:val="ListBullet"/>
        <w:spacing w:after="60"/>
      </w:pPr>
      <w:r>
        <w:t>Interactive seat map with live inventory updates, short-lived holds and the requested base fare bands: front ₹250, middle ₹300 and recliner ₹500.</w:t>
      </w:r>
    </w:p>
    <w:p>
      <w:pPr>
        <w:pStyle w:val="ListBullet"/>
        <w:spacing w:after="60"/>
      </w:pPr>
      <w:r>
        <w:t>Checkout provider boundary for Razorpay-hosted UPI/cards/net banking and supported provider methods; expose familiar Google Pay, PhonePe and Paytm options where the provider supports them.</w:t>
      </w:r>
    </w:p>
    <w:p>
      <w:pPr>
        <w:pStyle w:val="ListBullet"/>
        <w:spacing w:after="60"/>
      </w:pPr>
      <w:r>
        <w:t>Ticket confirmation, unique entry QR, email delivery, WhatsApp template delivery and scan validation at entry.</w:t>
      </w:r>
    </w:p>
    <w:p>
      <w:pPr>
        <w:pStyle w:val="ListBullet"/>
        <w:spacing w:after="60"/>
      </w:pPr>
      <w:r>
        <w:t>Ride posts linked to a theatre/show, pickup area, departure, seats, estimated share, verified user profile, chat and join request.</w:t>
      </w:r>
    </w:p>
    <w:p>
      <w:pPr>
        <w:pStyle w:val="ListBullet"/>
        <w:spacing w:after="60"/>
      </w:pPr>
      <w:r>
        <w:t>Customer and theatre-owner role-based views; light and dark themes; responsive mobile-first layout.</w:t>
      </w:r>
    </w:p>
    <w:p>
      <w:pPr>
        <w:pStyle w:val="Heading1"/>
      </w:pPr>
      <w:r>
        <w:t>5. Out of scope for the first release</w:t>
      </w:r>
    </w:p>
    <w:p>
      <w:pPr>
        <w:pStyle w:val="ListBullet"/>
        <w:spacing w:after="60"/>
      </w:pPr>
      <w:r>
        <w:t>Operation outside Jaipur, seat maps for real venues until inventory is onboarded, dynamic surge pricing, driver dispatch, vehicle tracking, cash settlement, subscriptions, loyalty points and public reviews.</w:t>
      </w:r>
    </w:p>
    <w:p>
      <w:pPr>
        <w:pStyle w:val="ListBullet"/>
        <w:spacing w:after="60"/>
      </w:pPr>
      <w:r>
        <w:t>Storing UPI credentials or processing card data directly. The system delegates payment collection to an approved payment provider.</w:t>
      </w:r>
    </w:p>
    <w:p>
      <w:pPr>
        <w:pStyle w:val="ListBullet"/>
        <w:spacing w:after="60"/>
      </w:pPr>
      <w:r>
        <w:t>Guaranteeing WhatsApp delivery without an approved WhatsApp Business sender, consent-compliant templates and a configured provider.</w:t>
      </w:r>
    </w:p>
    <w:p>
      <w:pPr>
        <w:pStyle w:val="Heading1"/>
      </w:pPr>
      <w:r>
        <w:t>6. Core journeys</w:t>
      </w:r>
    </w:p>
    <w:p>
      <w:pPr>
        <w:pStyle w:val="Heading2"/>
      </w:pPr>
      <w:r>
        <w:t>Customer booking</w:t>
      </w:r>
    </w:p>
    <w:p>
      <w:r>
        <w:t>Open Jaipur listings → choose a film and showtime → inspect live seats and price → hold seats for a short payment window → sign in or create an account → verify mobile and email → pay through the provider checkout → confirm only from a verified payment webhook → issue ticket and QR → send email and WhatsApp notifications.</w:t>
      </w:r>
    </w:p>
    <w:p>
      <w:pPr>
        <w:pStyle w:val="Heading2"/>
      </w:pPr>
      <w:r>
        <w:t>Shared ride</w:t>
      </w:r>
    </w:p>
    <w:p>
      <w:r>
        <w:t>After choosing a show, a customer posts a pickup area, departure time, available seats and fare contribution, or filters matching posts. They request to join and use in-app chat. The ride owner accepts or declines; joining a ride does not alter the movie booking or represent a taxi dispatch.</w:t>
      </w:r>
    </w:p>
    <w:p>
      <w:pPr>
        <w:pStyle w:val="Heading2"/>
      </w:pPr>
      <w:r>
        <w:t>Theatre owner</w:t>
      </w:r>
    </w:p>
    <w:p>
      <w:r>
        <w:t>An approved owner signs in → selects an owned theatre → edits venue and screen information → adds or updates a movie listing and showtime → publishes availability and monitors bookings. Every write is authorized against the owner-to-theatre relationship.</w:t>
      </w:r>
    </w:p>
    <w:p>
      <w:pPr>
        <w:pStyle w:val="Heading1"/>
      </w:pPr>
      <w:r>
        <w:t>7. Product rules</w:t>
      </w:r>
    </w:p>
    <w:p>
      <w:pPr>
        <w:pStyle w:val="ListBullet"/>
        <w:spacing w:after="60"/>
      </w:pPr>
      <w:r>
        <w:t>Money is stored as integer paise; display amounts are formatted in INR. User-supplied prices cannot bypass the published seat-category fare rules without an explicit authorized override.</w:t>
      </w:r>
    </w:p>
    <w:p>
      <w:pPr>
        <w:pStyle w:val="ListBullet"/>
        <w:spacing w:after="60"/>
      </w:pPr>
      <w:r>
        <w:t>Seat holds expire automatically if payment is not completed. A database transaction and unique active-seat constraint arbitrate simultaneous requests; clients receive updates after commit.</w:t>
      </w:r>
    </w:p>
    <w:p>
      <w:pPr>
        <w:pStyle w:val="ListBullet"/>
        <w:spacing w:after="60"/>
      </w:pPr>
      <w:r>
        <w:t>A booking is confirmed only after a signed provider webhook has passed amount, currency, booking and idempotency checks.</w:t>
      </w:r>
    </w:p>
    <w:p>
      <w:pPr>
        <w:pStyle w:val="ListBullet"/>
        <w:spacing w:after="60"/>
      </w:pPr>
      <w:r>
        <w:t>QR tokens contain no personal data, are signed or opaque, expire with the show-entry window, and are validated once by authorized theatre staff.</w:t>
      </w:r>
    </w:p>
    <w:p>
      <w:pPr>
        <w:pStyle w:val="ListBullet"/>
        <w:spacing w:after="60"/>
      </w:pPr>
      <w:r>
        <w:t>Email and WhatsApp are delivery channels, not proof of booking. The booking receipt is always available in the account.</w:t>
      </w:r>
    </w:p>
    <w:p>
      <w:pPr>
        <w:pStyle w:val="ListBullet"/>
        <w:spacing w:after="60"/>
      </w:pPr>
      <w:r>
        <w:t>Ride contact details remain hidden until a request is accepted; abuse report, block, cancellation and moderation actions are logged.</w:t>
      </w:r>
    </w:p>
    <w:p>
      <w:pPr>
        <w:pStyle w:val="ListBullet"/>
        <w:spacing w:after="60"/>
      </w:pPr>
      <w:r>
        <w:t>Theme preference persists locally; contrast and keyboard focus remain usable in both themes.</w:t>
      </w:r>
    </w:p>
    <w:p>
      <w:pPr>
        <w:pStyle w:val="Heading1"/>
      </w:pPr>
      <w:r>
        <w:t>8. Experience and content</w:t>
      </w:r>
    </w:p>
    <w:p>
      <w:r>
        <w:t>Use conversational Indian English, rupee formatting and recognisable payment terminology. Show certification, language, duration, show format, neighbourhood, parking and clear cancellation terms. Mobile layouts prioritize location, date, showtimes, large seat controls and a concise booking summary. Colour is paired with labels for seat state and status.</w:t>
      </w:r>
    </w:p>
    <w:p>
      <w:pPr>
        <w:pStyle w:val="Heading1"/>
      </w:pPr>
      <w:r>
        <w:t>9. Launch assumptions and dependencies</w:t>
      </w:r>
    </w:p>
    <w:p>
      <w:pPr>
        <w:pStyle w:val="ListBullet"/>
        <w:spacing w:after="60"/>
      </w:pPr>
      <w:r>
        <w:t>The company obtains theatre agreements, verified owner identities, venue screen/seat layouts and a source of accurate show inventory.</w:t>
      </w:r>
    </w:p>
    <w:p>
      <w:pPr>
        <w:pStyle w:val="ListBullet"/>
        <w:spacing w:after="60"/>
      </w:pPr>
      <w:r>
        <w:t>Production identity uses an OTP provider with delivery, retry, rate limits and secure verification; mobile OTP normally uses an India DLT-compliant route.</w:t>
      </w:r>
    </w:p>
    <w:p>
      <w:pPr>
        <w:pStyle w:val="ListBullet"/>
        <w:spacing w:after="60"/>
      </w:pPr>
      <w:r>
        <w:t>Payment gateway merchant onboarding and webhook secrets are available for the launch entity.</w:t>
      </w:r>
    </w:p>
    <w:p>
      <w:pPr>
        <w:pStyle w:val="ListBullet"/>
        <w:spacing w:after="60"/>
      </w:pPr>
      <w:r>
        <w:t>Email sending domain and WhatsApp Business account/templates are approved.</w:t>
      </w:r>
    </w:p>
    <w:p>
      <w:pPr>
        <w:pStyle w:val="ListBullet"/>
        <w:spacing w:after="60"/>
      </w:pPr>
      <w:r>
        <w:t>Privacy notice, retention schedule, cancellation/refund policy, local ride-sharing terms and customer-support process are approved before public release.</w:t>
      </w:r>
    </w:p>
    <w:p>
      <w:pPr>
        <w:pStyle w:val="Heading1"/>
      </w:pPr>
      <w:r>
        <w:t>10. Rollout</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314F43"/>
            <w:vAlign w:val="center"/>
          </w:tcPr>
          <w:p>
            <w:pPr>
              <w:spacing w:after="60"/>
            </w:pPr>
            <w:r/>
            <w:r>
              <w:rPr>
                <w:rFonts w:ascii="Aptos" w:hAnsi="Aptos"/>
                <w:b/>
                <w:color w:val="FFFFFF"/>
                <w:sz w:val="17"/>
              </w:rPr>
              <w:t>Stage</w:t>
            </w:r>
          </w:p>
        </w:tc>
        <w:tc>
          <w:tcPr>
            <w:tcW w:type="dxa" w:w="4997"/>
            <w:shd w:fill="314F43"/>
            <w:vAlign w:val="center"/>
          </w:tcPr>
          <w:p>
            <w:pPr>
              <w:spacing w:after="60"/>
            </w:pPr>
            <w:r/>
            <w:r>
              <w:rPr>
                <w:rFonts w:ascii="Aptos" w:hAnsi="Aptos"/>
                <w:b/>
                <w:color w:val="FFFFFF"/>
                <w:sz w:val="17"/>
              </w:rPr>
              <w:t>Exit condition</w:t>
            </w:r>
          </w:p>
        </w:tc>
      </w:tr>
      <w:tr>
        <w:trPr>
          <w:cantSplit/>
        </w:trPr>
        <w:tc>
          <w:tcPr>
            <w:tcW w:type="dxa" w:w="4997"/>
            <w:vAlign w:val="center"/>
          </w:tcPr>
          <w:p>
            <w:pPr>
              <w:spacing w:after="60"/>
            </w:pPr>
            <w:r/>
            <w:r>
              <w:rPr>
                <w:rFonts w:ascii="Aptos" w:hAnsi="Aptos"/>
                <w:b w:val="0"/>
                <w:color w:val="292624"/>
                <w:sz w:val="16"/>
              </w:rPr>
              <w:t>Prototype</w:t>
            </w:r>
          </w:p>
        </w:tc>
        <w:tc>
          <w:tcPr>
            <w:tcW w:type="dxa" w:w="4997"/>
            <w:vAlign w:val="center"/>
          </w:tcPr>
          <w:p>
            <w:pPr>
              <w:spacing w:after="60"/>
            </w:pPr>
            <w:r/>
            <w:r>
              <w:rPr>
                <w:rFonts w:ascii="Aptos" w:hAnsi="Aptos"/>
                <w:b w:val="0"/>
                <w:color w:val="292624"/>
                <w:sz w:val="16"/>
              </w:rPr>
              <w:t>Browse, role switch, seat selection, ride views and theme work with sample data.</w:t>
            </w:r>
          </w:p>
        </w:tc>
      </w:tr>
      <w:tr>
        <w:trPr>
          <w:cantSplit/>
        </w:trPr>
        <w:tc>
          <w:tcPr>
            <w:tcW w:type="dxa" w:w="4997"/>
            <w:shd w:fill="F4F1EB"/>
            <w:vAlign w:val="center"/>
          </w:tcPr>
          <w:p>
            <w:pPr>
              <w:spacing w:after="60"/>
            </w:pPr>
            <w:r/>
            <w:r>
              <w:rPr>
                <w:rFonts w:ascii="Aptos" w:hAnsi="Aptos"/>
                <w:b w:val="0"/>
                <w:color w:val="292624"/>
                <w:sz w:val="16"/>
              </w:rPr>
              <w:t>Private pilot</w:t>
            </w:r>
          </w:p>
        </w:tc>
        <w:tc>
          <w:tcPr>
            <w:tcW w:type="dxa" w:w="4997"/>
            <w:shd w:fill="F4F1EB"/>
            <w:vAlign w:val="center"/>
          </w:tcPr>
          <w:p>
            <w:pPr>
              <w:spacing w:after="60"/>
            </w:pPr>
            <w:r/>
            <w:r>
              <w:rPr>
                <w:rFonts w:ascii="Aptos" w:hAnsi="Aptos"/>
                <w:b w:val="0"/>
                <w:color w:val="292624"/>
                <w:sz w:val="16"/>
              </w:rPr>
              <w:t>Verified Jaipur venues onboarded; provider sandboxes pass; concurrency and webhook flows reviewed; owner access is scoped.</w:t>
            </w:r>
          </w:p>
        </w:tc>
      </w:tr>
      <w:tr>
        <w:trPr>
          <w:cantSplit/>
        </w:trPr>
        <w:tc>
          <w:tcPr>
            <w:tcW w:type="dxa" w:w="4997"/>
            <w:vAlign w:val="center"/>
          </w:tcPr>
          <w:p>
            <w:pPr>
              <w:spacing w:after="60"/>
            </w:pPr>
            <w:r/>
            <w:r>
              <w:rPr>
                <w:rFonts w:ascii="Aptos" w:hAnsi="Aptos"/>
                <w:b w:val="0"/>
                <w:color w:val="292624"/>
                <w:sz w:val="16"/>
              </w:rPr>
              <w:t>Public Jaipur MVP</w:t>
            </w:r>
          </w:p>
        </w:tc>
        <w:tc>
          <w:tcPr>
            <w:tcW w:type="dxa" w:w="4997"/>
            <w:vAlign w:val="center"/>
          </w:tcPr>
          <w:p>
            <w:pPr>
              <w:spacing w:after="60"/>
            </w:pPr>
            <w:r/>
            <w:r>
              <w:rPr>
                <w:rFonts w:ascii="Aptos" w:hAnsi="Aptos"/>
                <w:b w:val="0"/>
                <w:color w:val="292624"/>
                <w:sz w:val="16"/>
              </w:rPr>
              <w:t>Production providers approved; monitoring/support staffed; QR scanning and refund operations rehearsed.</w:t>
            </w:r>
          </w:p>
        </w:tc>
      </w:tr>
      <w:tr>
        <w:trPr>
          <w:cantSplit/>
        </w:trPr>
        <w:tc>
          <w:tcPr>
            <w:tcW w:type="dxa" w:w="4997"/>
            <w:shd w:fill="F4F1EB"/>
            <w:vAlign w:val="center"/>
          </w:tcPr>
          <w:p>
            <w:pPr>
              <w:spacing w:after="60"/>
            </w:pPr>
            <w:r/>
            <w:r>
              <w:rPr>
                <w:rFonts w:ascii="Aptos" w:hAnsi="Aptos"/>
                <w:b w:val="0"/>
                <w:color w:val="292624"/>
                <w:sz w:val="16"/>
              </w:rPr>
              <w:t>Expansion gate</w:t>
            </w:r>
          </w:p>
        </w:tc>
        <w:tc>
          <w:tcPr>
            <w:tcW w:type="dxa" w:w="4997"/>
            <w:shd w:fill="F4F1EB"/>
            <w:vAlign w:val="center"/>
          </w:tcPr>
          <w:p>
            <w:pPr>
              <w:spacing w:after="60"/>
            </w:pPr>
            <w:r/>
            <w:r>
              <w:rPr>
                <w:rFonts w:ascii="Aptos" w:hAnsi="Aptos"/>
                <w:b w:val="0"/>
                <w:color w:val="292624"/>
                <w:sz w:val="16"/>
              </w:rPr>
              <w:t>Seat accuracy, payment reconciliation, delivery, safety and adoption metrics meet agreed operating thresholds.</w:t>
            </w:r>
          </w:p>
        </w:tc>
      </w:tr>
    </w:tbl>
    <w:p>
      <w:pPr>
        <w:spacing w:after="20"/>
      </w:pP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9837D"/>
        <w:sz w:val="16"/>
      </w:rPr>
      <w:t xml:space="preserve">PICTUREHOUSE JAIPUR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37343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Aptos" w:hAnsi="Aptos"/>
      <w:color w:val="373431"/>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