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星环知识系统前端与小栖融合审计</w:t>
      </w:r>
    </w:p>
    <w:p>
      <w:pPr>
        <w:pStyle w:val="Subtitle"/>
      </w:pPr>
      <w:r>
        <w:t>用户 产品 设计 架构 工程 性能 测试与宣传</w:t>
      </w:r>
    </w:p>
    <w:p>
      <w:r>
        <w:t>审计结论：本次对话的主要需求已经进入统一方案，现有技术栈也能承载所选方向。但导航覆盖检查只证明入口映射完整，尚不能支持“全部前端设计已定稿”或“可安装产品已经完成”的结论。当前需要先补齐六项首期关键设计和接入缺口，再完成本地真实闭环及安装版验收。</w:t>
      </w:r>
    </w:p>
    <w:p>
      <w:r>
        <w:t>推荐继续采用硬核宇宙玻璃主题、按需展开的工作区和可选学习伴侣小栖。完整能力目录与未来入口保留；首次使用应围绕导入、阅读、学习和继续工作组织。重载能力可以延期，配置保存、资料问答、共享会话、布局恢复与真实状态等首期基础连接不能整体延期。</w:t>
      </w:r>
    </w:p>
    <w:p>
      <w:r>
        <w:t>本报告面向项目所有者与后续实施者。P0 表示阻碍本轮设计定稿或首批真实测试；P1 表示应在公开测试前补齐；P2 表示明确保留的后续增强。本次是方案、源码与参考图审计，没有执行安装版体验测试、硬件性能采样、付费模型调用或跨项目写入。</w:t>
      </w:r>
    </w:p>
    <w:p>
      <w:pPr>
        <w:pStyle w:val="Heading1"/>
      </w:pPr>
      <w:r>
        <w:t>1 审计依据与结论边界</w:t>
      </w:r>
    </w:p>
    <w:p>
      <w:r>
        <w:t>依据为最新 33 页实施总方案、同版导航注册表、本次可见对话、六张用户参考图，以及正式仓库源码。主方案版本为 1，导航文件版本为 0；审计不把历史原型视为当前生产界面。[S1 S2]</w:t>
      </w:r>
    </w:p>
    <w:p>
      <w:r>
        <w:t>重新读取 GitHub 主线的 spaceSections.ts、MachineAnswerPanel.tsx、ui-working-state.schema.json 与 asset_context_grant.rs，四份文件的 blob SHA 均与本地 be79ff90e7394247171afc311b002eb96ff0581e 快照一致。ASTRYN 的 README 与 CompanionShell、WORKLAB 和 DESIGNLAB 的 README 也已重新读取。这些证据支持下列实现边界，不等同于四仓全部模块已完成本轮运行审计。[S3 至 S9]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960"/>
        <w:gridCol w:w="4320"/>
      </w:tblGrid>
      <w:tr>
        <w:trPr>
          <w:tblHeader w:val="true"/>
          <w:cantSplit/>
        </w:trPr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/>
                <w:color w:val="FFFFFF"/>
                <w:sz w:val="20"/>
              </w:rPr>
              <w:t>判断层级</w:t>
            </w:r>
          </w:p>
        </w:tc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本轮结论</w:t>
            </w:r>
          </w:p>
        </w:tc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还需要的证据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需求归档</w:t>
            </w:r>
          </w:p>
        </w:tc>
        <w:tc>
          <w:tcPr>
            <w:tcW w:type="dxa" w:w="39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主要明确要求已覆盖。</w:t>
            </w:r>
          </w:p>
        </w:tc>
        <w:tc>
          <w:tcPr>
            <w:tcW w:type="dxa" w:w="43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新需求继续登记；覆盖不替代交互细化。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信息架构</w:t>
            </w:r>
          </w:p>
        </w:tc>
        <w:tc>
          <w:tcPr>
            <w:tcW w:type="dxa" w:w="39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22 页、16 能力族、186 条细则均有入口映射。</w:t>
            </w:r>
          </w:p>
        </w:tc>
        <w:tc>
          <w:tcPr>
            <w:tcW w:type="dxa" w:w="43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按真实用户任务验证分类与可发现性。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界面设计</w:t>
            </w:r>
          </w:p>
        </w:tc>
        <w:tc>
          <w:tcPr>
            <w:tcW w:type="dxa" w:w="39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布局与展开原则明确，视觉方向成立。</w:t>
            </w:r>
          </w:p>
        </w:tc>
        <w:tc>
          <w:tcPr>
            <w:tcW w:type="dxa" w:w="43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关键界面、设计变量、组件状态及逐流程规格。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工程接入</w:t>
            </w:r>
          </w:p>
        </w:tc>
        <w:tc>
          <w:tcPr>
            <w:tcW w:type="dxa" w:w="39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已有主栈可复用，存在明确合同缺口。</w:t>
            </w:r>
          </w:p>
        </w:tc>
        <w:tc>
          <w:tcPr>
            <w:tcW w:type="dxa" w:w="43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正式 typed registry、桥接、持久化和集成验证。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运行与交付</w:t>
            </w:r>
          </w:p>
        </w:tc>
        <w:tc>
          <w:tcPr>
            <w:tcW w:type="dxa" w:w="39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本轮未形成新的运行资格结论。</w:t>
            </w:r>
          </w:p>
        </w:tc>
        <w:tc>
          <w:tcPr>
            <w:tcW w:type="dxa" w:w="432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安装包、真实格式闭环、模型与小栖及硬件实测。</w:t>
            </w:r>
          </w:p>
        </w:tc>
      </w:tr>
    </w:tbl>
    <w:p>
      <w:pPr>
        <w:spacing w:after="40"/>
      </w:pPr>
    </w:p>
    <w:p>
      <w:pPr>
        <w:pStyle w:val="Heading1"/>
      </w:pPr>
      <w:r>
        <w:t>2 本次对话的需求覆盖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5616"/>
        <w:gridCol w:w="2232"/>
      </w:tblGrid>
      <w:tr>
        <w:trPr>
          <w:tblHeader w:val="true"/>
          <w:cantSplit/>
        </w:trPr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/>
                <w:color w:val="FFFFFF"/>
                <w:sz w:val="20"/>
              </w:rPr>
              <w:t>要求</w:t>
            </w:r>
          </w:p>
        </w:tc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已经纳入方案的内容</w:t>
            </w:r>
          </w:p>
        </w:tc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审计状态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项目定位与品牌</w:t>
            </w:r>
          </w:p>
        </w:tc>
        <w:tc>
          <w:tcPr>
            <w:tcW w:type="dxa" w:w="56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本地优先知识与 Human–AI 双向学习；ArcheAxis／星环知识系统；AAOS 内部使用。</w:t>
            </w:r>
          </w:p>
        </w:tc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覆盖。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最新主线结构</w:t>
            </w:r>
          </w:p>
        </w:tc>
        <w:tc>
          <w:tcPr>
            <w:tcW w:type="dxa" w:w="56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保留正式 22 页身份和 React／Tauri 主栈；不恢复 OSUI 或另起第二正式前端。</w:t>
            </w:r>
          </w:p>
        </w:tc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覆盖。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首页与多级菜单</w:t>
            </w:r>
          </w:p>
        </w:tc>
        <w:tc>
          <w:tcPr>
            <w:tcW w:type="dxa" w:w="56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五区布局、七个一级入口、按当前分支展开；空库不造进度。</w:t>
            </w:r>
          </w:p>
        </w:tc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覆盖，需实测发现性。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自由布局</w:t>
            </w:r>
          </w:p>
        </w:tc>
        <w:tc>
          <w:tcPr>
            <w:tcW w:type="dxa" w:w="56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标签、分栏、停靠、应用内浮动、保存恢复、关闭保留内容。</w:t>
            </w:r>
          </w:p>
        </w:tc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覆盖，持久化合同待补。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科幻玻璃材质</w:t>
            </w:r>
          </w:p>
        </w:tc>
        <w:tc>
          <w:tcPr>
            <w:tcW w:type="dxa" w:w="56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硬核宇宙场景、玻璃边缘和明暗层次；专注与性能降级。</w:t>
            </w:r>
          </w:p>
        </w:tc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方向覆盖，具体变量待定。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模型与接口</w:t>
            </w:r>
          </w:p>
        </w:tc>
        <w:tc>
          <w:tcPr>
            <w:tcW w:type="dxa" w:w="56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AI 模型中心、顶栏快捷选择、设置别名；API、客户端订阅、本地模型与用途。</w:t>
            </w:r>
          </w:p>
        </w:tc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入口覆盖，配置写入待接。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常用服务</w:t>
            </w:r>
          </w:p>
        </w:tc>
        <w:tc>
          <w:tcPr>
            <w:tcW w:type="dxa" w:w="56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搜索、OCR、语音、MCP、自定义服务与收藏连接。</w:t>
            </w:r>
          </w:p>
        </w:tc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覆盖，逐适配器范围待定。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ASTRYN 与小栖</w:t>
            </w:r>
          </w:p>
        </w:tc>
        <w:tc>
          <w:tcPr>
            <w:tcW w:type="dxa" w:w="56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同一宿主、会话与记忆；人物呈现、关系风格、文本陪学与八类端口。</w:t>
            </w:r>
          </w:p>
        </w:tc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覆盖，真实宿主接入未验证。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真人与声音口型</w:t>
            </w:r>
          </w:p>
        </w:tc>
        <w:tc>
          <w:tcPr>
            <w:tcW w:type="dxa" w:w="56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轻量人物起步；语音、音频时钟口型、3D 与音频驱动视频分阶段。</w:t>
            </w:r>
          </w:p>
        </w:tc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覆盖，增强能力后续。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三项目互联</w:t>
            </w:r>
          </w:p>
        </w:tc>
        <w:tc>
          <w:tcPr>
            <w:tcW w:type="dxa" w:w="56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WORKLAB／DESIGNLAB 关联、上下文、任务、产物、知识候选与回执。</w:t>
            </w:r>
          </w:p>
        </w:tc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覆盖，具体协议需登记。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全能力与延期</w:t>
            </w:r>
          </w:p>
        </w:tc>
        <w:tc>
          <w:tcPr>
            <w:tcW w:type="dxa" w:w="56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16 能力族、186 原文、15 个 F 目标与 6 个 I 目标；状态灯与原因。</w:t>
            </w:r>
          </w:p>
        </w:tc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覆盖检查通过。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多格式与最快闭环</w:t>
            </w:r>
          </w:p>
        </w:tc>
        <w:tc>
          <w:tcPr>
            <w:tcW w:type="dxa" w:w="56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原件保存、查看、提取、编辑、导出、往返分开验证。</w:t>
            </w:r>
          </w:p>
        </w:tc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目标覆盖，实际格式需验收。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本地个人用户测试</w:t>
            </w:r>
          </w:p>
        </w:tc>
        <w:tc>
          <w:tcPr>
            <w:tcW w:type="dxa" w:w="56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每位测试者独立安装与数据；首启、恢复、诊断与支持范围。</w:t>
            </w:r>
          </w:p>
        </w:tc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覆盖，安装版证据待产出。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宣传与开源优先</w:t>
            </w:r>
          </w:p>
        </w:tc>
        <w:tc>
          <w:tcPr>
            <w:tcW w:type="dxa" w:w="561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先复用主线与开源组件；概念图和真实能力声明分阶段。</w:t>
            </w:r>
          </w:p>
        </w:tc>
        <w:tc>
          <w:tcPr>
            <w:tcW w:type="dxa" w:w="22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覆盖，首发资产与许可清单待落实。</w:t>
            </w:r>
          </w:p>
        </w:tc>
      </w:tr>
    </w:tbl>
    <w:p>
      <w:pPr>
        <w:spacing w:after="40"/>
      </w:pPr>
    </w:p>
    <w:p>
      <w:r>
        <w:t>统计口径需要纠正：37 个二级菜单记录中有 3 个设置快捷入口，所以是 34 个独立模块；173 个三级记录中有 15 个快捷入口重复项，所以是 158 个独立功能区。22 页、16 能力族、186 条细则的数量保持不变。以上是本轮从注册表重新计算的设计数量，不是已实现或已验收的功能数量。</w:t>
      </w:r>
    </w:p>
    <w:p>
      <w:pPr>
        <w:pStyle w:val="Heading1"/>
      </w:pPr>
      <w:r>
        <w:t>3 从不同角色评估方案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3528"/>
        <w:gridCol w:w="4824"/>
      </w:tblGrid>
      <w:tr>
        <w:trPr>
          <w:tblHeader w:val="true"/>
          <w:cantSplit/>
        </w:trPr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成立的部分</w:t>
            </w:r>
          </w:p>
        </w:tc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需要补齐或验证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普通用户</w:t>
            </w:r>
          </w:p>
        </w:tc>
        <w:tc>
          <w:tcPr>
            <w:tcW w:type="dxa" w:w="35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首页简化与小栖欢迎可降低陌生感。</w:t>
            </w:r>
          </w:p>
        </w:tc>
        <w:tc>
          <w:tcPr>
            <w:tcW w:type="dxa" w:w="48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首次进入只提供导入、新建、继续与陪学；高级能力按需发现，缺模型仍可阅读保存。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长期学习者</w:t>
            </w:r>
          </w:p>
        </w:tc>
        <w:tc>
          <w:tcPr>
            <w:tcW w:type="dxa" w:w="35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资料、来源、练习和学习记录能够连成主线。</w:t>
            </w:r>
          </w:p>
        </w:tc>
        <w:tc>
          <w:tcPr>
            <w:tcW w:type="dxa" w:w="48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补齐尝试、提示、解释、复述、反馈和回看的节奏；保留用户手动记录，不以聊天次数冒充掌握度。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产品经理</w:t>
            </w:r>
          </w:p>
        </w:tc>
        <w:tc>
          <w:tcPr>
            <w:tcW w:type="dxa" w:w="35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短期目标与重载延期方向清楚。</w:t>
            </w:r>
          </w:p>
        </w:tc>
        <w:tc>
          <w:tcPr>
            <w:tcW w:type="dxa" w:w="48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定义首期哪些操作真实可用、哪些可编辑保存、哪些仅预留；按任务验收，不能以菜单数量定义完成。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交互设计师</w:t>
            </w:r>
          </w:p>
        </w:tc>
        <w:tc>
          <w:tcPr>
            <w:tcW w:type="dxa" w:w="35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单分支导航、单实例中心和对象面板规则合理。</w:t>
            </w:r>
          </w:p>
        </w:tc>
        <w:tc>
          <w:tcPr>
            <w:tcW w:type="dxa" w:w="48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明确返回路径、对象缺失、焦点、键盘移动、布局锁定和误操作恢复；给五个关键旅程完整状态图。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视觉设计师</w:t>
            </w:r>
          </w:p>
        </w:tc>
        <w:tc>
          <w:tcPr>
            <w:tcW w:type="dxa" w:w="35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第三张硬核宇宙参考符合现有方向，游戏图可借用周边入口构图。</w:t>
            </w:r>
          </w:p>
        </w:tc>
        <w:tc>
          <w:tcPr>
            <w:tcW w:type="dxa" w:w="48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完成色彩、文字、间距、层级、透明度、光边和动效变量；长文表面必须保留稳定对比。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系统架构师</w:t>
            </w:r>
          </w:p>
        </w:tc>
        <w:tc>
          <w:tcPr>
            <w:tcW w:type="dxa" w:w="35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Core 单写者、角色子系统和三项目独立数据边界正确。</w:t>
            </w:r>
          </w:p>
        </w:tc>
        <w:tc>
          <w:tcPr>
            <w:tcW w:type="dxa" w:w="48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正式登记会话、布局、配置、状态和交换合同；界面表现层与业务生命周期分离。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前端工程师</w:t>
            </w:r>
          </w:p>
        </w:tc>
        <w:tc>
          <w:tcPr>
            <w:tcW w:type="dxa" w:w="35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现有 React、Tiptap、PDF.js 等可以继续使用。</w:t>
            </w:r>
          </w:p>
        </w:tc>
        <w:tc>
          <w:tcPr>
            <w:tcW w:type="dxa" w:w="48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Dockview 尚需实际引入验证；登记组件、参数和实例策略，显式管理隐藏与关闭生命周期。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后端工程师</w:t>
            </w:r>
          </w:p>
        </w:tc>
        <w:tc>
          <w:tcPr>
            <w:tcW w:type="dxa" w:w="35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真实执行、权限、状态与回执归属明确。</w:t>
            </w:r>
          </w:p>
        </w:tc>
        <w:tc>
          <w:tcPr>
            <w:tcW w:type="dxa" w:w="48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配置读写、材料问答、伴侣会话和布局保存是首期桥接，不应全部归为未来重载任务。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虚拟人物设计</w:t>
            </w:r>
          </w:p>
        </w:tc>
        <w:tc>
          <w:tcPr>
            <w:tcW w:type="dxa" w:w="35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小栖可同时承担学习助手与用户选择的亲近陪伴。</w:t>
            </w:r>
          </w:p>
        </w:tc>
        <w:tc>
          <w:tcPr>
            <w:tcW w:type="dxa" w:w="48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人物外观与关系风格分开；提供记忆管理和安静模式；首期先验证持续会话与真实学习帮助。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性能工程师</w:t>
            </w:r>
          </w:p>
        </w:tc>
        <w:tc>
          <w:tcPr>
            <w:tcW w:type="dxa" w:w="35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预渲背景、局部玻璃与按需加载方向合理。</w:t>
            </w:r>
          </w:p>
        </w:tc>
        <w:tc>
          <w:tcPr>
            <w:tcW w:type="dxa" w:w="48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建立目标设备、首次打开、输入延迟、空闲、峰值和模型并发预算；隐藏不等于自动停止计算。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数据与安全工程师</w:t>
            </w:r>
          </w:p>
        </w:tc>
        <w:tc>
          <w:tcPr>
            <w:tcW w:type="dxa" w:w="35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凭据由宿主保管、上下文显式选择和无隐式转云已写明。</w:t>
            </w:r>
          </w:p>
        </w:tc>
        <w:tc>
          <w:tcPr>
            <w:tcW w:type="dxa" w:w="48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界面显示实际目的地；补齐撤销、聊天删除、长期记忆遗忘、缓存索引和备份保留的具体语义。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测试与运维工程师</w:t>
            </w:r>
          </w:p>
        </w:tc>
        <w:tc>
          <w:tcPr>
            <w:tcW w:type="dxa" w:w="35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离线、部分失败、恢复和诊断进入首期范围。</w:t>
            </w:r>
          </w:p>
        </w:tc>
        <w:tc>
          <w:tcPr>
            <w:tcW w:type="dxa" w:w="48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交付可安装包与真实样例，按操作记录资格；开发 fixture 与正式数据、任务和灯光严格分开。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开源维护者</w:t>
            </w:r>
          </w:p>
        </w:tc>
        <w:tc>
          <w:tcPr>
            <w:tcW w:type="dxa" w:w="35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吸收主线及成熟模块优先，领域适配可自研。</w:t>
            </w:r>
          </w:p>
        </w:tc>
        <w:tc>
          <w:tcPr>
            <w:tcW w:type="dxa" w:w="48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逐组件固定版本、接口与许可；源码、模型权重、音色、人物资源和商业扩展分别记录。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品牌与宣传负责人</w:t>
            </w:r>
          </w:p>
        </w:tc>
        <w:tc>
          <w:tcPr>
            <w:tcW w:type="dxa" w:w="35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宇宙玻璃与小栖有辨识度，能展示完整长期方向。</w:t>
            </w:r>
          </w:p>
        </w:tc>
        <w:tc>
          <w:tcPr>
            <w:tcW w:type="dxa" w:w="48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品牌使用正式名称；宣传场景围绕具体用户收益，并明确真实版本、概念人物与未接通能力。</w:t>
            </w:r>
          </w:p>
        </w:tc>
      </w:tr>
    </w:tbl>
    <w:p>
      <w:pPr>
        <w:spacing w:after="40"/>
      </w:pPr>
    </w:p>
    <w:p>
      <w:pPr>
        <w:pStyle w:val="Heading1"/>
      </w:pPr>
      <w:r>
        <w:t>4 六项首期关键缺口</w:t>
      </w:r>
    </w:p>
    <w:p>
      <w:pPr>
        <w:pStyle w:val="Heading2"/>
      </w:pPr>
      <w:r>
        <w:t>P0 01 前端完成标准仍需落到操作</w:t>
      </w:r>
    </w:p>
    <w:p>
      <w:r>
        <w:t>总方案规定 22 页的前端行为，也为重载能力列出参数、计划与结果视图，但缺少逐功能区的输入、校验、保存、取消、恢复和结果规格。186 条细则映射到菜单或能力详情，不能证明这些交互已经设计完成。需求归档完整与设计定稿应分别记录。[S1 第 21 至 24 页 S2]</w:t>
      </w:r>
    </w:p>
    <w:p>
      <w:r>
        <w:t>修订要求：每项登记 ui_spec_state、persistence_state、backend_state 和 release_phase；用“输入 → 计划或提交 → 结果 → 恢复”的状态表描述。未来功能保留真实字段合同与不可执行理由；合同未确定时标明待补。验收为独立实现者不再需要猜字段或业务结果。责任为产品、设计、前端与合同维护者。</w:t>
      </w:r>
    </w:p>
    <w:p>
      <w:pPr>
        <w:pStyle w:val="Heading2"/>
      </w:pPr>
      <w:r>
        <w:t>P0 02 刚导入资料的提问路径尚不能直接继承</w:t>
      </w:r>
    </w:p>
    <w:p>
      <w:r>
        <w:t>现有 MachineAnswerPanel 基于 knowledge_id 发起回答，且有正式上下文授权和回执约束。方案中的“导入资料后选段提问”覆盖的是更广的材料范围，不能默认任意 PDF、普通笔记或刚导入原件已经满足该调用合同。[S4]</w:t>
      </w:r>
    </w:p>
    <w:p>
      <w:r>
        <w:t>修订要求：核对现有资料问答能力；缺失时补受限的材料问答合同，绑定文档或提取版本、选区、允许用途与目的地。普通笔记保存继续直接可用，不引入通用审批。验收为新导入材料能进入明确的阅读和提问路径，回答可回到选定来源；无法提问时显示准确原因。责任为产品、前端、Core 与模型适配。</w:t>
      </w:r>
    </w:p>
    <w:p>
      <w:pPr>
        <w:pStyle w:val="Heading2"/>
      </w:pPr>
      <w:r>
        <w:t>P0 03 模型中心缺配置读写和凭据接入</w:t>
      </w:r>
    </w:p>
    <w:p>
      <w:r>
        <w:t>主线 spaceSections 的 Provider 配置仍为 todo，原因是命令面没有配置读写；现有面板只有配置状态、本机清单和本次回答模型选择。清单可读不代表模型加载或推理通过。菜单与表单设计不能直接填补持久化、认证和真实试运行。[S3 S4]</w:t>
      </w:r>
    </w:p>
    <w:p>
      <w:r>
        <w:t>修订要求：先接一种已获准的服务，完成脱敏读取、凭据保存、模型发现、用途绑定、试运行、版本修订与解除连接。分别说明 API 计费账户和正式客户端订阅适配，未支持适配器保留不可用状态。验收为重启后配置有效，敏感凭据不进入前端导出和布局，并能完成一次真实调用。责任为宿主、Core、前端与适配器维护者。</w:t>
      </w:r>
    </w:p>
    <w:p>
      <w:pPr>
        <w:pStyle w:val="Heading2"/>
      </w:pPr>
      <w:r>
        <w:t>P0 04 小栖共享会话和宿主合同仍需实现</w:t>
      </w:r>
    </w:p>
    <w:p>
      <w:r>
        <w:t>ASTRYN README 将真实模型标为 NOT_TESTED、ArcheAxis 集成标为 UNVERIFIED。CompanionShell 在组件内创建控制器，依赖变化时重建，并在清理时 dispose；现有有限资产 Consumer 仅包含 local-machine 和 manual-context-packet。多处呈现小栖前需要正式接入和共享生命周期。[S5 S6 S7]</w:t>
      </w:r>
    </w:p>
    <w:p>
      <w:r>
        <w:t>修订要求：由会话服务持有控制器和记录，主页与侧边视图订阅同一状态；资料问答和日常陪伴采用明确的请求类型。补适配或正式 Consumer 范围、身份、取消、事件顺序、记忆写入与恢复合同。验收为切页、关面板、改回复风格和重启不会重复调用、丢失会话或扩大上下文；一次只有一个音频与昂贵渲染所有者。责任为两仓的宿主与角色维护者。</w:t>
      </w:r>
    </w:p>
    <w:p>
      <w:pPr>
        <w:pStyle w:val="Heading2"/>
      </w:pPr>
      <w:r>
        <w:t>P0 05 自由布局还没有正式持久化合同</w:t>
      </w:r>
    </w:p>
    <w:p>
      <w:r>
        <w:t>现行 WorkingState 保存草稿、打开文档和待处理任务等，State 使用 additionalProperties false，未包含停靠树、浮动几何或布局预设。方案已提出独立布局偏好合同，但尚不是可直接调用的生产接口。自由布局需要增加宿主接入，不能只改 CSS。[S5]</w:t>
      </w:r>
    </w:p>
    <w:p>
      <w:r>
        <w:t>修订要求：独立保存布局版本、工作区、设备、组件与对象引用、位置和修订号；拖动结束后提交并处理冲突。未知组件或移除显示器时有可见恢复入口，预设与布局锁定可用。验收为重启和重置不丢业务内容，不产生屏幕外窗口，不把凭据与原文复制进布局。责任为前端、宿主与 Core。</w:t>
      </w:r>
    </w:p>
    <w:p>
      <w:pPr>
        <w:pStyle w:val="Heading2"/>
      </w:pPr>
      <w:r>
        <w:t>P0 06 视觉方向尚未成为可复现设计系统</w:t>
      </w:r>
    </w:p>
    <w:p>
      <w:r>
        <w:t>三张材质参考中，前两张更偏梦幻紫蓝，第三张使用深黑宇宙、冷白光、较暗内容表面和玻璃厚度感。游戏参考的中央角色与周边入口可借用；其数值面板、武器与任务构图不能直接替代学习信息。真人参考提供人物与内容的安静构图，截图本身不能证明实时渲染技术。[R1 至 R6]</w:t>
      </w:r>
    </w:p>
    <w:p>
      <w:r>
        <w:t>修订要求：定义同一套背景、壳层、玻璃、正文、边界、灯光和选中状态变量，先定首页、阅读、小栖陪学、模型中心、能力目录、配置与错误七个关键界面。场景图、人物资产、材质规则和性能降级都要对应真实资源。验收为同一组件各界面一致，长文清晰，轻量模式仍保留风格；参考质感不能只由模糊强度代替。责任为视觉、交互与前端。</w:t>
      </w:r>
    </w:p>
    <w:p>
      <w:pPr>
        <w:pStyle w:val="Heading1"/>
      </w:pPr>
      <w:r>
        <w:t>5 公开测试前的重要问题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3456"/>
        <w:gridCol w:w="5256"/>
      </w:tblGrid>
      <w:tr>
        <w:trPr>
          <w:tblHeader w:val="true"/>
          <w:cantSplit/>
        </w:trPr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问题与影响</w:t>
            </w:r>
          </w:p>
        </w:tc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修订与验证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P1 07</w:t>
            </w:r>
          </w:p>
        </w:tc>
        <w:tc>
          <w:tcPr>
            <w:tcW w:type="dxa" w:w="34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菜单完整仍可能让新手迷失；数量包含别名。</w:t>
            </w:r>
          </w:p>
        </w:tc>
        <w:tc>
          <w:tcPr>
            <w:tcW w:type="dxa" w:w="52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分别记录 37／173 条导航记录与 34／158 个独立模块或功能区。默认只展开当前分支，提供搜索、最近与收藏，保留全目录。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P1 08</w:t>
            </w:r>
          </w:p>
        </w:tc>
        <w:tc>
          <w:tcPr>
            <w:tcW w:type="dxa" w:w="34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陪学有能力列表，但具体学习节奏不足。</w:t>
            </w:r>
          </w:p>
        </w:tc>
        <w:tc>
          <w:tcPr>
            <w:tcW w:type="dxa" w:w="52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设计先尝试、分级提示、解释、复述、出处反馈与复习的旅程；允许直接问答与人工记录，不虚构掌握度。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P1 09</w:t>
            </w:r>
          </w:p>
        </w:tc>
        <w:tc>
          <w:tcPr>
            <w:tcW w:type="dxa" w:w="34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已有性能策略，但没有设备与测量预算。</w:t>
            </w:r>
          </w:p>
        </w:tc>
        <w:tc>
          <w:tcPr>
            <w:tcW w:type="dxa" w:w="52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先记录当前安装版基线，定义目标设备和三档；测试启动、输入、拖动、隐藏回落和本地模型并发。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P1 10</w:t>
            </w:r>
          </w:p>
        </w:tc>
        <w:tc>
          <w:tcPr>
            <w:tcW w:type="dxa" w:w="34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项目互联已有对象种类，尚缺协议实例。</w:t>
            </w:r>
          </w:p>
        </w:tc>
        <w:tc>
          <w:tcPr>
            <w:tcW w:type="dxa" w:w="52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先只读握手和关联，再补任务与资产写入；固定 namespace、版本、对象修订、去重、过期和回执语义。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P1 11</w:t>
            </w:r>
          </w:p>
        </w:tc>
        <w:tc>
          <w:tcPr>
            <w:tcW w:type="dxa" w:w="34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首期格式和交付范围仍是资格目标。</w:t>
            </w:r>
          </w:p>
        </w:tc>
        <w:tc>
          <w:tcPr>
            <w:tcW w:type="dxa" w:w="52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逐格式列出实际 store／preview／extract／edit／export／roundtrip；给安装包、样例、已知问题和恢复路径。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P1 12</w:t>
            </w:r>
          </w:p>
        </w:tc>
        <w:tc>
          <w:tcPr>
            <w:tcW w:type="dxa" w:w="34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权限和遗忘原则存在，操作语义未完全明确。</w:t>
            </w:r>
          </w:p>
        </w:tc>
        <w:tc>
          <w:tcPr>
            <w:tcW w:type="dxa" w:w="52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区分隐藏角色、删除聊天、删除长期记忆、撤销上下文与备份保留；显示真实处理目的地和可恢复范围。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P1 13</w:t>
            </w:r>
          </w:p>
        </w:tc>
        <w:tc>
          <w:tcPr>
            <w:tcW w:type="dxa" w:w="34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开源方案已评估，整合版本和资源清单待做。</w:t>
            </w:r>
          </w:p>
        </w:tc>
        <w:tc>
          <w:tcPr>
            <w:tcW w:type="dxa" w:w="52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固定实际采用包与适配边界，分别记录代码、模型、人物和声音许可；不要把示例资源整体当可分发资产。</w:t>
            </w:r>
          </w:p>
        </w:tc>
      </w:tr>
    </w:tbl>
    <w:p>
      <w:pPr>
        <w:spacing w:after="40"/>
      </w:pPr>
    </w:p>
    <w:p>
      <w:r>
        <w:t>这些问题不要求删除未来能力。它们要求把默认体验、真实资格和后续目标明确地呈现在同一体系中。状态主灯保留用户要求的红、绿与文字；父级汇总部分就绪，未来分支按需展开，避免首页形成大量同时亮起的红色入口。[S1 第 13 至 14 页]</w:t>
      </w:r>
    </w:p>
    <w:p>
      <w:pPr>
        <w:pStyle w:val="Heading1"/>
      </w:pPr>
      <w:r>
        <w:t>6 必须走通的五个用户旅程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4536"/>
        <w:gridCol w:w="3744"/>
      </w:tblGrid>
      <w:tr>
        <w:trPr>
          <w:tblHeader w:val="true"/>
          <w:cantSplit/>
        </w:trPr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/>
                <w:color w:val="FFFFFF"/>
                <w:sz w:val="20"/>
              </w:rPr>
              <w:t>旅程</w:t>
            </w:r>
          </w:p>
        </w:tc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连续操作</w:t>
            </w:r>
          </w:p>
        </w:tc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关键验收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首次进入</w:t>
            </w:r>
          </w:p>
        </w:tc>
        <w:tc>
          <w:tcPr>
            <w:tcW w:type="dxa" w:w="45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打开 → 选择或沿用资料位置 → 导入或新建 → 阅读。</w:t>
            </w:r>
          </w:p>
        </w:tc>
        <w:tc>
          <w:tcPr>
            <w:tcW w:type="dxa" w:w="37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没有模型及其他两项目也可进入；空库无虚构数据，角色可收起。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真实学习闭环</w:t>
            </w:r>
          </w:p>
        </w:tc>
        <w:tc>
          <w:tcPr>
            <w:tcW w:type="dxa" w:w="45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导入 → 阅读选段 → 提问或提示 → 复述 → 保存反馈 → 重开与导出。</w:t>
            </w:r>
          </w:p>
        </w:tc>
        <w:tc>
          <w:tcPr>
            <w:tcW w:type="dxa" w:w="37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每步回到资料与版本；模型缺失仍能阅读、记笔记和手工记录练习。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模型绑定</w:t>
            </w:r>
          </w:p>
        </w:tc>
        <w:tc>
          <w:tcPr>
            <w:tcW w:type="dxa" w:w="45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新增连接 → 检查 → 列表或指定 ID → 用途 → 试运行 → 保存与重启。</w:t>
            </w:r>
          </w:p>
        </w:tc>
        <w:tc>
          <w:tcPr>
            <w:tcW w:type="dxa" w:w="37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全局默认、工作区与本次覆盖分清；失败保留输入，不静默转云。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小栖持续陪学</w:t>
            </w:r>
          </w:p>
        </w:tc>
        <w:tc>
          <w:tcPr>
            <w:tcW w:type="dxa" w:w="45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首页对话 → 进入资料 → 改呈现 → 复述 → 停止 → 查看或纠正记忆。</w:t>
            </w:r>
          </w:p>
        </w:tc>
        <w:tc>
          <w:tcPr>
            <w:tcW w:type="dxa" w:w="37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相同会话与上下文提示；取消清理晚到流，人物隐藏不删记录。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布局与互联</w:t>
            </w:r>
          </w:p>
        </w:tc>
        <w:tc>
          <w:tcPr>
            <w:tcW w:type="dxa" w:w="45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并排资料 → 保存布局 → 重启 → 打开远端关联 → 返回本地。</w:t>
            </w:r>
          </w:p>
        </w:tc>
        <w:tc>
          <w:tcPr>
            <w:tcW w:type="dxa" w:w="37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返回原对象，布局可恢复；远端不可用不阻断本地，写动作不从只读 Observer 发起。</w:t>
            </w:r>
          </w:p>
        </w:tc>
      </w:tr>
    </w:tbl>
    <w:p>
      <w:pPr>
        <w:spacing w:after="40"/>
      </w:pPr>
    </w:p>
    <w:p>
      <w:r>
        <w:t>每条旅程都要分别检查首次空状态、正常、部分成功、错误、取消、离线、未配置、未授权和恢复。菜单测试证明能到达，任务测试证明能完成，两种证据分别记录。真实用户可用性尚待安装版观察，不能由本报告代替。</w:t>
      </w:r>
    </w:p>
    <w:p>
      <w:pPr>
        <w:pStyle w:val="Heading1"/>
      </w:pPr>
      <w:r>
        <w:t>7 首期基础连接与后续重载的分工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096"/>
        <w:gridCol w:w="2952"/>
        <w:gridCol w:w="2448"/>
      </w:tblGrid>
      <w:tr>
        <w:trPr>
          <w:tblHeader w:val="true"/>
          <w:cantSplit/>
        </w:trPr>
        <w:tc>
          <w:tcPr>
            <w:tcW w:type="dxa" w:w="249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/>
                <w:color w:val="FFFFFF"/>
                <w:sz w:val="20"/>
              </w:rPr>
              <w:t>能力</w:t>
            </w:r>
          </w:p>
        </w:tc>
        <w:tc>
          <w:tcPr>
            <w:tcW w:type="dxa" w:w="249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本轮前端要求</w:t>
            </w:r>
          </w:p>
        </w:tc>
        <w:tc>
          <w:tcPr>
            <w:tcW w:type="dxa" w:w="249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首期基础后端</w:t>
            </w:r>
          </w:p>
        </w:tc>
        <w:tc>
          <w:tcPr>
            <w:tcW w:type="dxa" w:w="249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后续增强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导航与全目录</w:t>
            </w:r>
          </w:p>
        </w:tc>
        <w:tc>
          <w:tcPr>
            <w:tcW w:type="dxa" w:w="30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入口、对象选择、搜索、详情、状态与来源。</w:t>
            </w:r>
          </w:p>
        </w:tc>
        <w:tc>
          <w:tcPr>
            <w:tcW w:type="dxa" w:w="29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只读目录和真实状态。</w:t>
            </w:r>
          </w:p>
        </w:tc>
        <w:tc>
          <w:tcPr>
            <w:tcW w:type="dxa" w:w="24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动态 Marketplace 与通用执行。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资料与学习</w:t>
            </w:r>
          </w:p>
        </w:tc>
        <w:tc>
          <w:tcPr>
            <w:tcW w:type="dxa" w:w="30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导入、阅读、编辑、练习、来源与导出。</w:t>
            </w:r>
          </w:p>
        </w:tc>
        <w:tc>
          <w:tcPr>
            <w:tcW w:type="dxa" w:w="29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真实保存、版本、重开和已有转换链。</w:t>
            </w:r>
          </w:p>
        </w:tc>
        <w:tc>
          <w:tcPr>
            <w:tcW w:type="dxa" w:w="24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复杂 OCR、批量转写、高级诊断。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模型中心</w:t>
            </w:r>
          </w:p>
        </w:tc>
        <w:tc>
          <w:tcPr>
            <w:tcW w:type="dxa" w:w="30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连接表单、用途、试运行和诊断。</w:t>
            </w:r>
          </w:p>
        </w:tc>
        <w:tc>
          <w:tcPr>
            <w:tcW w:type="dxa" w:w="29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脱敏配置、凭据、模型发现、绑定与真实调用。</w:t>
            </w:r>
          </w:p>
        </w:tc>
        <w:tc>
          <w:tcPr>
            <w:tcW w:type="dxa" w:w="24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自动部署、大模型优化和复杂路由。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小栖</w:t>
            </w:r>
          </w:p>
        </w:tc>
        <w:tc>
          <w:tcPr>
            <w:tcW w:type="dxa" w:w="30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共享文本会话、呈现、风格、上下文与记忆控制。</w:t>
            </w:r>
          </w:p>
        </w:tc>
        <w:tc>
          <w:tcPr>
            <w:tcW w:type="dxa" w:w="29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正式会话、有限授权、保存、取消与恢复。</w:t>
            </w:r>
          </w:p>
        </w:tc>
        <w:tc>
          <w:tcPr>
            <w:tcW w:type="dxa" w:w="24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语音、精确口型、写实视频与大型 3D。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自由布局</w:t>
            </w:r>
          </w:p>
        </w:tc>
        <w:tc>
          <w:tcPr>
            <w:tcW w:type="dxa" w:w="30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停靠、分栏、浮动、预设、锁定、恢复。</w:t>
            </w:r>
          </w:p>
        </w:tc>
        <w:tc>
          <w:tcPr>
            <w:tcW w:type="dxa" w:w="29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独立偏好保存与 CAS。</w:t>
            </w:r>
          </w:p>
        </w:tc>
        <w:tc>
          <w:tcPr>
            <w:tcW w:type="dxa" w:w="24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原生多窗、跨窗口渲染与桌宠。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资源配置部署</w:t>
            </w:r>
          </w:p>
        </w:tc>
        <w:tc>
          <w:tcPr>
            <w:tcW w:type="dxa" w:w="30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依赖、计划、进度、失败和回退视图。</w:t>
            </w:r>
          </w:p>
        </w:tc>
        <w:tc>
          <w:tcPr>
            <w:tcW w:type="dxa" w:w="29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已有模块状态；实际支持的配置。</w:t>
            </w:r>
          </w:p>
        </w:tc>
        <w:tc>
          <w:tcPr>
            <w:tcW w:type="dxa" w:w="24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大型引擎自动安装与资源调度。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项目互联</w:t>
            </w:r>
          </w:p>
        </w:tc>
        <w:tc>
          <w:tcPr>
            <w:tcW w:type="dxa" w:w="30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连接、关联、交接预览、产物与回执。</w:t>
            </w:r>
          </w:p>
        </w:tc>
        <w:tc>
          <w:tcPr>
            <w:tcW w:type="dxa" w:w="29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初期可只读；接口未实现时明确状态。</w:t>
            </w:r>
          </w:p>
        </w:tc>
        <w:tc>
          <w:tcPr>
            <w:tcW w:type="dxa" w:w="24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跨项目授权写入、生产任务联邦。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视觉与未来能力</w:t>
            </w:r>
          </w:p>
        </w:tc>
        <w:tc>
          <w:tcPr>
            <w:tcW w:type="dxa" w:w="30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真实资源、统一组件；参数和结果框架。</w:t>
            </w:r>
          </w:p>
        </w:tc>
        <w:tc>
          <w:tcPr>
            <w:tcW w:type="dxa" w:w="29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必要资源加载与合同读取。</w:t>
            </w:r>
          </w:p>
        </w:tc>
        <w:tc>
          <w:tcPr>
            <w:tcW w:type="dxa" w:w="24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仿真、空间学习、XR 与 AR 引擎。</w:t>
            </w:r>
          </w:p>
        </w:tc>
      </w:tr>
    </w:tbl>
    <w:p>
      <w:pPr>
        <w:spacing w:after="40"/>
      </w:pPr>
    </w:p>
    <w:p>
      <w:r>
        <w:t>完整前端应能解释用户可以做什么、当前为什么不能做、配置如何保存、结果在哪里以及失败怎么恢复。重载后端缺失时可以禁止执行；已有可用的核心读写不能被占位结果替代。角色层不直接维护另一套模型中心、长期知识主库或 SQLite 写入链。</w:t>
      </w:r>
    </w:p>
    <w:p>
      <w:pPr>
        <w:pStyle w:val="Heading1"/>
      </w:pPr>
      <w:r>
        <w:t>8 视觉与性能的定稿要求</w:t>
      </w:r>
    </w:p>
    <w:p>
      <w:r>
        <w:t>视觉应分成有沉浸感的首页和清晰的工作状态，两者共享组件。首页可展示中央人物及少量入口；阅读时内容占主要面积，背景降亮度，角色缩到辅助区。真正需要大面积玻璃的壳层保持少量，正文、表格和编辑器使用稳定暗色表面，光边主要用于选中与层次。</w:t>
      </w:r>
    </w:p>
    <w:p>
      <w:pPr>
        <w:pStyle w:val="ListBullet"/>
        <w:spacing w:after="100"/>
      </w:pPr>
      <w:r>
        <w:t>设计变量：颜色、文字、间距、圆角、边界、表面透明度、阴影、光边、层级、焦点、动效时间与减少动态规则；默认值与三档降级一并登记。</w:t>
      </w:r>
    </w:p>
    <w:p>
      <w:pPr>
        <w:pStyle w:val="ListBullet"/>
        <w:spacing w:after="100"/>
      </w:pPr>
      <w:r>
        <w:t>组件状态：普通、悬停、焦点、选中、禁用、错误、未配置、未来预留；红绿灯必须配可读文字，不能只依赖色相。[S11]</w:t>
      </w:r>
    </w:p>
    <w:p>
      <w:pPr>
        <w:pStyle w:val="ListBullet"/>
        <w:spacing w:after="100"/>
      </w:pPr>
      <w:r>
        <w:t>布局行为：约定最小阅读面积、侧栏开合、对话高度、拖动区域与锁定方式；至少验证 1366×768、1920×1080 及高 DPI 缩放场景，范围作为建议测试矩阵。</w:t>
      </w:r>
    </w:p>
    <w:p>
      <w:pPr>
        <w:pStyle w:val="ListBullet"/>
        <w:spacing w:after="100"/>
      </w:pPr>
      <w:r>
        <w:t>人物资源：选择首期唯一默认外观和轻量渲染器，预设动作与实时口型分别标状态；人物失败不阻断正文或模型文本。</w:t>
      </w:r>
    </w:p>
    <w:p>
      <w:pPr>
        <w:pStyle w:val="ListBullet"/>
        <w:spacing w:after="100"/>
      </w:pPr>
      <w:r>
        <w:t>性能测量：记录 Tauri／WebView／Core／worker／本地模型的实际资源归属，统计首次可交互、输入与拖动延迟、空闲 CPU、内存峰值、GPU 和隐藏后的回落。</w:t>
      </w:r>
    </w:p>
    <w:p>
      <w:r>
        <w:t>Dockview 提供 React 停靠布局能力，但不替应用保管业务会话或停止隐藏面板的订阅、动画和视频。官方文档明确说明 always 模式中的后台工作仍会继续；需用可见性事件显式暂停。应用内浮动与 Tauri 原生独立窗口分别验证，不把浏览器弹窗等同于原生桌面能力。[S10 S12]</w:t>
      </w:r>
    </w:p>
    <w:p>
      <w:r>
        <w:t>当前没有目标设备实测值，因此本报告不填入看似确定的内存、帧率或延迟保证。性能负责人应先采样主线基线，再为轻量、均衡和增强模式制定可测门槛；未达标时自动或手动降级，保持能力入口与数据不变。</w:t>
      </w:r>
    </w:p>
    <w:p>
      <w:pPr>
        <w:pStyle w:val="Heading1"/>
      </w:pPr>
      <w:r>
        <w:t>9 测试与宣传的通过条件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5544"/>
        <w:gridCol w:w="2952"/>
      </w:tblGrid>
      <w:tr>
        <w:trPr>
          <w:tblHeader w:val="true"/>
          <w:cantSplit/>
        </w:trPr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/>
                <w:color w:val="FFFFFF"/>
                <w:sz w:val="20"/>
              </w:rPr>
              <w:t>门槛</w:t>
            </w:r>
          </w:p>
        </w:tc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通过所需结果</w:t>
            </w:r>
          </w:p>
        </w:tc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不能作为替代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结构</w:t>
            </w:r>
          </w:p>
        </w:tc>
        <w:tc>
          <w:tcPr>
            <w:tcW w:type="dxa" w:w="55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22 页与全部细则可达；别名解析、单实例与对象缺失状态正确。</w:t>
            </w:r>
          </w:p>
        </w:tc>
        <w:tc>
          <w:tcPr>
            <w:tcW w:type="dxa" w:w="29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页数、菜单数或空壳截图。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视觉与交互</w:t>
            </w:r>
          </w:p>
        </w:tc>
        <w:tc>
          <w:tcPr>
            <w:tcW w:type="dxa" w:w="55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关键界面同一设计系统；键盘、焦点、长文、缩放与减少动态可用。</w:t>
            </w:r>
          </w:p>
        </w:tc>
        <w:tc>
          <w:tcPr>
            <w:tcW w:type="dxa" w:w="29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效果图或仅尺寸检测。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真实闭环</w:t>
            </w:r>
          </w:p>
        </w:tc>
        <w:tc>
          <w:tcPr>
            <w:tcW w:type="dxa" w:w="55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真实样例导入、编辑、保存、重启与导出，资格按格式和操作记录。</w:t>
            </w:r>
          </w:p>
        </w:tc>
        <w:tc>
          <w:tcPr>
            <w:tcW w:type="dxa" w:w="29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上传成功或媒体头信息。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模型与小栖</w:t>
            </w:r>
          </w:p>
        </w:tc>
        <w:tc>
          <w:tcPr>
            <w:tcW w:type="dxa" w:w="55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真实调用、来源、用途绑定、会话连续、取消和记忆控制。</w:t>
            </w:r>
          </w:p>
        </w:tc>
        <w:tc>
          <w:tcPr>
            <w:tcW w:type="dxa" w:w="29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脚本回复、合成流或头像会动。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恢复与权限</w:t>
            </w:r>
          </w:p>
        </w:tc>
        <w:tc>
          <w:tcPr>
            <w:tcW w:type="dxa" w:w="55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关闭、崩溃、冲突、撤销、过期和未知结果可恢复，无重复写入。</w:t>
            </w:r>
          </w:p>
        </w:tc>
        <w:tc>
          <w:tcPr>
            <w:tcW w:type="dxa" w:w="29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页面内缓存或统一绿灯。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安装与性能</w:t>
            </w:r>
          </w:p>
        </w:tc>
        <w:tc>
          <w:tcPr>
            <w:tcW w:type="dxa" w:w="55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目标 Windows 安装、启动、更新、离线与本地模型竞争实测。</w:t>
            </w:r>
          </w:p>
        </w:tc>
        <w:tc>
          <w:tcPr>
            <w:tcW w:type="dxa" w:w="29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浏览器预览与估算。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互联与增强</w:t>
            </w:r>
          </w:p>
        </w:tc>
        <w:tc>
          <w:tcPr>
            <w:tcW w:type="dxa" w:w="55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握手、版本、只读投影、授权写入和真实回执按项验证。</w:t>
            </w:r>
          </w:p>
        </w:tc>
        <w:tc>
          <w:tcPr>
            <w:tcW w:type="dxa" w:w="295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关联按钮或 compiled 候选。</w:t>
            </w:r>
          </w:p>
        </w:tc>
      </w:tr>
    </w:tbl>
    <w:p>
      <w:pPr>
        <w:spacing w:after="40"/>
      </w:pPr>
    </w:p>
    <w:p>
      <w:r>
        <w:t>宣传可展示已确认的风格与长期入口，并清楚标明概念或未接通状态。宣称具体能力时使用实际构建版本的运行证据。招募本地测试者需给安装包、说明、支持范围、资料与配置位置、恢复和反馈路径；测试者无需先安装 WORKLAB 或 DESIGNLAB。</w:t>
      </w:r>
    </w:p>
    <w:p>
      <w:pPr>
        <w:pStyle w:val="Heading1"/>
      </w:pPr>
      <w:r>
        <w:t>10 实施顺序与应保留的后续范围</w:t>
      </w:r>
    </w:p>
    <w:p>
      <w:r>
        <w:t>先完成六项 P0 的可执行规格和最小接入合同，再实现共享工作区与注册表。前端与小栖可以依共同合同推进；第一次联合验收至少走通多格式保存重开、模型连接、材料学习与同一小栖会话。随后补齐 P1 并进行安装版个人测试。首期无需等待所有重载能力。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4824"/>
        <w:gridCol w:w="3528"/>
      </w:tblGrid>
      <w:tr>
        <w:trPr>
          <w:tblHeader w:val="true"/>
          <w:cantSplit/>
        </w:trPr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明确产物</w:t>
            </w:r>
          </w:p>
        </w:tc>
        <w:tc>
          <w:tcPr>
            <w:tcW w:type="dxa" w:w="3331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24394D"/>
          </w:tcPr>
          <w:p>
            <w:pPr>
              <w:keepNext w:val="0"/>
              <w:spacing w:after="40" w:line="264" w:lineRule="auto"/>
            </w:pPr>
            <w:r>
              <w:rPr>
                <w:b/>
                <w:color w:val="FFFFFF"/>
                <w:sz w:val="20"/>
              </w:rPr>
              <w:t>判定方式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设计定稿</w:t>
            </w:r>
          </w:p>
        </w:tc>
        <w:tc>
          <w:tcPr>
            <w:tcW w:type="dxa" w:w="48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关键界面、逐操作状态、正式字段和分期矩阵。</w:t>
            </w:r>
          </w:p>
        </w:tc>
        <w:tc>
          <w:tcPr>
            <w:tcW w:type="dxa" w:w="35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实现者可据此编码，不猜核心行为。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基础集成</w:t>
            </w:r>
          </w:p>
        </w:tc>
        <w:tc>
          <w:tcPr>
            <w:tcW w:type="dxa" w:w="48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真实配置、会话、布局、目录、资料和状态连接。</w:t>
            </w:r>
          </w:p>
        </w:tc>
        <w:tc>
          <w:tcPr>
            <w:tcW w:type="dxa" w:w="35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服务读写及重启、取消与权限验证。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前端完整交付</w:t>
            </w:r>
          </w:p>
        </w:tc>
        <w:tc>
          <w:tcPr>
            <w:tcW w:type="dxa" w:w="48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22 页及未来交互外壳、组件与资源、工作区恢复。</w:t>
            </w:r>
          </w:p>
        </w:tc>
        <w:tc>
          <w:tcPr>
            <w:tcW w:type="dxa" w:w="35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覆盖与五条用户旅程测试。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个人测试</w:t>
            </w:r>
          </w:p>
        </w:tc>
        <w:tc>
          <w:tcPr>
            <w:tcW w:type="dxa" w:w="48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安装包、样例、性能矩阵与恢复说明。</w:t>
            </w:r>
          </w:p>
        </w:tc>
        <w:tc>
          <w:tcPr>
            <w:tcW w:type="dxa" w:w="35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3F5F7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多位测试者在各自本机记录结果。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  <w:jc w:val="center"/>
            </w:pPr>
            <w:r>
              <w:rPr>
                <w:b w:val="0"/>
                <w:color w:val="000000"/>
                <w:sz w:val="20"/>
              </w:rPr>
              <w:t>增强与互联</w:t>
            </w:r>
          </w:p>
        </w:tc>
        <w:tc>
          <w:tcPr>
            <w:tcW w:type="dxa" w:w="48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语音口型、原生浮窗、跨项目写入与重载引擎。</w:t>
            </w:r>
          </w:p>
        </w:tc>
        <w:tc>
          <w:tcPr>
            <w:tcW w:type="dxa" w:w="352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keepNext w:val="0"/>
              <w:spacing w:after="40" w:line="264" w:lineRule="auto"/>
            </w:pPr>
            <w:r>
              <w:rPr>
                <w:b w:val="0"/>
                <w:color w:val="000000"/>
                <w:sz w:val="20"/>
              </w:rPr>
              <w:t>独立合同与逐项资格，不批量翻绿。</w:t>
            </w:r>
          </w:p>
        </w:tc>
      </w:tr>
    </w:tbl>
    <w:p>
      <w:pPr>
        <w:spacing w:after="40"/>
      </w:pPr>
    </w:p>
    <w:p>
      <w:r>
        <w:t>P2 保留三组后续范围：声音与精确口型、写实人物和空间渲染；原生浮窗与跨显示器生命周期；ArcheAxis 的仿真、XR／AR、同步与其他 F／I 长期目标。它们已有入口或索引，继续明确当前状态与依赖。WORKLAB 的现行桌面边界和 DESIGNLAB 的宿主原生编辑边界分别遵守，不因统一入口推断三个产品必须实现同一运行功能。</w:t>
      </w:r>
    </w:p>
    <w:p>
      <w:r>
        <w:t>本轮审计识别了 6 项 P0 与 7 项 P1，需要进入下一次总方案修订；三组 P2 是保留的增强范围。当前可以确认“主要需求已归档，技术方向可行”，不能确认“所有设计细节已定稿”或“现有架构无需新增合同即可全部实现”。这些结论应成为后续交接与宣传的明确边界。</w:t>
      </w:r>
    </w:p>
    <w:p>
      <w:pPr>
        <w:pStyle w:val="Heading1"/>
      </w:pPr>
      <w:r>
        <w:t>11 可复核来源</w:t>
      </w:r>
    </w:p>
    <w:p>
      <w:r>
        <w:t>S1 为 AAOS-UI-v1-Final-Spec.docx 最新版本 1，已读全 33 页；S2 为 ArcheAxis-UI-Navigation-v1.json，同版设计注册表。R1、R2、R3 对应 073413、073420、073424 三张材质参考；R4 为 080544 布局参考，与 R3 相同构图；R5 为 092127 游戏式人物与周边入口；R6 为 094614 真人与安静对话参考。六张图均已查看像素，不据截图推断其实际渲染技术。</w:t>
      </w:r>
    </w:p>
    <w:p>
      <w:r>
        <w:t xml:space="preserve">S3 主线模型配置缺口  </w:t>
      </w:r>
      <w:hyperlink r:id="rId11">
        <w:r>
          <w:rPr>
            <w:color w:val="245F92"/>
          </w:rPr>
          <w:t>查看来源</w:t>
        </w:r>
      </w:hyperlink>
    </w:p>
    <w:p>
      <w:r>
        <w:t xml:space="preserve">S4 主线知识约束回答及模型清单  </w:t>
      </w:r>
      <w:hyperlink r:id="rId12">
        <w:r>
          <w:rPr>
            <w:color w:val="245F92"/>
          </w:rPr>
          <w:t>查看来源</w:t>
        </w:r>
      </w:hyperlink>
    </w:p>
    <w:p>
      <w:r>
        <w:t xml:space="preserve">S5 主线 WorkingState 与 Consumer  </w:t>
      </w:r>
      <w:hyperlink r:id="rId13">
        <w:r>
          <w:rPr>
            <w:color w:val="245F92"/>
          </w:rPr>
          <w:t>查看来源</w:t>
        </w:r>
      </w:hyperlink>
    </w:p>
    <w:p>
      <w:r>
        <w:t xml:space="preserve">S6 ASTRYN 集成与运行状态  </w:t>
      </w:r>
      <w:hyperlink r:id="rId14">
        <w:r>
          <w:rPr>
            <w:color w:val="245F92"/>
          </w:rPr>
          <w:t>查看来源</w:t>
        </w:r>
      </w:hyperlink>
    </w:p>
    <w:p>
      <w:r>
        <w:t xml:space="preserve">S7 ASTRYN 组件内控制器生命周期  </w:t>
      </w:r>
      <w:hyperlink r:id="rId15">
        <w:r>
          <w:rPr>
            <w:color w:val="245F92"/>
          </w:rPr>
          <w:t>查看来源</w:t>
        </w:r>
      </w:hyperlink>
    </w:p>
    <w:p>
      <w:r>
        <w:t xml:space="preserve">S8 WORKLAB 定位与 Observer 边界  </w:t>
      </w:r>
      <w:hyperlink r:id="rId16">
        <w:r>
          <w:rPr>
            <w:color w:val="245F92"/>
          </w:rPr>
          <w:t>查看来源</w:t>
        </w:r>
      </w:hyperlink>
    </w:p>
    <w:p>
      <w:r>
        <w:t xml:space="preserve">S9 DESIGNLAB 定位与原生宿主  </w:t>
      </w:r>
      <w:hyperlink r:id="rId17">
        <w:r>
          <w:rPr>
            <w:color w:val="245F92"/>
          </w:rPr>
          <w:t>查看来源</w:t>
        </w:r>
      </w:hyperlink>
    </w:p>
    <w:p>
      <w:r>
        <w:t xml:space="preserve">S10 Dockview 隐藏与渲染生命周期  </w:t>
      </w:r>
      <w:hyperlink r:id="rId18">
        <w:r>
          <w:rPr>
            <w:color w:val="245F92"/>
          </w:rPr>
          <w:t>查看来源</w:t>
        </w:r>
      </w:hyperlink>
    </w:p>
    <w:p>
      <w:r>
        <w:t xml:space="preserve">S11 W3C 状态不能只依赖颜色  </w:t>
      </w:r>
      <w:hyperlink r:id="rId19">
        <w:r>
          <w:rPr>
            <w:color w:val="245F92"/>
          </w:rPr>
          <w:t>查看来源</w:t>
        </w:r>
      </w:hyperlink>
    </w:p>
    <w:p>
      <w:r>
        <w:t xml:space="preserve">S12 Dockview 开源接口与项目  </w:t>
      </w:r>
      <w:hyperlink r:id="rId20">
        <w:r>
          <w:rPr>
            <w:color w:val="245F92"/>
          </w:rPr>
          <w:t>查看来源</w:t>
        </w:r>
      </w:hyperlink>
    </w:p>
    <w:p>
      <w:r>
        <w:t xml:space="preserve">S13 正式有限资产授权枚举  </w:t>
      </w:r>
      <w:hyperlink r:id="rId21">
        <w:r>
          <w:rPr>
            <w:color w:val="245F92"/>
          </w:rPr>
          <w:t>查看来源</w:t>
        </w:r>
      </w:hyperlink>
    </w:p>
    <w:p>
      <w:r>
        <w:t>上述链接用于复核事实与采用边界。页面完成、上游能力与源码存在分别支持各自范围；报告中的用户体验、分期与修订要求为审计判断和建议，仍需在正式实施与真实测试中验证。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65" w:left="1123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审计日期 2026 10 13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sz w:val="18"/>
      </w:rPr>
      <w:t>ArcheAxis 星环知识系统前端与小栖融合审计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83" w:lineRule="auto"/>
    </w:pPr>
    <w:rPr>
      <w:rFonts w:ascii="Noto Sans CJK SC" w:hAnsi="Noto Sans CJK SC" w:eastAsia="Noto Sans CJK SC" w:cs="Noto Sans CJK SC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60" w:line="283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60" w:line="283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60" w:line="283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i w:val="0"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83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 w:line="283" w:lineRule="auto"/>
    </w:pPr>
    <w:rPr>
      <w:rFonts w:asciiTheme="majorHAnsi" w:eastAsiaTheme="majorEastAsia" w:hAnsiTheme="majorHAnsi" w:cstheme="majorBidi" w:ascii="Noto Sans CJK SC" w:hAnsi="Noto Sans CJK SC" w:eastAsia="Noto Sans CJK SC" w:cs="Noto Sans CJK SC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3" w:lineRule="auto" w:after="160"/>
    </w:pPr>
    <w:rPr>
      <w:rFonts w:ascii="Noto Sans CJK SC" w:hAnsi="Noto Sans CJK SC" w:eastAsia="Noto Sans CJK SC" w:cs="Noto Sans CJK SC"/>
      <w:b w:val="0"/>
      <w:bCs/>
      <w:i w:val="0"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DTALEX66/ArcheAxis-Knowledge-OS/blob/be79ff90e7394247171afc311b002eb96ff0581e/frontend/src/presentation/spaceSections.ts" TargetMode="External"/><Relationship Id="rId12" Type="http://schemas.openxmlformats.org/officeDocument/2006/relationships/hyperlink" Target="https://github.com/DTALEX66/ArcheAxis-Knowledge-OS/blob/be79ff90e7394247171afc311b002eb96ff0581e/frontend/src/components/MachineAnswerPanel.tsx" TargetMode="External"/><Relationship Id="rId13" Type="http://schemas.openxmlformats.org/officeDocument/2006/relationships/hyperlink" Target="https://github.com/DTALEX66/ArcheAxis-Knowledge-OS/blob/be79ff90e7394247171afc311b002eb96ff0581e/packages/contracts/v2/ui-working-state.schema.json" TargetMode="External"/><Relationship Id="rId14" Type="http://schemas.openxmlformats.org/officeDocument/2006/relationships/hyperlink" Target="https://github.com/DTALEX66/ASTRYN/blob/main/README.md" TargetMode="External"/><Relationship Id="rId15" Type="http://schemas.openxmlformats.org/officeDocument/2006/relationships/hyperlink" Target="https://github.com/DTALEX66/ASTRYN/blob/main/src/presentation/companion-shell.tsx" TargetMode="External"/><Relationship Id="rId16" Type="http://schemas.openxmlformats.org/officeDocument/2006/relationships/hyperlink" Target="https://github.com/DTALEX66/WORK-LAB/blob/main/README.md" TargetMode="External"/><Relationship Id="rId17" Type="http://schemas.openxmlformats.org/officeDocument/2006/relationships/hyperlink" Target="https://github.com/DTALEX66/DESIGN-LAB/blob/main/README.md" TargetMode="External"/><Relationship Id="rId18" Type="http://schemas.openxmlformats.org/officeDocument/2006/relationships/hyperlink" Target="https://dockview.dev/docs/core/panels/rendering/" TargetMode="External"/><Relationship Id="rId19" Type="http://schemas.openxmlformats.org/officeDocument/2006/relationships/hyperlink" Target="https://www.w3.org/WAI/WCAG22/Understanding/use-of-color.html" TargetMode="External"/><Relationship Id="rId20" Type="http://schemas.openxmlformats.org/officeDocument/2006/relationships/hyperlink" Target="https://github.com/dockview/dockview" TargetMode="External"/><Relationship Id="rId21" Type="http://schemas.openxmlformats.org/officeDocument/2006/relationships/hyperlink" Target="https://github.com/DTALEX66/ArcheAxis-Knowledge-OS/blob/be79ff90e7394247171afc311b002eb96ff0581e/crates/archeaxis-domain/src/asset_context_grant.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星环知识系统前端与小栖融合审计</dc:title>
  <dc:subject>需求覆盖与多角色审计及首期修订要求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