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星环知识系统前端 UI 分支任务包</w:t>
      </w:r>
    </w:p>
    <w:p>
      <w:pPr>
        <w:pStyle w:val="Subtitle"/>
      </w:pPr>
      <w:r>
        <w:t>执行范围 产物 接口 依赖与验收</w:t>
      </w:r>
    </w:p>
    <w:p>
      <w:r>
        <w:t>完整前端与可复用视觉资产，支撑多格式真实学习闭环和个人本地测试。</w:t>
      </w:r>
    </w:p>
    <w:p>
      <w:r>
        <w:t>本文件是可读说明，详细执行内容在同名 ZIP 的 TASKPACK.md 和 TASKS.json；每项任务都有依赖、产物和通过条件。产品任务状态为 PLANNED。已下载组件、已纳入资产和合同提案分别记录，不能据此宣称生产界面或真实模型已接通。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tblHeader w:val="true"/>
          <w:cantSplit/>
        </w:trPr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本包约定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计划 ID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AX-UI-20261013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执行仓库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DTALEX66/ArcheAxis-Knowledge-OS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建议分支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feat/archeaxis-ui-v1；本轮未创建产品分支。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任务数量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26 项；按依赖拓扑执行，不按编号硬跑。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短期目标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多格式、最快真实学习闭环、完整前端框架与基础文本小栖。</w:t>
            </w:r>
          </w:p>
        </w:tc>
      </w:tr>
    </w:tbl>
    <w:p>
      <w:pPr>
        <w:spacing w:after="40"/>
      </w:pPr>
    </w:p>
    <w:p>
      <w:pPr>
        <w:pStyle w:val="Heading1"/>
      </w:pPr>
      <w:r>
        <w:t>1 产品与执行边界</w:t>
      </w:r>
    </w:p>
    <w:p>
      <w:r>
        <w:t>正式品牌为 ArcheAxis／星环知识系统，AAOS 仅用于内部代号与技术身份。使用 Tauri 2、React 18、TypeScript、Vite、Rust Core 单写者和隔离 workers。每位测试者独立在本机安装与使用，不以多租户服务器或另外两个产品启动为前置。</w:t>
      </w:r>
    </w:p>
    <w:p>
      <w:r>
        <w:t>ASTRYN 是角色交互子系统：只拥有人格、陪伴互动和人物表现；主项目持有模型、长期记忆、上下文、任务、权限与正式写入。WORKLAB 与 DESIGNLAB 独立数据和凭据，Observer 只读，专业编辑回设计原生宿主。</w:t>
      </w:r>
    </w:p>
    <w:p>
      <w:r>
        <w:t>实施前读取真实 AUTHORITY、AGENTS、current、现有执行账本、合同和 Git 状态，核对源快照与现行主线。保护 dirty 文件，用独立分支或 worktree；旧任务按继承表承接，当前明确用户要求优先。无关冻结重载不自动启动；Git 交付、发布安装和资料覆盖按当前会话与现行授权处理。</w:t>
      </w:r>
    </w:p>
    <w:p>
      <w:pPr>
        <w:pStyle w:val="Heading1"/>
      </w:pPr>
      <w:r>
        <w:t>2 包内产物与使用方法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rPr>
          <w:tblHeader w:val="true"/>
          <w:cantSplit/>
        </w:trPr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文件或目录</w:t>
            </w:r>
          </w:p>
        </w:tc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00_START_HERE.md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阅读顺序、仓库、分支和共同边界。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TASKPACK.md 与 TASKS.json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全部任务的执行内容、输出、验收、依赖和范围。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EXECUTOR_PROMPT.md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可直接交给实施 Agent 的开启提示词。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shared 合同与依赖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三包相同版本的逻辑接口提案、所有权与全局依赖。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ACCEPTANCE.md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五条用户旅程、状态、真实运行、安装和宣传门槛。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TASK-CROSSWALK.csv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新任务与现有 UF／CB 等任务的继承关系。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PROGRESS-TEMPLATE.json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证据状态模板；正式进度继续使用本仓唯一账本。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references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总方案、审计与主线来源；历史快照不是新授权。</w:t>
            </w:r>
          </w:p>
        </w:tc>
      </w:tr>
    </w:tbl>
    <w:p>
      <w:pPr>
        <w:spacing w:after="40"/>
      </w:pPr>
    </w:p>
    <w:p>
      <w:r>
        <w:t>前端包另含 22 页矩阵、158 个去别名功能区的规格起点、完整导航和 186 条原始能力映射。逐功能区字段仍需 FE01/BE01 核对并正式登记，不能将提案字段直接当运行请求。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968"/>
        <w:gridCol w:w="3312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资源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已纳入内容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实施责任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组件发布包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Dockview React／wrapper／core 8.5.1；Radix dialog 1.2.0、tabs 1.1.22 共 5 个官方归档。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FE04 依当前 lockfile 接入，保留实际传递依赖。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图标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24 个 Lucide 原始 SVG，完整 ISC 与 Feather 派生 MIT 声明。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FE04 统一尺寸、线宽和状态。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字体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与官方 blob 一致的 Noto Sans CJK SC Regular，OFL 1.1。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约 16.4 MB，默认系统字体，按需或合法子集。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材质与组件配方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materials.css、React wrappers、Dockview 接入配方、25 项组件目录及状态表。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FE02/FE04 定稿与实际接入；不是完整运行产品。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视觉参考与起点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5 个去重参考图、原创轻量轨道 SVG、9 个原始小栖状态 SVG。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参考图用于方向；新人物与写实场景另生产。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效果拆分任务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7 类关键界面的分层 brief 与生成提示、尺寸、透明背景、资源和截图规则。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FE03 升级与输出；本轮未新生成效果图。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离线材质展示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HTML 材质与图标展示、小栖状态画廊。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仅展示资产和样式，状态样本不是运行资格。</w:t>
            </w:r>
          </w:p>
        </w:tc>
      </w:tr>
    </w:tbl>
    <w:p>
      <w:pPr>
        <w:spacing w:after="40"/>
      </w:pPr>
    </w:p>
    <w:p>
      <w:r>
        <w:t>已核对归档包身份与 registry SRI；未独立验证发布签名，未在产品仓安装。本包不是完整离线 npm 缓存。Radix、Tiptap、PDF.js 和既有 Core 优先承接，缺口再补适配，不为了视觉引入另一套正式前端。</w:t>
      </w:r>
    </w:p>
    <w:p>
      <w:pPr>
        <w:pStyle w:val="Heading1"/>
      </w:pPr>
      <w:r>
        <w:t>3 视觉资产与界面生产</w:t>
      </w:r>
    </w:p>
    <w:p>
      <w:r>
        <w:t>默认使用深黑宇宙、冷白蓝反光、局部玻璃与稳定正文表面。首页中央展示小栖和少量真实开始入口，进入学习后内容成为主体，人物缩到辅助区；背景、边缘、按钮和文字保持同一设计变量。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rPr>
          <w:tblHeader w:val="true"/>
          <w:cantSplit/>
        </w:trPr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关键界面</w:t>
            </w:r>
          </w:p>
        </w:tc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必须呈现的重点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首页</w:t>
            </w:r>
          </w:p>
        </w:tc>
        <w:tc>
          <w:tcPr>
            <w:tcW w:type="dxa" w:w="83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正式品牌、工作区与模型、七领域入口、小栖、导入与新建；空库不造数据。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阅读</w:t>
            </w:r>
          </w:p>
        </w:tc>
        <w:tc>
          <w:tcPr>
            <w:tcW w:type="dxa" w:w="83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正文主导、选区与上下文、来源版本、紧凑陪学；可收起辅助区。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小栖陪学</w:t>
            </w:r>
          </w:p>
        </w:tc>
        <w:tc>
          <w:tcPr>
            <w:tcW w:type="dxa" w:w="83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同会话、材料范围、尝试提示反馈、记忆入口；声音未接状态。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模型中心</w:t>
            </w:r>
          </w:p>
        </w:tc>
        <w:tc>
          <w:tcPr>
            <w:tcW w:type="dxa" w:w="83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API／订阅客户端／本地模型／用途／诊断五区，真实目的地与配置状态。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全部能力</w:t>
            </w:r>
          </w:p>
        </w:tc>
        <w:tc>
          <w:tcPr>
            <w:tcW w:type="dxa" w:w="83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分类列表、单详情、状态文字、来源与未来索引；不叠加全能力窗口。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配置部署</w:t>
            </w:r>
          </w:p>
        </w:tc>
        <w:tc>
          <w:tcPr>
            <w:tcW w:type="dxa" w:w="83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依赖、字段、计划、结果与回退；未接后台执行禁用。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错误恢复</w:t>
            </w:r>
          </w:p>
        </w:tc>
        <w:tc>
          <w:tcPr>
            <w:tcW w:type="dxa" w:w="83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保留输入、具体原因、对象、可行下一步与未知结果查询。</w:t>
            </w:r>
          </w:p>
        </w:tc>
      </w:tr>
    </w:tbl>
    <w:p>
      <w:pPr>
        <w:spacing w:after="40"/>
      </w:pPr>
    </w:p>
    <w:p>
      <w:r>
        <w:t>FE03 将场景、行星星环、玻璃光边、人物 cutout、图标与 UI 代码分开。保存原始源、输出 hash、尺寸、透明背景、质量档位、权利状态与版本。正式文字和运行数值由代码渲染，概念效果与安装版截图分别记录。</w:t>
      </w:r>
    </w:p>
    <w:p>
      <w:r>
        <w:t>轻量模式不做实时模糊；均衡模式限制大面积玻璃与连续背景动效。原始小栖 SVG 是可用起点，人物外观升级由 GF03 统一维护。Noto 完整字体不成为首次打开前置，模型权重与大引擎不进入本包。</w:t>
      </w:r>
    </w:p>
    <w:p>
      <w:pPr>
        <w:pStyle w:val="Heading1"/>
      </w:pPr>
      <w:r>
        <w:t>4 接口与依赖顺序</w:t>
      </w:r>
    </w:p>
    <w:p>
      <w:r>
        <w:t>三包共同合同由 BE01 统一维护；接口变化先记录版本、兼容与消费者。shared 的全局依赖在三包字节一致。可以先推进不依赖外部接口的视觉、人物资产与规格，真正接入按依赖拓扑验收。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04"/>
      </w:tblGrid>
      <w:tr>
        <w:trPr>
          <w:tblHeader w:val="true"/>
          <w:cantSplit/>
        </w:trPr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交付方</w:t>
            </w:r>
          </w:p>
        </w:tc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消费者与验收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BE01 合同</w:t>
            </w:r>
          </w:p>
        </w:tc>
        <w:tc>
          <w:tcPr>
            <w:tcW w:type="dxa" w:w="77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FE05/FE14 与 GF01/GF04 固定版本消费，禁止各自改成三套真值。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BE02 布局</w:t>
            </w:r>
          </w:p>
        </w:tc>
        <w:tc>
          <w:tcPr>
            <w:tcW w:type="dxa" w:w="77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FE06 停靠、预设与重启恢复。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BE03/BE04 材料与模型</w:t>
            </w:r>
          </w:p>
        </w:tc>
        <w:tc>
          <w:tcPr>
            <w:tcW w:type="dxa" w:w="77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FE08/FE14 与 GF04/GF05 真实材料学习。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BE05/BE06 会话与记忆</w:t>
            </w:r>
          </w:p>
        </w:tc>
        <w:tc>
          <w:tcPr>
            <w:tcW w:type="dxa" w:w="77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GF02/GF04/GF06 正式调用、保持与治理。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GF08 组件导出</w:t>
            </w:r>
          </w:p>
        </w:tc>
        <w:tc>
          <w:tcPr>
            <w:tcW w:type="dxa" w:w="77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FE18 宿主槽位；GF 不在主项目另写正式前端。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BE12 与 GF10</w:t>
            </w:r>
          </w:p>
        </w:tc>
        <w:tc>
          <w:tcPr>
            <w:tcW w:type="dxa" w:w="77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FE24 联合安装和五旅程验收；各仓独立证据与回退。</w:t>
            </w:r>
          </w:p>
        </w:tc>
      </w:tr>
    </w:tbl>
    <w:p>
      <w:pPr>
        <w:spacing w:after="40"/>
      </w:pPr>
    </w:p>
    <w:p>
      <w:pPr>
        <w:pStyle w:val="Heading1"/>
      </w:pPr>
      <w:r>
        <w:t>5 执行任务索引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824"/>
        <w:gridCol w:w="410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执行目标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前置任务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FE00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主线接手与分支范围登记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核对本仓基线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FE01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逐页面和逐功能区交互定稿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FE02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视觉变量和组件状态定稿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FE03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效果图升级与分层资产生产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FE04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组件库复用与适配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FE05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五区 Shell 与三级导航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FE01、FE04、BE01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FE06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自由布局与共享业务会话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FE05、BE02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FE07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知识库与导入入口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FE08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阅读编辑与来源历史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FE07、BE03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FE09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图谱与研究工作面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FE08、BE09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FE10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学习路径与课程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FE08、BE09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FE11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教学表达与交付修订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FE10、BE09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FE12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练习复述与反馈节奏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FE10、BE09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FE13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基础画布与视觉表达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FE11、BE09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FE14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模型中心与用途绑定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FE05、BE04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FE15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资源扩展与常用服务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FE14、BE07、BE08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FE16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项目互联工作面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FE15、BE10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FE17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受控 AI 旅程与任务回执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FE08、BE07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FE18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小栖正式前端槽位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FE06、GF08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FE19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分类能力与未来蓝图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FE05、BE07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FE20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设置恢复与诊断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FE06、BE04、BE09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FE21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全状态与可访问性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FE05、FE14、FE19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FE22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多格式与导入导出闭环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FE07、BE11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FE23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可见性生命周期与性能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FE06、FE18、FE22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FE24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原生安装与五旅程验收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FE08、FE12、FE14、FE18、FE20、FE21、FE22、FE23、BE12、GF10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FE25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真实宣传资产与交接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FE24</w:t>
            </w:r>
          </w:p>
        </w:tc>
      </w:tr>
    </w:tbl>
    <w:p>
      <w:pPr>
        <w:spacing w:after="40"/>
      </w:pPr>
    </w:p>
    <w:p>
      <w:r>
        <w:t>详细工作、必须产物、通过条件、允许根目录和证据字段均在 TASKS.json。按已存在实现的现时资格承接，不重做已完成步骤；外部依赖未就绪时继续独立工作，真实接入保留 BLOCKED/PARTIAL 与准确原因。</w:t>
      </w:r>
    </w:p>
    <w:p>
      <w:pPr>
        <w:pStyle w:val="Heading1"/>
      </w:pPr>
      <w:r>
        <w:t>6 验收与后续范围</w:t>
      </w:r>
    </w:p>
    <w:p>
      <w:pPr>
        <w:pStyle w:val="ListBullet"/>
        <w:spacing w:after="100"/>
      </w:pPr>
      <w:r>
        <w:t>首次进入、导入学习、模型绑定、小栖持续陪学、布局与只读互联五旅程真实走通。</w:t>
      </w:r>
    </w:p>
    <w:p>
      <w:pPr>
        <w:pStyle w:val="ListBullet"/>
        <w:spacing w:after="100"/>
      </w:pPr>
      <w:r>
        <w:t>覆盖空、加载、部分、错误、离线、未配置、未授权、不兼容、未来与恢复；重试保留输入。</w:t>
      </w:r>
    </w:p>
    <w:p>
      <w:pPr>
        <w:pStyle w:val="ListBullet"/>
        <w:spacing w:after="100"/>
      </w:pPr>
      <w:r>
        <w:t>真实格式分别记录保存、查看、提取、编辑、导出与往返，不以可上传统称支持。</w:t>
      </w:r>
    </w:p>
    <w:p>
      <w:pPr>
        <w:pStyle w:val="ListBullet"/>
        <w:spacing w:after="100"/>
      </w:pPr>
      <w:r>
        <w:t>关闭、重启、崩溃、CAS、取消晚到事件、权限撤销和状态过期有明确读回。</w:t>
      </w:r>
    </w:p>
    <w:p>
      <w:pPr>
        <w:pStyle w:val="ListBullet"/>
        <w:spacing w:after="100"/>
      </w:pPr>
      <w:r>
        <w:t>开发 fixture 显著标注且不写正式状态；源码、测试、真实运行、安装、人工观察分轴记录。</w:t>
      </w:r>
    </w:p>
    <w:p>
      <w:pPr>
        <w:pStyle w:val="ListBullet"/>
        <w:spacing w:after="100"/>
      </w:pPr>
      <w:r>
        <w:t>宣传使用实际构建与已通过能力；正式品牌正确，概念人物与未接通功能单独标识。</w:t>
      </w:r>
    </w:p>
    <w:p>
      <w:r>
        <w:t>每项证据包含 source_sha、environment_versions、commands_and_exit_codes、artifact_hashes、limitations、rollback_handle。当前没有本轮主项目安装或真实模型的新验收结论，不能由下载、语法检查或概念图推断。</w:t>
      </w:r>
    </w:p>
    <w:p>
      <w:r>
        <w:t>明确后续范围：精确写实口型和大型实时 3D 的执行引擎；Tauri 原生独立浮窗与桌宠实机资格；仿真、空间学习、XR/AR 和高级动态插件执行。保留入口、字段、依赖与状态，后续按单项合同和运行证据实施，不批量翻绿。</w:t>
      </w:r>
    </w:p>
    <w:p>
      <w:pPr>
        <w:pStyle w:val="Heading1"/>
      </w:pPr>
      <w:r>
        <w:t>7 开始执行与交接</w:t>
      </w:r>
    </w:p>
    <w:p>
      <w:r>
        <w:t>将 ZIP 解压到实施者可读的位置，先读 00_START_HERE.md，再把 EXECUTOR_PROMPT.md 交给 Agent。任务清单有明确的仓库与分支范围；需进入本仓现有权威和唯一执行账本，不建立另一个自称 current 的进度源。</w:t>
      </w:r>
    </w:p>
    <w:p>
      <w:r>
        <w:t>收尾交付代码与源资产、实际使用的依赖版本、合同变更、测试与运行证据、已知缺口和回退。素材和规格的准备阶段与产品实现分开；未接后端保留理由和下一步，不以示意回执或模拟流替代真实闭环。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65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任务包版本 2026 10 13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8"/>
      </w:rPr>
      <w:t>星环知识系统前端 UI 分支任务包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Noto Sans CJK SC" w:hAnsi="Noto Sans CJK SC" w:eastAsia="Noto Sans CJK SC" w:cs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83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60"/>
    </w:pPr>
    <w:rPr>
      <w:rFonts w:ascii="Noto Sans CJK SC" w:hAnsi="Noto Sans CJK SC" w:eastAsia="Noto Sans CJK SC" w:cs="Noto Sans CJK SC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星环知识系统前端 UI 分支任务包</dc:title>
  <dc:subject>完整前端与可复用视觉资产，支撑多格式真实学习闭环和个人本地测试。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