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星环知识系统前端实施总方案</w:t>
      </w:r>
    </w:p>
    <w:p>
      <w:pPr>
        <w:pStyle w:val="Subtitle"/>
      </w:pPr>
      <w:r>
        <w:t>ArcheAxis  多级导航  模型与连接  小栖融合</w:t>
      </w:r>
    </w:p>
    <w:p>
      <w:r>
        <w:t>界面品牌采用 ArcheAxis 与星环知识系统。AAOS 仅为内部开发代号，保留在技术身份和兼容资料，不显示为应用标题、首页 Logo 或项目选择项。本次修订将菜单、模型、接口、角色和全部原始能力细则合并为同一份实施规范；配套 JSON 是设计注册表，不是已经运行的生产配置。</w:t>
      </w:r>
    </w:p>
    <w:p>
      <w:r>
        <w:t>本轮确定 AAOS 前端的导航、能力分类、状态显示、工作区、角色呈现和接入合同。项目定位保持本地优先的个人知识与 Human–AI 双向学习：多格式资料进入系统，支持保存、阅读、编辑、研究、人的学习过程和 AI 学习资产；按类型、场景及用户选择逐步核验与治理。小栖承担角色交互，学习与知识内容继续是产品主体。</w:t>
      </w:r>
    </w:p>
    <w:p>
      <w:r>
        <w:t>本规范取代前一版的顶部主导航与全能力平铺展示：顶部负责全局工作区，左侧负责领域入口，中央承担首页角色或当前任务，右侧提供对象相关工具，底部提供可收起的对话。沉浸与专注使用同一套前端和业务状态。</w:t>
      </w:r>
    </w:p>
    <w:p>
      <w:r>
        <w:t>本轮确定的是设计和接口规范，尚未修改四仓生产代码、发布、安装扩展或启动未来冻结任务。后台接入、真实语音、真实口型、独立验收仍须进入对应项目正式执行队列。现行页面、能力映射和未来意图分别保留来源，不据此宣称全部可用。</w:t>
      </w:r>
    </w:p>
    <w:p>
      <w:r>
        <w:t>短期交付分成两条实施线：完整前端和小栖融合。它们共同支撑“多格式、最快闭环、完整架构框架”。多位测试者各自在本机安装和使用，首期不以服务器、多租户、共享账号或实时协作为前置条件。宣传素材必须能对应到实际测试版本与能力状态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4"/>
        <w:gridCol w:w="2448"/>
        <w:gridCol w:w="5904"/>
      </w:tblGrid>
      <w:tr>
        <w:trPr>
          <w:tblHeader w:val="true"/>
          <w:cantSplit/>
        </w:trPr>
        <w:tc>
          <w:tcPr>
            <w:tcW w:type="dxa" w:w="333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24394D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b/>
                <w:color w:val="FFFFFF"/>
                <w:sz w:val="20"/>
              </w:rPr>
              <w:t>仓库</w:t>
            </w:r>
          </w:p>
        </w:tc>
        <w:tc>
          <w:tcPr>
            <w:tcW w:type="dxa" w:w="333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24394D"/>
          </w:tcPr>
          <w:p>
            <w:pPr>
              <w:keepNext w:val="0"/>
              <w:spacing w:after="40" w:line="264" w:lineRule="auto"/>
            </w:pPr>
            <w:r>
              <w:rPr>
                <w:b/>
                <w:color w:val="FFFFFF"/>
                <w:sz w:val="20"/>
              </w:rPr>
              <w:t>主线核对基线</w:t>
            </w:r>
          </w:p>
        </w:tc>
        <w:tc>
          <w:tcPr>
            <w:tcW w:type="dxa" w:w="333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24394D"/>
          </w:tcPr>
          <w:p>
            <w:pPr>
              <w:keepNext w:val="0"/>
              <w:spacing w:after="40" w:line="264" w:lineRule="auto"/>
            </w:pPr>
            <w:r>
              <w:rPr>
                <w:b/>
                <w:color w:val="FFFFFF"/>
                <w:sz w:val="20"/>
              </w:rPr>
              <w:t>现状与使用边界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b w:val="0"/>
                <w:color w:val="000000"/>
                <w:sz w:val="20"/>
              </w:rPr>
              <w:t>AAOS</w:t>
            </w:r>
          </w:p>
        </w:tc>
        <w:tc>
          <w:tcPr>
            <w:tcW w:type="dxa" w:w="244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be79ff90e739</w:t>
            </w:r>
          </w:p>
        </w:tc>
        <w:tc>
          <w:tcPr>
            <w:tcW w:type="dxa" w:w="590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ArcheAxis-Knowledge-OS 主线；Tauri 2、React、Rust Core 与隔离 workers。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7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b w:val="0"/>
                <w:color w:val="000000"/>
                <w:sz w:val="20"/>
              </w:rPr>
              <w:t>ASTRYN</w:t>
            </w:r>
          </w:p>
        </w:tc>
        <w:tc>
          <w:tcPr>
            <w:tcW w:type="dxa" w:w="244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7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9cf9a44441d2</w:t>
            </w:r>
          </w:p>
        </w:tc>
        <w:tc>
          <w:tcPr>
            <w:tcW w:type="dxa" w:w="590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7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SVG 角色、嵌入与面板已存在；真实 AAOS 宿主接入未验证。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b w:val="0"/>
                <w:color w:val="000000"/>
                <w:sz w:val="20"/>
              </w:rPr>
              <w:t>WORKLAB</w:t>
            </w:r>
          </w:p>
        </w:tc>
        <w:tc>
          <w:tcPr>
            <w:tcW w:type="dxa" w:w="244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cd4daa83e107</w:t>
            </w:r>
          </w:p>
        </w:tc>
        <w:tc>
          <w:tcPr>
            <w:tcW w:type="dxa" w:w="590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工作流治理核心与只读 Observer；执行不从 Observer 发起。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7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b w:val="0"/>
                <w:color w:val="000000"/>
                <w:sz w:val="20"/>
              </w:rPr>
              <w:t>DESIGNLAB</w:t>
            </w:r>
          </w:p>
        </w:tc>
        <w:tc>
          <w:tcPr>
            <w:tcW w:type="dxa" w:w="244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7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35bdc909ea20</w:t>
            </w:r>
          </w:p>
        </w:tc>
        <w:tc>
          <w:tcPr>
            <w:tcW w:type="dxa" w:w="590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7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独立 TypeScript 界面和 Python runtime；设计编辑回原生宿主。</w:t>
            </w:r>
          </w:p>
        </w:tc>
      </w:tr>
    </w:tbl>
    <w:p>
      <w:pPr>
        <w:spacing w:after="40"/>
      </w:pPr>
    </w:p>
    <w:p>
      <w:r>
        <w:t>以上固定提交来自 2026 年 10 月 13 日核对。实施前复查各仓 authority、AGENTS 和 active taskpack。新方案应登记为正式 UI 任务，不自动解冻六核心增量、V01 或 FT01–04。</w:t>
      </w:r>
    </w:p>
    <w:p>
      <w:pPr>
        <w:pStyle w:val="Heading1"/>
      </w:pPr>
      <w:r>
        <w:t>1 已确定的布局和交互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80"/>
        <w:gridCol w:w="4536"/>
        <w:gridCol w:w="4320"/>
      </w:tblGrid>
      <w:tr>
        <w:trPr>
          <w:tblHeader w:val="true"/>
          <w:cantSplit/>
        </w:trPr>
        <w:tc>
          <w:tcPr>
            <w:tcW w:type="dxa" w:w="333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24394D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b/>
                <w:color w:val="FFFFFF"/>
                <w:sz w:val="20"/>
              </w:rPr>
              <w:t>位置</w:t>
            </w:r>
          </w:p>
        </w:tc>
        <w:tc>
          <w:tcPr>
            <w:tcW w:type="dxa" w:w="333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24394D"/>
          </w:tcPr>
          <w:p>
            <w:pPr>
              <w:keepNext w:val="0"/>
              <w:spacing w:after="40" w:line="264" w:lineRule="auto"/>
            </w:pPr>
            <w:r>
              <w:rPr>
                <w:b/>
                <w:color w:val="FFFFFF"/>
                <w:sz w:val="20"/>
              </w:rPr>
              <w:t>固定责任</w:t>
            </w:r>
          </w:p>
        </w:tc>
        <w:tc>
          <w:tcPr>
            <w:tcW w:type="dxa" w:w="333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24394D"/>
          </w:tcPr>
          <w:p>
            <w:pPr>
              <w:keepNext w:val="0"/>
              <w:spacing w:after="40" w:line="264" w:lineRule="auto"/>
            </w:pPr>
            <w:r>
              <w:rPr>
                <w:b/>
                <w:color w:val="FFFFFF"/>
                <w:sz w:val="20"/>
              </w:rPr>
              <w:t>变化规则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b w:val="0"/>
                <w:color w:val="000000"/>
                <w:sz w:val="20"/>
              </w:rPr>
              <w:t>上方</w:t>
            </w:r>
          </w:p>
        </w:tc>
        <w:tc>
          <w:tcPr>
            <w:tcW w:type="dxa" w:w="453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正式品牌、工作区、搜索、当前对话模型与项目选择。</w:t>
            </w:r>
          </w:p>
        </w:tc>
        <w:tc>
          <w:tcPr>
            <w:tcW w:type="dxa" w:w="432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模型显示来源与状态；点击打开快捷选择器。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7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b w:val="0"/>
                <w:color w:val="000000"/>
                <w:sz w:val="20"/>
              </w:rPr>
              <w:t>左侧</w:t>
            </w:r>
          </w:p>
        </w:tc>
        <w:tc>
          <w:tcPr>
            <w:tcW w:type="dxa" w:w="453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7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工作台、知识、学习、AI、资源；全部能力、设置。</w:t>
            </w:r>
          </w:p>
        </w:tc>
        <w:tc>
          <w:tcPr>
            <w:tcW w:type="dxa" w:w="432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7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默认紧凑；窄屏收进抽屉。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b w:val="0"/>
                <w:color w:val="000000"/>
                <w:sz w:val="20"/>
              </w:rPr>
              <w:t>中央</w:t>
            </w:r>
          </w:p>
        </w:tc>
        <w:tc>
          <w:tcPr>
            <w:tcW w:type="dxa" w:w="453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首页的小栖或正在处理的文章、课程、研究、画布。</w:t>
            </w:r>
          </w:p>
        </w:tc>
        <w:tc>
          <w:tcPr>
            <w:tcW w:type="dxa" w:w="432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任务打开后内容成为主体。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7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b w:val="0"/>
                <w:color w:val="000000"/>
                <w:sz w:val="20"/>
              </w:rPr>
              <w:t>右侧</w:t>
            </w:r>
          </w:p>
        </w:tc>
        <w:tc>
          <w:tcPr>
            <w:tcW w:type="dxa" w:w="453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7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来源、引用、版本、上下文、反馈、关联任务与产物。</w:t>
            </w:r>
          </w:p>
        </w:tc>
        <w:tc>
          <w:tcPr>
            <w:tcW w:type="dxa" w:w="432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7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跟随当前对象；可锁定、关闭、停靠。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b w:val="0"/>
                <w:color w:val="000000"/>
                <w:sz w:val="20"/>
              </w:rPr>
              <w:t>下方</w:t>
            </w:r>
          </w:p>
        </w:tc>
        <w:tc>
          <w:tcPr>
            <w:tcW w:type="dxa" w:w="453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当前上下文提示、对话输入、附件、停止。</w:t>
            </w:r>
          </w:p>
        </w:tc>
        <w:tc>
          <w:tcPr>
            <w:tcW w:type="dxa" w:w="432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历史按需展开；专注时可收起。</w:t>
            </w:r>
          </w:p>
        </w:tc>
      </w:tr>
    </w:tbl>
    <w:p>
      <w:pPr>
        <w:spacing w:after="40"/>
      </w:pPr>
    </w:p>
    <w:p>
      <w:r>
        <w:t>首页只显示开始和真实的继续工作入口；无资料时不造学习进度与待办。中央角色不遮盖内容。工作状态默认一个主面板加少量辅助视图，更多对象进入标签组；研究时允许两个主视图并排。专注状态收起辅助区域和环境动态。自由布局允许用户停靠、浮动、缩放、保存与恢复，重置不删业务内容。</w:t>
      </w:r>
    </w:p>
    <w:p>
      <w:r>
        <w:t>首发默认采用硬核宇宙玻璃主题与均衡性能模式，专注工作时降低背景动态。生活化人物主题作为可选皮肤，共用菜单、对象、会话、权限和面板注册表。主题变化不建立第二前端，也不改变模型、资料或权限。</w:t>
      </w:r>
    </w:p>
    <w:p>
      <w:pPr>
        <w:pStyle w:val="Heading1"/>
      </w:pPr>
      <w:r>
        <w:t>2 页面入口与完整能力分类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872"/>
        <w:gridCol w:w="6624"/>
      </w:tblGrid>
      <w:tr>
        <w:trPr>
          <w:tblHeader w:val="true"/>
          <w:cantSplit/>
        </w:trPr>
        <w:tc>
          <w:tcPr>
            <w:tcW w:type="dxa" w:w="333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24394D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b/>
                <w:color w:val="FFFFFF"/>
                <w:sz w:val="20"/>
              </w:rPr>
              <w:t>日常入口</w:t>
            </w:r>
          </w:p>
        </w:tc>
        <w:tc>
          <w:tcPr>
            <w:tcW w:type="dxa" w:w="333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24394D"/>
          </w:tcPr>
          <w:p>
            <w:pPr>
              <w:keepNext w:val="0"/>
              <w:spacing w:after="40" w:line="264" w:lineRule="auto"/>
            </w:pPr>
            <w:r>
              <w:rPr>
                <w:b/>
                <w:color w:val="FFFFFF"/>
                <w:sz w:val="20"/>
              </w:rPr>
              <w:t>页号</w:t>
            </w:r>
          </w:p>
        </w:tc>
        <w:tc>
          <w:tcPr>
            <w:tcW w:type="dxa" w:w="333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24394D"/>
          </w:tcPr>
          <w:p>
            <w:pPr>
              <w:keepNext w:val="0"/>
              <w:spacing w:after="40" w:line="264" w:lineRule="auto"/>
            </w:pPr>
            <w:r>
              <w:rPr>
                <w:b/>
                <w:color w:val="FFFFFF"/>
                <w:sz w:val="20"/>
              </w:rPr>
              <w:t>完整页面覆盖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b w:val="0"/>
                <w:color w:val="000000"/>
                <w:sz w:val="20"/>
              </w:rPr>
              <w:t>工作台</w:t>
            </w:r>
          </w:p>
        </w:tc>
        <w:tc>
          <w:tcPr>
            <w:tcW w:type="dxa" w:w="187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01</w:t>
            </w:r>
          </w:p>
        </w:tc>
        <w:tc>
          <w:tcPr>
            <w:tcW w:type="dxa" w:w="662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今日工作台。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7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b w:val="0"/>
                <w:color w:val="000000"/>
                <w:sz w:val="20"/>
              </w:rPr>
              <w:t>知识</w:t>
            </w:r>
          </w:p>
        </w:tc>
        <w:tc>
          <w:tcPr>
            <w:tcW w:type="dxa" w:w="187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7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02 03 04 05</w:t>
            </w:r>
          </w:p>
        </w:tc>
        <w:tc>
          <w:tcPr>
            <w:tcW w:type="dxa" w:w="662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7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知识库、阅读编辑、双链图谱、研究空间。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b w:val="0"/>
                <w:color w:val="000000"/>
                <w:sz w:val="20"/>
              </w:rPr>
              <w:t>学习</w:t>
            </w:r>
          </w:p>
        </w:tc>
        <w:tc>
          <w:tcPr>
            <w:tcW w:type="dxa" w:w="187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06 07 08 09</w:t>
              <w:br/>
              <w:t>10 11 12 21</w:t>
            </w:r>
          </w:p>
        </w:tc>
        <w:tc>
          <w:tcPr>
            <w:tcW w:type="dxa" w:w="662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路径、课程、教学需求、表达方案、交付版本、练习、反馈、画布。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7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b w:val="0"/>
                <w:color w:val="000000"/>
                <w:sz w:val="20"/>
              </w:rPr>
              <w:t>AI</w:t>
            </w:r>
          </w:p>
        </w:tc>
        <w:tc>
          <w:tcPr>
            <w:tcW w:type="dxa" w:w="187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7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13 14 22</w:t>
            </w:r>
          </w:p>
        </w:tc>
        <w:tc>
          <w:tcPr>
            <w:tcW w:type="dxa" w:w="662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7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项目记忆与上下文、纠正评测、受限任务与回执。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b w:val="0"/>
                <w:color w:val="000000"/>
                <w:sz w:val="20"/>
              </w:rPr>
              <w:t>资源</w:t>
            </w:r>
          </w:p>
        </w:tc>
        <w:tc>
          <w:tcPr>
            <w:tcW w:type="dxa" w:w="187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15 16</w:t>
            </w:r>
          </w:p>
        </w:tc>
        <w:tc>
          <w:tcPr>
            <w:tcW w:type="dxa" w:w="662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资源扩展、导入导出与互通。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7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b w:val="0"/>
                <w:color w:val="000000"/>
                <w:sz w:val="20"/>
              </w:rPr>
              <w:t>全部能力</w:t>
            </w:r>
          </w:p>
        </w:tc>
        <w:tc>
          <w:tcPr>
            <w:tcW w:type="dxa" w:w="187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7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17 18</w:t>
            </w:r>
          </w:p>
        </w:tc>
        <w:tc>
          <w:tcPr>
            <w:tcW w:type="dxa" w:w="662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7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分类目录与选中能力详情。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b w:val="0"/>
                <w:color w:val="000000"/>
                <w:sz w:val="20"/>
              </w:rPr>
              <w:t>设置</w:t>
            </w:r>
          </w:p>
        </w:tc>
        <w:tc>
          <w:tcPr>
            <w:tcW w:type="dxa" w:w="187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19 20</w:t>
            </w:r>
          </w:p>
        </w:tc>
        <w:tc>
          <w:tcPr>
            <w:tcW w:type="dxa" w:w="662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权限恢复、设置；版本来源历史可从具体对象旁打开。</w:t>
            </w:r>
          </w:p>
        </w:tc>
      </w:tr>
    </w:tbl>
    <w:p>
      <w:pPr>
        <w:spacing w:after="40"/>
      </w:pPr>
    </w:p>
    <w:p>
      <w:r>
        <w:t>保持主线 22 页身份。日常菜单先显示相关页面，再提供相应能力分类入口；用户不需要打开全部能力才能使用一个操作。能力目录是同一数据源的完整视图。查询、收藏和上下文快捷动作引用稳定能力 ID，不复制另一份状态。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2664"/>
        <w:gridCol w:w="5400"/>
      </w:tblGrid>
      <w:tr>
        <w:trPr>
          <w:tblHeader w:val="true"/>
          <w:cantSplit/>
        </w:trPr>
        <w:tc>
          <w:tcPr>
            <w:tcW w:type="dxa" w:w="333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24394D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b/>
                <w:color w:val="FFFFFF"/>
                <w:sz w:val="20"/>
              </w:rPr>
              <w:t>能力分类</w:t>
            </w:r>
          </w:p>
        </w:tc>
        <w:tc>
          <w:tcPr>
            <w:tcW w:type="dxa" w:w="333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24394D"/>
          </w:tcPr>
          <w:p>
            <w:pPr>
              <w:keepNext w:val="0"/>
              <w:spacing w:after="40" w:line="264" w:lineRule="auto"/>
            </w:pPr>
            <w:r>
              <w:rPr>
                <w:b/>
                <w:color w:val="FFFFFF"/>
                <w:sz w:val="20"/>
              </w:rPr>
              <w:t>稳定能力 ID</w:t>
            </w:r>
          </w:p>
        </w:tc>
        <w:tc>
          <w:tcPr>
            <w:tcW w:type="dxa" w:w="333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24394D"/>
          </w:tcPr>
          <w:p>
            <w:pPr>
              <w:keepNext w:val="0"/>
              <w:spacing w:after="40" w:line="264" w:lineRule="auto"/>
            </w:pPr>
            <w:r>
              <w:rPr>
                <w:b/>
                <w:color w:val="FFFFFF"/>
                <w:sz w:val="20"/>
              </w:rPr>
              <w:t>领域内容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b w:val="0"/>
                <w:color w:val="000000"/>
                <w:sz w:val="20"/>
              </w:rPr>
              <w:t>知识与研究</w:t>
            </w:r>
          </w:p>
        </w:tc>
        <w:tc>
          <w:tcPr>
            <w:tcW w:type="dxa" w:w="266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0010 0030 0090 0110</w:t>
            </w:r>
          </w:p>
        </w:tc>
        <w:tc>
          <w:tcPr>
            <w:tcW w:type="dxa" w:w="540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原件与来源、证据核验、研究课程项目空间、搜索图谱索引。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7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b w:val="0"/>
                <w:color w:val="000000"/>
                <w:sz w:val="20"/>
              </w:rPr>
              <w:t>学习与教学</w:t>
            </w:r>
          </w:p>
        </w:tc>
        <w:tc>
          <w:tcPr>
            <w:tcW w:type="dxa" w:w="266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7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0040 0060</w:t>
            </w:r>
          </w:p>
        </w:tc>
        <w:tc>
          <w:tcPr>
            <w:tcW w:type="dxa" w:w="540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7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人类深度学习、LER 视觉教学与课件。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b w:val="0"/>
                <w:color w:val="000000"/>
                <w:sz w:val="20"/>
              </w:rPr>
              <w:t>AI 知识与治理</w:t>
            </w:r>
          </w:p>
        </w:tc>
        <w:tc>
          <w:tcPr>
            <w:tcW w:type="dxa" w:w="266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0050 0130 0150</w:t>
            </w:r>
          </w:p>
        </w:tc>
        <w:tc>
          <w:tcPr>
            <w:tcW w:type="dxa" w:w="540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AI 学习资产、受控调用、受限执行、Provider 与出境治理。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7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b w:val="0"/>
                <w:color w:val="000000"/>
                <w:sz w:val="20"/>
              </w:rPr>
              <w:t>可视化与空间</w:t>
            </w:r>
          </w:p>
        </w:tc>
        <w:tc>
          <w:tcPr>
            <w:tcW w:type="dxa" w:w="266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7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0070 0080 0160</w:t>
            </w:r>
          </w:p>
        </w:tc>
        <w:tc>
          <w:tcPr>
            <w:tcW w:type="dxa" w:w="540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7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动态解释仿真、空间记忆沉浸学习、可视化表征。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b w:val="0"/>
                <w:color w:val="000000"/>
                <w:sz w:val="20"/>
              </w:rPr>
              <w:t>资源与互联</w:t>
            </w:r>
          </w:p>
        </w:tc>
        <w:tc>
          <w:tcPr>
            <w:tcW w:type="dxa" w:w="266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0020 0100</w:t>
            </w:r>
          </w:p>
        </w:tc>
        <w:tc>
          <w:tcPr>
            <w:tcW w:type="dxa" w:w="540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多格式转换、生态适配与互通。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7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b w:val="0"/>
                <w:color w:val="000000"/>
                <w:sz w:val="20"/>
              </w:rPr>
              <w:t>平台与可靠性</w:t>
            </w:r>
          </w:p>
        </w:tc>
        <w:tc>
          <w:tcPr>
            <w:tcW w:type="dxa" w:w="266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7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0120 0140</w:t>
            </w:r>
          </w:p>
        </w:tc>
        <w:tc>
          <w:tcPr>
            <w:tcW w:type="dxa" w:w="540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7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桌面与平台、可选协作、备份同步发布。</w:t>
            </w:r>
          </w:p>
        </w:tc>
      </w:tr>
    </w:tbl>
    <w:p>
      <w:pPr>
        <w:spacing w:after="40"/>
      </w:pPr>
    </w:p>
    <w:p>
      <w:r>
        <w:t>分类使用 CAP 前缀的原编号，例如 0010 为 CAP-0010，不重新编号。界面顺序可以调整，来源意图与覆盖明细不能删除。完整目录采用“分类 → 当前分类条目 → 同一详情区域”；点击另一条目更新详情，不再连续新建能力详情窗口。搜索跨分类工作。ASTRYN 和远端项目使用各自 namespace，正式登记前不自行发明 AAOS CAP 编号。</w:t>
      </w:r>
    </w:p>
    <w:p>
      <w:pPr>
        <w:pStyle w:val="Heading2"/>
      </w:pPr>
      <w:r>
        <w:t>完整多级菜单总表</w:t>
      </w:r>
    </w:p>
    <w:p>
      <w:r>
        <w:t>一级是左侧领域入口，二级是该领域的工作模块，三级是模块内部的功能或视图。界面一次只展开当前分支；菜单选择后收起，模块在中央打开。第三层可显示为简短子菜单或打开后的页签。具体文档、课程、模型、连接和能力对象在当前页面里选择，不增加第四层连续悬浮菜单。</w:t>
      </w:r>
    </w:p>
    <w:p>
      <w:r>
        <w:t>下表完整列出 7 个一级入口、37 个二级模块与 173 个三级功能或视图区。173 个区域不会同时显示，也不表示 173 个后台已经完成。保留 22 个正式页面身份，新增模型和角色视图登记为设置或 AI 的子视图；原有页号不重新分配。</w:t>
      </w:r>
    </w:p>
    <w:p>
      <w:pPr>
        <w:pStyle w:val="Heading3"/>
      </w:pPr>
      <w:r>
        <w:t>工作台导航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5040"/>
        <w:gridCol w:w="2664"/>
      </w:tblGrid>
      <w:tr>
        <w:trPr>
          <w:tblHeader w:val="true"/>
          <w:cantSplit/>
        </w:trPr>
        <w:tc>
          <w:tcPr>
            <w:tcW w:type="dxa" w:w="333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24394D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b/>
                <w:color w:val="FFFFFF"/>
                <w:sz w:val="20"/>
              </w:rPr>
              <w:t>二级模块</w:t>
            </w:r>
          </w:p>
        </w:tc>
        <w:tc>
          <w:tcPr>
            <w:tcW w:type="dxa" w:w="333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24394D"/>
          </w:tcPr>
          <w:p>
            <w:pPr>
              <w:keepNext w:val="0"/>
              <w:spacing w:after="40" w:line="264" w:lineRule="auto"/>
            </w:pPr>
            <w:r>
              <w:rPr>
                <w:b/>
                <w:color w:val="FFFFFF"/>
                <w:sz w:val="20"/>
              </w:rPr>
              <w:t>三级功能或视图区</w:t>
            </w:r>
          </w:p>
        </w:tc>
        <w:tc>
          <w:tcPr>
            <w:tcW w:type="dxa" w:w="333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24394D"/>
          </w:tcPr>
          <w:p>
            <w:pPr>
              <w:keepNext w:val="0"/>
              <w:spacing w:after="40" w:line="264" w:lineRule="auto"/>
            </w:pPr>
            <w:r>
              <w:rPr>
                <w:b/>
                <w:color w:val="FFFFFF"/>
                <w:sz w:val="20"/>
              </w:rPr>
              <w:t>点击后落点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b w:val="0"/>
                <w:color w:val="000000"/>
                <w:sz w:val="20"/>
              </w:rPr>
              <w:t>首页</w:t>
            </w:r>
          </w:p>
        </w:tc>
        <w:tc>
          <w:tcPr>
            <w:tcW w:type="dxa" w:w="504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开始学习；导入资料；新建笔记；小栖入口</w:t>
            </w:r>
          </w:p>
        </w:tc>
        <w:tc>
          <w:tcPr>
            <w:tcW w:type="dxa" w:w="266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中央首页</w:t>
              <w:br/>
              <w:t>页 01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7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b w:val="0"/>
                <w:color w:val="000000"/>
                <w:sz w:val="20"/>
              </w:rPr>
              <w:t>继续工作</w:t>
            </w:r>
          </w:p>
        </w:tc>
        <w:tc>
          <w:tcPr>
            <w:tcW w:type="dxa" w:w="504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7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最近资料；最近学习；研究项目</w:t>
            </w:r>
          </w:p>
        </w:tc>
        <w:tc>
          <w:tcPr>
            <w:tcW w:type="dxa" w:w="266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7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中央主视图</w:t>
              <w:br/>
              <w:t>页 01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b w:val="0"/>
                <w:color w:val="000000"/>
                <w:sz w:val="20"/>
              </w:rPr>
              <w:t>工作区与布局</w:t>
            </w:r>
          </w:p>
        </w:tc>
        <w:tc>
          <w:tcPr>
            <w:tcW w:type="dxa" w:w="504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工作区切换；阅读布局；学习布局；研究布局；自定义布局</w:t>
            </w:r>
          </w:p>
        </w:tc>
        <w:tc>
          <w:tcPr>
            <w:tcW w:type="dxa" w:w="266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中央主视图</w:t>
              <w:br/>
              <w:t>页 19</w:t>
            </w:r>
          </w:p>
        </w:tc>
      </w:tr>
    </w:tbl>
    <w:p>
      <w:pPr>
        <w:spacing w:after="40"/>
      </w:pPr>
    </w:p>
    <w:p>
      <w:pPr>
        <w:pStyle w:val="Heading3"/>
      </w:pPr>
      <w:r>
        <w:t>知识导航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5040"/>
        <w:gridCol w:w="2664"/>
      </w:tblGrid>
      <w:tr>
        <w:trPr>
          <w:tblHeader w:val="true"/>
          <w:cantSplit/>
        </w:trPr>
        <w:tc>
          <w:tcPr>
            <w:tcW w:type="dxa" w:w="333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24394D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b/>
                <w:color w:val="FFFFFF"/>
                <w:sz w:val="20"/>
              </w:rPr>
              <w:t>二级模块</w:t>
            </w:r>
          </w:p>
        </w:tc>
        <w:tc>
          <w:tcPr>
            <w:tcW w:type="dxa" w:w="333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24394D"/>
          </w:tcPr>
          <w:p>
            <w:pPr>
              <w:keepNext w:val="0"/>
              <w:spacing w:after="40" w:line="264" w:lineRule="auto"/>
            </w:pPr>
            <w:r>
              <w:rPr>
                <w:b/>
                <w:color w:val="FFFFFF"/>
                <w:sz w:val="20"/>
              </w:rPr>
              <w:t>三级功能或视图区</w:t>
            </w:r>
          </w:p>
        </w:tc>
        <w:tc>
          <w:tcPr>
            <w:tcW w:type="dxa" w:w="333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24394D"/>
          </w:tcPr>
          <w:p>
            <w:pPr>
              <w:keepNext w:val="0"/>
              <w:spacing w:after="40" w:line="264" w:lineRule="auto"/>
            </w:pPr>
            <w:r>
              <w:rPr>
                <w:b/>
                <w:color w:val="FFFFFF"/>
                <w:sz w:val="20"/>
              </w:rPr>
              <w:t>点击后落点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b w:val="0"/>
                <w:color w:val="000000"/>
                <w:sz w:val="20"/>
              </w:rPr>
              <w:t>知识库</w:t>
            </w:r>
          </w:p>
        </w:tc>
        <w:tc>
          <w:tcPr>
            <w:tcW w:type="dxa" w:w="504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全部资料；原件与附件；笔记与文档；集合与筛选</w:t>
            </w:r>
          </w:p>
        </w:tc>
        <w:tc>
          <w:tcPr>
            <w:tcW w:type="dxa" w:w="266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中央主视图</w:t>
              <w:br/>
              <w:t>页 02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7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b w:val="0"/>
                <w:color w:val="000000"/>
                <w:sz w:val="20"/>
              </w:rPr>
              <w:t>阅读与编辑</w:t>
            </w:r>
          </w:p>
        </w:tc>
        <w:tc>
          <w:tcPr>
            <w:tcW w:type="dxa" w:w="504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7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正文与原件；编辑与批注；选区提问；双链与引用；文档导出</w:t>
            </w:r>
          </w:p>
        </w:tc>
        <w:tc>
          <w:tcPr>
            <w:tcW w:type="dxa" w:w="266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7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中央主视图</w:t>
              <w:br/>
              <w:t>页 03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b w:val="0"/>
                <w:color w:val="000000"/>
                <w:sz w:val="20"/>
              </w:rPr>
              <w:t>双链与图谱</w:t>
            </w:r>
          </w:p>
        </w:tc>
        <w:tc>
          <w:tcPr>
            <w:tcW w:type="dxa" w:w="504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局部关系；反向链接；关系筛选；全库图谱</w:t>
            </w:r>
          </w:p>
        </w:tc>
        <w:tc>
          <w:tcPr>
            <w:tcW w:type="dxa" w:w="266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中央主视图</w:t>
              <w:br/>
              <w:t>页 04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7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b w:val="0"/>
                <w:color w:val="000000"/>
                <w:sz w:val="20"/>
              </w:rPr>
              <w:t>研究空间</w:t>
            </w:r>
          </w:p>
        </w:tc>
        <w:tc>
          <w:tcPr>
            <w:tcW w:type="dxa" w:w="504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7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问题与范围；文献与引用；假设与反证；方法与实验；结果与交接</w:t>
            </w:r>
          </w:p>
        </w:tc>
        <w:tc>
          <w:tcPr>
            <w:tcW w:type="dxa" w:w="266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7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中央主视图</w:t>
              <w:br/>
              <w:t>页 05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b w:val="0"/>
                <w:color w:val="000000"/>
                <w:sz w:val="20"/>
              </w:rPr>
              <w:t>来源与证据</w:t>
            </w:r>
          </w:p>
        </w:tc>
        <w:tc>
          <w:tcPr>
            <w:tcW w:type="dxa" w:w="504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来源锚点；识别忠实度；专业依据；争议与反证；采用记录</w:t>
            </w:r>
          </w:p>
        </w:tc>
        <w:tc>
          <w:tcPr>
            <w:tcW w:type="dxa" w:w="266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右侧对象详情</w:t>
              <w:br/>
              <w:t>页 20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7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b w:val="0"/>
                <w:color w:val="000000"/>
                <w:sz w:val="20"/>
              </w:rPr>
              <w:t>版本与历史</w:t>
            </w:r>
          </w:p>
        </w:tc>
        <w:tc>
          <w:tcPr>
            <w:tcW w:type="dxa" w:w="504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7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版本列表；版本对照；恢复预览；来源谱系</w:t>
            </w:r>
          </w:p>
        </w:tc>
        <w:tc>
          <w:tcPr>
            <w:tcW w:type="dxa" w:w="266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7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右侧对象详情</w:t>
              <w:br/>
              <w:t>页 20</w:t>
            </w:r>
          </w:p>
        </w:tc>
      </w:tr>
    </w:tbl>
    <w:p>
      <w:pPr>
        <w:spacing w:after="40"/>
      </w:pPr>
    </w:p>
    <w:p>
      <w:pPr>
        <w:pStyle w:val="Heading3"/>
      </w:pPr>
      <w:r>
        <w:t>学习导航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5040"/>
        <w:gridCol w:w="2664"/>
      </w:tblGrid>
      <w:tr>
        <w:trPr>
          <w:tblHeader w:val="true"/>
          <w:cantSplit/>
        </w:trPr>
        <w:tc>
          <w:tcPr>
            <w:tcW w:type="dxa" w:w="333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24394D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b/>
                <w:color w:val="FFFFFF"/>
                <w:sz w:val="20"/>
              </w:rPr>
              <w:t>二级模块</w:t>
            </w:r>
          </w:p>
        </w:tc>
        <w:tc>
          <w:tcPr>
            <w:tcW w:type="dxa" w:w="333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24394D"/>
          </w:tcPr>
          <w:p>
            <w:pPr>
              <w:keepNext w:val="0"/>
              <w:spacing w:after="40" w:line="264" w:lineRule="auto"/>
            </w:pPr>
            <w:r>
              <w:rPr>
                <w:b/>
                <w:color w:val="FFFFFF"/>
                <w:sz w:val="20"/>
              </w:rPr>
              <w:t>三级功能或视图区</w:t>
            </w:r>
          </w:p>
        </w:tc>
        <w:tc>
          <w:tcPr>
            <w:tcW w:type="dxa" w:w="333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24394D"/>
          </w:tcPr>
          <w:p>
            <w:pPr>
              <w:keepNext w:val="0"/>
              <w:spacing w:after="40" w:line="264" w:lineRule="auto"/>
            </w:pPr>
            <w:r>
              <w:rPr>
                <w:b/>
                <w:color w:val="FFFFFF"/>
                <w:sz w:val="20"/>
              </w:rPr>
              <w:t>点击后落点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b w:val="0"/>
                <w:color w:val="000000"/>
                <w:sz w:val="20"/>
              </w:rPr>
              <w:t>学习路径</w:t>
            </w:r>
          </w:p>
        </w:tc>
        <w:tc>
          <w:tcPr>
            <w:tcW w:type="dxa" w:w="504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目标与路线；先修与误区；复习安排；学习记录</w:t>
            </w:r>
          </w:p>
        </w:tc>
        <w:tc>
          <w:tcPr>
            <w:tcW w:type="dxa" w:w="266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中央主视图</w:t>
              <w:br/>
              <w:t>页 06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7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b w:val="0"/>
                <w:color w:val="000000"/>
                <w:sz w:val="20"/>
              </w:rPr>
              <w:t>课程与视觉教学</w:t>
            </w:r>
          </w:p>
        </w:tc>
        <w:tc>
          <w:tcPr>
            <w:tcW w:type="dxa" w:w="504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7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课程与单元；学习材料；讲解与对照；视觉教学</w:t>
            </w:r>
          </w:p>
        </w:tc>
        <w:tc>
          <w:tcPr>
            <w:tcW w:type="dxa" w:w="266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7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中央主视图</w:t>
              <w:br/>
              <w:t>页 07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b w:val="0"/>
                <w:color w:val="000000"/>
                <w:sz w:val="20"/>
              </w:rPr>
              <w:t>教学需求</w:t>
            </w:r>
          </w:p>
        </w:tc>
        <w:tc>
          <w:tcPr>
            <w:tcW w:type="dxa" w:w="504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学习目标；受众与先修；内容与素材；约束与用途</w:t>
            </w:r>
          </w:p>
        </w:tc>
        <w:tc>
          <w:tcPr>
            <w:tcW w:type="dxa" w:w="266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中央主视图</w:t>
              <w:br/>
              <w:t>页 08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7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b w:val="0"/>
                <w:color w:val="000000"/>
                <w:sz w:val="20"/>
              </w:rPr>
              <w:t>表达方案</w:t>
            </w:r>
          </w:p>
        </w:tc>
        <w:tc>
          <w:tcPr>
            <w:tcW w:type="dxa" w:w="504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7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图文方案；分步与对照；动态解释；方案版本</w:t>
            </w:r>
          </w:p>
        </w:tc>
        <w:tc>
          <w:tcPr>
            <w:tcW w:type="dxa" w:w="266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7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中央主视图</w:t>
              <w:br/>
              <w:t>页 09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b w:val="0"/>
                <w:color w:val="000000"/>
                <w:sz w:val="20"/>
              </w:rPr>
              <w:t>交付与版本</w:t>
            </w:r>
          </w:p>
        </w:tc>
        <w:tc>
          <w:tcPr>
            <w:tcW w:type="dxa" w:w="504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产物预览；交付版本；用途采用；导出与设计交接</w:t>
            </w:r>
          </w:p>
        </w:tc>
        <w:tc>
          <w:tcPr>
            <w:tcW w:type="dxa" w:w="266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中央主视图</w:t>
              <w:br/>
              <w:t>页 10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7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b w:val="0"/>
                <w:color w:val="000000"/>
                <w:sz w:val="20"/>
              </w:rPr>
              <w:t>练习与复述</w:t>
            </w:r>
          </w:p>
        </w:tc>
        <w:tc>
          <w:tcPr>
            <w:tcW w:type="dxa" w:w="504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7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主动提取；Teach-back；技能实战；评分依据；练习记录</w:t>
            </w:r>
          </w:p>
        </w:tc>
        <w:tc>
          <w:tcPr>
            <w:tcW w:type="dxa" w:w="266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7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中央主视图</w:t>
              <w:br/>
              <w:t>页 11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b w:val="0"/>
                <w:color w:val="000000"/>
                <w:sz w:val="20"/>
              </w:rPr>
              <w:t>反馈与修订</w:t>
            </w:r>
          </w:p>
        </w:tc>
        <w:tc>
          <w:tcPr>
            <w:tcW w:type="dxa" w:w="504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反馈记录；问题与误区；修订对照；复习跟进</w:t>
            </w:r>
          </w:p>
        </w:tc>
        <w:tc>
          <w:tcPr>
            <w:tcW w:type="dxa" w:w="266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中央主视图</w:t>
              <w:br/>
              <w:t>页 12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7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b w:val="0"/>
                <w:color w:val="000000"/>
                <w:sz w:val="20"/>
              </w:rPr>
              <w:t>画布与视觉表达</w:t>
            </w:r>
          </w:p>
        </w:tc>
        <w:tc>
          <w:tcPr>
            <w:tcW w:type="dxa" w:w="504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7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知识画布；关系与流程；教学表达；记忆地图；空间学习</w:t>
            </w:r>
          </w:p>
        </w:tc>
        <w:tc>
          <w:tcPr>
            <w:tcW w:type="dxa" w:w="266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7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中央主视图</w:t>
              <w:br/>
              <w:t>页 21</w:t>
            </w:r>
          </w:p>
        </w:tc>
      </w:tr>
    </w:tbl>
    <w:p>
      <w:pPr>
        <w:spacing w:after="40"/>
      </w:pPr>
    </w:p>
    <w:p>
      <w:pPr>
        <w:pStyle w:val="Heading3"/>
      </w:pPr>
      <w:r>
        <w:t>AI导航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5040"/>
        <w:gridCol w:w="2664"/>
      </w:tblGrid>
      <w:tr>
        <w:trPr>
          <w:tblHeader w:val="true"/>
          <w:cantSplit/>
        </w:trPr>
        <w:tc>
          <w:tcPr>
            <w:tcW w:type="dxa" w:w="333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24394D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b/>
                <w:color w:val="FFFFFF"/>
                <w:sz w:val="20"/>
              </w:rPr>
              <w:t>二级模块</w:t>
            </w:r>
          </w:p>
        </w:tc>
        <w:tc>
          <w:tcPr>
            <w:tcW w:type="dxa" w:w="333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24394D"/>
          </w:tcPr>
          <w:p>
            <w:pPr>
              <w:keepNext w:val="0"/>
              <w:spacing w:after="40" w:line="264" w:lineRule="auto"/>
            </w:pPr>
            <w:r>
              <w:rPr>
                <w:b/>
                <w:color w:val="FFFFFF"/>
                <w:sz w:val="20"/>
              </w:rPr>
              <w:t>三级功能或视图区</w:t>
            </w:r>
          </w:p>
        </w:tc>
        <w:tc>
          <w:tcPr>
            <w:tcW w:type="dxa" w:w="333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24394D"/>
          </w:tcPr>
          <w:p>
            <w:pPr>
              <w:keepNext w:val="0"/>
              <w:spacing w:after="40" w:line="264" w:lineRule="auto"/>
            </w:pPr>
            <w:r>
              <w:rPr>
                <w:b/>
                <w:color w:val="FFFFFF"/>
                <w:sz w:val="20"/>
              </w:rPr>
              <w:t>点击后落点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b w:val="0"/>
                <w:color w:val="000000"/>
                <w:sz w:val="20"/>
              </w:rPr>
              <w:t>模型与连接</w:t>
            </w:r>
          </w:p>
        </w:tc>
        <w:tc>
          <w:tcPr>
            <w:tcW w:type="dxa" w:w="504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API 服务；订阅与客户端；本地模型；用途绑定；用量与诊断</w:t>
            </w:r>
          </w:p>
        </w:tc>
        <w:tc>
          <w:tcPr>
            <w:tcW w:type="dxa" w:w="266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中央主视图</w:t>
              <w:br/>
              <w:t>页 19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7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b w:val="0"/>
                <w:color w:val="000000"/>
                <w:sz w:val="20"/>
              </w:rPr>
              <w:t>小栖与陪伴</w:t>
            </w:r>
          </w:p>
        </w:tc>
        <w:tc>
          <w:tcPr>
            <w:tcW w:type="dxa" w:w="504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7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对话与陪学；人物与呈现；关系与表达风格；记忆管理；声音与口型；权限与上下文</w:t>
            </w:r>
          </w:p>
        </w:tc>
        <w:tc>
          <w:tcPr>
            <w:tcW w:type="dxa" w:w="266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7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中央主视图</w:t>
              <w:br/>
              <w:t>页 19 13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b w:val="0"/>
                <w:color w:val="000000"/>
                <w:sz w:val="20"/>
              </w:rPr>
              <w:t>项目记忆与上下文</w:t>
            </w:r>
          </w:p>
        </w:tc>
        <w:tc>
          <w:tcPr>
            <w:tcW w:type="dxa" w:w="504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项目记忆；知识包与资产；规则与技能；上下文与用途授权；修订与撤回</w:t>
            </w:r>
          </w:p>
        </w:tc>
        <w:tc>
          <w:tcPr>
            <w:tcW w:type="dxa" w:w="266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中央主视图</w:t>
              <w:br/>
              <w:t>页 13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7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b w:val="0"/>
                <w:color w:val="000000"/>
                <w:sz w:val="20"/>
              </w:rPr>
              <w:t>纠正评测与复测</w:t>
            </w:r>
          </w:p>
        </w:tc>
        <w:tc>
          <w:tcPr>
            <w:tcW w:type="dxa" w:w="504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7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原答案与来源；纠正候选；固定评测依据；独立复测；对照与历史</w:t>
            </w:r>
          </w:p>
        </w:tc>
        <w:tc>
          <w:tcPr>
            <w:tcW w:type="dxa" w:w="266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7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中央主视图</w:t>
              <w:br/>
              <w:t>页 14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b w:val="0"/>
                <w:color w:val="000000"/>
                <w:sz w:val="20"/>
              </w:rPr>
              <w:t>受限任务与回执</w:t>
            </w:r>
          </w:p>
        </w:tc>
        <w:tc>
          <w:tcPr>
            <w:tcW w:type="dxa" w:w="504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任务与计划；对象与工具范围；步骤与预算；取消与检查点；证据与回执</w:t>
            </w:r>
          </w:p>
        </w:tc>
        <w:tc>
          <w:tcPr>
            <w:tcW w:type="dxa" w:w="266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中央主视图</w:t>
              <w:br/>
              <w:t>页 22</w:t>
            </w:r>
          </w:p>
        </w:tc>
      </w:tr>
    </w:tbl>
    <w:p>
      <w:pPr>
        <w:spacing w:after="40"/>
      </w:pPr>
    </w:p>
    <w:p>
      <w:pPr>
        <w:pStyle w:val="Heading3"/>
      </w:pPr>
      <w:r>
        <w:t>资源导航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5040"/>
        <w:gridCol w:w="2664"/>
      </w:tblGrid>
      <w:tr>
        <w:trPr>
          <w:tblHeader w:val="true"/>
          <w:cantSplit/>
        </w:trPr>
        <w:tc>
          <w:tcPr>
            <w:tcW w:type="dxa" w:w="333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24394D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b/>
                <w:color w:val="FFFFFF"/>
                <w:sz w:val="20"/>
              </w:rPr>
              <w:t>二级模块</w:t>
            </w:r>
          </w:p>
        </w:tc>
        <w:tc>
          <w:tcPr>
            <w:tcW w:type="dxa" w:w="333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24394D"/>
          </w:tcPr>
          <w:p>
            <w:pPr>
              <w:keepNext w:val="0"/>
              <w:spacing w:after="40" w:line="264" w:lineRule="auto"/>
            </w:pPr>
            <w:r>
              <w:rPr>
                <w:b/>
                <w:color w:val="FFFFFF"/>
                <w:sz w:val="20"/>
              </w:rPr>
              <w:t>三级功能或视图区</w:t>
            </w:r>
          </w:p>
        </w:tc>
        <w:tc>
          <w:tcPr>
            <w:tcW w:type="dxa" w:w="333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24394D"/>
          </w:tcPr>
          <w:p>
            <w:pPr>
              <w:keepNext w:val="0"/>
              <w:spacing w:after="40" w:line="264" w:lineRule="auto"/>
            </w:pPr>
            <w:r>
              <w:rPr>
                <w:b/>
                <w:color w:val="FFFFFF"/>
                <w:sz w:val="20"/>
              </w:rPr>
              <w:t>点击后落点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b w:val="0"/>
                <w:color w:val="000000"/>
                <w:sz w:val="20"/>
              </w:rPr>
              <w:t>资源与扩展</w:t>
            </w:r>
          </w:p>
        </w:tc>
        <w:tc>
          <w:tcPr>
            <w:tcW w:type="dxa" w:w="504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已安装模块；本机引擎与运行服务；插件与技能；可用工具；部署更新与回退</w:t>
            </w:r>
          </w:p>
        </w:tc>
        <w:tc>
          <w:tcPr>
            <w:tcW w:type="dxa" w:w="266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中央主视图</w:t>
              <w:br/>
              <w:t>页 15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7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b w:val="0"/>
                <w:color w:val="000000"/>
                <w:sz w:val="20"/>
              </w:rPr>
              <w:t>导入导出与互通</w:t>
            </w:r>
          </w:p>
        </w:tc>
        <w:tc>
          <w:tcPr>
            <w:tcW w:type="dxa" w:w="504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7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多格式导入；转换与损失报告；内容与附件导出；平台互通配置；冲突与往返验证</w:t>
            </w:r>
          </w:p>
        </w:tc>
        <w:tc>
          <w:tcPr>
            <w:tcW w:type="dxa" w:w="266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7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中央流程视图</w:t>
              <w:br/>
              <w:t>页 16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b w:val="0"/>
                <w:color w:val="000000"/>
                <w:sz w:val="20"/>
              </w:rPr>
              <w:t>外部服务与常用接口</w:t>
            </w:r>
          </w:p>
        </w:tc>
        <w:tc>
          <w:tcPr>
            <w:tcW w:type="dxa" w:w="504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搜索与文献；OCR 与解析；语音服务；MCP 与工具接口；自定义服务；常用连接收藏</w:t>
            </w:r>
          </w:p>
        </w:tc>
        <w:tc>
          <w:tcPr>
            <w:tcW w:type="dxa" w:w="266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中央主视图</w:t>
              <w:br/>
              <w:t>页 15 19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7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b w:val="0"/>
                <w:color w:val="000000"/>
                <w:sz w:val="20"/>
              </w:rPr>
              <w:t>项目互联</w:t>
            </w:r>
          </w:p>
        </w:tc>
        <w:tc>
          <w:tcPr>
            <w:tcW w:type="dxa" w:w="504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7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连接与协议检查；WORKLAB 关联；DESIGNLAB 关联；上下文与任务交接；产物与知识候选；投递与回执</w:t>
            </w:r>
          </w:p>
        </w:tc>
        <w:tc>
          <w:tcPr>
            <w:tcW w:type="dxa" w:w="266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7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中央主视图</w:t>
              <w:br/>
              <w:t>页 15</w:t>
            </w:r>
          </w:p>
        </w:tc>
      </w:tr>
    </w:tbl>
    <w:p>
      <w:pPr>
        <w:spacing w:after="40"/>
      </w:pPr>
    </w:p>
    <w:p>
      <w:pPr>
        <w:pStyle w:val="Heading3"/>
      </w:pPr>
      <w:r>
        <w:t>全部能力导航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5040"/>
        <w:gridCol w:w="2664"/>
      </w:tblGrid>
      <w:tr>
        <w:trPr>
          <w:tblHeader w:val="true"/>
          <w:cantSplit/>
        </w:trPr>
        <w:tc>
          <w:tcPr>
            <w:tcW w:type="dxa" w:w="333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24394D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b/>
                <w:color w:val="FFFFFF"/>
                <w:sz w:val="20"/>
              </w:rPr>
              <w:t>二级模块</w:t>
            </w:r>
          </w:p>
        </w:tc>
        <w:tc>
          <w:tcPr>
            <w:tcW w:type="dxa" w:w="333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24394D"/>
          </w:tcPr>
          <w:p>
            <w:pPr>
              <w:keepNext w:val="0"/>
              <w:spacing w:after="40" w:line="264" w:lineRule="auto"/>
            </w:pPr>
            <w:r>
              <w:rPr>
                <w:b/>
                <w:color w:val="FFFFFF"/>
                <w:sz w:val="20"/>
              </w:rPr>
              <w:t>三级功能或视图区</w:t>
            </w:r>
          </w:p>
        </w:tc>
        <w:tc>
          <w:tcPr>
            <w:tcW w:type="dxa" w:w="333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24394D"/>
          </w:tcPr>
          <w:p>
            <w:pPr>
              <w:keepNext w:val="0"/>
              <w:spacing w:after="40" w:line="264" w:lineRule="auto"/>
            </w:pPr>
            <w:r>
              <w:rPr>
                <w:b/>
                <w:color w:val="FFFFFF"/>
                <w:sz w:val="20"/>
              </w:rPr>
              <w:t>点击后落点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b w:val="0"/>
                <w:color w:val="000000"/>
                <w:sz w:val="20"/>
              </w:rPr>
              <w:t>分类能力目录</w:t>
            </w:r>
          </w:p>
        </w:tc>
        <w:tc>
          <w:tcPr>
            <w:tcW w:type="dxa" w:w="504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知识与研究；学习与教学；AI 知识与治理；可视化与空间；资源与互联；平台与可靠性</w:t>
            </w:r>
          </w:p>
        </w:tc>
        <w:tc>
          <w:tcPr>
            <w:tcW w:type="dxa" w:w="266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中央主视图</w:t>
              <w:br/>
              <w:t>页 17 18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7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b w:val="0"/>
                <w:color w:val="000000"/>
                <w:sz w:val="20"/>
              </w:rPr>
              <w:t>未来路线</w:t>
            </w:r>
          </w:p>
        </w:tc>
        <w:tc>
          <w:tcPr>
            <w:tcW w:type="dxa" w:w="504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7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全部目标；首期范围；重载延期；依赖与阶段</w:t>
            </w:r>
          </w:p>
        </w:tc>
        <w:tc>
          <w:tcPr>
            <w:tcW w:type="dxa" w:w="266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7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中央主视图</w:t>
              <w:br/>
              <w:t>页 17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b w:val="0"/>
                <w:color w:val="000000"/>
                <w:sz w:val="20"/>
              </w:rPr>
              <w:t>互通目标</w:t>
            </w:r>
          </w:p>
        </w:tc>
        <w:tc>
          <w:tcPr>
            <w:tcW w:type="dxa" w:w="504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Markdown 与 JSON Canvas；知识平台；引用与复习工具；开放知识库平台；商业平台导出与 API；RAG 与研发资料</w:t>
            </w:r>
          </w:p>
        </w:tc>
        <w:tc>
          <w:tcPr>
            <w:tcW w:type="dxa" w:w="266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中央主视图</w:t>
              <w:br/>
              <w:t>页 17</w:t>
            </w:r>
          </w:p>
        </w:tc>
      </w:tr>
    </w:tbl>
    <w:p>
      <w:pPr>
        <w:spacing w:after="40"/>
      </w:pPr>
    </w:p>
    <w:p>
      <w:pPr>
        <w:pStyle w:val="Heading3"/>
      </w:pPr>
      <w:r>
        <w:t>设置导航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5040"/>
        <w:gridCol w:w="2664"/>
      </w:tblGrid>
      <w:tr>
        <w:trPr>
          <w:tblHeader w:val="true"/>
          <w:cantSplit/>
        </w:trPr>
        <w:tc>
          <w:tcPr>
            <w:tcW w:type="dxa" w:w="333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24394D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b/>
                <w:color w:val="FFFFFF"/>
                <w:sz w:val="20"/>
              </w:rPr>
              <w:t>二级模块</w:t>
            </w:r>
          </w:p>
        </w:tc>
        <w:tc>
          <w:tcPr>
            <w:tcW w:type="dxa" w:w="333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24394D"/>
          </w:tcPr>
          <w:p>
            <w:pPr>
              <w:keepNext w:val="0"/>
              <w:spacing w:after="40" w:line="264" w:lineRule="auto"/>
            </w:pPr>
            <w:r>
              <w:rPr>
                <w:b/>
                <w:color w:val="FFFFFF"/>
                <w:sz w:val="20"/>
              </w:rPr>
              <w:t>三级功能或视图区</w:t>
            </w:r>
          </w:p>
        </w:tc>
        <w:tc>
          <w:tcPr>
            <w:tcW w:type="dxa" w:w="333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24394D"/>
          </w:tcPr>
          <w:p>
            <w:pPr>
              <w:keepNext w:val="0"/>
              <w:spacing w:after="40" w:line="264" w:lineRule="auto"/>
            </w:pPr>
            <w:r>
              <w:rPr>
                <w:b/>
                <w:color w:val="FFFFFF"/>
                <w:sz w:val="20"/>
              </w:rPr>
              <w:t>点击后落点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b w:val="0"/>
                <w:color w:val="000000"/>
                <w:sz w:val="20"/>
              </w:rPr>
              <w:t>通用与数据位置</w:t>
            </w:r>
          </w:p>
        </w:tc>
        <w:tc>
          <w:tcPr>
            <w:tcW w:type="dxa" w:w="504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语言与启动；资料存储位置；工作区初始化；本地个人配置</w:t>
            </w:r>
          </w:p>
        </w:tc>
        <w:tc>
          <w:tcPr>
            <w:tcW w:type="dxa" w:w="266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中央主视图</w:t>
              <w:br/>
              <w:t>页 19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7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b w:val="0"/>
                <w:color w:val="000000"/>
                <w:sz w:val="20"/>
              </w:rPr>
              <w:t>外观与布局</w:t>
            </w:r>
          </w:p>
        </w:tc>
        <w:tc>
          <w:tcPr>
            <w:tcW w:type="dxa" w:w="504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7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主题与玻璃材质；字体与内容密度；性能与动态；布局保存与恢复</w:t>
            </w:r>
          </w:p>
        </w:tc>
        <w:tc>
          <w:tcPr>
            <w:tcW w:type="dxa" w:w="266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7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中央主视图</w:t>
              <w:br/>
              <w:t>页 19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b w:val="0"/>
                <w:color w:val="000000"/>
                <w:sz w:val="20"/>
              </w:rPr>
              <w:t>权限与数据范围</w:t>
            </w:r>
          </w:p>
        </w:tc>
        <w:tc>
          <w:tcPr>
            <w:tcW w:type="dxa" w:w="504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用途权限；外部数据范围；凭据管理；授权与撤销</w:t>
            </w:r>
          </w:p>
        </w:tc>
        <w:tc>
          <w:tcPr>
            <w:tcW w:type="dxa" w:w="266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中央主视图</w:t>
              <w:br/>
              <w:t>页 19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7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b w:val="0"/>
                <w:color w:val="000000"/>
                <w:sz w:val="20"/>
              </w:rPr>
              <w:t>备份与恢复</w:t>
            </w:r>
          </w:p>
        </w:tc>
        <w:tc>
          <w:tcPr>
            <w:tcW w:type="dxa" w:w="504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7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备份计划；校验与恢复；迁移与回退；同步与冲突</w:t>
            </w:r>
          </w:p>
        </w:tc>
        <w:tc>
          <w:tcPr>
            <w:tcW w:type="dxa" w:w="266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7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中央主视图</w:t>
              <w:br/>
              <w:t>页 19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b w:val="0"/>
                <w:color w:val="000000"/>
                <w:sz w:val="20"/>
              </w:rPr>
              <w:t>版本更新与诊断</w:t>
            </w:r>
          </w:p>
        </w:tc>
        <w:tc>
          <w:tcPr>
            <w:tcW w:type="dxa" w:w="504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构建与版本；模块健康；更新与回退；故障与日志；测试反馈包</w:t>
            </w:r>
          </w:p>
        </w:tc>
        <w:tc>
          <w:tcPr>
            <w:tcW w:type="dxa" w:w="266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中央主视图</w:t>
              <w:br/>
              <w:t>页 19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7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b w:val="0"/>
                <w:color w:val="000000"/>
                <w:sz w:val="20"/>
              </w:rPr>
              <w:t>模型与连接</w:t>
            </w:r>
          </w:p>
        </w:tc>
        <w:tc>
          <w:tcPr>
            <w:tcW w:type="dxa" w:w="504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7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API 服务；订阅与客户端；本地模型；用途绑定；用量与诊断</w:t>
            </w:r>
          </w:p>
        </w:tc>
        <w:tc>
          <w:tcPr>
            <w:tcW w:type="dxa" w:w="266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7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中央主视图；同一视图快捷入口</w:t>
              <w:br/>
              <w:t>页 19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b w:val="0"/>
                <w:color w:val="000000"/>
                <w:sz w:val="20"/>
              </w:rPr>
              <w:t>小栖设置</w:t>
            </w:r>
          </w:p>
        </w:tc>
        <w:tc>
          <w:tcPr>
            <w:tcW w:type="dxa" w:w="504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对话与陪学；人物与呈现；关系与表达风格；记忆管理；声音与口型；权限与上下文</w:t>
            </w:r>
          </w:p>
        </w:tc>
        <w:tc>
          <w:tcPr>
            <w:tcW w:type="dxa" w:w="266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中央主视图；同一视图快捷入口</w:t>
              <w:br/>
              <w:t>页 19 13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7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b w:val="0"/>
                <w:color w:val="000000"/>
                <w:sz w:val="20"/>
              </w:rPr>
              <w:t>对象版本与历史</w:t>
            </w:r>
          </w:p>
        </w:tc>
        <w:tc>
          <w:tcPr>
            <w:tcW w:type="dxa" w:w="504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7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版本列表；版本对照；恢复预览；来源谱系</w:t>
            </w:r>
          </w:p>
        </w:tc>
        <w:tc>
          <w:tcPr>
            <w:tcW w:type="dxa" w:w="266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7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右侧对象详情；同一视图快捷入口</w:t>
              <w:br/>
              <w:t>页 20</w:t>
            </w:r>
          </w:p>
        </w:tc>
      </w:tr>
    </w:tbl>
    <w:p>
      <w:pPr>
        <w:spacing w:after="40"/>
      </w:pPr>
    </w:p>
    <w:p>
      <w:r>
        <w:t>设置中的模型、小栖与对象历史属于快捷入口，分别打开 AI 或知识中的同一视图，不复制配置页面、凭据或会话。工作区布局、主题和性能偏好同样由共享服务持有。对象详情缺少对象时先选择对象，不显示编造的来源或版本。</w:t>
      </w:r>
    </w:p>
    <w:p>
      <w:pPr>
        <w:pStyle w:val="Heading2"/>
      </w:pPr>
      <w:r>
        <w:t>模型与接口的入口和绑定规则</w:t>
      </w:r>
    </w:p>
    <w:p>
      <w:r>
        <w:t>模型管理的主入口是 AI → 模型与连接。顶部“对话模型”打开当前会话的快捷选择器，设置提供同一中心的入口；小栖、研究与评测使用当前任务的模型选择。切换模型只影响之后的新请求，已经提交的任务与回执保留原模型身份。全局默认用途、工作区偏好与本次任务覆盖分别保存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4176"/>
        <w:gridCol w:w="4104"/>
      </w:tblGrid>
      <w:tr>
        <w:trPr>
          <w:tblHeader w:val="true"/>
          <w:cantSplit/>
        </w:trPr>
        <w:tc>
          <w:tcPr>
            <w:tcW w:type="dxa" w:w="333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24394D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b/>
                <w:color w:val="FFFFFF"/>
                <w:sz w:val="20"/>
              </w:rPr>
              <w:t>区域</w:t>
            </w:r>
          </w:p>
        </w:tc>
        <w:tc>
          <w:tcPr>
            <w:tcW w:type="dxa" w:w="333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24394D"/>
          </w:tcPr>
          <w:p>
            <w:pPr>
              <w:keepNext w:val="0"/>
              <w:spacing w:after="40" w:line="264" w:lineRule="auto"/>
            </w:pPr>
            <w:r>
              <w:rPr>
                <w:b/>
                <w:color w:val="FFFFFF"/>
                <w:sz w:val="20"/>
              </w:rPr>
              <w:t>现在必须完成的前端</w:t>
            </w:r>
          </w:p>
        </w:tc>
        <w:tc>
          <w:tcPr>
            <w:tcW w:type="dxa" w:w="333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24394D"/>
          </w:tcPr>
          <w:p>
            <w:pPr>
              <w:keepNext w:val="0"/>
              <w:spacing w:after="40" w:line="264" w:lineRule="auto"/>
            </w:pPr>
            <w:r>
              <w:rPr>
                <w:b/>
                <w:color w:val="FFFFFF"/>
                <w:sz w:val="20"/>
              </w:rPr>
              <w:t>真实接入所需合同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b w:val="0"/>
                <w:color w:val="000000"/>
                <w:sz w:val="20"/>
              </w:rPr>
              <w:t>API 服务</w:t>
            </w:r>
          </w:p>
        </w:tc>
        <w:tc>
          <w:tcPr>
            <w:tcW w:type="dxa" w:w="417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服务模板、地址、凭据、模型清单或模型 ID、用途、连接检查与试运行。</w:t>
            </w:r>
          </w:p>
        </w:tc>
        <w:tc>
          <w:tcPr>
            <w:tcW w:type="dxa" w:w="410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连接读取、凭据写入、模型发现、逐用途资格、配置修订。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7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b w:val="0"/>
                <w:color w:val="000000"/>
                <w:sz w:val="20"/>
              </w:rPr>
              <w:t>订阅与客户端</w:t>
            </w:r>
          </w:p>
        </w:tc>
        <w:tc>
          <w:tcPr>
            <w:tcW w:type="dxa" w:w="417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7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套餐或官方客户端类型、登录入口、身份状态、支持范围与解除连接。</w:t>
            </w:r>
          </w:p>
        </w:tc>
        <w:tc>
          <w:tcPr>
            <w:tcW w:type="dxa" w:w="410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7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官方认证或客户端适配；不把所有订阅统一当成通用 API。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b w:val="0"/>
                <w:color w:val="000000"/>
                <w:sz w:val="20"/>
              </w:rPr>
              <w:t>本地模型</w:t>
            </w:r>
          </w:p>
        </w:tc>
        <w:tc>
          <w:tcPr>
            <w:tcW w:type="dxa" w:w="417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已有运行服务、模型清单、体积、加载状态、资源与当前选择。</w:t>
            </w:r>
          </w:p>
        </w:tc>
        <w:tc>
          <w:tcPr>
            <w:tcW w:type="dxa" w:w="410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服务发现、真实清单、模型加载管理与调用；适配器不支持的动作禁用。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7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b w:val="0"/>
                <w:color w:val="000000"/>
                <w:sz w:val="20"/>
              </w:rPr>
              <w:t>用途绑定</w:t>
            </w:r>
          </w:p>
        </w:tc>
        <w:tc>
          <w:tcPr>
            <w:tcW w:type="dxa" w:w="417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7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对话陪学、研究、视觉、向量、重排、ASR 与 TTS 分别选服务和模型。</w:t>
            </w:r>
          </w:p>
        </w:tc>
        <w:tc>
          <w:tcPr>
            <w:tcW w:type="dxa" w:w="410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7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模型能力与任务输入兼容；向量变化先做索引检查与重建计划。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b w:val="0"/>
                <w:color w:val="000000"/>
                <w:sz w:val="20"/>
              </w:rPr>
              <w:t>用量与诊断</w:t>
            </w:r>
          </w:p>
        </w:tc>
        <w:tc>
          <w:tcPr>
            <w:tcW w:type="dxa" w:w="417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调用历史、延迟、故障、服务实际返回的用量与费用。</w:t>
            </w:r>
          </w:p>
        </w:tc>
        <w:tc>
          <w:tcPr>
            <w:tcW w:type="dxa" w:w="410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没有返回的数据保持未知，不编造余额、成本或已加载状态。</w:t>
            </w:r>
          </w:p>
        </w:tc>
      </w:tr>
    </w:tbl>
    <w:p>
      <w:pPr>
        <w:spacing w:after="40"/>
      </w:pPr>
    </w:p>
    <w:p>
      <w:r>
        <w:t>本地模型可以使用已有本机服务，无需为了接入再重复下载。连接必须显示实际执行目的地；本机转发服务也可能调用云模型，不能仅凭 localhost 地址宣称离线。本地失败不静默转云。首期先完成接已有服务、读取模型、选择用途和真实调用；自动安装、量化优化和大型模型部署延后。</w:t>
      </w:r>
    </w:p>
    <w:p>
      <w:r>
        <w:t>常用连接的收藏是对连接 ID 的引用。资源 → 外部服务与常用接口统一展示搜索文献、解析 OCR、语音、MCP 与自定义服务；模型类型跳到模型中心。资源 → 本机引擎与运行服务负责模块安装和健康；模型中心负责选择与用途。角色声音引用同一语音连接，不建立第二套账号和密钥管理。</w:t>
      </w:r>
    </w:p>
    <w:p>
      <w:r>
        <w:t>绑定操作顺序为选择模板、填地址和凭据、检查连接、读取模型或填写 ID、分配用途、显式试运行、保存。API 服务与订阅客户端采用不同适配器。密钥由宿主保管，只返回脱敏状态和 credential_ref，不进入布局、人物配置、普通日志或导出包。</w:t>
      </w:r>
    </w:p>
    <w:p>
      <w:r>
        <w:t>现行源码的 machine_configuration、machine_inventory 与本次回答模型选择可复用；spaceSections 中的 Provider 配置仍是 todo。配置读取和写入、凭据绑定、订阅认证、本地生命周期等合同要正式新增或适配。前端表单就绪不等于配置已落盘，也不自动证明真实推理成功。</w:t>
      </w:r>
    </w:p>
    <w:p>
      <w:pPr>
        <w:pStyle w:val="Heading2"/>
      </w:pPr>
      <w:r>
        <w:t>能力原始细则与入口映射</w:t>
      </w:r>
    </w:p>
    <w:p>
      <w:r>
        <w:t>保留主线 uiCapabilityIntent.ts 的 16 个能力族和全部 186 条原始设计细则。配套 JSON 给每条细则保存原文、来源 hash、所属族、主要导航落点和能力详情回退。以下表格按族呈现原文，不将历史设计意图转换成执行资格。未来 F00 至 F14 与互通 I1 至 I6 继续使用独立索引。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2376"/>
        <w:gridCol w:w="6120"/>
      </w:tblGrid>
      <w:tr>
        <w:trPr>
          <w:tblHeader w:val="true"/>
          <w:cantSplit/>
        </w:trPr>
        <w:tc>
          <w:tcPr>
            <w:tcW w:type="dxa" w:w="333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24394D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b/>
                <w:color w:val="FFFFFF"/>
                <w:sz w:val="20"/>
              </w:rPr>
              <w:t>能力族</w:t>
            </w:r>
          </w:p>
        </w:tc>
        <w:tc>
          <w:tcPr>
            <w:tcW w:type="dxa" w:w="333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24394D"/>
          </w:tcPr>
          <w:p>
            <w:pPr>
              <w:keepNext w:val="0"/>
              <w:spacing w:after="40" w:line="264" w:lineRule="auto"/>
            </w:pPr>
            <w:r>
              <w:rPr>
                <w:b/>
                <w:color w:val="FFFFFF"/>
                <w:sz w:val="20"/>
              </w:rPr>
              <w:t>主要日常落点</w:t>
            </w:r>
          </w:p>
        </w:tc>
        <w:tc>
          <w:tcPr>
            <w:tcW w:type="dxa" w:w="333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24394D"/>
          </w:tcPr>
          <w:p>
            <w:pPr>
              <w:keepNext w:val="0"/>
              <w:spacing w:after="40" w:line="264" w:lineRule="auto"/>
            </w:pPr>
            <w:r>
              <w:rPr>
                <w:b/>
                <w:color w:val="FFFFFF"/>
                <w:sz w:val="20"/>
              </w:rPr>
              <w:t>完整原始设计细则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b w:val="0"/>
                <w:color w:val="000000"/>
                <w:sz w:val="20"/>
              </w:rPr>
              <w:t>CAP-0010</w:t>
              <w:br/>
              <w:t>8 条</w:t>
            </w:r>
          </w:p>
        </w:tc>
        <w:tc>
          <w:tcPr>
            <w:tcW w:type="dxa" w:w="237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知识 → 知识库</w:t>
            </w:r>
          </w:p>
        </w:tc>
        <w:tc>
          <w:tcPr>
            <w:tcW w:type="dxa" w:w="612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原件 / CAS；捕获与导入；来源身份；稳定对象ID；不可变版本；原件与解释分开；普通草稿先保存；来源谱系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7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b w:val="0"/>
                <w:color w:val="000000"/>
                <w:sz w:val="20"/>
              </w:rPr>
              <w:t>CAP-0020</w:t>
              <w:br/>
              <w:t>17 条</w:t>
            </w:r>
          </w:p>
        </w:tc>
        <w:tc>
          <w:tcPr>
            <w:tcW w:type="dxa" w:w="237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7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资源 → 导入导出与互通</w:t>
            </w:r>
          </w:p>
        </w:tc>
        <w:tc>
          <w:tcPr>
            <w:tcW w:type="dxa" w:w="612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7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TXT / Markdown；文本PDF / 扫描PDF；图片 / OCR；DOCX / PPTX / XLSX；HTML / 网页；CSV / TSV；JSON / JSONL / YAML / TOML / XML；JSON Canvas；音频 / ASR；视频 / 字幕 / 抽帧；SRT / VTT；EPUB / EML；ZIP / TAR清点；旧Office / ODF / MHTML可选引擎；结构转换与锚点；损失与失败回执；冷启动与安装态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b w:val="0"/>
                <w:color w:val="000000"/>
                <w:sz w:val="20"/>
              </w:rPr>
              <w:t>CAP-0030</w:t>
              <w:br/>
              <w:t>8 条</w:t>
            </w:r>
          </w:p>
        </w:tc>
        <w:tc>
          <w:tcPr>
            <w:tcW w:type="dxa" w:w="237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知识 → 来源与证据</w:t>
            </w:r>
          </w:p>
        </w:tc>
        <w:tc>
          <w:tcPr>
            <w:tcW w:type="dxa" w:w="612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来源锚点；识别忠实度；专业依据；支持与反证；争议与不确定；适用时间与范围；来源独立性；用户采用独立判断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7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b w:val="0"/>
                <w:color w:val="000000"/>
                <w:sz w:val="20"/>
              </w:rPr>
              <w:t>CAP-0040</w:t>
              <w:br/>
              <w:t>16 条</w:t>
            </w:r>
          </w:p>
        </w:tc>
        <w:tc>
          <w:tcPr>
            <w:tcW w:type="dxa" w:w="237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7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学习 → 学习路径</w:t>
            </w:r>
          </w:p>
        </w:tc>
        <w:tc>
          <w:tcPr>
            <w:tcW w:type="dxa" w:w="612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7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诊断；先修与误区；可解释路线；认知负荷；记忆编码；间隔复习；主动提取；主动训练；技能实战；Teach-back；元认知；错误反馈；学习画像；长期巩固；Profile / Recipe / Event；真实学习与模拟分开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b w:val="0"/>
                <w:color w:val="000000"/>
                <w:sz w:val="20"/>
              </w:rPr>
              <w:t>CAP-0050</w:t>
              <w:br/>
              <w:t>13 条</w:t>
            </w:r>
          </w:p>
        </w:tc>
        <w:tc>
          <w:tcPr>
            <w:tcW w:type="dxa" w:w="237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AI → 项目记忆与上下文</w:t>
            </w:r>
          </w:p>
        </w:tc>
        <w:tc>
          <w:tcPr>
            <w:tcW w:type="dxa" w:w="612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项目记忆；知识包；跨会话 / 客户端上下文；规则与技能；观察与经验候选；来源与用途权限；独立评测；纠正与复测；有范围复用；使用回执；冲突与退化；修订与撤回；可选参数训练实验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7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b w:val="0"/>
                <w:color w:val="000000"/>
                <w:sz w:val="20"/>
              </w:rPr>
              <w:t>CAP-0060</w:t>
              <w:br/>
              <w:t>14 条</w:t>
            </w:r>
          </w:p>
        </w:tc>
        <w:tc>
          <w:tcPr>
            <w:tcW w:type="dxa" w:w="237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7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学习 → 课程与视觉教学</w:t>
            </w:r>
          </w:p>
        </w:tc>
        <w:tc>
          <w:tcPr>
            <w:tcW w:type="dxa" w:w="612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7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LER与Learning Compiler；课程目标与先修；固定知识与来源引用；图文与结构化场景；教学需求；表达方案；交付登记与用途采用；讲解与对照；练习 / 评分 / rubric；进度与依赖；离线降级；保存与迁出；反馈分责与版本修订；音视频 / PBL / coding 等形态分别验收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b w:val="0"/>
                <w:color w:val="000000"/>
                <w:sz w:val="20"/>
              </w:rPr>
              <w:t>CAP-0070</w:t>
              <w:br/>
              <w:t>9 条</w:t>
            </w:r>
          </w:p>
        </w:tc>
        <w:tc>
          <w:tcPr>
            <w:tcW w:type="dxa" w:w="237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学习 → 表达方案</w:t>
            </w:r>
          </w:p>
        </w:tc>
        <w:tc>
          <w:tcPr>
            <w:tcW w:type="dxa" w:w="612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动态解释；动画产物；参数仿真；单位与算法版本；初始条件；结果与实验记录；学习事件；Manim / 浏览器计算 / Python / WASM候选；各形态独立安全验收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7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b w:val="0"/>
                <w:color w:val="000000"/>
                <w:sz w:val="20"/>
              </w:rPr>
              <w:t>CAP-0080</w:t>
              <w:br/>
              <w:t>12 条</w:t>
            </w:r>
          </w:p>
        </w:tc>
        <w:tc>
          <w:tcPr>
            <w:tcW w:type="dxa" w:w="237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7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学习 → 画布与视觉表达</w:t>
            </w:r>
          </w:p>
        </w:tc>
        <w:tc>
          <w:tcPr>
            <w:tcW w:type="dxa" w:w="612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7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World / Room / Locus / Route；知识宫殿；2D / 文本降级；2.5D / 3D布局；知识ID与坐标；布局版本；资源许可；设备输入；学习事件与重启保存；VR / AR / XR；Three.js / R3F候选；Godot / OpenXR候选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b w:val="0"/>
                <w:color w:val="000000"/>
                <w:sz w:val="20"/>
              </w:rPr>
              <w:t>CAP-0090</w:t>
              <w:br/>
              <w:t>10 条</w:t>
            </w:r>
          </w:p>
        </w:tc>
        <w:tc>
          <w:tcPr>
            <w:tcW w:type="dxa" w:w="237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知识 → 研究空间</w:t>
            </w:r>
          </w:p>
        </w:tc>
        <w:tc>
          <w:tcPr>
            <w:tcW w:type="dxa" w:w="612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研究问题与范围；文献原文与摘要；假设与反证；方法与实验；结果 / Rubric / 未决；版本与研发项目；Crossref / OpenAlex；Zotero / PaperQA2；Asta / 科研Agent / Intern-S2 / 端砚；AstaBench / OpenScholar研究线索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7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b w:val="0"/>
                <w:color w:val="000000"/>
                <w:sz w:val="20"/>
              </w:rPr>
              <w:t>CAP-0100</w:t>
              <w:br/>
              <w:t>19 条</w:t>
            </w:r>
          </w:p>
        </w:tc>
        <w:tc>
          <w:tcPr>
            <w:tcW w:type="dxa" w:w="237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7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资源 → 导入导出与互通</w:t>
            </w:r>
          </w:p>
        </w:tc>
        <w:tc>
          <w:tcPr>
            <w:tcW w:type="dxa" w:w="612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7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功能等价；数据兼容；双向往返；持续增量互通；平台×版本×功能×方向×样本；基准 / 三方差异 / tombstone；冲突与恢复；人工课程包交换；五类交换合同；无损 / 等价 / 保全 / 有损 / 阻塞 / 未验证；Markdown / Obsidian / JSON Canvas；Notion / 思源 / Joplin / Logseq；Zotero / Anki；AFFiNE / AppFlowy / Outline / Docmost / Wiki.js / BookStack；Anytype / Trilium；Evernote / OneNote / 语雀 / 飞书 / Confluence；RAGFlow / FastGPT / MaxKB / Dify / WeKnora / Git研发资料；Apple Notes / Bear / Craft / Heptabase；Tana / Capacities / RemNote / Roam持续发现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b w:val="0"/>
                <w:color w:val="000000"/>
                <w:sz w:val="20"/>
              </w:rPr>
              <w:t>CAP-0110</w:t>
              <w:br/>
              <w:t>12 条</w:t>
            </w:r>
          </w:p>
        </w:tc>
        <w:tc>
          <w:tcPr>
            <w:tcW w:type="dxa" w:w="237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知识 → 双链与图谱</w:t>
            </w:r>
          </w:p>
        </w:tc>
        <w:tc>
          <w:tcPr>
            <w:tcW w:type="dxa" w:w="612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独立全文检索；中文检索策略；语义模型 / 维度 / 分块 / 哈希；混合检索与rerank；页面 / 块引用；双链 / 反链；别名 / 消歧 / 类型关系；未解决引用；人工 / 导入 / AI推断关系身份；局部图谱；版本依赖影响；多跳GraphRAG研究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7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b w:val="0"/>
                <w:color w:val="000000"/>
                <w:sz w:val="20"/>
              </w:rPr>
              <w:t>CAP-0120</w:t>
              <w:br/>
              <w:t>9 条</w:t>
            </w:r>
          </w:p>
        </w:tc>
        <w:tc>
          <w:tcPr>
            <w:tcW w:type="dxa" w:w="237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7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设置 → 通用与数据位置</w:t>
            </w:r>
          </w:p>
        </w:tc>
        <w:tc>
          <w:tcPr>
            <w:tcW w:type="dxa" w:w="612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7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Tauri正式桌面；统一React产品界面；宿主adapter；Windows显示缩放；快捷键与深链接；普通用户能力发现；浅色 / 深色 / 专注阅读；移动捕获 / 阅读 / 搜索 / 复习；可选协作与平台适配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b w:val="0"/>
                <w:color w:val="000000"/>
                <w:sz w:val="20"/>
              </w:rPr>
              <w:t>CAP-0130</w:t>
              <w:br/>
              <w:t>10 条</w:t>
            </w:r>
          </w:p>
        </w:tc>
        <w:tc>
          <w:tcPr>
            <w:tcW w:type="dxa" w:w="237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AI → 受限任务与回执</w:t>
            </w:r>
          </w:p>
        </w:tc>
        <w:tc>
          <w:tcPr>
            <w:tcW w:type="dxa" w:w="612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有限知识Job；主体与对象范围；步骤 / 预算；取消 / 检查点 / 回执；受限runner；Worker / Plugin / Skill / Provider / Tool身份；外部内容静态可信呈现；API / CLI / SDK / MCP；外部生产者与human guard；复杂编排WORK-LAB主责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7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b w:val="0"/>
                <w:color w:val="000000"/>
                <w:sz w:val="20"/>
              </w:rPr>
              <w:t>CAP-0140</w:t>
              <w:br/>
              <w:t>10 条</w:t>
            </w:r>
          </w:p>
        </w:tc>
        <w:tc>
          <w:tcPr>
            <w:tcW w:type="dxa" w:w="237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7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设置 → 备份与恢复</w:t>
            </w:r>
          </w:p>
        </w:tc>
        <w:tc>
          <w:tcPr>
            <w:tcW w:type="dxa" w:w="612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7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导出与可迁出；一致备份；独立副本恢复；文件同步 / 对象同步；三方冲突与撤回；迁移；发布与安装态；单人离线优先；Yjs不替代权限与认可；加密密钥恢复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b w:val="0"/>
                <w:color w:val="000000"/>
                <w:sz w:val="20"/>
              </w:rPr>
              <w:t>CAP-0150</w:t>
              <w:br/>
              <w:t>10 条</w:t>
            </w:r>
          </w:p>
        </w:tc>
        <w:tc>
          <w:tcPr>
            <w:tcW w:type="dxa" w:w="237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AI → 模型与连接</w:t>
            </w:r>
          </w:p>
        </w:tc>
        <w:tc>
          <w:tcPr>
            <w:tcW w:type="dxa" w:w="612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模型 / Provider；FAST / DEEP逻辑档位；本地8GB按需排队；预算 / 额度未知态；用途范围权限；数据出境 / 目的地；安全凭据引用；调用资格；无额度照常保存；参数训练实验资源与回滚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7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b w:val="0"/>
                <w:color w:val="000000"/>
                <w:sz w:val="20"/>
              </w:rPr>
              <w:t>CAP-0160</w:t>
              <w:br/>
              <w:t>9 条</w:t>
            </w:r>
          </w:p>
        </w:tc>
        <w:tc>
          <w:tcPr>
            <w:tcW w:type="dxa" w:w="237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7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学习 → 画布与视觉表达</w:t>
            </w:r>
          </w:p>
        </w:tc>
        <w:tc>
          <w:tcPr>
            <w:tcW w:type="dxa" w:w="612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7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可视化；画布；关系图 / 分步 / 对照；教学表达；记忆地图；空间投影；布局与知识真值分开；可信本地呈现；离线文本降级</w:t>
            </w:r>
          </w:p>
        </w:tc>
      </w:tr>
    </w:tbl>
    <w:p>
      <w:pPr>
        <w:spacing w:after="40"/>
      </w:pPr>
    </w:p>
    <w:p>
      <w:r>
        <w:t>一族可跨多个页面，例如模型预算进入模型中心、数据范围进入权限设置、普通保存进入阅读编辑。JSON 中按每条原文分别绑定入口。尚无具体操作视图时打开能力详情 18，保留参数合同、部署、原因和后续阶段；不会把未知能力变成可执行请求。日常菜单、完整目录、搜索与收藏都引用同一注册表和宿主状态。</w:t>
      </w:r>
    </w:p>
    <w:p>
      <w:pPr>
        <w:pStyle w:val="Heading2"/>
      </w:pPr>
      <w:r>
        <w:t>菜单与面板的确定行为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4608"/>
        <w:gridCol w:w="3600"/>
      </w:tblGrid>
      <w:tr>
        <w:trPr>
          <w:tblHeader w:val="true"/>
          <w:cantSplit/>
        </w:trPr>
        <w:tc>
          <w:tcPr>
            <w:tcW w:type="dxa" w:w="333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24394D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b/>
                <w:color w:val="FFFFFF"/>
                <w:sz w:val="20"/>
              </w:rPr>
              <w:t>点击类型</w:t>
            </w:r>
          </w:p>
        </w:tc>
        <w:tc>
          <w:tcPr>
            <w:tcW w:type="dxa" w:w="333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24394D"/>
          </w:tcPr>
          <w:p>
            <w:pPr>
              <w:keepNext w:val="0"/>
              <w:spacing w:after="40" w:line="264" w:lineRule="auto"/>
            </w:pPr>
            <w:r>
              <w:rPr>
                <w:b/>
                <w:color w:val="FFFFFF"/>
                <w:sz w:val="20"/>
              </w:rPr>
              <w:t>呈现规则</w:t>
            </w:r>
          </w:p>
        </w:tc>
        <w:tc>
          <w:tcPr>
            <w:tcW w:type="dxa" w:w="333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24394D"/>
          </w:tcPr>
          <w:p>
            <w:pPr>
              <w:keepNext w:val="0"/>
              <w:spacing w:after="40" w:line="264" w:lineRule="auto"/>
            </w:pPr>
            <w:r>
              <w:rPr>
                <w:b/>
                <w:color w:val="FFFFFF"/>
                <w:sz w:val="20"/>
              </w:rPr>
              <w:t>状态保留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b w:val="0"/>
                <w:color w:val="000000"/>
                <w:sz w:val="20"/>
              </w:rPr>
              <w:t>一级入口</w:t>
            </w:r>
          </w:p>
        </w:tc>
        <w:tc>
          <w:tcPr>
            <w:tcW w:type="dxa" w:w="460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展开当前领域的二级菜单；再次点击收起。</w:t>
            </w:r>
          </w:p>
        </w:tc>
        <w:tc>
          <w:tcPr>
            <w:tcW w:type="dxa" w:w="360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菜单不作为永久窗口保存。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7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b w:val="0"/>
                <w:color w:val="000000"/>
                <w:sz w:val="20"/>
              </w:rPr>
              <w:t>二级模块</w:t>
            </w:r>
          </w:p>
        </w:tc>
        <w:tc>
          <w:tcPr>
            <w:tcW w:type="dxa" w:w="460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7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打开或聚焦对应主视图，展示所属三级功能。</w:t>
            </w:r>
          </w:p>
        </w:tc>
        <w:tc>
          <w:tcPr>
            <w:tcW w:type="dxa" w:w="360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7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单实例管理中心不重复创建。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b w:val="0"/>
                <w:color w:val="000000"/>
                <w:sz w:val="20"/>
              </w:rPr>
              <w:t>三级功能</w:t>
            </w:r>
          </w:p>
        </w:tc>
        <w:tc>
          <w:tcPr>
            <w:tcW w:type="dxa" w:w="460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切换当前模块的页签、区域或流程步骤。</w:t>
            </w:r>
          </w:p>
        </w:tc>
        <w:tc>
          <w:tcPr>
            <w:tcW w:type="dxa" w:w="360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不丢已有输入，不默认新建窗口。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7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b w:val="0"/>
                <w:color w:val="000000"/>
                <w:sz w:val="20"/>
              </w:rPr>
              <w:t>具体对象</w:t>
            </w:r>
          </w:p>
        </w:tc>
        <w:tc>
          <w:tcPr>
            <w:tcW w:type="dxa" w:w="460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7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在当前工作区打开对象；可明确选择并排比较。</w:t>
            </w:r>
          </w:p>
        </w:tc>
        <w:tc>
          <w:tcPr>
            <w:tcW w:type="dxa" w:w="360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7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实例键包含对象和会话；同文档共享编辑状态。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b w:val="0"/>
                <w:color w:val="000000"/>
                <w:sz w:val="20"/>
              </w:rPr>
              <w:t>来源与版本</w:t>
            </w:r>
          </w:p>
        </w:tc>
        <w:tc>
          <w:tcPr>
            <w:tcW w:type="dxa" w:w="460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右侧对象详情；需要对照时允许固定或转面板。</w:t>
            </w:r>
          </w:p>
        </w:tc>
        <w:tc>
          <w:tcPr>
            <w:tcW w:type="dxa" w:w="360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跟随或锁定对象与版本。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7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b w:val="0"/>
                <w:color w:val="000000"/>
                <w:sz w:val="20"/>
              </w:rPr>
              <w:t>能力与未来项</w:t>
            </w:r>
          </w:p>
        </w:tc>
        <w:tc>
          <w:tcPr>
            <w:tcW w:type="dxa" w:w="460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7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分类列表更新同一详情；说明配置与不可执行原因。</w:t>
            </w:r>
          </w:p>
        </w:tc>
        <w:tc>
          <w:tcPr>
            <w:tcW w:type="dxa" w:w="360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7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不将全能力窗口一次展开。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b w:val="0"/>
                <w:color w:val="000000"/>
                <w:sz w:val="20"/>
              </w:rPr>
              <w:t>小栖呈现切换</w:t>
            </w:r>
          </w:p>
        </w:tc>
        <w:tc>
          <w:tcPr>
            <w:tcW w:type="dxa" w:w="460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主页、嵌入、面板共用会话；一次一个音频所有者。</w:t>
            </w:r>
          </w:p>
        </w:tc>
        <w:tc>
          <w:tcPr>
            <w:tcW w:type="dxa" w:w="360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不重复调用模型，不复制长期记忆。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7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b w:val="0"/>
                <w:color w:val="000000"/>
                <w:sz w:val="20"/>
              </w:rPr>
              <w:t>布局变更</w:t>
            </w:r>
          </w:p>
        </w:tc>
        <w:tc>
          <w:tcPr>
            <w:tcW w:type="dxa" w:w="460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7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停靠、浮动、缩放、保存与恢复；窄屏采用单主视图。</w:t>
            </w:r>
          </w:p>
        </w:tc>
        <w:tc>
          <w:tcPr>
            <w:tcW w:type="dxa" w:w="360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7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关闭与重置不清草稿、对话或已提交任务。</w:t>
            </w:r>
          </w:p>
        </w:tc>
      </w:tr>
    </w:tbl>
    <w:p>
      <w:pPr>
        <w:spacing w:after="40"/>
      </w:pPr>
    </w:p>
    <w:p>
      <w:r>
        <w:t>顶部工作区与项目选择、全局搜索、右侧上下文工具和底部对话是应用固定区域；它们不混入左侧领域层级。跨项目状态由远端正式系统持有。WORKLAB Observer 只读，设计编辑回 DESIGNLAB 的原生宿主。隐藏面板暂停昂贵绘制；后台已提交任务继续由任务服务管理。</w:t>
      </w:r>
    </w:p>
    <w:p>
      <w:pPr>
        <w:pStyle w:val="Heading2"/>
      </w:pPr>
      <w:r>
        <w:t>结构覆盖检查</w:t>
      </w:r>
    </w:p>
    <w:p>
      <w:r>
        <w:t>本次检查通过：22 页都有导航映射，16 个能力族分类唯一，186 条原文按顺序完整保留，每条都有有效落点；15 个未来目标和 6 个互通目标保留；设置快捷入口解析到同一视图；菜单 ID 唯一；正式标签不包含 AAOS；模型中心五个区域齐全。该检查证明设计映射完整，不代替原生运行、后台资格或用户体验测试。</w:t>
      </w:r>
    </w:p>
    <w:p>
      <w:r>
        <w:t>实施门槛：将这份设计注册表转为项目正式 typed registry 与 contract 后，通过路由、键盘与焦点、对象实例、模型绑定、状态、恢复、性能和真实闭环验收。此处列出的拟议职责与 schema 不是现有通用执行 API。开发 fixture 只用于验证状态，不进入正式资料和回执。</w:t>
      </w:r>
    </w:p>
    <w:p>
      <w:pPr>
        <w:pStyle w:val="Heading1"/>
      </w:pPr>
      <w:r>
        <w:t>3 状态灯的判定与文字</w:t>
      </w:r>
    </w:p>
    <w:p>
      <w:r>
        <w:t>按用户要求，菜单文字下方使用短状态文字与柔和灯光。灯光不闪烁。主灯表示当前动作是否就绪；详情中的阶段标签说明代码映射与验证范围。颜色必须配文字，避免色觉差异和“红色究竟意味着什么”的歧义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3024"/>
        <w:gridCol w:w="5256"/>
      </w:tblGrid>
      <w:tr>
        <w:trPr>
          <w:tblHeader w:val="true"/>
          <w:cantSplit/>
        </w:trPr>
        <w:tc>
          <w:tcPr>
            <w:tcW w:type="dxa" w:w="333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24394D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b/>
                <w:color w:val="FFFFFF"/>
                <w:sz w:val="20"/>
              </w:rPr>
              <w:t>灯光</w:t>
            </w:r>
          </w:p>
        </w:tc>
        <w:tc>
          <w:tcPr>
            <w:tcW w:type="dxa" w:w="333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24394D"/>
          </w:tcPr>
          <w:p>
            <w:pPr>
              <w:keepNext w:val="0"/>
              <w:spacing w:after="40" w:line="264" w:lineRule="auto"/>
            </w:pPr>
            <w:r>
              <w:rPr>
                <w:b/>
                <w:color w:val="FFFFFF"/>
                <w:sz w:val="20"/>
              </w:rPr>
              <w:t>主状态文字</w:t>
            </w:r>
          </w:p>
        </w:tc>
        <w:tc>
          <w:tcPr>
            <w:tcW w:type="dxa" w:w="333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24394D"/>
          </w:tcPr>
          <w:p>
            <w:pPr>
              <w:keepNext w:val="0"/>
              <w:spacing w:after="40" w:line="264" w:lineRule="auto"/>
            </w:pPr>
            <w:r>
              <w:rPr>
                <w:b/>
                <w:color w:val="FFFFFF"/>
                <w:sz w:val="20"/>
              </w:rPr>
              <w:t>进入行为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b w:val="0"/>
                <w:color w:val="000000"/>
                <w:sz w:val="20"/>
              </w:rPr>
              <w:t>绿色</w:t>
            </w:r>
          </w:p>
        </w:tc>
        <w:tc>
          <w:tcPr>
            <w:tcW w:type="dxa" w:w="302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已就绪</w:t>
            </w:r>
          </w:p>
        </w:tc>
        <w:tc>
          <w:tcPr>
            <w:tcW w:type="dxa" w:w="525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该具体操作的实现、依赖、连接、资格和权限检查通过，才允许执行。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7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b w:val="0"/>
                <w:color w:val="000000"/>
                <w:sz w:val="20"/>
              </w:rPr>
              <w:t>红色</w:t>
            </w:r>
          </w:p>
        </w:tc>
        <w:tc>
          <w:tcPr>
            <w:tcW w:type="dxa" w:w="302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7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未实现 或 未安装 或 未接入</w:t>
            </w:r>
          </w:p>
        </w:tc>
        <w:tc>
          <w:tcPr>
            <w:tcW w:type="dxa" w:w="525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7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可浏览说明和缺失项；执行不可用。三者文字不同。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b w:val="0"/>
                <w:color w:val="000000"/>
                <w:sz w:val="20"/>
              </w:rPr>
              <w:t>红色</w:t>
            </w:r>
          </w:p>
        </w:tc>
        <w:tc>
          <w:tcPr>
            <w:tcW w:type="dxa" w:w="302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运行异常</w:t>
            </w:r>
          </w:p>
        </w:tc>
        <w:tc>
          <w:tcPr>
            <w:tcW w:type="dxa" w:w="525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展示错误、上次成功时间和可用恢复动作；与未来预留区分。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7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b w:val="0"/>
                <w:color w:val="000000"/>
                <w:sz w:val="20"/>
              </w:rPr>
              <w:t>红色</w:t>
            </w:r>
          </w:p>
        </w:tc>
        <w:tc>
          <w:tcPr>
            <w:tcW w:type="dxa" w:w="302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7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未授权</w:t>
            </w:r>
          </w:p>
        </w:tc>
        <w:tc>
          <w:tcPr>
            <w:tcW w:type="dxa" w:w="525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7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说明所需权限与可用只读范围；由宿主处理授权。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b w:val="0"/>
                <w:color w:val="000000"/>
                <w:sz w:val="20"/>
              </w:rPr>
              <w:t>琥珀色</w:t>
            </w:r>
          </w:p>
        </w:tc>
        <w:tc>
          <w:tcPr>
            <w:tcW w:type="dxa" w:w="302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待验证 或 状态过期 或 部分可用</w:t>
            </w:r>
          </w:p>
        </w:tc>
        <w:tc>
          <w:tcPr>
            <w:tcW w:type="dxa" w:w="525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保留原因；仅允许已证实的有限操作。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7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b w:val="0"/>
                <w:color w:val="000000"/>
                <w:sz w:val="20"/>
              </w:rPr>
              <w:t>红色加未来标记</w:t>
            </w:r>
          </w:p>
        </w:tc>
        <w:tc>
          <w:tcPr>
            <w:tcW w:type="dxa" w:w="302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7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后续实施</w:t>
            </w:r>
          </w:p>
        </w:tc>
        <w:tc>
          <w:tcPr>
            <w:tcW w:type="dxa" w:w="525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7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保留目标和接口；本轮不启动安装或执行。</w:t>
            </w:r>
          </w:p>
        </w:tc>
      </w:tr>
    </w:tbl>
    <w:p>
      <w:pPr>
        <w:spacing w:after="40"/>
      </w:pPr>
    </w:p>
    <w:p>
      <w:r>
        <w:t>现有 implemented true 只证明页面路由挂接；core_native 与 worker_backed 只证明实现映射。它们不能单独驱动“已就绪”主灯。在结构演示里可以出现绿色“入口已挂接”或“实现已映射”，但同处显示琥珀色“运行待核验”，且明确未接运行探测。生产菜单必须用宿主返回的实际状态。</w:t>
      </w:r>
    </w:p>
    <w:p>
      <w:r>
        <w:t>父级菜单不因一个子项就绪就全绿。以当前范围内的子项汇总“全部就绪”“部分就绪”“待核验”“尚未就绪”，未来项单列数量与入口。聚合忽略用户无权获知的私有条目；不会把目录声明变成授权。</w:t>
      </w:r>
    </w:p>
    <w:p>
      <w:pPr>
        <w:spacing w:after="180" w:line="252" w:lineRule="auto"/>
      </w:pPr>
      <w:r>
        <w:rPr>
          <w:sz w:val="19"/>
        </w:rPr>
        <w:t>主灯判定顺序</w:t>
        <w:br/>
        <w:t>1 未来延期或明确缺少实现、安装、连接 → 红色具体原因</w:t>
        <w:br/>
        <w:t>2 运行异常或明确未获授权 → 红色具体原因</w:t>
        <w:br/>
        <w:t>3 资格未知、状态过期、对象前置条件不足 → 琥珀色</w:t>
        <w:br/>
        <w:t>4 实现、依赖、连接、资格、权限和对象检查均通过 → 绿色</w:t>
        <w:br/>
        <w:br/>
        <w:t>执行前重新检查；UI 绿灯不能代替宿主授权。</w:t>
      </w:r>
    </w:p>
    <w:p>
      <w:pPr>
        <w:pStyle w:val="Heading1"/>
      </w:pPr>
      <w:r>
        <w:t>4 面板和会话规则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3240"/>
        <w:gridCol w:w="4896"/>
      </w:tblGrid>
      <w:tr>
        <w:trPr>
          <w:tblHeader w:val="true"/>
          <w:cantSplit/>
        </w:trPr>
        <w:tc>
          <w:tcPr>
            <w:tcW w:type="dxa" w:w="333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24394D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b/>
                <w:color w:val="FFFFFF"/>
                <w:sz w:val="20"/>
              </w:rPr>
              <w:t>类型</w:t>
            </w:r>
          </w:p>
        </w:tc>
        <w:tc>
          <w:tcPr>
            <w:tcW w:type="dxa" w:w="333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24394D"/>
          </w:tcPr>
          <w:p>
            <w:pPr>
              <w:keepNext w:val="0"/>
              <w:spacing w:after="40" w:line="264" w:lineRule="auto"/>
            </w:pPr>
            <w:r>
              <w:rPr>
                <w:b/>
                <w:color w:val="FFFFFF"/>
                <w:sz w:val="20"/>
              </w:rPr>
              <w:t>实例键</w:t>
            </w:r>
          </w:p>
        </w:tc>
        <w:tc>
          <w:tcPr>
            <w:tcW w:type="dxa" w:w="333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24394D"/>
          </w:tcPr>
          <w:p>
            <w:pPr>
              <w:keepNext w:val="0"/>
              <w:spacing w:after="40" w:line="264" w:lineRule="auto"/>
            </w:pPr>
            <w:r>
              <w:rPr>
                <w:b/>
                <w:color w:val="FFFFFF"/>
                <w:sz w:val="20"/>
              </w:rPr>
              <w:t>生命周期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b w:val="0"/>
                <w:color w:val="000000"/>
                <w:sz w:val="20"/>
              </w:rPr>
              <w:t>文档编辑</w:t>
            </w:r>
          </w:p>
        </w:tc>
        <w:tc>
          <w:tcPr>
            <w:tcW w:type="dxa" w:w="324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workspace 与 document</w:t>
            </w:r>
          </w:p>
        </w:tc>
        <w:tc>
          <w:tcPr>
            <w:tcW w:type="dxa" w:w="489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同一文档共用编辑会话；第二视图共享或只读。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7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b w:val="0"/>
                <w:color w:val="000000"/>
                <w:sz w:val="20"/>
              </w:rPr>
              <w:t>研究与学习</w:t>
            </w:r>
          </w:p>
        </w:tc>
        <w:tc>
          <w:tcPr>
            <w:tcW w:type="dxa" w:w="324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7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workspace 与 task 或 research</w:t>
            </w:r>
          </w:p>
        </w:tc>
        <w:tc>
          <w:tcPr>
            <w:tcW w:type="dxa" w:w="489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7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任务绑定；切换视图不重建任务。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b w:val="0"/>
                <w:color w:val="000000"/>
                <w:sz w:val="20"/>
              </w:rPr>
              <w:t>来源与版本</w:t>
            </w:r>
          </w:p>
        </w:tc>
        <w:tc>
          <w:tcPr>
            <w:tcW w:type="dxa" w:w="324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object 与 revision</w:t>
            </w:r>
          </w:p>
        </w:tc>
        <w:tc>
          <w:tcPr>
            <w:tcW w:type="dxa" w:w="489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跟随对象或由用户锁定；允许只读对照。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7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b w:val="0"/>
                <w:color w:val="000000"/>
                <w:sz w:val="20"/>
              </w:rPr>
              <w:t>能力目录</w:t>
            </w:r>
          </w:p>
        </w:tc>
        <w:tc>
          <w:tcPr>
            <w:tcW w:type="dxa" w:w="324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7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workspace 的单实例目录</w:t>
            </w:r>
          </w:p>
        </w:tc>
        <w:tc>
          <w:tcPr>
            <w:tcW w:type="dxa" w:w="489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7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分类与详情在同一主视图内切换。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b w:val="0"/>
                <w:color w:val="000000"/>
                <w:sz w:val="20"/>
              </w:rPr>
              <w:t>受控 AI</w:t>
            </w:r>
          </w:p>
        </w:tc>
        <w:tc>
          <w:tcPr>
            <w:tcW w:type="dxa" w:w="324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workspace 与 journey</w:t>
            </w:r>
          </w:p>
        </w:tc>
        <w:tc>
          <w:tcPr>
            <w:tcW w:type="dxa" w:w="489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13、14、22 共享正式旅程与回执。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7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b w:val="0"/>
                <w:color w:val="000000"/>
                <w:sz w:val="20"/>
              </w:rPr>
              <w:t>小栖</w:t>
            </w:r>
          </w:p>
        </w:tc>
        <w:tc>
          <w:tcPr>
            <w:tcW w:type="dxa" w:w="324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7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workspace 与 character 与 session</w:t>
            </w:r>
          </w:p>
        </w:tc>
        <w:tc>
          <w:tcPr>
            <w:tcW w:type="dxa" w:w="489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7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多呈现共用会话；一次一个活动角色渲染器。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b w:val="0"/>
                <w:color w:val="000000"/>
                <w:sz w:val="20"/>
              </w:rPr>
              <w:t>项目关联</w:t>
            </w:r>
          </w:p>
        </w:tc>
        <w:tc>
          <w:tcPr>
            <w:tcW w:type="dxa" w:w="324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project 与 remote object</w:t>
            </w:r>
          </w:p>
        </w:tc>
        <w:tc>
          <w:tcPr>
            <w:tcW w:type="dxa" w:w="489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只读投影；正式状态归远端项目。</w:t>
            </w:r>
          </w:p>
        </w:tc>
      </w:tr>
    </w:tbl>
    <w:p>
      <w:pPr>
        <w:spacing w:after="40"/>
      </w:pPr>
    </w:p>
    <w:p>
      <w:r>
        <w:t>菜单和选择器是临时展开，不保存为永久窗口。长时间工作内容是主面板，来源与工具是辅助面板，导入导出是连续流程视图，权限确认是专门对话框。多数操作更新当前视图，只有需要并排比较的对象才新开面板。再次打开单实例只聚焦。</w:t>
      </w:r>
    </w:p>
    <w:p>
      <w:r>
        <w:t>关面板只结束呈现，保留草稿、会话和已提交任务；停止任务另有动作。布局和草稿分别持久化，各自有 schema_version、revision 与恢复结果。WorkingState 不随意加字段，新布局偏好合同经有限桥交 Core 唯一写入者。关闭程序与崩溃恢复必须真实集成验证，当前演示只在页面内保留。</w:t>
      </w:r>
    </w:p>
    <w:p>
      <w:pPr>
        <w:pStyle w:val="Heading1"/>
      </w:pPr>
      <w:r>
        <w:t>5 前后端接口定稿边界</w:t>
      </w:r>
    </w:p>
    <w:p>
      <w:r>
        <w:t>UI v1 端口是本轮确定的逻辑合同名，尚不是仓库现有 HTTP route 或 Tauri command 名。实施者需要把下列端口登记进正式 contracts 和有限桥，并编写跨版本测试；不能另起泛用执行通道。接口新增只扩展已授权范围。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4320"/>
        <w:gridCol w:w="3240"/>
      </w:tblGrid>
      <w:tr>
        <w:trPr>
          <w:tblHeader w:val="true"/>
          <w:cantSplit/>
        </w:trPr>
        <w:tc>
          <w:tcPr>
            <w:tcW w:type="dxa" w:w="333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24394D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b/>
                <w:color w:val="FFFFFF"/>
                <w:sz w:val="20"/>
              </w:rPr>
              <w:t>逻辑端口</w:t>
            </w:r>
          </w:p>
        </w:tc>
        <w:tc>
          <w:tcPr>
            <w:tcW w:type="dxa" w:w="333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24394D"/>
          </w:tcPr>
          <w:p>
            <w:pPr>
              <w:keepNext w:val="0"/>
              <w:spacing w:after="40" w:line="264" w:lineRule="auto"/>
            </w:pPr>
            <w:r>
              <w:rPr>
                <w:b/>
                <w:color w:val="FFFFFF"/>
                <w:sz w:val="20"/>
              </w:rPr>
              <w:t>输入与返回</w:t>
            </w:r>
          </w:p>
        </w:tc>
        <w:tc>
          <w:tcPr>
            <w:tcW w:type="dxa" w:w="333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24394D"/>
          </w:tcPr>
          <w:p>
            <w:pPr>
              <w:keepNext w:val="0"/>
              <w:spacing w:after="40" w:line="264" w:lineRule="auto"/>
            </w:pPr>
            <w:r>
              <w:rPr>
                <w:b/>
                <w:color w:val="FFFFFF"/>
                <w:sz w:val="20"/>
              </w:rPr>
              <w:t>主要责任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readCapabilityCatalog</w:t>
            </w:r>
          </w:p>
        </w:tc>
        <w:tc>
          <w:tcPr>
            <w:tcW w:type="dxa" w:w="432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分类、namespace、分页；能力与来源描述。</w:t>
            </w:r>
          </w:p>
        </w:tc>
        <w:tc>
          <w:tcPr>
            <w:tcW w:type="dxa" w:w="324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目录只读投影，前端负责筛选与呈现。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7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readCapabilityStatus</w:t>
            </w:r>
          </w:p>
        </w:tc>
        <w:tc>
          <w:tcPr>
            <w:tcW w:type="dxa" w:w="432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7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capability、operation、scope；状态快照。</w:t>
            </w:r>
          </w:p>
        </w:tc>
        <w:tc>
          <w:tcPr>
            <w:tcW w:type="dxa" w:w="324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7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宿主探测与资格服务，不由 CSS 假造。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readConfigurationPlan</w:t>
            </w:r>
          </w:p>
        </w:tc>
        <w:tc>
          <w:tcPr>
            <w:tcW w:type="dxa" w:w="432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能力和部署形态；缺失配置与变更预览。</w:t>
            </w:r>
          </w:p>
        </w:tc>
        <w:tc>
          <w:tcPr>
            <w:tcW w:type="dxa" w:w="324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后端计算依赖；前端展示影响与选择。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7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b w:val="0"/>
                <w:color w:val="000000"/>
                <w:sz w:val="20"/>
              </w:rPr>
              <w:t>applyConfiguration</w:t>
            </w:r>
          </w:p>
        </w:tc>
        <w:tc>
          <w:tcPr>
            <w:tcW w:type="dxa" w:w="432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7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变更、expected_revision、授权引用；结果。</w:t>
            </w:r>
          </w:p>
        </w:tc>
        <w:tc>
          <w:tcPr>
            <w:tcW w:type="dxa" w:w="324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7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宿主验证、写入与回执。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b w:val="0"/>
                <w:color w:val="000000"/>
                <w:sz w:val="20"/>
              </w:rPr>
              <w:t>readDeploymentPlan</w:t>
            </w:r>
          </w:p>
        </w:tc>
        <w:tc>
          <w:tcPr>
            <w:tcW w:type="dxa" w:w="432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版本和目标；安装依赖、来源、空间、步骤。</w:t>
            </w:r>
          </w:p>
        </w:tc>
        <w:tc>
          <w:tcPr>
            <w:tcW w:type="dxa" w:w="324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只读计划，不自动安装。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7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b w:val="0"/>
                <w:color w:val="000000"/>
                <w:sz w:val="20"/>
              </w:rPr>
              <w:t>executeDeployment</w:t>
            </w:r>
          </w:p>
        </w:tc>
        <w:tc>
          <w:tcPr>
            <w:tcW w:type="dxa" w:w="432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7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已确认计划、幂等键与授权；job_ref。</w:t>
            </w:r>
          </w:p>
        </w:tc>
        <w:tc>
          <w:tcPr>
            <w:tcW w:type="dxa" w:w="324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7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隔离安装任务、校验、资格探测和回滚。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b w:val="0"/>
                <w:color w:val="000000"/>
                <w:sz w:val="20"/>
              </w:rPr>
              <w:t>requestAction</w:t>
            </w:r>
          </w:p>
        </w:tc>
        <w:tc>
          <w:tcPr>
            <w:tcW w:type="dxa" w:w="432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对象、operation、上下文、幂等键与授权。</w:t>
            </w:r>
          </w:p>
        </w:tc>
        <w:tc>
          <w:tcPr>
            <w:tcW w:type="dxa" w:w="324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Core 或远端正式执行链。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7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readReceipt 与 cancelAction</w:t>
            </w:r>
          </w:p>
        </w:tc>
        <w:tc>
          <w:tcPr>
            <w:tcW w:type="dxa" w:w="432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7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job_ref、request_id；明确状态与回执。</w:t>
            </w:r>
          </w:p>
        </w:tc>
        <w:tc>
          <w:tcPr>
            <w:tcW w:type="dxa" w:w="324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7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结果未知先查询，避免重复执行。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readLayout 与 writeLayout</w:t>
            </w:r>
          </w:p>
        </w:tc>
        <w:tc>
          <w:tcPr>
            <w:tcW w:type="dxa" w:w="432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workspace、布局、expected_revision。</w:t>
            </w:r>
          </w:p>
        </w:tc>
        <w:tc>
          <w:tcPr>
            <w:tcW w:type="dxa" w:w="324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布局偏好单独 CAS 保存。</w:t>
            </w:r>
          </w:p>
        </w:tc>
      </w:tr>
    </w:tbl>
    <w:p>
      <w:pPr>
        <w:spacing w:after="40"/>
      </w:pPr>
    </w:p>
    <w:p>
      <w:r>
        <w:t>前端仍需实现注册表、懒加载、导航、面板、错误与空状态、恢复订阅和测试；后端负责真实运行、状态探测、依赖部署、配置写入、授权与回执。不是把所有余项笼统丢给后端。双方共同实现合同和原生验收。</w:t>
      </w:r>
    </w:p>
    <w:p>
      <w:pPr>
        <w:pStyle w:val="Heading2"/>
      </w:pPr>
      <w:r>
        <w:t>必要字段</w:t>
      </w:r>
    </w:p>
    <w:p>
      <w:pPr>
        <w:spacing w:after="180" w:line="252" w:lineRule="auto"/>
      </w:pPr>
      <w:r>
        <w:rPr>
          <w:sz w:val="19"/>
        </w:rPr>
        <w:t>CapabilityDescriptor v1</w:t>
        <w:br/>
        <w:t>namespace, capability_id, label, category_id, source_ref,</w:t>
        <w:br/>
        <w:t>implementation_state, operation_ids, panel_kind, input_types,</w:t>
        <w:br/>
        <w:t>dependency_refs, configuration_ref, deployment_ref, roadmap_ref</w:t>
        <w:br/>
        <w:br/>
        <w:t>CapabilityStatus v1</w:t>
        <w:br/>
        <w:t>capability_id, operation_id, scope_ref, build_identity,</w:t>
        <w:br/>
        <w:t>installed, connected, health, qualification, authorized,</w:t>
        <w:br/>
        <w:t>ready, reason_code, checked_at, expires_at, status_revision</w:t>
        <w:br/>
        <w:br/>
        <w:t>PanelDescriptor v1</w:t>
        <w:br/>
        <w:t>kind, page_ids, instance_policy, object_types, component_key,</w:t>
        <w:br/>
        <w:t>default_slot, min_size, visibility_policy, close_policy,</w:t>
        <w:br/>
        <w:t>restore_policy, performance_class</w:t>
        <w:br/>
        <w:br/>
        <w:t>未知字段不得默认为 true；component_key 只能解析到已登记组件。</w:t>
      </w:r>
    </w:p>
    <w:p>
      <w:pPr>
        <w:pStyle w:val="Heading1"/>
      </w:pPr>
      <w:r>
        <w:t>6 配置和部署界面</w:t>
      </w:r>
    </w:p>
    <w:p>
      <w:r>
        <w:t>统一的能力详情包含用途、当前状态、前置条件、配置、部署、来源与未来阶段。全局设置提供模型与 Provider、worker 与扩展、项目连接、角色与音频、主题布局和恢复；能力详情可直接跳到对应项。密钥由宿主保管，布局与状态接口不返回原始密钥。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4896"/>
        <w:gridCol w:w="3312"/>
      </w:tblGrid>
      <w:tr>
        <w:trPr>
          <w:tblHeader w:val="true"/>
          <w:cantSplit/>
        </w:trPr>
        <w:tc>
          <w:tcPr>
            <w:tcW w:type="dxa" w:w="333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24394D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b/>
                <w:color w:val="FFFFFF"/>
                <w:sz w:val="20"/>
              </w:rPr>
              <w:t>阶段</w:t>
            </w:r>
          </w:p>
        </w:tc>
        <w:tc>
          <w:tcPr>
            <w:tcW w:type="dxa" w:w="333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24394D"/>
          </w:tcPr>
          <w:p>
            <w:pPr>
              <w:keepNext w:val="0"/>
              <w:spacing w:after="40" w:line="264" w:lineRule="auto"/>
            </w:pPr>
            <w:r>
              <w:rPr>
                <w:b/>
                <w:color w:val="FFFFFF"/>
                <w:sz w:val="20"/>
              </w:rPr>
              <w:t>用户看到的内容</w:t>
            </w:r>
          </w:p>
        </w:tc>
        <w:tc>
          <w:tcPr>
            <w:tcW w:type="dxa" w:w="333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24394D"/>
          </w:tcPr>
          <w:p>
            <w:pPr>
              <w:keepNext w:val="0"/>
              <w:spacing w:after="40" w:line="264" w:lineRule="auto"/>
            </w:pPr>
            <w:r>
              <w:rPr>
                <w:b/>
                <w:color w:val="FFFFFF"/>
                <w:sz w:val="20"/>
              </w:rPr>
              <w:t>下一步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b w:val="0"/>
                <w:color w:val="000000"/>
                <w:sz w:val="20"/>
              </w:rPr>
              <w:t>检查</w:t>
            </w:r>
          </w:p>
        </w:tc>
        <w:tc>
          <w:tcPr>
            <w:tcW w:type="dxa" w:w="489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版本、当前连接、资格与缺失项。</w:t>
            </w:r>
          </w:p>
        </w:tc>
        <w:tc>
          <w:tcPr>
            <w:tcW w:type="dxa" w:w="331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显示可用动作或只读原因。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7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b w:val="0"/>
                <w:color w:val="000000"/>
                <w:sz w:val="20"/>
              </w:rPr>
              <w:t>配置预览</w:t>
            </w:r>
          </w:p>
        </w:tc>
        <w:tc>
          <w:tcPr>
            <w:tcW w:type="dxa" w:w="489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7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输入位置、作用域、输出去向与变更。</w:t>
            </w:r>
          </w:p>
        </w:tc>
        <w:tc>
          <w:tcPr>
            <w:tcW w:type="dxa" w:w="331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7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提交经权限检查的配置。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b w:val="0"/>
                <w:color w:val="000000"/>
                <w:sz w:val="20"/>
              </w:rPr>
              <w:t>部署计划</w:t>
            </w:r>
          </w:p>
        </w:tc>
        <w:tc>
          <w:tcPr>
            <w:tcW w:type="dxa" w:w="489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来源、版本、hash、大小、依赖和步骤。</w:t>
            </w:r>
          </w:p>
        </w:tc>
        <w:tc>
          <w:tcPr>
            <w:tcW w:type="dxa" w:w="331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用户确认后才启动安装任务。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7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b w:val="0"/>
                <w:color w:val="000000"/>
                <w:sz w:val="20"/>
              </w:rPr>
              <w:t>安装与校验</w:t>
            </w:r>
          </w:p>
        </w:tc>
        <w:tc>
          <w:tcPr>
            <w:tcW w:type="dxa" w:w="489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7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明确进度、失败与取消结果。</w:t>
            </w:r>
          </w:p>
        </w:tc>
        <w:tc>
          <w:tcPr>
            <w:tcW w:type="dxa" w:w="331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7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执行真实资格探测。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b w:val="0"/>
                <w:color w:val="000000"/>
                <w:sz w:val="20"/>
              </w:rPr>
              <w:t>启用</w:t>
            </w:r>
          </w:p>
        </w:tc>
        <w:tc>
          <w:tcPr>
            <w:tcW w:type="dxa" w:w="489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通过的能力与有限范围；回执。</w:t>
            </w:r>
          </w:p>
        </w:tc>
        <w:tc>
          <w:tcPr>
            <w:tcW w:type="dxa" w:w="331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只对合格 operation 更新绿灯。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7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b w:val="0"/>
                <w:color w:val="000000"/>
                <w:sz w:val="20"/>
              </w:rPr>
              <w:t>更新与回退</w:t>
            </w:r>
          </w:p>
        </w:tc>
        <w:tc>
          <w:tcPr>
            <w:tcW w:type="dxa" w:w="489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7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版本差异、迁移与旧版可恢复条件。</w:t>
            </w:r>
          </w:p>
        </w:tc>
        <w:tc>
          <w:tcPr>
            <w:tcW w:type="dxa" w:w="331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7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版本锁定，失败不覆盖正式内容。</w:t>
            </w:r>
          </w:p>
        </w:tc>
      </w:tr>
    </w:tbl>
    <w:p>
      <w:pPr>
        <w:spacing w:after="40"/>
      </w:pPr>
    </w:p>
    <w:p>
      <w:r>
        <w:t>本地模式：Tauri 前端由 Rust 宿主启动与代理 Core，按需启动隔离 workers；ASTRYN 通过 AAOS 八类端口取得能力。远端模式：用户配置服务身份、认证引用与协议版本，实际处理依赖由对应宿主持有。部署计划必须区分本机需装的包与远端已有服务，不把目录内每个名字都安装到用户电脑。</w:t>
      </w:r>
    </w:p>
    <w:p>
      <w:r>
        <w:t>状态检查按当前需要与有效期进行，打开能力详情、用户主动检查、部署完成或连接变化时更新。避免首页轮询全部重服务。真实安装、模型下载、麦克风、摄像头、屏幕与外部软件写入，本轮没有执行。</w:t>
      </w:r>
    </w:p>
    <w:p>
      <w:pPr>
        <w:pStyle w:val="Heading1"/>
      </w:pPr>
      <w:r>
        <w:t>7 跨项目互联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4464"/>
        <w:gridCol w:w="3744"/>
      </w:tblGrid>
      <w:tr>
        <w:trPr>
          <w:tblHeader w:val="true"/>
          <w:cantSplit/>
        </w:trPr>
        <w:tc>
          <w:tcPr>
            <w:tcW w:type="dxa" w:w="333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24394D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333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24394D"/>
          </w:tcPr>
          <w:p>
            <w:pPr>
              <w:keepNext w:val="0"/>
              <w:spacing w:after="40" w:line="264" w:lineRule="auto"/>
            </w:pPr>
            <w:r>
              <w:rPr>
                <w:b/>
                <w:color w:val="FFFFFF"/>
                <w:sz w:val="20"/>
              </w:rPr>
              <w:t>正式状态归属</w:t>
            </w:r>
          </w:p>
        </w:tc>
        <w:tc>
          <w:tcPr>
            <w:tcW w:type="dxa" w:w="333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24394D"/>
          </w:tcPr>
          <w:p>
            <w:pPr>
              <w:keepNext w:val="0"/>
              <w:spacing w:after="40" w:line="264" w:lineRule="auto"/>
            </w:pPr>
            <w:r>
              <w:rPr>
                <w:b/>
                <w:color w:val="FFFFFF"/>
                <w:sz w:val="20"/>
              </w:rPr>
              <w:t>UI 接入方式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b w:val="0"/>
                <w:color w:val="000000"/>
                <w:sz w:val="20"/>
              </w:rPr>
              <w:t>AAOS</w:t>
            </w:r>
          </w:p>
        </w:tc>
        <w:tc>
          <w:tcPr>
            <w:tcW w:type="dxa" w:w="446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知识、原件、来源、学习、受控上下文。</w:t>
            </w:r>
          </w:p>
        </w:tc>
        <w:tc>
          <w:tcPr>
            <w:tcW w:type="dxa" w:w="374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主工作区与唯一 Core 写入。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7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b w:val="0"/>
                <w:color w:val="000000"/>
                <w:sz w:val="20"/>
              </w:rPr>
              <w:t>ASTRYN</w:t>
            </w:r>
          </w:p>
        </w:tc>
        <w:tc>
          <w:tcPr>
            <w:tcW w:type="dxa" w:w="446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7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角色配置、表现与交互协议；宿主提供记忆和权限。</w:t>
            </w:r>
          </w:p>
        </w:tc>
        <w:tc>
          <w:tcPr>
            <w:tcW w:type="dxa" w:w="374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7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同一小栖会话的不同呈现。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b w:val="0"/>
                <w:color w:val="000000"/>
                <w:sz w:val="20"/>
              </w:rPr>
              <w:t>WORKLAB</w:t>
            </w:r>
          </w:p>
        </w:tc>
        <w:tc>
          <w:tcPr>
            <w:tcW w:type="dxa" w:w="446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任务、执行联邦、治理、证据与回执。</w:t>
            </w:r>
          </w:p>
        </w:tc>
        <w:tc>
          <w:tcPr>
            <w:tcW w:type="dxa" w:w="374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只读关联；写动作经授权核心，Observer 保持只读。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7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b w:val="0"/>
                <w:color w:val="000000"/>
                <w:sz w:val="20"/>
              </w:rPr>
              <w:t>DESIGNLAB</w:t>
            </w:r>
          </w:p>
        </w:tc>
        <w:tc>
          <w:tcPr>
            <w:tcW w:type="dxa" w:w="446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7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设计 brief、领域资产、宿主产物、质量与交付。</w:t>
            </w:r>
          </w:p>
        </w:tc>
        <w:tc>
          <w:tcPr>
            <w:tcW w:type="dxa" w:w="374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7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产物投影与深链接，保留独立工作台。</w:t>
            </w:r>
          </w:p>
        </w:tc>
      </w:tr>
    </w:tbl>
    <w:p>
      <w:pPr>
        <w:spacing w:after="40"/>
      </w:pPr>
    </w:p>
    <w:p>
      <w:r>
        <w:t>项目握手、能力发现、对象引用、上下文包、任务提案与回执、资产清单、知识候选、深链接和授权引用按版本交换。各项目保留业务数据库；不共享 launch-token 与 API key。投递使用幂等键和接收方正式任务，不承诺跨网络恰好一次。</w:t>
      </w:r>
    </w:p>
    <w:p>
      <w:r>
        <w:t>已有 schema 差异需正式扩展或适配：WORKLAB 的 task-card ID 与 context-capsule source 枚举有约束；DESIGNLAB 的 compiled 候选不等于 AAOS 已接纳，delivery receipt digest 不证明签名或宿主读回。未来接通不能绕过这些边界。</w:t>
      </w:r>
    </w:p>
    <w:p>
      <w:pPr>
        <w:pStyle w:val="Heading1"/>
      </w:pPr>
      <w:r>
        <w:t>8 人物主题和口型路线</w:t>
      </w:r>
    </w:p>
    <w:p>
      <w:r>
        <w:t>新参考是低干扰的人物陪伴构图，角色在右侧，文字与操作留在左侧。仅凭截图不能确认实际使用视频、2D 模型或实时 3D。写实程度和赛博题材不直接决定负载，运行技术、分辨率、动效与同时显示实例数更关键。该主题与宇宙主题共用工作区规则。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4680"/>
        <w:gridCol w:w="2880"/>
      </w:tblGrid>
      <w:tr>
        <w:trPr>
          <w:tblHeader w:val="true"/>
          <w:cantSplit/>
        </w:trPr>
        <w:tc>
          <w:tcPr>
            <w:tcW w:type="dxa" w:w="333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24394D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b/>
                <w:color w:val="FFFFFF"/>
                <w:sz w:val="20"/>
              </w:rPr>
              <w:t>呈现路线</w:t>
            </w:r>
          </w:p>
        </w:tc>
        <w:tc>
          <w:tcPr>
            <w:tcW w:type="dxa" w:w="333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24394D"/>
          </w:tcPr>
          <w:p>
            <w:pPr>
              <w:keepNext w:val="0"/>
              <w:spacing w:after="40" w:line="264" w:lineRule="auto"/>
            </w:pPr>
            <w:r>
              <w:rPr>
                <w:b/>
                <w:color w:val="FFFFFF"/>
                <w:sz w:val="20"/>
              </w:rPr>
              <w:t>可实现的动态</w:t>
            </w:r>
          </w:p>
        </w:tc>
        <w:tc>
          <w:tcPr>
            <w:tcW w:type="dxa" w:w="333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24394D"/>
          </w:tcPr>
          <w:p>
            <w:pPr>
              <w:keepNext w:val="0"/>
              <w:spacing w:after="40" w:line="264" w:lineRule="auto"/>
            </w:pPr>
            <w:r>
              <w:rPr>
                <w:b/>
                <w:color w:val="FFFFFF"/>
                <w:sz w:val="20"/>
              </w:rPr>
              <w:t>采用顺序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b w:val="0"/>
                <w:color w:val="000000"/>
                <w:sz w:val="20"/>
              </w:rPr>
              <w:t>静态与预渲染动作</w:t>
            </w:r>
          </w:p>
        </w:tc>
        <w:tc>
          <w:tcPr>
            <w:tcW w:type="dxa" w:w="468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少量待机、点头、倾听等动作片段。</w:t>
            </w:r>
          </w:p>
        </w:tc>
        <w:tc>
          <w:tcPr>
            <w:tcW w:type="dxa" w:w="288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默认轻量基线；说话片段的口型是固定的。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7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b w:val="0"/>
                <w:color w:val="000000"/>
                <w:sz w:val="20"/>
              </w:rPr>
              <w:t>分层 2D 与可驱动面部</w:t>
            </w:r>
          </w:p>
        </w:tc>
        <w:tc>
          <w:tcPr>
            <w:tcW w:type="dxa" w:w="468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7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眨眼、呼吸、表情和口部参数。</w:t>
            </w:r>
          </w:p>
        </w:tc>
        <w:tc>
          <w:tcPr>
            <w:tcW w:type="dxa" w:w="288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7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先做稳定正面说话姿态；写实变形需美术验证。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b w:val="0"/>
                <w:color w:val="000000"/>
                <w:sz w:val="20"/>
              </w:rPr>
              <w:t>受控 3D 模型</w:t>
            </w:r>
          </w:p>
        </w:tc>
        <w:tc>
          <w:tcPr>
            <w:tcW w:type="dxa" w:w="468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预设骨骼动作与 morph target 面部混合。</w:t>
            </w:r>
          </w:p>
        </w:tc>
        <w:tc>
          <w:tcPr>
            <w:tcW w:type="dxa" w:w="288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增强模式；模型、纹理、灯光和帧率须实测。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7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b w:val="0"/>
                <w:color w:val="000000"/>
                <w:sz w:val="20"/>
              </w:rPr>
              <w:t>神经音频驱动视频</w:t>
            </w:r>
          </w:p>
        </w:tc>
        <w:tc>
          <w:tcPr>
            <w:tcW w:type="dxa" w:w="468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7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按新音频生成完整说话画面。</w:t>
            </w:r>
          </w:p>
        </w:tc>
        <w:tc>
          <w:tcPr>
            <w:tcW w:type="dxa" w:w="288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7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后续选装服务；GPU、延迟和部署成本单独验证。</w:t>
            </w:r>
          </w:p>
        </w:tc>
      </w:tr>
    </w:tbl>
    <w:p>
      <w:pPr>
        <w:spacing w:after="40"/>
      </w:pPr>
    </w:p>
    <w:p>
      <w:r>
        <w:t>预录人物视频不能天然对齐任意新句子。预设身体动作与实时口型可以组合，但视频里已有的嘴形需要被替换或采用可驱动角色，且要处理头部运动、遮罩、光照与动作接缝。首期把说话姿态保持稳定，让口部与表情独立驱动；高质量写实结果不能仅靠放几张嘴形贴图保证。</w:t>
      </w:r>
    </w:p>
    <w:p>
      <w:r>
        <w:t>口型依据实际音频播放时间调度，不按文字长度猜。若 TTS 提供带时间戳的 viseme 或 blendshape，则前端插值驱动角色；若不提供，需要音频分析或对齐适配。仅以音量控制开合属于基础口型，不等于音素对齐。停播、打断和跳过必须同步清理后续动作。Microsoft 的官方 viseme 文档给出了音频偏移与 2D/3D 驱动方式；不同输出与语言有支持范围，应逐项验证，不将某个服务设为唯一底座。</w:t>
      </w:r>
    </w:p>
    <w:p>
      <w:pPr>
        <w:spacing w:after="180" w:line="252" w:lineRule="auto"/>
      </w:pPr>
      <w:r>
        <w:rPr>
          <w:sz w:val="19"/>
        </w:rPr>
        <w:t>拟议 SpeechPlayback v1</w:t>
        <w:br/>
        <w:t>session_id, utterance_id, chunk_id, sequence, audio_ref,</w:t>
        <w:br/>
        <w:t>sample_rate, start_offset_ms, viseme_events, subtitle_segments,</w:t>
        <w:br/>
        <w:t>locale, provenance, end_of_utterance</w:t>
        <w:br/>
        <w:br/>
        <w:t>拟议 CharacterRenderProfile v1</w:t>
        <w:br/>
        <w:t>renderer_id, asset_manifest_ref, asset_version, preset_actions,</w:t>
        <w:br/>
        <w:t>mouth_mapping, motion_limits, pause_when_hidden, quality_profile,</w:t>
        <w:br/>
        <w:t>active_view_owner, fallback_renderer_id</w:t>
        <w:br/>
        <w:br/>
        <w:t>角色动作：idle、listening、thinking、speaking、nod、point。</w:t>
        <w:br/>
        <w:t>缺少语音端口时保留文本会话；没有凭空播放同步口型。</w:t>
      </w:r>
    </w:p>
    <w:p>
      <w:r>
        <w:t>ASTRYN 当前基础是 SVG 角色与嵌入/面板端口；写实人物、真实语音与口型是新增适配和后续资格化工作。模型回答、TTS 和角色显示是三个可独立替换的环节。无需每次回答都实时生成完整人物画面。</w:t>
      </w:r>
    </w:p>
    <w:p>
      <w:pPr>
        <w:pStyle w:val="Heading1"/>
      </w:pPr>
      <w:r>
        <w:t>9 资源预算与性能策略</w:t>
      </w:r>
    </w:p>
    <w:p>
      <w:r>
        <w:t>默认使用均衡模式：预渲场景、局部玻璃、单个轻量角色、当前可见内容视图。轻量模式减少实时模糊和角色动态，保留材质与清晰文字；增强模式可选实时角色和有限环境动态。质量变化不删能力，不改变权限和数据去向。</w:t>
      </w:r>
    </w:p>
    <w:p>
      <w:r>
        <w:t>背景按窗口和 DPI 选资源尺寸；编辑器与模型会话状态在服务层保存；PDF、图谱、视频、画布、语音与 3D 按需加载。隐藏面板显式暂停动画、视频和昂贵绘制，必要任务仍由正式后端继续。Dockview 保留 DOM 的模式不会替应用自动停止所有后台工作。</w:t>
      </w:r>
    </w:p>
    <w:p>
      <w:r>
        <w:t>上线前在目标 Windows 安装环境测试首次打开、长文输入、拖动、多面板、隐藏资源下降、长时间驻留，以及本地模型同时运行的资源竞争。帧率、显存和延迟预算以实际设备采样确定。本轮不声称某台电脑已达到具体性能值。</w:t>
      </w:r>
    </w:p>
    <w:p>
      <w:pPr>
        <w:pStyle w:val="Heading1"/>
      </w:pPr>
      <w:r>
        <w:t>10 后续能力保留和延期</w:t>
      </w:r>
    </w:p>
    <w:p>
      <w:r>
        <w:t>“延后”理解为保留目标、接口和来源，暂不启动实现；不另建名为“未来之星”的项目。全部能力提供未来蓝图和互通目标视图。以下名称来自 2026 年 10 月 6 日覆盖矩阵，属于目标索引，不能代替当前技术进度。F00—F14 与旧格式覆盖文件的 F01—F16 不是同一族。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"/>
        <w:gridCol w:w="3456"/>
        <w:gridCol w:w="5544"/>
      </w:tblGrid>
      <w:tr>
        <w:trPr>
          <w:tblHeader w:val="true"/>
          <w:cantSplit/>
        </w:trPr>
        <w:tc>
          <w:tcPr>
            <w:tcW w:type="dxa" w:w="333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24394D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b/>
                <w:color w:val="FFFFFF"/>
                <w:sz w:val="20"/>
              </w:rPr>
              <w:t>未来 ID</w:t>
            </w:r>
          </w:p>
        </w:tc>
        <w:tc>
          <w:tcPr>
            <w:tcW w:type="dxa" w:w="333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24394D"/>
          </w:tcPr>
          <w:p>
            <w:pPr>
              <w:keepNext w:val="0"/>
              <w:spacing w:after="40" w:line="264" w:lineRule="auto"/>
            </w:pPr>
            <w:r>
              <w:rPr>
                <w:b/>
                <w:color w:val="FFFFFF"/>
                <w:sz w:val="20"/>
              </w:rPr>
              <w:t>保留目标</w:t>
            </w:r>
          </w:p>
        </w:tc>
        <w:tc>
          <w:tcPr>
            <w:tcW w:type="dxa" w:w="333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24394D"/>
          </w:tcPr>
          <w:p>
            <w:pPr>
              <w:keepNext w:val="0"/>
              <w:spacing w:after="40" w:line="264" w:lineRule="auto"/>
            </w:pPr>
            <w:r>
              <w:rPr>
                <w:b/>
                <w:color w:val="FFFFFF"/>
                <w:sz w:val="20"/>
              </w:rPr>
              <w:t>本轮处理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b w:val="0"/>
                <w:color w:val="000000"/>
                <w:sz w:val="20"/>
              </w:rPr>
              <w:t>F00</w:t>
            </w:r>
          </w:p>
        </w:tc>
        <w:tc>
          <w:tcPr>
            <w:tcW w:type="dxa" w:w="345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真实基线接管</w:t>
            </w:r>
          </w:p>
        </w:tc>
        <w:tc>
          <w:tcPr>
            <w:tcW w:type="dxa" w:w="554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保留来源；具体实施按当前任务队列。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7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b w:val="0"/>
                <w:color w:val="000000"/>
                <w:sz w:val="20"/>
              </w:rPr>
              <w:t>F01</w:t>
            </w:r>
          </w:p>
        </w:tc>
        <w:tc>
          <w:tcPr>
            <w:tcW w:type="dxa" w:w="345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7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编辑节点深化</w:t>
            </w:r>
          </w:p>
        </w:tc>
        <w:tc>
          <w:tcPr>
            <w:tcW w:type="dxa" w:w="554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7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后续范围与接口保留。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b w:val="0"/>
                <w:color w:val="000000"/>
                <w:sz w:val="20"/>
              </w:rPr>
              <w:t>F02</w:t>
            </w:r>
          </w:p>
        </w:tc>
        <w:tc>
          <w:tcPr>
            <w:tcW w:type="dxa" w:w="345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集合 关系 公式 多视图</w:t>
            </w:r>
          </w:p>
        </w:tc>
        <w:tc>
          <w:tcPr>
            <w:tcW w:type="dxa" w:w="554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对象与多视图扩展口保留。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7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b w:val="0"/>
                <w:color w:val="000000"/>
                <w:sz w:val="20"/>
              </w:rPr>
              <w:t>F03</w:t>
            </w:r>
          </w:p>
        </w:tc>
        <w:tc>
          <w:tcPr>
            <w:tcW w:type="dxa" w:w="345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7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全知识库互通</w:t>
            </w:r>
          </w:p>
        </w:tc>
        <w:tc>
          <w:tcPr>
            <w:tcW w:type="dxa" w:w="554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7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profile 与适配器接口保留。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b w:val="0"/>
                <w:color w:val="000000"/>
                <w:sz w:val="20"/>
              </w:rPr>
              <w:t>F04</w:t>
            </w:r>
          </w:p>
        </w:tc>
        <w:tc>
          <w:tcPr>
            <w:tcW w:type="dxa" w:w="345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学习诊断与辅导</w:t>
            </w:r>
          </w:p>
        </w:tc>
        <w:tc>
          <w:tcPr>
            <w:tcW w:type="dxa" w:w="554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学习记录与诊断视图接口保留。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7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b w:val="0"/>
                <w:color w:val="000000"/>
                <w:sz w:val="20"/>
              </w:rPr>
              <w:t>F05</w:t>
            </w:r>
          </w:p>
        </w:tc>
        <w:tc>
          <w:tcPr>
            <w:tcW w:type="dxa" w:w="345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7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课程与视觉教学</w:t>
            </w:r>
          </w:p>
        </w:tc>
        <w:tc>
          <w:tcPr>
            <w:tcW w:type="dxa" w:w="554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7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完整目标保留；已有部分实现单列证据。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b w:val="0"/>
                <w:color w:val="000000"/>
                <w:sz w:val="20"/>
              </w:rPr>
              <w:t>F06</w:t>
            </w:r>
          </w:p>
        </w:tc>
        <w:tc>
          <w:tcPr>
            <w:tcW w:type="dxa" w:w="345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科研与研发空间</w:t>
            </w:r>
          </w:p>
        </w:tc>
        <w:tc>
          <w:tcPr>
            <w:tcW w:type="dxa" w:w="554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研究对象与复现证据接口保留。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7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b w:val="0"/>
                <w:color w:val="000000"/>
                <w:sz w:val="20"/>
              </w:rPr>
              <w:t>F07</w:t>
            </w:r>
          </w:p>
        </w:tc>
        <w:tc>
          <w:tcPr>
            <w:tcW w:type="dxa" w:w="345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7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AI 资产与评测</w:t>
            </w:r>
          </w:p>
        </w:tc>
        <w:tc>
          <w:tcPr>
            <w:tcW w:type="dxa" w:w="554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7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正式旅程与证据接口保留。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b w:val="0"/>
                <w:color w:val="000000"/>
                <w:sz w:val="20"/>
              </w:rPr>
              <w:t>F08</w:t>
            </w:r>
          </w:p>
        </w:tc>
        <w:tc>
          <w:tcPr>
            <w:tcW w:type="dxa" w:w="345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动态解释与仿真</w:t>
            </w:r>
          </w:p>
        </w:tc>
        <w:tc>
          <w:tcPr>
            <w:tcW w:type="dxa" w:w="554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引擎与参数接口保留。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7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b w:val="0"/>
                <w:color w:val="000000"/>
                <w:sz w:val="20"/>
              </w:rPr>
              <w:t>F09</w:t>
            </w:r>
          </w:p>
        </w:tc>
        <w:tc>
          <w:tcPr>
            <w:tcW w:type="dxa" w:w="345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7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空间记忆与 3D</w:t>
            </w:r>
          </w:p>
        </w:tc>
        <w:tc>
          <w:tcPr>
            <w:tcW w:type="dxa" w:w="554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7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空间表征与可选渲染器保留。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b w:val="0"/>
                <w:color w:val="000000"/>
                <w:sz w:val="20"/>
              </w:rPr>
              <w:t>F10</w:t>
            </w:r>
          </w:p>
        </w:tc>
        <w:tc>
          <w:tcPr>
            <w:tcW w:type="dxa" w:w="345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同步与协同</w:t>
            </w:r>
          </w:p>
        </w:tc>
        <w:tc>
          <w:tcPr>
            <w:tcW w:type="dxa" w:w="554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身份 版本 冲突与权限接口保留。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7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b w:val="0"/>
                <w:color w:val="000000"/>
                <w:sz w:val="20"/>
              </w:rPr>
              <w:t>F11</w:t>
            </w:r>
          </w:p>
        </w:tc>
        <w:tc>
          <w:tcPr>
            <w:tcW w:type="dxa" w:w="345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7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插件 技能与知识 Agent</w:t>
            </w:r>
          </w:p>
        </w:tc>
        <w:tc>
          <w:tcPr>
            <w:tcW w:type="dxa" w:w="554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7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静态注册起步；动态执行后续资格化。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b w:val="0"/>
                <w:color w:val="000000"/>
                <w:sz w:val="20"/>
              </w:rPr>
              <w:t>F12</w:t>
            </w:r>
          </w:p>
        </w:tc>
        <w:tc>
          <w:tcPr>
            <w:tcW w:type="dxa" w:w="345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移动 Web 与加密</w:t>
            </w:r>
          </w:p>
        </w:tc>
        <w:tc>
          <w:tcPr>
            <w:tcW w:type="dxa" w:w="554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平台与数据边界保留。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7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b w:val="0"/>
                <w:color w:val="000000"/>
                <w:sz w:val="20"/>
              </w:rPr>
              <w:t>F13</w:t>
            </w:r>
          </w:p>
        </w:tc>
        <w:tc>
          <w:tcPr>
            <w:tcW w:type="dxa" w:w="345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7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XR 与 AR</w:t>
            </w:r>
          </w:p>
        </w:tc>
        <w:tc>
          <w:tcPr>
            <w:tcW w:type="dxa" w:w="554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7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独立设备渲染器与交互口保留。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b w:val="0"/>
                <w:color w:val="000000"/>
                <w:sz w:val="20"/>
              </w:rPr>
              <w:t>F14</w:t>
            </w:r>
          </w:p>
        </w:tc>
        <w:tc>
          <w:tcPr>
            <w:tcW w:type="dxa" w:w="345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依赖维护与可迁出</w:t>
            </w:r>
          </w:p>
        </w:tc>
        <w:tc>
          <w:tcPr>
            <w:tcW w:type="dxa" w:w="554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版本锁定 更新回退 导出合同保留。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"/>
        <w:gridCol w:w="3744"/>
        <w:gridCol w:w="5256"/>
      </w:tblGrid>
      <w:tr>
        <w:trPr>
          <w:tblHeader w:val="true"/>
          <w:cantSplit/>
        </w:trPr>
        <w:tc>
          <w:tcPr>
            <w:tcW w:type="dxa" w:w="333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24394D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b/>
                <w:color w:val="FFFFFF"/>
                <w:sz w:val="20"/>
              </w:rPr>
              <w:t>互通 ID</w:t>
            </w:r>
          </w:p>
        </w:tc>
        <w:tc>
          <w:tcPr>
            <w:tcW w:type="dxa" w:w="333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24394D"/>
          </w:tcPr>
          <w:p>
            <w:pPr>
              <w:keepNext w:val="0"/>
              <w:spacing w:after="40" w:line="264" w:lineRule="auto"/>
            </w:pPr>
            <w:r>
              <w:rPr>
                <w:b/>
                <w:color w:val="FFFFFF"/>
                <w:sz w:val="20"/>
              </w:rPr>
              <w:t>范围</w:t>
            </w:r>
          </w:p>
        </w:tc>
        <w:tc>
          <w:tcPr>
            <w:tcW w:type="dxa" w:w="333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24394D"/>
          </w:tcPr>
          <w:p>
            <w:pPr>
              <w:keepNext w:val="0"/>
              <w:spacing w:after="40" w:line="264" w:lineRule="auto"/>
            </w:pPr>
            <w:r>
              <w:rPr>
                <w:b/>
                <w:color w:val="FFFFFF"/>
                <w:sz w:val="20"/>
              </w:rPr>
              <w:t>展示规则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b w:val="0"/>
                <w:color w:val="000000"/>
                <w:sz w:val="20"/>
              </w:rPr>
              <w:t>I1</w:t>
            </w:r>
          </w:p>
        </w:tc>
        <w:tc>
          <w:tcPr>
            <w:tcW w:type="dxa" w:w="374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Markdown Obsidian JSON Canvas</w:t>
            </w:r>
          </w:p>
        </w:tc>
        <w:tc>
          <w:tcPr>
            <w:tcW w:type="dxa" w:w="525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限定 profile；双向往返要独立实测。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7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b w:val="0"/>
                <w:color w:val="000000"/>
                <w:sz w:val="20"/>
              </w:rPr>
              <w:t>I2</w:t>
            </w:r>
          </w:p>
        </w:tc>
        <w:tc>
          <w:tcPr>
            <w:tcW w:type="dxa" w:w="374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7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Notion 思源 Joplin Logseq</w:t>
            </w:r>
          </w:p>
        </w:tc>
        <w:tc>
          <w:tcPr>
            <w:tcW w:type="dxa" w:w="525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7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格式与实际授权适配。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b w:val="0"/>
                <w:color w:val="000000"/>
                <w:sz w:val="20"/>
              </w:rPr>
              <w:t>I3</w:t>
            </w:r>
          </w:p>
        </w:tc>
        <w:tc>
          <w:tcPr>
            <w:tcW w:type="dxa" w:w="374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Zotero Anki</w:t>
            </w:r>
          </w:p>
        </w:tc>
        <w:tc>
          <w:tcPr>
            <w:tcW w:type="dxa" w:w="525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引用和学习资产限定交换。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7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b w:val="0"/>
                <w:color w:val="000000"/>
                <w:sz w:val="20"/>
              </w:rPr>
              <w:t>I4</w:t>
            </w:r>
          </w:p>
        </w:tc>
        <w:tc>
          <w:tcPr>
            <w:tcW w:type="dxa" w:w="374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7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开放知识库平台</w:t>
            </w:r>
          </w:p>
        </w:tc>
        <w:tc>
          <w:tcPr>
            <w:tcW w:type="dxa" w:w="525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7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AFFiNE AppFlowy 等按单项 profile。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b w:val="0"/>
                <w:color w:val="000000"/>
                <w:sz w:val="20"/>
              </w:rPr>
              <w:t>I5</w:t>
            </w:r>
          </w:p>
        </w:tc>
        <w:tc>
          <w:tcPr>
            <w:tcW w:type="dxa" w:w="374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商业知识平台</w:t>
            </w:r>
          </w:p>
        </w:tc>
        <w:tc>
          <w:tcPr>
            <w:tcW w:type="dxa" w:w="525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取决于导出或合法 API 授权。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7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b w:val="0"/>
                <w:color w:val="000000"/>
                <w:sz w:val="20"/>
              </w:rPr>
              <w:t>I6</w:t>
            </w:r>
          </w:p>
        </w:tc>
        <w:tc>
          <w:tcPr>
            <w:tcW w:type="dxa" w:w="374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7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RAG 平台与研发资料</w:t>
            </w:r>
          </w:p>
        </w:tc>
        <w:tc>
          <w:tcPr>
            <w:tcW w:type="dxa" w:w="525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7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受控交换；不引入第二知识运行时。</w:t>
            </w:r>
          </w:p>
        </w:tc>
      </w:tr>
    </w:tbl>
    <w:p>
      <w:pPr>
        <w:spacing w:after="40"/>
      </w:pPr>
    </w:p>
    <w:p>
      <w:r>
        <w:t>本轮不改变 V01、FT01–04 等既有冻结与暂停记录。未来能力发布后仍落在已有领域菜单和完整目录，不重新挤满首页。进入可执行阶段前需要明确 owner、依赖、接受合同、资格证据、资源预算和恢复策略。</w:t>
      </w:r>
    </w:p>
    <w:p>
      <w:pPr>
        <w:pStyle w:val="Heading1"/>
      </w:pPr>
      <w:r>
        <w:t>11 完整前端的交付范围</w:t>
      </w:r>
    </w:p>
    <w:p>
      <w:r>
        <w:t>前端完成须覆盖真实日常工作和未来能力的完整交互外壳。每个现有页面必须有可操作的入口、对象选择、输入校验、结果去向、返回与恢复；重载页面至少完成参数编辑、计划预览、任务与结果视图、当前不可执行的理由。只摆一个菜单名或“敬请期待”不能算前端完成。</w:t>
      </w:r>
    </w:p>
    <w:p>
      <w:r>
        <w:t>所有页面共同具备首次空状态、加载、正常、部分可用、错误、离线、未配置、未授权、版本不兼容和未来预留状态。错误显示具体对象与可行下一步，重试保留用户输入。长任务有取消、结果未知和可恢复回执状态；关闭视图不冒充取消任务。离线仍可阅读已有本地内容和保存可用草稿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20"/>
        <w:gridCol w:w="2232"/>
        <w:gridCol w:w="3456"/>
        <w:gridCol w:w="3528"/>
      </w:tblGrid>
      <w:tr>
        <w:trPr>
          <w:tblHeader w:val="true"/>
          <w:cantSplit/>
        </w:trPr>
        <w:tc>
          <w:tcPr>
            <w:tcW w:type="dxa" w:w="249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24394D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b/>
                <w:color w:val="FFFFFF"/>
                <w:sz w:val="20"/>
              </w:rPr>
              <w:t>页号</w:t>
            </w:r>
          </w:p>
        </w:tc>
        <w:tc>
          <w:tcPr>
            <w:tcW w:type="dxa" w:w="249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24394D"/>
          </w:tcPr>
          <w:p>
            <w:pPr>
              <w:keepNext w:val="0"/>
              <w:spacing w:after="40" w:line="264" w:lineRule="auto"/>
            </w:pPr>
            <w:r>
              <w:rPr>
                <w:b/>
                <w:color w:val="FFFFFF"/>
                <w:sz w:val="20"/>
              </w:rPr>
              <w:t>视图</w:t>
            </w:r>
          </w:p>
        </w:tc>
        <w:tc>
          <w:tcPr>
            <w:tcW w:type="dxa" w:w="249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24394D"/>
          </w:tcPr>
          <w:p>
            <w:pPr>
              <w:keepNext w:val="0"/>
              <w:spacing w:after="40" w:line="264" w:lineRule="auto"/>
            </w:pPr>
            <w:r>
              <w:rPr>
                <w:b/>
                <w:color w:val="FFFFFF"/>
                <w:sz w:val="20"/>
              </w:rPr>
              <w:t>首期必须能操作的前端</w:t>
            </w:r>
          </w:p>
        </w:tc>
        <w:tc>
          <w:tcPr>
            <w:tcW w:type="dxa" w:w="249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24394D"/>
          </w:tcPr>
          <w:p>
            <w:pPr>
              <w:keepNext w:val="0"/>
              <w:spacing w:after="40" w:line="264" w:lineRule="auto"/>
            </w:pPr>
            <w:r>
              <w:rPr>
                <w:b/>
                <w:color w:val="FFFFFF"/>
                <w:sz w:val="20"/>
              </w:rPr>
              <w:t>结果与状态落点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b w:val="0"/>
                <w:color w:val="000000"/>
                <w:sz w:val="20"/>
              </w:rPr>
              <w:t>01</w:t>
            </w:r>
          </w:p>
        </w:tc>
        <w:tc>
          <w:tcPr>
            <w:tcW w:type="dxa" w:w="223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今日工作台</w:t>
            </w:r>
          </w:p>
        </w:tc>
        <w:tc>
          <w:tcPr>
            <w:tcW w:type="dxa" w:w="345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导入、新建、继续真实最近对象；切换工作区。</w:t>
            </w:r>
          </w:p>
        </w:tc>
        <w:tc>
          <w:tcPr>
            <w:tcW w:type="dxa" w:w="352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无资料时明确空状态；不生成虚构进度。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7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b w:val="0"/>
                <w:color w:val="000000"/>
                <w:sz w:val="20"/>
              </w:rPr>
              <w:t>02</w:t>
            </w:r>
          </w:p>
        </w:tc>
        <w:tc>
          <w:tcPr>
            <w:tcW w:type="dxa" w:w="223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7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知识库</w:t>
            </w:r>
          </w:p>
        </w:tc>
        <w:tc>
          <w:tcPr>
            <w:tcW w:type="dxa" w:w="345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7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查询、类型筛选、集合、资料详情、打开对象。</w:t>
            </w:r>
          </w:p>
        </w:tc>
        <w:tc>
          <w:tcPr>
            <w:tcW w:type="dxa" w:w="352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7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原件与派生内容区分；错误和部分导入可追踪。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b w:val="0"/>
                <w:color w:val="000000"/>
                <w:sz w:val="20"/>
              </w:rPr>
              <w:t>03</w:t>
            </w:r>
          </w:p>
        </w:tc>
        <w:tc>
          <w:tcPr>
            <w:tcW w:type="dxa" w:w="223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阅读与编辑</w:t>
            </w:r>
          </w:p>
        </w:tc>
        <w:tc>
          <w:tcPr>
            <w:tcW w:type="dxa" w:w="345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已有编辑器、PDF 视图、选区、批注、保存。</w:t>
            </w:r>
          </w:p>
        </w:tc>
        <w:tc>
          <w:tcPr>
            <w:tcW w:type="dxa" w:w="352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来源与版本按需展开；保存冲突和草稿恢复。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7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b w:val="0"/>
                <w:color w:val="000000"/>
                <w:sz w:val="20"/>
              </w:rPr>
              <w:t>04</w:t>
            </w:r>
          </w:p>
        </w:tc>
        <w:tc>
          <w:tcPr>
            <w:tcW w:type="dxa" w:w="223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7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双链与图谱</w:t>
            </w:r>
          </w:p>
        </w:tc>
        <w:tc>
          <w:tcPr>
            <w:tcW w:type="dxa" w:w="345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7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范围选择、定位、筛选、打开关联对象。</w:t>
            </w:r>
          </w:p>
        </w:tc>
        <w:tc>
          <w:tcPr>
            <w:tcW w:type="dxa" w:w="352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7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图谱缺索引时说明原因；大图按需加载。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b w:val="0"/>
                <w:color w:val="000000"/>
                <w:sz w:val="20"/>
              </w:rPr>
              <w:t>05</w:t>
            </w:r>
          </w:p>
        </w:tc>
        <w:tc>
          <w:tcPr>
            <w:tcW w:type="dxa" w:w="223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研究空间</w:t>
            </w:r>
          </w:p>
        </w:tc>
        <w:tc>
          <w:tcPr>
            <w:tcW w:type="dxa" w:w="345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问题、材料集合、笔记与研究对象组织。</w:t>
            </w:r>
          </w:p>
        </w:tc>
        <w:tc>
          <w:tcPr>
            <w:tcW w:type="dxa" w:w="352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引用与产物落回对象；未来实验执行单列。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7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b w:val="0"/>
                <w:color w:val="000000"/>
                <w:sz w:val="20"/>
              </w:rPr>
              <w:t>06</w:t>
            </w:r>
          </w:p>
        </w:tc>
        <w:tc>
          <w:tcPr>
            <w:tcW w:type="dxa" w:w="223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7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学习路径</w:t>
            </w:r>
          </w:p>
        </w:tc>
        <w:tc>
          <w:tcPr>
            <w:tcW w:type="dxa" w:w="345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7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目标、步骤、关联资料、手动学习记录。</w:t>
            </w:r>
          </w:p>
        </w:tc>
        <w:tc>
          <w:tcPr>
            <w:tcW w:type="dxa" w:w="352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7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真实记录可回看；高级诊断保留入口。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b w:val="0"/>
                <w:color w:val="000000"/>
                <w:sz w:val="20"/>
              </w:rPr>
              <w:t>07</w:t>
            </w:r>
          </w:p>
        </w:tc>
        <w:tc>
          <w:tcPr>
            <w:tcW w:type="dxa" w:w="223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课程与视觉教学</w:t>
            </w:r>
          </w:p>
        </w:tc>
        <w:tc>
          <w:tcPr>
            <w:tcW w:type="dxa" w:w="345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选择课程与资源、查看内容、导航单元。</w:t>
            </w:r>
          </w:p>
        </w:tc>
        <w:tc>
          <w:tcPr>
            <w:tcW w:type="dxa" w:w="352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课程版本与材料来源；生成能力依资格启用。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7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b w:val="0"/>
                <w:color w:val="000000"/>
                <w:sz w:val="20"/>
              </w:rPr>
              <w:t>08</w:t>
            </w:r>
          </w:p>
        </w:tc>
        <w:tc>
          <w:tcPr>
            <w:tcW w:type="dxa" w:w="223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7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教学需求</w:t>
            </w:r>
          </w:p>
        </w:tc>
        <w:tc>
          <w:tcPr>
            <w:tcW w:type="dxa" w:w="345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7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对象、学习目标、受众、约束、需求草稿。</w:t>
            </w:r>
          </w:p>
        </w:tc>
        <w:tc>
          <w:tcPr>
            <w:tcW w:type="dxa" w:w="352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7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可保存与修订；可形成受控交接预览。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b w:val="0"/>
                <w:color w:val="000000"/>
                <w:sz w:val="20"/>
              </w:rPr>
              <w:t>09</w:t>
            </w:r>
          </w:p>
        </w:tc>
        <w:tc>
          <w:tcPr>
            <w:tcW w:type="dxa" w:w="223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表达方案</w:t>
            </w:r>
          </w:p>
        </w:tc>
        <w:tc>
          <w:tcPr>
            <w:tcW w:type="dxa" w:w="345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方案选择、表达草稿、素材引用、版本对照。</w:t>
            </w:r>
          </w:p>
        </w:tc>
        <w:tc>
          <w:tcPr>
            <w:tcW w:type="dxa" w:w="352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生成失败保留原稿；未来方案引擎禁执行。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7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b w:val="0"/>
                <w:color w:val="000000"/>
                <w:sz w:val="20"/>
              </w:rPr>
              <w:t>10</w:t>
            </w:r>
          </w:p>
        </w:tc>
        <w:tc>
          <w:tcPr>
            <w:tcW w:type="dxa" w:w="223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7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交付与版本</w:t>
            </w:r>
          </w:p>
        </w:tc>
        <w:tc>
          <w:tcPr>
            <w:tcW w:type="dxa" w:w="345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7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产物预览、版本选择、导出与关联交付。</w:t>
            </w:r>
          </w:p>
        </w:tc>
        <w:tc>
          <w:tcPr>
            <w:tcW w:type="dxa" w:w="352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7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未收到回执明确显示；不伪造完成。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b w:val="0"/>
                <w:color w:val="000000"/>
                <w:sz w:val="20"/>
              </w:rPr>
              <w:t>11</w:t>
            </w:r>
          </w:p>
        </w:tc>
        <w:tc>
          <w:tcPr>
            <w:tcW w:type="dxa" w:w="223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练习与复述</w:t>
            </w:r>
          </w:p>
        </w:tc>
        <w:tc>
          <w:tcPr>
            <w:tcW w:type="dxa" w:w="345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题目、回答、复述、资料回看和保存。</w:t>
            </w:r>
          </w:p>
        </w:tc>
        <w:tc>
          <w:tcPr>
            <w:tcW w:type="dxa" w:w="352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人工记录先真实可用；AI 评价依可用服务。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7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b w:val="0"/>
                <w:color w:val="000000"/>
                <w:sz w:val="20"/>
              </w:rPr>
              <w:t>12</w:t>
            </w:r>
          </w:p>
        </w:tc>
        <w:tc>
          <w:tcPr>
            <w:tcW w:type="dxa" w:w="223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7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反馈与修订</w:t>
            </w:r>
          </w:p>
        </w:tc>
        <w:tc>
          <w:tcPr>
            <w:tcW w:type="dxa" w:w="345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7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反馈记录、修改前后对照、采纳或退回。</w:t>
            </w:r>
          </w:p>
        </w:tc>
        <w:tc>
          <w:tcPr>
            <w:tcW w:type="dxa" w:w="352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7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人工反馈与模型建议区分；不覆盖未提交稿。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b w:val="0"/>
                <w:color w:val="000000"/>
                <w:sz w:val="20"/>
              </w:rPr>
              <w:t>13</w:t>
            </w:r>
          </w:p>
        </w:tc>
        <w:tc>
          <w:tcPr>
            <w:tcW w:type="dxa" w:w="223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项目记忆与上下文</w:t>
            </w:r>
          </w:p>
        </w:tc>
        <w:tc>
          <w:tcPr>
            <w:tcW w:type="dxa" w:w="345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查看范围、选择对象、组织上下文包。</w:t>
            </w:r>
          </w:p>
        </w:tc>
        <w:tc>
          <w:tcPr>
            <w:tcW w:type="dxa" w:w="352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显示来源和允许用途；共用受控 AI 旅程。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7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b w:val="0"/>
                <w:color w:val="000000"/>
                <w:sz w:val="20"/>
              </w:rPr>
              <w:t>14</w:t>
            </w:r>
          </w:p>
        </w:tc>
        <w:tc>
          <w:tcPr>
            <w:tcW w:type="dxa" w:w="223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7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纠正评测与复测</w:t>
            </w:r>
          </w:p>
        </w:tc>
        <w:tc>
          <w:tcPr>
            <w:tcW w:type="dxa" w:w="345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7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纠正输入、测试对象、指标与结果对照。</w:t>
            </w:r>
          </w:p>
        </w:tc>
        <w:tc>
          <w:tcPr>
            <w:tcW w:type="dxa" w:w="352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7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真实回执和未运行状态；切页不重复调用。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b w:val="0"/>
                <w:color w:val="000000"/>
                <w:sz w:val="20"/>
              </w:rPr>
              <w:t>15</w:t>
            </w:r>
          </w:p>
        </w:tc>
        <w:tc>
          <w:tcPr>
            <w:tcW w:type="dxa" w:w="223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资源与扩展</w:t>
            </w:r>
          </w:p>
        </w:tc>
        <w:tc>
          <w:tcPr>
            <w:tcW w:type="dxa" w:w="345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模块目录、已安装列表、版本与配置预览。</w:t>
            </w:r>
          </w:p>
        </w:tc>
        <w:tc>
          <w:tcPr>
            <w:tcW w:type="dxa" w:w="352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缺依赖与后续部署计划；无后台时不可安装。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7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b w:val="0"/>
                <w:color w:val="000000"/>
                <w:sz w:val="20"/>
              </w:rPr>
              <w:t>16</w:t>
            </w:r>
          </w:p>
        </w:tc>
        <w:tc>
          <w:tcPr>
            <w:tcW w:type="dxa" w:w="223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7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导入导出与互通</w:t>
            </w:r>
          </w:p>
        </w:tc>
        <w:tc>
          <w:tcPr>
            <w:tcW w:type="dxa" w:w="345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7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文件选择、格式探测、预览、批处理、导出。</w:t>
            </w:r>
          </w:p>
        </w:tc>
        <w:tc>
          <w:tcPr>
            <w:tcW w:type="dxa" w:w="352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7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逐文件进度、重复判定、损失报告和恢复。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b w:val="0"/>
                <w:color w:val="000000"/>
                <w:sz w:val="20"/>
              </w:rPr>
              <w:t>17</w:t>
            </w:r>
          </w:p>
        </w:tc>
        <w:tc>
          <w:tcPr>
            <w:tcW w:type="dxa" w:w="223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全部能力与未来蓝图</w:t>
            </w:r>
          </w:p>
        </w:tc>
        <w:tc>
          <w:tcPr>
            <w:tcW w:type="dxa" w:w="345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分类、搜索、收藏、目标索引和状态汇总。</w:t>
            </w:r>
          </w:p>
        </w:tc>
        <w:tc>
          <w:tcPr>
            <w:tcW w:type="dxa" w:w="352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同一目录数据源；进入不堆叠全部面板。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7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b w:val="0"/>
                <w:color w:val="000000"/>
                <w:sz w:val="20"/>
              </w:rPr>
              <w:t>18</w:t>
            </w:r>
          </w:p>
        </w:tc>
        <w:tc>
          <w:tcPr>
            <w:tcW w:type="dxa" w:w="223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7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能力详情</w:t>
            </w:r>
          </w:p>
        </w:tc>
        <w:tc>
          <w:tcPr>
            <w:tcW w:type="dxa" w:w="345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7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用途、依赖、配置、部署、来源、执行范围。</w:t>
            </w:r>
          </w:p>
        </w:tc>
        <w:tc>
          <w:tcPr>
            <w:tcW w:type="dxa" w:w="352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7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嵌入选中详情；不可用时仍可了解与配置。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b w:val="0"/>
                <w:color w:val="000000"/>
                <w:sz w:val="20"/>
              </w:rPr>
              <w:t>19</w:t>
            </w:r>
          </w:p>
        </w:tc>
        <w:tc>
          <w:tcPr>
            <w:tcW w:type="dxa" w:w="223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设置权限与恢复</w:t>
            </w:r>
          </w:p>
        </w:tc>
        <w:tc>
          <w:tcPr>
            <w:tcW w:type="dxa" w:w="345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主题、角色、Provider、模块、连接、备份。</w:t>
            </w:r>
          </w:p>
        </w:tc>
        <w:tc>
          <w:tcPr>
            <w:tcW w:type="dxa" w:w="352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前端预览与宿主提交分开；退出可保留输入。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7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b w:val="0"/>
                <w:color w:val="000000"/>
                <w:sz w:val="20"/>
              </w:rPr>
              <w:t>20</w:t>
            </w:r>
          </w:p>
        </w:tc>
        <w:tc>
          <w:tcPr>
            <w:tcW w:type="dxa" w:w="223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7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版本来源与历史</w:t>
            </w:r>
          </w:p>
        </w:tc>
        <w:tc>
          <w:tcPr>
            <w:tcW w:type="dxa" w:w="345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7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选对象、看版本、来源与关联回执、比较。</w:t>
            </w:r>
          </w:p>
        </w:tc>
        <w:tc>
          <w:tcPr>
            <w:tcW w:type="dxa" w:w="352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7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按对象绑定；恢复前展示影响和冲突。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b w:val="0"/>
                <w:color w:val="000000"/>
                <w:sz w:val="20"/>
              </w:rPr>
              <w:t>21</w:t>
            </w:r>
          </w:p>
        </w:tc>
        <w:tc>
          <w:tcPr>
            <w:tcW w:type="dxa" w:w="223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画布与视觉表达</w:t>
            </w:r>
          </w:p>
        </w:tc>
        <w:tc>
          <w:tcPr>
            <w:tcW w:type="dxa" w:w="345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对象选择、排列、连线、引用、保存与导出。</w:t>
            </w:r>
          </w:p>
        </w:tc>
        <w:tc>
          <w:tcPr>
            <w:tcW w:type="dxa" w:w="352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优先已有画布；重载仿真保留合同与状态。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7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b w:val="0"/>
                <w:color w:val="000000"/>
                <w:sz w:val="20"/>
              </w:rPr>
              <w:t>22</w:t>
            </w:r>
          </w:p>
        </w:tc>
        <w:tc>
          <w:tcPr>
            <w:tcW w:type="dxa" w:w="223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7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受限任务与回执</w:t>
            </w:r>
          </w:p>
        </w:tc>
        <w:tc>
          <w:tcPr>
            <w:tcW w:type="dxa" w:w="345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7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查看上下文、行动计划、任务状态和回执。</w:t>
            </w:r>
          </w:p>
        </w:tc>
        <w:tc>
          <w:tcPr>
            <w:tcW w:type="dxa" w:w="352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7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明确未运行与结果未知；授权执行经正式链。</w:t>
            </w:r>
          </w:p>
        </w:tc>
      </w:tr>
    </w:tbl>
    <w:p>
      <w:pPr>
        <w:spacing w:after="40"/>
      </w:pPr>
    </w:p>
    <w:p>
      <w:r>
        <w:t>表中是交付要求，不是当前 22 页全部端到端合格的声明。可复用页面先从单活动页面中提取视图和共享服务，再装入面板注册表；学习与 AI 页面保留主线旅程关系。来源详情和能力详情优先嵌入主视图或右侧工具区。</w:t>
      </w:r>
    </w:p>
    <w:p>
      <w:pPr>
        <w:pStyle w:val="Heading2"/>
      </w:pPr>
      <w:r>
        <w:t>重载能力的前端预留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4032"/>
        <w:gridCol w:w="3816"/>
      </w:tblGrid>
      <w:tr>
        <w:trPr>
          <w:tblHeader w:val="true"/>
          <w:cantSplit/>
        </w:trPr>
        <w:tc>
          <w:tcPr>
            <w:tcW w:type="dxa" w:w="333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24394D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b/>
                <w:color w:val="FFFFFF"/>
                <w:sz w:val="20"/>
              </w:rPr>
              <w:t>能力领域</w:t>
            </w:r>
          </w:p>
        </w:tc>
        <w:tc>
          <w:tcPr>
            <w:tcW w:type="dxa" w:w="333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24394D"/>
          </w:tcPr>
          <w:p>
            <w:pPr>
              <w:keepNext w:val="0"/>
              <w:spacing w:after="40" w:line="264" w:lineRule="auto"/>
            </w:pPr>
            <w:r>
              <w:rPr>
                <w:b/>
                <w:color w:val="FFFFFF"/>
                <w:sz w:val="20"/>
              </w:rPr>
              <w:t>现在完成的输入和交互</w:t>
            </w:r>
          </w:p>
        </w:tc>
        <w:tc>
          <w:tcPr>
            <w:tcW w:type="dxa" w:w="333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24394D"/>
          </w:tcPr>
          <w:p>
            <w:pPr>
              <w:keepNext w:val="0"/>
              <w:spacing w:after="40" w:line="264" w:lineRule="auto"/>
            </w:pPr>
            <w:r>
              <w:rPr>
                <w:b/>
                <w:color w:val="FFFFFF"/>
                <w:sz w:val="20"/>
              </w:rPr>
              <w:t>以后接收的结果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b w:val="0"/>
                <w:color w:val="000000"/>
                <w:sz w:val="20"/>
              </w:rPr>
              <w:t>动态解释与仿真</w:t>
            </w:r>
          </w:p>
        </w:tc>
        <w:tc>
          <w:tcPr>
            <w:tcW w:type="dxa" w:w="403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场景、参数、单位、预设、播放控制和运行计划。</w:t>
            </w:r>
          </w:p>
        </w:tc>
        <w:tc>
          <w:tcPr>
            <w:tcW w:type="dxa" w:w="381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帧或事件流、运行记录、参数版本和失败原因。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7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b w:val="0"/>
                <w:color w:val="000000"/>
                <w:sz w:val="20"/>
              </w:rPr>
              <w:t>空间记忆与 3D</w:t>
            </w:r>
          </w:p>
        </w:tc>
        <w:tc>
          <w:tcPr>
            <w:tcW w:type="dxa" w:w="403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7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知识对象、场景模板、质量模式、视角与资源计划。</w:t>
            </w:r>
          </w:p>
        </w:tc>
        <w:tc>
          <w:tcPr>
            <w:tcW w:type="dxa" w:w="381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7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空间对象清单、场景引用、渲染器状态。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b w:val="0"/>
                <w:color w:val="000000"/>
                <w:sz w:val="20"/>
              </w:rPr>
              <w:t>AI 受限执行</w:t>
            </w:r>
          </w:p>
        </w:tc>
        <w:tc>
          <w:tcPr>
            <w:tcW w:type="dxa" w:w="403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上下文、允许工具、作用域、行动预览和停止。</w:t>
            </w:r>
          </w:p>
        </w:tc>
        <w:tc>
          <w:tcPr>
            <w:tcW w:type="dxa" w:w="381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job_ref、步骤、证据、回执与恢复状态。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7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b w:val="0"/>
                <w:color w:val="000000"/>
                <w:sz w:val="20"/>
              </w:rPr>
              <w:t>生态互通</w:t>
            </w:r>
          </w:p>
        </w:tc>
        <w:tc>
          <w:tcPr>
            <w:tcW w:type="dxa" w:w="403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7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目标、profile、方向、范围、冲突策略与预览。</w:t>
            </w:r>
          </w:p>
        </w:tc>
        <w:tc>
          <w:tcPr>
            <w:tcW w:type="dxa" w:w="381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7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逐对象映射、损失报告、回执和往返验证。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b w:val="0"/>
                <w:color w:val="000000"/>
                <w:sz w:val="20"/>
              </w:rPr>
              <w:t>同步与协同</w:t>
            </w:r>
          </w:p>
        </w:tc>
        <w:tc>
          <w:tcPr>
            <w:tcW w:type="dxa" w:w="403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目标、身份、范围、版本与冲突处理界面。</w:t>
            </w:r>
          </w:p>
        </w:tc>
        <w:tc>
          <w:tcPr>
            <w:tcW w:type="dxa" w:w="381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同步游标、冲突对象、权限和任务结果。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7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b w:val="0"/>
                <w:color w:val="000000"/>
                <w:sz w:val="20"/>
              </w:rPr>
              <w:t>Provider 治理</w:t>
            </w:r>
          </w:p>
        </w:tc>
        <w:tc>
          <w:tcPr>
            <w:tcW w:type="dxa" w:w="403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7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服务、模型、数据范围、能力和去向说明。</w:t>
            </w:r>
          </w:p>
        </w:tc>
        <w:tc>
          <w:tcPr>
            <w:tcW w:type="dxa" w:w="381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7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真实能力探测、授权与调用回执。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b w:val="0"/>
                <w:color w:val="000000"/>
                <w:sz w:val="20"/>
              </w:rPr>
              <w:t>WORKLAB 与 DESIGNLAB</w:t>
            </w:r>
          </w:p>
        </w:tc>
        <w:tc>
          <w:tcPr>
            <w:tcW w:type="dxa" w:w="403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连接、远端对象、选定上下文和交接预览。</w:t>
            </w:r>
          </w:p>
        </w:tc>
        <w:tc>
          <w:tcPr>
            <w:tcW w:type="dxa" w:w="381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任务引用、产物清单、证据与远端状态。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7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b w:val="0"/>
                <w:color w:val="000000"/>
                <w:sz w:val="20"/>
              </w:rPr>
              <w:t>XR AR 与原生浮窗</w:t>
            </w:r>
          </w:p>
        </w:tc>
        <w:tc>
          <w:tcPr>
            <w:tcW w:type="dxa" w:w="403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7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设备或窗口模式、权限、布局、资源与回退。</w:t>
            </w:r>
          </w:p>
        </w:tc>
        <w:tc>
          <w:tcPr>
            <w:tcW w:type="dxa" w:w="381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7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设备状态、视图所有权、生命周期与故障。</w:t>
            </w:r>
          </w:p>
        </w:tc>
      </w:tr>
    </w:tbl>
    <w:p>
      <w:pPr>
        <w:spacing w:after="40"/>
      </w:pPr>
    </w:p>
    <w:p>
      <w:r>
        <w:t>参数来自正式 schema 或受控配置；尚未确定的字段标明合同待补齐，不能把猜测值变成运行请求。交互开发可用独立开发 fixture 验证全部状态，但用户版不把 fixture 结果写进正式资料、任务或绿灯资格。新增能力以后注册同一体系，具体新业务仍需补充合同与验收。</w:t>
      </w:r>
    </w:p>
    <w:p>
      <w:pPr>
        <w:pStyle w:val="Heading2"/>
      </w:pPr>
      <w:r>
        <w:t>材质和资源也属于前端交付</w:t>
      </w:r>
    </w:p>
    <w:p>
      <w:r>
        <w:t>首期包含真实可加载的场景背景、人物资源、玻璃表面、文字与图标规范、焦点和选中状态、动效降级、素材清单及版本。效果图负责确定视觉方向；宣传截图应由实际安装版生成。材质质感主要来自场景光线、局部明暗、表面透明度、边缘高光和层次，不依赖所有窗口同时做大范围实时模糊。</w:t>
      </w:r>
    </w:p>
    <w:p>
      <w:r>
        <w:t>首页、阅读、学习、研究、能力目录、配置和错误页使用同一套设计变量。角色与背景不降低正文对比度；连续阅读可切专注布局。小栖可折叠、隐藏或移至辅助区，字体和内容密度可调。键盘操作、颜色加文字状态和减少动态选项进入首期。</w:t>
      </w:r>
    </w:p>
    <w:p>
      <w:pPr>
        <w:pStyle w:val="Heading1"/>
      </w:pPr>
      <w:r>
        <w:t>12 多格式和最快真实闭环</w:t>
      </w:r>
    </w:p>
    <w:p>
      <w:r>
        <w:t>首批测试版的真实闭环是“导入资料 → 阅读或编辑 → 选定资料提问 → 练习或复述 → 保存并重新打开 → 导出”。普通笔记直接保存即可，不给日常入库添加通用审批。来源核验与知识治理按资料类型和使用场景逐步开展。模型没有配置时，导入、阅读、编辑、练习记录和导出仍可独立使用；提问显示服务缺失，不用示意回复代替真实模型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4"/>
        <w:gridCol w:w="4176"/>
        <w:gridCol w:w="4176"/>
      </w:tblGrid>
      <w:tr>
        <w:trPr>
          <w:tblHeader w:val="true"/>
          <w:cantSplit/>
        </w:trPr>
        <w:tc>
          <w:tcPr>
            <w:tcW w:type="dxa" w:w="333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24394D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b/>
                <w:color w:val="FFFFFF"/>
                <w:sz w:val="20"/>
              </w:rPr>
              <w:t>格式层级</w:t>
            </w:r>
          </w:p>
        </w:tc>
        <w:tc>
          <w:tcPr>
            <w:tcW w:type="dxa" w:w="333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24394D"/>
          </w:tcPr>
          <w:p>
            <w:pPr>
              <w:keepNext w:val="0"/>
              <w:spacing w:after="40" w:line="264" w:lineRule="auto"/>
            </w:pPr>
            <w:r>
              <w:rPr>
                <w:b/>
                <w:color w:val="FFFFFF"/>
                <w:sz w:val="20"/>
              </w:rPr>
              <w:t>首期资格目标</w:t>
            </w:r>
          </w:p>
        </w:tc>
        <w:tc>
          <w:tcPr>
            <w:tcW w:type="dxa" w:w="333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24394D"/>
          </w:tcPr>
          <w:p>
            <w:pPr>
              <w:keepNext w:val="0"/>
              <w:spacing w:after="40" w:line="264" w:lineRule="auto"/>
            </w:pPr>
            <w:r>
              <w:rPr>
                <w:b/>
                <w:color w:val="FFFFFF"/>
                <w:sz w:val="20"/>
              </w:rPr>
              <w:t>失效或损失呈现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b w:val="0"/>
                <w:color w:val="000000"/>
                <w:sz w:val="20"/>
              </w:rPr>
              <w:t>文本</w:t>
            </w:r>
          </w:p>
        </w:tc>
        <w:tc>
          <w:tcPr>
            <w:tcW w:type="dxa" w:w="417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Markdown TXT HTML；编辑内容可保存和重开。</w:t>
            </w:r>
          </w:p>
        </w:tc>
        <w:tc>
          <w:tcPr>
            <w:tcW w:type="dxa" w:w="417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编码、链接、图片引用和样式损失报告。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7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b w:val="0"/>
                <w:color w:val="000000"/>
                <w:sz w:val="20"/>
              </w:rPr>
              <w:t>文档</w:t>
            </w:r>
          </w:p>
        </w:tc>
        <w:tc>
          <w:tcPr>
            <w:tcW w:type="dxa" w:w="417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7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文本型 PDF DOCX PPTX；阅读与提取分开验收。</w:t>
            </w:r>
          </w:p>
        </w:tc>
        <w:tc>
          <w:tcPr>
            <w:tcW w:type="dxa" w:w="417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7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分页、表格、公式、批注与版式损失逐项说明。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b w:val="0"/>
                <w:color w:val="000000"/>
                <w:sz w:val="20"/>
              </w:rPr>
              <w:t>表格</w:t>
            </w:r>
          </w:p>
        </w:tc>
        <w:tc>
          <w:tcPr>
            <w:tcW w:type="dxa" w:w="417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CSV XLSX；表格查看和文本派生可独立通过。</w:t>
            </w:r>
          </w:p>
        </w:tc>
        <w:tc>
          <w:tcPr>
            <w:tcW w:type="dxa" w:w="417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公式、合并格、宏、外链不自动等同原样往返。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7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b w:val="0"/>
                <w:color w:val="000000"/>
                <w:sz w:val="20"/>
              </w:rPr>
              <w:t>图片</w:t>
            </w:r>
          </w:p>
        </w:tc>
        <w:tc>
          <w:tcPr>
            <w:tcW w:type="dxa" w:w="417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7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原件保存与查看；OCR 依已安装 worker 资格。</w:t>
            </w:r>
          </w:p>
        </w:tc>
        <w:tc>
          <w:tcPr>
            <w:tcW w:type="dxa" w:w="417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7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只有原件时不标文字可检索；失败可选重试。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b w:val="0"/>
                <w:color w:val="000000"/>
                <w:sz w:val="20"/>
              </w:rPr>
              <w:t>音频和视频</w:t>
            </w:r>
          </w:p>
        </w:tc>
        <w:tc>
          <w:tcPr>
            <w:tcW w:type="dxa" w:w="417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先保存、播放及已有字幕；转写按需启用。</w:t>
            </w:r>
          </w:p>
        </w:tc>
        <w:tc>
          <w:tcPr>
            <w:tcW w:type="dxa" w:w="417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时间轴、语言、转写来源与未解析段可查。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7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b w:val="0"/>
                <w:color w:val="000000"/>
                <w:sz w:val="20"/>
              </w:rPr>
              <w:t>网页与电子书</w:t>
            </w:r>
          </w:p>
        </w:tc>
        <w:tc>
          <w:tcPr>
            <w:tcW w:type="dxa" w:w="417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7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HTML EPUB 的限定 profile 先验证。</w:t>
            </w:r>
          </w:p>
        </w:tc>
        <w:tc>
          <w:tcPr>
            <w:tcW w:type="dxa" w:w="417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7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资源引用、离线可读性与版权元数据保留。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b w:val="0"/>
                <w:color w:val="000000"/>
                <w:sz w:val="20"/>
              </w:rPr>
              <w:t>知识平台</w:t>
            </w:r>
          </w:p>
        </w:tc>
        <w:tc>
          <w:tcPr>
            <w:tcW w:type="dxa" w:w="417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先做限定 Markdown 与 JSON Canvas 交换。</w:t>
            </w:r>
          </w:p>
        </w:tc>
        <w:tc>
          <w:tcPr>
            <w:tcW w:type="dxa" w:w="417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对象、引用、附件、双链的映射和往返差异。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7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b w:val="0"/>
                <w:color w:val="000000"/>
                <w:sz w:val="20"/>
              </w:rPr>
              <w:t>研发和设计产物</w:t>
            </w:r>
          </w:p>
        </w:tc>
        <w:tc>
          <w:tcPr>
            <w:tcW w:type="dxa" w:w="417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7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原件与来源引用先行；语义提取按适配器。</w:t>
            </w:r>
          </w:p>
        </w:tc>
        <w:tc>
          <w:tcPr>
            <w:tcW w:type="dxa" w:w="417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7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支持保存不等于支持原生编辑或执行。</w:t>
            </w:r>
          </w:p>
        </w:tc>
      </w:tr>
    </w:tbl>
    <w:p>
      <w:pPr>
        <w:spacing w:after="40"/>
      </w:pPr>
    </w:p>
    <w:p>
      <w:r>
        <w:t>每种格式分别记录 store、preview、extract、edit、export、roundtrip 的资格状态，还要记录版本、语言、大小与样例。不能以“可上传”统称支持全部内容；一项转换成功也不能宣称无损往返。首批具体格式集合以主线已有实现且通过真实样例的结果发布。以上是优先验证顺序。</w:t>
      </w:r>
    </w:p>
    <w:p>
      <w:r>
        <w:t>导入 UI 保留原件、显示逐文件计划和结果，识别同内容重复时供用户确认复用或创建引用；失败项不阻止成功项继续使用。派生文本与原件用来源锚点关联。模型回答和学习记录绑定材料与版本。导出包含所选内容、附件清单与来源报告。大型 OCR、批量转写和复杂解析作为可选 worker，不让首次打开加载所有引擎。</w:t>
      </w:r>
    </w:p>
    <w:p>
      <w:r>
        <w:t>MarkItDown 可作为轻量 Office 和文本转换候选，但其输出面向文本分析，并非高保真人类阅读版式；扫描件 OCR、视频、复杂结构按实际插件和依赖处理。Docling 可承担复杂文档和 OCR 的增强 worker，代码许可与所用模型权重分别记录。优先使用当前已验证转换器；缺口才引入候选模块。</w:t>
      </w:r>
    </w:p>
    <w:p>
      <w:pPr>
        <w:pStyle w:val="Heading1"/>
      </w:pPr>
      <w:r>
        <w:t>13 小栖和虚拟学习女友的完整融合</w:t>
      </w:r>
    </w:p>
    <w:p>
      <w:r>
        <w:t>小栖是 AAOS 中可选择的学习伴侣，同一角色可以使用学习助手、亲近陪伴或用户选定的女友语气。角色关系和表达风格由用户配置，不改变知识来源、操作权限或执行范围。默认学习导向；女友风格可启用、调整亲近程度或关闭。用户能随时进入专注模式，保留学习任务和对话历史。</w:t>
      </w:r>
    </w:p>
    <w:p>
      <w:r>
        <w:t>人物主页呈现欢迎、继续上次学习和一个自然对话入口；实际学习时缩为右侧半身、头像或嵌入反馈。她可以解释选中资料、提问、听用户复述、给出有来源的纠正、提醒用户自己设定的计划，也可以进行日常陪伴对话。页面保持 AI 角色身份，陪伴回复与材料证据不混在同一来源标签里。</w:t>
      </w:r>
    </w:p>
    <w:p>
      <w:r>
        <w:t>同一会话可在主页、伴随面板和阅读页出现，但只有一个输入与音频播放所有者。界面切换不创建另一会话或重复模型调用。当前 CompanionShell 内部持有控制器和消息，需要抽出 CompanionSessionManager；视图仅订阅状态和发送意图。用户明确开启另一角色或另一会话时，才建立新的实例键。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4"/>
        <w:gridCol w:w="4176"/>
        <w:gridCol w:w="4176"/>
      </w:tblGrid>
      <w:tr>
        <w:trPr>
          <w:tblHeader w:val="true"/>
          <w:cantSplit/>
        </w:trPr>
        <w:tc>
          <w:tcPr>
            <w:tcW w:type="dxa" w:w="333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24394D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b/>
                <w:color w:val="FFFFFF"/>
                <w:sz w:val="20"/>
              </w:rPr>
              <w:t>环节</w:t>
            </w:r>
          </w:p>
        </w:tc>
        <w:tc>
          <w:tcPr>
            <w:tcW w:type="dxa" w:w="333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24394D"/>
          </w:tcPr>
          <w:p>
            <w:pPr>
              <w:keepNext w:val="0"/>
              <w:spacing w:after="40" w:line="264" w:lineRule="auto"/>
            </w:pPr>
            <w:r>
              <w:rPr>
                <w:b/>
                <w:color w:val="FFFFFF"/>
                <w:sz w:val="20"/>
              </w:rPr>
              <w:t>输入与状态</w:t>
            </w:r>
          </w:p>
        </w:tc>
        <w:tc>
          <w:tcPr>
            <w:tcW w:type="dxa" w:w="333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24394D"/>
          </w:tcPr>
          <w:p>
            <w:pPr>
              <w:keepNext w:val="0"/>
              <w:spacing w:after="40" w:line="264" w:lineRule="auto"/>
            </w:pPr>
            <w:r>
              <w:rPr>
                <w:b/>
                <w:color w:val="FFFFFF"/>
                <w:sz w:val="20"/>
              </w:rPr>
              <w:t>界面表现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b w:val="0"/>
                <w:color w:val="000000"/>
                <w:sz w:val="20"/>
              </w:rPr>
              <w:t>当前上下文</w:t>
            </w:r>
          </w:p>
        </w:tc>
        <w:tc>
          <w:tcPr>
            <w:tcW w:type="dxa" w:w="417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选中资料、对象版本、允许范围。</w:t>
            </w:r>
          </w:p>
        </w:tc>
        <w:tc>
          <w:tcPr>
            <w:tcW w:type="dxa" w:w="417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输入区显示资料标签，可移除与切换。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7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b w:val="0"/>
                <w:color w:val="000000"/>
                <w:sz w:val="20"/>
              </w:rPr>
              <w:t>意图</w:t>
            </w:r>
          </w:p>
        </w:tc>
        <w:tc>
          <w:tcPr>
            <w:tcW w:type="dxa" w:w="417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7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资料提问、复述反馈、日常陪伴、行动请求。</w:t>
            </w:r>
          </w:p>
        </w:tc>
        <w:tc>
          <w:tcPr>
            <w:tcW w:type="dxa" w:w="417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7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按类型显示来源、反馈或行动预览。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b w:val="0"/>
                <w:color w:val="000000"/>
                <w:sz w:val="20"/>
              </w:rPr>
              <w:t>模型对话</w:t>
            </w:r>
          </w:p>
        </w:tc>
        <w:tc>
          <w:tcPr>
            <w:tcW w:type="dxa" w:w="417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同一会话的流式文本、错误和取消。</w:t>
            </w:r>
          </w:p>
        </w:tc>
        <w:tc>
          <w:tcPr>
            <w:tcW w:type="dxa" w:w="417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文本可先显示；渲染器故障不丢会话。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7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b w:val="0"/>
                <w:color w:val="000000"/>
                <w:sz w:val="20"/>
              </w:rPr>
              <w:t>长期记忆</w:t>
            </w:r>
          </w:p>
        </w:tc>
        <w:tc>
          <w:tcPr>
            <w:tcW w:type="dxa" w:w="417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7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用户偏好、学习目标、约定和获准记录。</w:t>
            </w:r>
          </w:p>
        </w:tc>
        <w:tc>
          <w:tcPr>
            <w:tcW w:type="dxa" w:w="417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7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可查看、纠正、忘记、导出与停用。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b w:val="0"/>
                <w:color w:val="000000"/>
                <w:sz w:val="20"/>
              </w:rPr>
              <w:t>声音</w:t>
            </w:r>
          </w:p>
        </w:tc>
        <w:tc>
          <w:tcPr>
            <w:tcW w:type="dxa" w:w="417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TTS 音频、片段序号、字幕和时间戳。</w:t>
            </w:r>
          </w:p>
        </w:tc>
        <w:tc>
          <w:tcPr>
            <w:tcW w:type="dxa" w:w="417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音量、音色、自动朗读、停止和失败回退。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7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b w:val="0"/>
                <w:color w:val="000000"/>
                <w:sz w:val="20"/>
              </w:rPr>
              <w:t>身体与表情</w:t>
            </w:r>
          </w:p>
        </w:tc>
        <w:tc>
          <w:tcPr>
            <w:tcW w:type="dxa" w:w="417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7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倾听、思考、点头、指向和说话参数。</w:t>
            </w:r>
          </w:p>
        </w:tc>
        <w:tc>
          <w:tcPr>
            <w:tcW w:type="dxa" w:w="417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7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低干扰动作；隐藏时暂停昂贵渲染。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b w:val="0"/>
                <w:color w:val="000000"/>
                <w:sz w:val="20"/>
              </w:rPr>
              <w:t>知识输出</w:t>
            </w:r>
          </w:p>
        </w:tc>
        <w:tc>
          <w:tcPr>
            <w:tcW w:type="dxa" w:w="417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材料回答、纠正、学习记录、候选知识。</w:t>
            </w:r>
          </w:p>
        </w:tc>
        <w:tc>
          <w:tcPr>
            <w:tcW w:type="dxa" w:w="417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按来源保存；闲聊不自动变权威知识。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7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b w:val="0"/>
                <w:color w:val="000000"/>
                <w:sz w:val="20"/>
              </w:rPr>
              <w:t>受控行动</w:t>
            </w:r>
          </w:p>
        </w:tc>
        <w:tc>
          <w:tcPr>
            <w:tcW w:type="dxa" w:w="417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7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明确对象、动作、权限和请求 ID。</w:t>
            </w:r>
          </w:p>
        </w:tc>
        <w:tc>
          <w:tcPr>
            <w:tcW w:type="dxa" w:w="417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7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经宿主执行，展示真实回执。</w:t>
            </w:r>
          </w:p>
        </w:tc>
      </w:tr>
    </w:tbl>
    <w:p>
      <w:pPr>
        <w:spacing w:after="40"/>
      </w:pPr>
    </w:p>
    <w:p>
      <w:r>
        <w:t>短期学习闭环可以是：导入材料，小栖围绕选定段落提出问题，用户复述，小栖给出来源可回看的反馈，用户修订并保存。模型可用时才启用自动解释与评价；没有语音仍能完成文本陪伴。记忆存储归 AAOS Core，ASTRYN 不引入第二个长期知识库。角色风格与学习事实分开保存，忘记某项不能只隐藏一张卡而保留可检索原记录。</w:t>
      </w:r>
    </w:p>
    <w:p>
      <w:pPr>
        <w:pStyle w:val="Heading2"/>
      </w:pPr>
      <w:r>
        <w:t>ASTRYN 八类端口的实施任务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3528"/>
        <w:gridCol w:w="4392"/>
      </w:tblGrid>
      <w:tr>
        <w:trPr>
          <w:tblHeader w:val="true"/>
          <w:cantSplit/>
        </w:trPr>
        <w:tc>
          <w:tcPr>
            <w:tcW w:type="dxa" w:w="333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24394D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b/>
                <w:color w:val="FFFFFF"/>
                <w:sz w:val="20"/>
              </w:rPr>
              <w:t>端口</w:t>
            </w:r>
          </w:p>
        </w:tc>
        <w:tc>
          <w:tcPr>
            <w:tcW w:type="dxa" w:w="333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24394D"/>
          </w:tcPr>
          <w:p>
            <w:pPr>
              <w:keepNext w:val="0"/>
              <w:spacing w:after="40" w:line="264" w:lineRule="auto"/>
            </w:pPr>
            <w:r>
              <w:rPr>
                <w:b/>
                <w:color w:val="FFFFFF"/>
                <w:sz w:val="20"/>
              </w:rPr>
              <w:t>复用的职责</w:t>
            </w:r>
          </w:p>
        </w:tc>
        <w:tc>
          <w:tcPr>
            <w:tcW w:type="dxa" w:w="333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24394D"/>
          </w:tcPr>
          <w:p>
            <w:pPr>
              <w:keepNext w:val="0"/>
              <w:spacing w:after="40" w:line="264" w:lineRule="auto"/>
            </w:pPr>
            <w:r>
              <w:rPr>
                <w:b/>
                <w:color w:val="FFFFFF"/>
                <w:sz w:val="20"/>
              </w:rPr>
              <w:t>本轮必须补齐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b w:val="0"/>
                <w:color w:val="000000"/>
                <w:sz w:val="20"/>
              </w:rPr>
              <w:t>Host</w:t>
            </w:r>
          </w:p>
        </w:tc>
        <w:tc>
          <w:tcPr>
            <w:tcW w:type="dxa" w:w="352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身份、能力、权限与运行范围。</w:t>
            </w:r>
          </w:p>
        </w:tc>
        <w:tc>
          <w:tcPr>
            <w:tcW w:type="dxa" w:w="439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实际握手与逐 operation 探测；未知默认不可用。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7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b w:val="0"/>
                <w:color w:val="000000"/>
                <w:sz w:val="20"/>
              </w:rPr>
              <w:t>Conversation</w:t>
            </w:r>
          </w:p>
        </w:tc>
        <w:tc>
          <w:tcPr>
            <w:tcW w:type="dxa" w:w="352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7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请求、流、取消与会话信息。</w:t>
            </w:r>
          </w:p>
        </w:tc>
        <w:tc>
          <w:tcPr>
            <w:tcW w:type="dxa" w:w="439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7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区分材料问答和陪伴会话；共享实例与幂等。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b w:val="0"/>
                <w:color w:val="000000"/>
                <w:sz w:val="20"/>
              </w:rPr>
              <w:t>Memory</w:t>
            </w:r>
          </w:p>
        </w:tc>
        <w:tc>
          <w:tcPr>
            <w:tcW w:type="dxa" w:w="352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记忆读取与受控写入。</w:t>
            </w:r>
          </w:p>
        </w:tc>
        <w:tc>
          <w:tcPr>
            <w:tcW w:type="dxa" w:w="439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只由 Core 写入，支持纠正、删除和来源。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7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b w:val="0"/>
                <w:color w:val="000000"/>
                <w:sz w:val="20"/>
              </w:rPr>
              <w:t>Action</w:t>
            </w:r>
          </w:p>
        </w:tc>
        <w:tc>
          <w:tcPr>
            <w:tcW w:type="dxa" w:w="352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7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行动请求和结果。</w:t>
            </w:r>
          </w:p>
        </w:tc>
        <w:tc>
          <w:tcPr>
            <w:tcW w:type="dxa" w:w="439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7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明确 Consumer 与 scope，正式授权和回执。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b w:val="0"/>
                <w:color w:val="000000"/>
                <w:sz w:val="20"/>
              </w:rPr>
              <w:t>Context</w:t>
            </w:r>
          </w:p>
        </w:tc>
        <w:tc>
          <w:tcPr>
            <w:tcW w:type="dxa" w:w="352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选定对象与上下文。</w:t>
            </w:r>
          </w:p>
        </w:tc>
        <w:tc>
          <w:tcPr>
            <w:tcW w:type="dxa" w:w="439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版本、来源和用户可见范围；不默认读全库。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7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b w:val="0"/>
                <w:color w:val="000000"/>
                <w:sz w:val="20"/>
              </w:rPr>
              <w:t>AvatarRenderer</w:t>
            </w:r>
          </w:p>
        </w:tc>
        <w:tc>
          <w:tcPr>
            <w:tcW w:type="dxa" w:w="352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7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人物资产、动作和口型。</w:t>
            </w:r>
          </w:p>
        </w:tc>
        <w:tc>
          <w:tcPr>
            <w:tcW w:type="dxa" w:w="439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7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可替换渲染器，资源清理、隐藏暂停和回退。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b w:val="0"/>
                <w:color w:val="000000"/>
                <w:sz w:val="20"/>
              </w:rPr>
              <w:t>PresentationMode</w:t>
            </w:r>
          </w:p>
        </w:tc>
        <w:tc>
          <w:tcPr>
            <w:tcW w:type="dxa" w:w="352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嵌入、面板及未来原生浮窗。</w:t>
            </w:r>
          </w:p>
        </w:tc>
        <w:tc>
          <w:tcPr>
            <w:tcW w:type="dxa" w:w="439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同一会话和渲染所有权；原生窗口后续验证。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7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b w:val="0"/>
                <w:color w:val="000000"/>
                <w:sz w:val="20"/>
              </w:rPr>
              <w:t>CharacterProfile</w:t>
            </w:r>
          </w:p>
        </w:tc>
        <w:tc>
          <w:tcPr>
            <w:tcW w:type="dxa" w:w="352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7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人物、关系风格、声音和偏好。</w:t>
            </w:r>
          </w:p>
        </w:tc>
        <w:tc>
          <w:tcPr>
            <w:tcW w:type="dxa" w:w="439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7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持久化、版本、切换和可恢复配置。</w:t>
            </w:r>
          </w:p>
        </w:tc>
      </w:tr>
    </w:tbl>
    <w:p>
      <w:pPr>
        <w:spacing w:after="40"/>
      </w:pPr>
    </w:p>
    <w:p>
      <w:r>
        <w:t>现有 AAOS machine.answer 是资料约束回答，不能直接当通用陪伴流；当前 Consumer 枚举也没有 ASTRYN。应新增或适配正式会话协议和受限 Consumer，而不是让前端构造任意 API。ASTRYN 拟桥的 Bearer 认证与 AAOS Rust 保存的 launch-token 不一致；前端不获取或长期保存该 token。桥接缺失返回 HOST_CONTRACT_MISSING 等理由，不能因为返回非空字段就视为能力探测或签名验证通过。</w:t>
      </w:r>
    </w:p>
    <w:p>
      <w:pPr>
        <w:pStyle w:val="Heading2"/>
      </w:pPr>
      <w:r>
        <w:t>人物实现的采用顺序</w:t>
      </w:r>
    </w:p>
    <w:p>
      <w:r>
        <w:t>第一层复用 ASTRYN 的 SVG 或有明确权利的轻量人物资产，完成同一会话、文本学习和基础动作。第二层增加可选声音：麦克风输入、VAD、ASR、TTS、字幕、音量与打断；不开麦也可使用。第三层增加音频驱动口型和表情：2D 参数或 3D morph target，按播放时钟同步。最后才考虑写实音频驱动视频、大型场景和原生桌宠。</w:t>
      </w:r>
    </w:p>
    <w:p>
      <w:r>
        <w:t>写实人物的少量待机或倾听视频可在解码能力允许时使用，但每次说话不必重新生成整段真人视频。任意新句子的嘴形需要可驱动角色或音频视频生成服务。素材清单包含作者、来源、许可、人物或声音授权和版本。代码开源不等于模型、肖像、音色和演示资产都能随产品分发。</w:t>
      </w:r>
    </w:p>
    <w:p>
      <w:r>
        <w:t>音频主时钟管理字幕与口型；流式片段保持 utterance_id、sequence 和时间偏移，丢弃已取消 utterance 的晚到结果。点击停止同步停止 TTS、嘴形和排队动作。回声消除、插话和录音结束进入语音适配测试。没有音素时间戳时标为音量驱动基础口型；准确中文口型单独验证。</w:t>
      </w:r>
    </w:p>
    <w:p>
      <w:pPr>
        <w:pStyle w:val="Heading1"/>
      </w:pPr>
      <w:r>
        <w:t>14 开源优先的具体复用方案</w:t>
      </w:r>
    </w:p>
    <w:p>
      <w:r>
        <w:t>采用顺序是“已有主线模块 → 可直接使用的开源组件 → 固定版本的开源适配 → 仍无可用实现时自研”。复用保留来源、许可、版本、改动说明和上游更新关系。优先复制能独立工作的模块，不把另一个项目的数据库、模型网关、桌面壳和运行时整体嵌入 AAOS。以下候选已核对官方仓库或文档，尚未全部在 AAOS 原生安装版通过集成资格。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1944"/>
        <w:gridCol w:w="2376"/>
        <w:gridCol w:w="3816"/>
      </w:tblGrid>
      <w:tr>
        <w:trPr>
          <w:tblHeader w:val="true"/>
          <w:cantSplit/>
        </w:trPr>
        <w:tc>
          <w:tcPr>
            <w:tcW w:type="dxa" w:w="249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24394D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b/>
                <w:color w:val="FFFFFF"/>
                <w:sz w:val="20"/>
              </w:rPr>
              <w:t>复用对象</w:t>
            </w:r>
          </w:p>
        </w:tc>
        <w:tc>
          <w:tcPr>
            <w:tcW w:type="dxa" w:w="249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24394D"/>
          </w:tcPr>
          <w:p>
            <w:pPr>
              <w:keepNext w:val="0"/>
              <w:spacing w:after="40" w:line="264" w:lineRule="auto"/>
            </w:pPr>
            <w:r>
              <w:rPr>
                <w:b/>
                <w:color w:val="FFFFFF"/>
                <w:sz w:val="20"/>
              </w:rPr>
              <w:t>主要用途</w:t>
            </w:r>
          </w:p>
        </w:tc>
        <w:tc>
          <w:tcPr>
            <w:tcW w:type="dxa" w:w="249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24394D"/>
          </w:tcPr>
          <w:p>
            <w:pPr>
              <w:keepNext w:val="0"/>
              <w:spacing w:after="40" w:line="264" w:lineRule="auto"/>
            </w:pPr>
            <w:r>
              <w:rPr>
                <w:b/>
                <w:color w:val="FFFFFF"/>
                <w:sz w:val="20"/>
              </w:rPr>
              <w:t>许可与兼容</w:t>
            </w:r>
          </w:p>
        </w:tc>
        <w:tc>
          <w:tcPr>
            <w:tcW w:type="dxa" w:w="249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24394D"/>
          </w:tcPr>
          <w:p>
            <w:pPr>
              <w:keepNext w:val="0"/>
              <w:spacing w:after="40" w:line="264" w:lineRule="auto"/>
            </w:pPr>
            <w:r>
              <w:rPr>
                <w:b/>
                <w:color w:val="FFFFFF"/>
                <w:sz w:val="20"/>
              </w:rPr>
              <w:t>采用决定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b w:val="0"/>
                <w:color w:val="000000"/>
                <w:sz w:val="20"/>
              </w:rPr>
              <w:t>AAOS 主线</w:t>
            </w:r>
          </w:p>
        </w:tc>
        <w:tc>
          <w:tcPr>
            <w:tcW w:type="dxa" w:w="194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22 页、Core、编辑器、PDF 与转换链。</w:t>
            </w:r>
          </w:p>
        </w:tc>
        <w:tc>
          <w:tcPr>
            <w:tcW w:type="dxa" w:w="237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遵守现仓权威与合同；已有 React 栈。</w:t>
            </w:r>
          </w:p>
        </w:tc>
        <w:tc>
          <w:tcPr>
            <w:tcW w:type="dxa" w:w="381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拆共享会话和视图，保持正式写入链。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7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b w:val="0"/>
                <w:color w:val="000000"/>
                <w:sz w:val="20"/>
              </w:rPr>
              <w:t>ASTRYN</w:t>
            </w:r>
          </w:p>
        </w:tc>
        <w:tc>
          <w:tcPr>
            <w:tcW w:type="dxa" w:w="194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7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SVG 人物、八端口、角色状态。</w:t>
            </w:r>
          </w:p>
        </w:tc>
        <w:tc>
          <w:tcPr>
            <w:tcW w:type="dxa" w:w="237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7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现有 React 组件与 AAOS 方向一致。</w:t>
            </w:r>
          </w:p>
        </w:tc>
        <w:tc>
          <w:tcPr>
            <w:tcW w:type="dxa" w:w="381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7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作为小栖唯一角色子系统；先修宿主与会话兼容。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b w:val="0"/>
                <w:color w:val="000000"/>
                <w:sz w:val="20"/>
              </w:rPr>
              <w:t>Dockview</w:t>
            </w:r>
          </w:p>
        </w:tc>
        <w:tc>
          <w:tcPr>
            <w:tcW w:type="dxa" w:w="194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停靠、标签组、浮动、布局序列化。</w:t>
            </w:r>
          </w:p>
        </w:tc>
        <w:tc>
          <w:tcPr>
            <w:tcW w:type="dxa" w:w="237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开源包 MIT；enterprise 包商业许可。</w:t>
            </w:r>
          </w:p>
        </w:tc>
        <w:tc>
          <w:tcPr>
            <w:tcW w:type="dxa" w:w="381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首选 dockview-react 开源能力；原生多窗另做 Tauri 验证。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7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b w:val="0"/>
                <w:color w:val="000000"/>
                <w:sz w:val="20"/>
              </w:rPr>
              <w:t>现有 UI 栈</w:t>
            </w:r>
          </w:p>
        </w:tc>
        <w:tc>
          <w:tcPr>
            <w:tcW w:type="dxa" w:w="194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7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Radix、Tiptap、PDF.js。</w:t>
            </w:r>
          </w:p>
        </w:tc>
        <w:tc>
          <w:tcPr>
            <w:tcW w:type="dxa" w:w="237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7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已在主线使用；各插件许可独立。</w:t>
            </w:r>
          </w:p>
        </w:tc>
        <w:tc>
          <w:tcPr>
            <w:tcW w:type="dxa" w:w="381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7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保留现有栈，只补缺失组件。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b w:val="0"/>
                <w:color w:val="000000"/>
                <w:sz w:val="20"/>
              </w:rPr>
              <w:t>AIRI</w:t>
            </w:r>
          </w:p>
        </w:tc>
        <w:tc>
          <w:tcPr>
            <w:tcW w:type="dxa" w:w="194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角色生命周期、音频、口型与 VRM。</w:t>
            </w:r>
          </w:p>
        </w:tc>
        <w:tc>
          <w:tcPr>
            <w:tcW w:type="dxa" w:w="237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代码 MIT；3D UI 依赖 Vue 与 Tres。</w:t>
            </w:r>
          </w:p>
        </w:tc>
        <w:tc>
          <w:tcPr>
            <w:tcW w:type="dxa" w:w="381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评估 audio 与 model-driver-lipsync；适配 ASTRYN，不移植 Vue/Electron 应用。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7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b w:val="0"/>
                <w:color w:val="000000"/>
                <w:sz w:val="20"/>
              </w:rPr>
              <w:t>TalkingHead</w:t>
            </w:r>
          </w:p>
        </w:tc>
        <w:tc>
          <w:tcPr>
            <w:tcW w:type="dxa" w:w="194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7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3D 动作与音频时间驱动口型。</w:t>
            </w:r>
          </w:p>
        </w:tc>
        <w:tc>
          <w:tcPr>
            <w:tcW w:type="dxa" w:w="237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7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JS 核心 MIT；资产许可各异。</w:t>
            </w:r>
          </w:p>
        </w:tc>
        <w:tc>
          <w:tcPr>
            <w:tcW w:type="dxa" w:w="381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7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增强候选；接外部 viseme 流。内建语言未列中文，映射须验证。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b w:val="0"/>
                <w:color w:val="000000"/>
                <w:sz w:val="20"/>
              </w:rPr>
              <w:t>sherpa onnx</w:t>
            </w:r>
          </w:p>
        </w:tc>
        <w:tc>
          <w:tcPr>
            <w:tcW w:type="dxa" w:w="194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本地 VAD、ASR、TTS。</w:t>
            </w:r>
          </w:p>
        </w:tc>
        <w:tc>
          <w:tcPr>
            <w:tcW w:type="dxa" w:w="237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代码 Apache 2.0；模型分别许可。</w:t>
            </w:r>
          </w:p>
        </w:tc>
        <w:tc>
          <w:tcPr>
            <w:tcW w:type="dxa" w:w="381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选装语音 worker；先验证一组中文模型。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7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b w:val="0"/>
                <w:color w:val="000000"/>
                <w:sz w:val="20"/>
              </w:rPr>
              <w:t>MarkItDown</w:t>
            </w:r>
          </w:p>
        </w:tc>
        <w:tc>
          <w:tcPr>
            <w:tcW w:type="dxa" w:w="194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7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Office 与文本派生。</w:t>
            </w:r>
          </w:p>
        </w:tc>
        <w:tc>
          <w:tcPr>
            <w:tcW w:type="dxa" w:w="237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7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代码 MIT；插件与依赖分别记录。</w:t>
            </w:r>
          </w:p>
        </w:tc>
        <w:tc>
          <w:tcPr>
            <w:tcW w:type="dxa" w:w="381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7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补轻量转换缺口；保留原件与损失说明。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b w:val="0"/>
                <w:color w:val="000000"/>
                <w:sz w:val="20"/>
              </w:rPr>
              <w:t>Docling</w:t>
            </w:r>
          </w:p>
        </w:tc>
        <w:tc>
          <w:tcPr>
            <w:tcW w:type="dxa" w:w="194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复杂文档、版面与 OCR。</w:t>
            </w:r>
          </w:p>
        </w:tc>
        <w:tc>
          <w:tcPr>
            <w:tcW w:type="dxa" w:w="237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代码 MIT；模型分别许可。</w:t>
            </w:r>
          </w:p>
        </w:tc>
        <w:tc>
          <w:tcPr>
            <w:tcW w:type="dxa" w:w="381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增强 worker；重处理延期，不作首页依赖。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7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b w:val="0"/>
                <w:color w:val="000000"/>
                <w:sz w:val="20"/>
              </w:rPr>
              <w:t>Codex QQ Skin</w:t>
            </w:r>
          </w:p>
        </w:tc>
        <w:tc>
          <w:tcPr>
            <w:tcW w:type="dxa" w:w="194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7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皮肤分层与角色构图参考。</w:t>
            </w:r>
          </w:p>
        </w:tc>
        <w:tc>
          <w:tcPr>
            <w:tcW w:type="dxa" w:w="237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7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源码 MIT；NOTICE 单列商标与资产。</w:t>
            </w:r>
          </w:p>
        </w:tc>
        <w:tc>
          <w:tcPr>
            <w:tcW w:type="dxa" w:w="381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7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复用通用主题思路；Codex 注入壳不作 AAOS 架构。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b w:val="0"/>
                <w:color w:val="000000"/>
                <w:sz w:val="20"/>
              </w:rPr>
              <w:t>Open LLM VTuber</w:t>
            </w:r>
          </w:p>
        </w:tc>
        <w:tc>
          <w:tcPr>
            <w:tcW w:type="dxa" w:w="194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语音流、打断与 Live2D。</w:t>
            </w:r>
          </w:p>
        </w:tc>
        <w:tc>
          <w:tcPr>
            <w:tcW w:type="dxa" w:w="237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后端 MIT；Web 前端附额外商业条件。</w:t>
            </w:r>
          </w:p>
        </w:tc>
        <w:tc>
          <w:tcPr>
            <w:tcW w:type="dxa" w:w="381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先参考协议与测试；前端不能按纯 MIT 整包复制。</w:t>
            </w:r>
          </w:p>
        </w:tc>
      </w:tr>
    </w:tbl>
    <w:p>
      <w:pPr>
        <w:spacing w:after="40"/>
      </w:pPr>
    </w:p>
    <w:p>
      <w:r>
        <w:t>成熟落地能力按模块判断。Dockview 已有 React 接口和布局能力，可直接做技术验证；Tiptap 与 PDF.js 已是 AAOS 基础。AIRI 官方仍称项目处于早期开发，其可用模块不等于整个陪伴产品满足本项目。TalkingHead 是独立 JS 类，适配界面更直接，但人物模型和中文口型仍须另验。</w:t>
      </w:r>
    </w:p>
    <w:p>
      <w:r>
        <w:t>自行实现主要是领域适配：面板实例键、正式状态灯、布局偏好合同、小栖共享会话与 Consumer、学习来源、跨项目对象和任务交接。通用停靠、编辑、PDF、ASR、TTS、骨骼与口型引擎优先复用。决定自研前记录已评估候选、无法复用的具体原因和最小范围。</w:t>
      </w:r>
    </w:p>
    <w:p>
      <w:pPr>
        <w:pStyle w:val="Heading2"/>
      </w:pPr>
      <w:r>
        <w:t>工程接入结构</w:t>
      </w:r>
    </w:p>
    <w:p>
      <w:pPr>
        <w:spacing w:after="180" w:line="252" w:lineRule="auto"/>
      </w:pPr>
      <w:r>
        <w:rPr>
          <w:sz w:val="19"/>
        </w:rPr>
        <w:t>建议职责  对应现有 presentation 和 contracts 扩展</w:t>
        <w:br/>
        <w:t>AppShell                  顶部 左侧 中央 右侧 底部</w:t>
        <w:br/>
        <w:t>NavigationRegistry        22 页与领域菜单</w:t>
        <w:br/>
        <w:t>CapabilityProjection      主线目录加真实状态</w:t>
        <w:br/>
        <w:t>WorkspaceController       Dockview 适配与布局偏好</w:t>
        <w:br/>
        <w:t>PanelRegistry             页面类型与实例策略</w:t>
        <w:br/>
        <w:t>DocumentSessionStore      正式编辑 草稿与恢复</w:t>
        <w:br/>
        <w:t>ControlledAiJourneyStore  13 14 22 共用旅程</w:t>
        <w:br/>
        <w:t>CompanionSessionManager   对话 音频 渲染所有权</w:t>
        <w:br/>
        <w:t>HostAdapter               有限 Tauri 桥与 Core</w:t>
        <w:br/>
        <w:t>ProjectAdapters           跨项目版本化投影</w:t>
        <w:br/>
        <w:t>OptionalWorkers           转换 OCR 语音和增强能力</w:t>
        <w:br/>
        <w:br/>
        <w:t>以上是拟议职责名，不表示文件或命令已存在。</w:t>
      </w:r>
    </w:p>
    <w:p>
      <w:r>
        <w:t>保持 React 18、TypeScript、Vite 与 Tauri 2 主栈，依赖版本经实际 lockfile 验证。懒加载延迟模块下载，不替业务保存会话；Dockview 保留 DOM 不自动暂停视频、音频或图谱订阅。面板可见性事件显式连到各渲染器生命周期。</w:t>
      </w:r>
    </w:p>
    <w:p>
      <w:pPr>
        <w:pStyle w:val="Heading1"/>
      </w:pPr>
      <w:r>
        <w:t>15 本地个人测试和宣传验收</w:t>
      </w:r>
    </w:p>
    <w:p>
      <w:r>
        <w:t>测试版需要可安装包、首次启动说明、数据目录与恢复说明、示例资料的单独导入选择、版本身份、诊断导出及支持范围。测试者不必安装 WORKLAB 或 DESIGNLAB，也不应先手动配置所有重服务才能看到首页。第一次启动只选择数据位置、界面偏好和是否使用小栖；模型与重载模块按实际任务配置。</w:t>
      </w:r>
    </w:p>
    <w:p>
      <w:r>
        <w:t>每位测试者拥有自己的本地资料和配置。未来协作接口保留，首期不实现多租户服务。升级迁移有版本保护与恢复路径；卸载或重置布局不默认删除学习资料。反馈包由用户选择导出，默认包含构建版本、故障代码和必要环境信息；正文、聊天和密钥不默认进入诊断包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4392"/>
        <w:gridCol w:w="3744"/>
      </w:tblGrid>
      <w:tr>
        <w:trPr>
          <w:tblHeader w:val="true"/>
          <w:cantSplit/>
        </w:trPr>
        <w:tc>
          <w:tcPr>
            <w:tcW w:type="dxa" w:w="333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24394D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b/>
                <w:color w:val="FFFFFF"/>
                <w:sz w:val="20"/>
              </w:rPr>
              <w:t>验收层</w:t>
            </w:r>
          </w:p>
        </w:tc>
        <w:tc>
          <w:tcPr>
            <w:tcW w:type="dxa" w:w="333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24394D"/>
          </w:tcPr>
          <w:p>
            <w:pPr>
              <w:keepNext w:val="0"/>
              <w:spacing w:after="40" w:line="264" w:lineRule="auto"/>
            </w:pPr>
            <w:r>
              <w:rPr>
                <w:b/>
                <w:color w:val="FFFFFF"/>
                <w:sz w:val="20"/>
              </w:rPr>
              <w:t>证据要求</w:t>
            </w:r>
          </w:p>
        </w:tc>
        <w:tc>
          <w:tcPr>
            <w:tcW w:type="dxa" w:w="333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24394D"/>
          </w:tcPr>
          <w:p>
            <w:pPr>
              <w:keepNext w:val="0"/>
              <w:spacing w:after="40" w:line="264" w:lineRule="auto"/>
            </w:pPr>
            <w:r>
              <w:rPr>
                <w:b/>
                <w:color w:val="FFFFFF"/>
                <w:sz w:val="20"/>
              </w:rPr>
              <w:t>允许的宣传说明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b w:val="0"/>
                <w:color w:val="000000"/>
                <w:sz w:val="20"/>
              </w:rPr>
              <w:t>结构与交互</w:t>
            </w:r>
          </w:p>
        </w:tc>
        <w:tc>
          <w:tcPr>
            <w:tcW w:type="dxa" w:w="439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导航、状态、窗口与完整覆盖；fixture 和正式数据隔离。</w:t>
            </w:r>
          </w:p>
        </w:tc>
        <w:tc>
          <w:tcPr>
            <w:tcW w:type="dxa" w:w="374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可说明界面和未来入口；对应后台未完成则明确标记。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7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b w:val="0"/>
                <w:color w:val="000000"/>
                <w:sz w:val="20"/>
              </w:rPr>
              <w:t>本地短闭环</w:t>
            </w:r>
          </w:p>
        </w:tc>
        <w:tc>
          <w:tcPr>
            <w:tcW w:type="dxa" w:w="439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7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真实导入、编辑、保存、重启、导出；记录格式与设备。</w:t>
            </w:r>
          </w:p>
        </w:tc>
        <w:tc>
          <w:tcPr>
            <w:tcW w:type="dxa" w:w="374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7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仅宣传通过的格式和操作。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b w:val="0"/>
                <w:color w:val="000000"/>
                <w:sz w:val="20"/>
              </w:rPr>
              <w:t>模型与小栖</w:t>
            </w:r>
          </w:p>
        </w:tc>
        <w:tc>
          <w:tcPr>
            <w:tcW w:type="dxa" w:w="439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真实对话、选定来源、会话保持、取消与记忆管理。</w:t>
            </w:r>
          </w:p>
        </w:tc>
        <w:tc>
          <w:tcPr>
            <w:tcW w:type="dxa" w:w="374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宣传通过的学习陪伴；声音与口型另标状态。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7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b w:val="0"/>
                <w:color w:val="000000"/>
                <w:sz w:val="20"/>
              </w:rPr>
              <w:t>安装与性能</w:t>
            </w:r>
          </w:p>
        </w:tc>
        <w:tc>
          <w:tcPr>
            <w:tcW w:type="dxa" w:w="439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7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Windows 安装、启动、更新、离线与资源竞争验证。</w:t>
            </w:r>
          </w:p>
        </w:tc>
        <w:tc>
          <w:tcPr>
            <w:tcW w:type="dxa" w:w="374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7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以安装版实测为准，浏览器预览不替代原生结果。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b w:val="0"/>
                <w:color w:val="000000"/>
                <w:sz w:val="20"/>
              </w:rPr>
              <w:t>互联和增强</w:t>
            </w:r>
          </w:p>
        </w:tc>
        <w:tc>
          <w:tcPr>
            <w:tcW w:type="dxa" w:w="439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握手、兼容、投影、权限与回执逐项通过。</w:t>
            </w:r>
          </w:p>
        </w:tc>
        <w:tc>
          <w:tcPr>
            <w:tcW w:type="dxa" w:w="374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没有端到端证据则保持未接入或待验证。</w:t>
            </w:r>
          </w:p>
        </w:tc>
      </w:tr>
    </w:tbl>
    <w:p>
      <w:pPr>
        <w:spacing w:after="40"/>
      </w:pPr>
    </w:p>
    <w:p>
      <w:r>
        <w:t>首期必须测试空库进入、多文件部分失败、保存冲突与重启草稿恢复、布局重置保留内容、关窗再开共用会话、状态过期、worker 缺失、离线和模型失败、长文输入与大 PDF、角色隐藏后的资源回落、语音停止与晚到片段、多显示器变化后的可见布局。自动化负责重复验证，安装与硬件表现由真实环境记录。</w:t>
      </w:r>
    </w:p>
    <w:p>
      <w:r>
        <w:t>宣传准备包含首页、阅读、小栖陪学、分类能力和未来预留几个真实场景。图或短片带构建版本和能力阶段；概念人物或效果图单独标明。测试招募说明写清保存位置、已合格格式、模型需求、已知缺口及反馈方式。</w:t>
      </w:r>
    </w:p>
    <w:p>
      <w:pPr>
        <w:pStyle w:val="Heading1"/>
      </w:pPr>
      <w:r>
        <w:t>16 实施顺序与责任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2448"/>
        <w:gridCol w:w="5616"/>
      </w:tblGrid>
      <w:tr>
        <w:trPr>
          <w:tblHeader w:val="true"/>
          <w:cantSplit/>
        </w:trPr>
        <w:tc>
          <w:tcPr>
            <w:tcW w:type="dxa" w:w="333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24394D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b/>
                <w:color w:val="FFFFFF"/>
                <w:sz w:val="20"/>
              </w:rPr>
              <w:t>执行顺序</w:t>
            </w:r>
          </w:p>
        </w:tc>
        <w:tc>
          <w:tcPr>
            <w:tcW w:type="dxa" w:w="333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24394D"/>
          </w:tcPr>
          <w:p>
            <w:pPr>
              <w:keepNext w:val="0"/>
              <w:spacing w:after="40" w:line="264" w:lineRule="auto"/>
            </w:pPr>
            <w:r>
              <w:rPr>
                <w:b/>
                <w:color w:val="FFFFFF"/>
                <w:sz w:val="20"/>
              </w:rPr>
              <w:t>责任</w:t>
            </w:r>
          </w:p>
        </w:tc>
        <w:tc>
          <w:tcPr>
            <w:tcW w:type="dxa" w:w="333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24394D"/>
          </w:tcPr>
          <w:p>
            <w:pPr>
              <w:keepNext w:val="0"/>
              <w:spacing w:after="40" w:line="264" w:lineRule="auto"/>
            </w:pPr>
            <w:r>
              <w:rPr>
                <w:b/>
                <w:color w:val="FFFFFF"/>
                <w:sz w:val="20"/>
              </w:rPr>
              <w:t>必须交付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b w:val="0"/>
                <w:color w:val="000000"/>
                <w:sz w:val="20"/>
              </w:rPr>
              <w:t>真实短闭环</w:t>
            </w:r>
          </w:p>
        </w:tc>
        <w:tc>
          <w:tcPr>
            <w:tcW w:type="dxa" w:w="244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前端 Core workers</w:t>
            </w:r>
          </w:p>
        </w:tc>
        <w:tc>
          <w:tcPr>
            <w:tcW w:type="dxa" w:w="561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先核实多格式导入、保存、重开、导出；模型调用绑定选定来源。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7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b w:val="0"/>
                <w:color w:val="000000"/>
                <w:sz w:val="20"/>
              </w:rPr>
              <w:t>分类和注册</w:t>
            </w:r>
          </w:p>
        </w:tc>
        <w:tc>
          <w:tcPr>
            <w:tcW w:type="dxa" w:w="244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7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前端与 contracts</w:t>
            </w:r>
          </w:p>
        </w:tc>
        <w:tc>
          <w:tcPr>
            <w:tcW w:type="dxa" w:w="561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7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22 页、16 能力族、F/I 来源完整；分类唯一与检索可达。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b w:val="0"/>
                <w:color w:val="000000"/>
                <w:sz w:val="20"/>
              </w:rPr>
              <w:t>状态与窗口</w:t>
            </w:r>
          </w:p>
        </w:tc>
        <w:tc>
          <w:tcPr>
            <w:tcW w:type="dxa" w:w="244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前端和宿主</w:t>
            </w:r>
          </w:p>
        </w:tc>
        <w:tc>
          <w:tcPr>
            <w:tcW w:type="dxa" w:w="561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准确灯光与理由；单实例、草稿和会话保留。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7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b w:val="0"/>
                <w:color w:val="000000"/>
                <w:sz w:val="20"/>
              </w:rPr>
              <w:t>配置部署</w:t>
            </w:r>
          </w:p>
        </w:tc>
        <w:tc>
          <w:tcPr>
            <w:tcW w:type="dxa" w:w="244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7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宿主与 workers</w:t>
            </w:r>
          </w:p>
        </w:tc>
        <w:tc>
          <w:tcPr>
            <w:tcW w:type="dxa" w:w="561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7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计划、授权、幂等、校验、资格和回退回执。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b w:val="0"/>
                <w:color w:val="000000"/>
                <w:sz w:val="20"/>
              </w:rPr>
              <w:t>小栖适配</w:t>
            </w:r>
          </w:p>
        </w:tc>
        <w:tc>
          <w:tcPr>
            <w:tcW w:type="dxa" w:w="244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AAOS 与 ASTRYN</w:t>
            </w:r>
          </w:p>
        </w:tc>
        <w:tc>
          <w:tcPr>
            <w:tcW w:type="dxa" w:w="561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共享会话；真实能力探测；角色/音频独立端口。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7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b w:val="0"/>
                <w:color w:val="000000"/>
                <w:sz w:val="20"/>
              </w:rPr>
              <w:t>项目互联</w:t>
            </w:r>
          </w:p>
        </w:tc>
        <w:tc>
          <w:tcPr>
            <w:tcW w:type="dxa" w:w="244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7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四仓各自 owner</w:t>
            </w:r>
          </w:p>
        </w:tc>
        <w:tc>
          <w:tcPr>
            <w:tcW w:type="dxa" w:w="561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7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只读关联先行，任务与资产写入后阶段。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b w:val="0"/>
                <w:color w:val="000000"/>
                <w:sz w:val="20"/>
              </w:rPr>
              <w:t>增强与长期</w:t>
            </w:r>
          </w:p>
        </w:tc>
        <w:tc>
          <w:tcPr>
            <w:tcW w:type="dxa" w:w="244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后续正式任务</w:t>
            </w:r>
          </w:p>
        </w:tc>
        <w:tc>
          <w:tcPr>
            <w:tcW w:type="dxa" w:w="561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写实口型、3D、原生浮窗及 F/I 能力逐项验证。</w:t>
            </w:r>
          </w:p>
        </w:tc>
      </w:tr>
    </w:tbl>
    <w:p>
      <w:pPr>
        <w:spacing w:after="40"/>
      </w:pPr>
    </w:p>
    <w:p>
      <w:pPr>
        <w:pStyle w:val="ListBullet"/>
        <w:spacing w:after="100"/>
      </w:pPr>
      <w:r>
        <w:t>分类条目不互相覆盖；点击能力只更新当前详情，不堆叠新窗口。</w:t>
      </w:r>
    </w:p>
    <w:p>
      <w:pPr>
        <w:pStyle w:val="ListBullet"/>
        <w:spacing w:after="100"/>
      </w:pPr>
      <w:r>
        <w:t>红、绿、琥珀均有文字；实现映射不误显示为运行成功；过期状态降级。</w:t>
      </w:r>
    </w:p>
    <w:p>
      <w:pPr>
        <w:pStyle w:val="ListBullet"/>
        <w:spacing w:after="100"/>
      </w:pPr>
      <w:r>
        <w:t>可用动作执行前重新校验权限；未知结果查询原请求，不重跑。</w:t>
      </w:r>
    </w:p>
    <w:p>
      <w:pPr>
        <w:pStyle w:val="ListBullet"/>
        <w:spacing w:after="100"/>
      </w:pPr>
      <w:r>
        <w:t>菜单选择、开关面板、切换主题、重置布局均不丢草稿或新建小栖会话。</w:t>
      </w:r>
    </w:p>
    <w:p>
      <w:pPr>
        <w:pStyle w:val="ListBullet"/>
        <w:spacing w:after="100"/>
      </w:pPr>
      <w:r>
        <w:t>窄屏和多显示器恢复有效；隐藏重视图停止无用渲染；本地模型并发实测。</w:t>
      </w:r>
    </w:p>
    <w:p>
      <w:pPr>
        <w:pStyle w:val="ListBullet"/>
        <w:spacing w:after="100"/>
      </w:pPr>
      <w:r>
        <w:t>WORKLAB Observer 无执行按钮，DESIGNLAB 编译候选不自动入 AAOS 正式知识。</w:t>
      </w:r>
    </w:p>
    <w:p>
      <w:pPr>
        <w:pStyle w:val="ListBullet"/>
        <w:spacing w:after="100"/>
      </w:pPr>
      <w:r>
        <w:t>语音中断同步停止口型；头像被隐藏暂停渲染；无语音时继续文本交互。</w:t>
      </w:r>
    </w:p>
    <w:p>
      <w:r>
        <w:t>交给实施者的任务：先读取各仓 AUTHORITY、AGENTS、current 指针与实际源码，再以本规范登记 UI v1 合同和分类注册表。先完成单机工作区与诚实状态，再接配置部署和小栖宿主，最后接跨项目写入。所有未完成项保留明确原因和后续入口，不用假回执或模拟流替代真实验收。</w:t>
      </w:r>
    </w:p>
    <w:p>
      <w:r>
        <w:t>前端线与小栖线可按共同合同同步开发。首个可测试交付包必须同时满足完整入口、可保存工作区、诚实状态、真实短闭环与基础文本学习伴侣；后续再加本地语音和精确口型。宣传启动依安装版证据，不等待所有重载后台，也不提前宣称未来接口已接通。</w:t>
      </w:r>
    </w:p>
    <w:p>
      <w:pPr>
        <w:pStyle w:val="Heading1"/>
      </w:pPr>
      <w:r>
        <w:t>17 来源与设计决策身份</w:t>
      </w:r>
    </w:p>
    <w:p>
      <w:r>
        <w:t>AAOS 现行仓库的真实身份是 DTALEX66/ArcheAxis-Knowledge-OS，内部代号 AAOS。此前蓝图中使用 DTALEX66/AAOS 的链接属于引用路径错误，本轮纠正为真实仓库地址；代码扫描来自真实仓库。</w:t>
      </w:r>
    </w:p>
    <w:p>
      <w:pPr>
        <w:spacing w:after="60" w:line="259" w:lineRule="auto"/>
      </w:pPr>
      <w:r>
        <w:rPr>
          <w:sz w:val="20"/>
        </w:rPr>
        <w:t xml:space="preserve">AAOS 根权威  </w:t>
      </w:r>
      <w:hyperlink r:id="rId11">
        <w:r>
          <w:rPr>
            <w:color w:val="1F4E79"/>
            <w:sz w:val="20"/>
          </w:rPr>
          <w:t>查看来源</w:t>
        </w:r>
      </w:hyperlink>
    </w:p>
    <w:p>
      <w:pPr>
        <w:spacing w:after="60" w:line="259" w:lineRule="auto"/>
      </w:pPr>
      <w:r>
        <w:rPr>
          <w:sz w:val="20"/>
        </w:rPr>
        <w:t xml:space="preserve">22 页入口  </w:t>
      </w:r>
      <w:hyperlink r:id="rId12">
        <w:r>
          <w:rPr>
            <w:color w:val="1F4E79"/>
            <w:sz w:val="20"/>
          </w:rPr>
          <w:t>查看来源</w:t>
        </w:r>
      </w:hyperlink>
    </w:p>
    <w:p>
      <w:pPr>
        <w:spacing w:after="60" w:line="259" w:lineRule="auto"/>
      </w:pPr>
      <w:r>
        <w:rPr>
          <w:sz w:val="20"/>
        </w:rPr>
        <w:t xml:space="preserve">16 能力族生成投影  </w:t>
      </w:r>
      <w:hyperlink r:id="rId13">
        <w:r>
          <w:rPr>
            <w:color w:val="1F4E79"/>
            <w:sz w:val="20"/>
          </w:rPr>
          <w:t>查看来源</w:t>
        </w:r>
      </w:hyperlink>
    </w:p>
    <w:p>
      <w:pPr>
        <w:spacing w:after="60" w:line="259" w:lineRule="auto"/>
      </w:pPr>
      <w:r>
        <w:rPr>
          <w:sz w:val="20"/>
        </w:rPr>
        <w:t xml:space="preserve">未来 F 和互通 I 覆盖索引  </w:t>
      </w:r>
      <w:hyperlink r:id="rId14">
        <w:r>
          <w:rPr>
            <w:color w:val="1F4E79"/>
            <w:sz w:val="20"/>
          </w:rPr>
          <w:t>查看来源</w:t>
        </w:r>
      </w:hyperlink>
    </w:p>
    <w:p>
      <w:pPr>
        <w:spacing w:after="60" w:line="259" w:lineRule="auto"/>
      </w:pPr>
      <w:r>
        <w:rPr>
          <w:sz w:val="20"/>
        </w:rPr>
        <w:t xml:space="preserve">ASTRYN  </w:t>
      </w:r>
      <w:hyperlink r:id="rId15">
        <w:r>
          <w:rPr>
            <w:color w:val="1F4E79"/>
            <w:sz w:val="20"/>
          </w:rPr>
          <w:t>查看来源</w:t>
        </w:r>
      </w:hyperlink>
    </w:p>
    <w:p>
      <w:pPr>
        <w:spacing w:after="60" w:line="259" w:lineRule="auto"/>
      </w:pPr>
      <w:r>
        <w:rPr>
          <w:sz w:val="20"/>
        </w:rPr>
        <w:t xml:space="preserve">WORKLAB  </w:t>
      </w:r>
      <w:hyperlink r:id="rId16">
        <w:r>
          <w:rPr>
            <w:color w:val="1F4E79"/>
            <w:sz w:val="20"/>
          </w:rPr>
          <w:t>查看来源</w:t>
        </w:r>
      </w:hyperlink>
    </w:p>
    <w:p>
      <w:pPr>
        <w:spacing w:after="60" w:line="259" w:lineRule="auto"/>
      </w:pPr>
      <w:r>
        <w:rPr>
          <w:sz w:val="20"/>
        </w:rPr>
        <w:t xml:space="preserve">DESIGNLAB  </w:t>
      </w:r>
      <w:hyperlink r:id="rId17">
        <w:r>
          <w:rPr>
            <w:color w:val="1F4E79"/>
            <w:sz w:val="20"/>
          </w:rPr>
          <w:t>查看来源</w:t>
        </w:r>
      </w:hyperlink>
    </w:p>
    <w:p>
      <w:pPr>
        <w:spacing w:after="60" w:line="259" w:lineRule="auto"/>
      </w:pPr>
      <w:r>
        <w:rPr>
          <w:sz w:val="20"/>
        </w:rPr>
        <w:t xml:space="preserve">Dockview 渲染生命周期  </w:t>
      </w:r>
      <w:hyperlink r:id="rId18">
        <w:r>
          <w:rPr>
            <w:color w:val="1F4E79"/>
            <w:sz w:val="20"/>
          </w:rPr>
          <w:t>查看来源</w:t>
        </w:r>
      </w:hyperlink>
    </w:p>
    <w:p>
      <w:pPr>
        <w:spacing w:after="60" w:line="259" w:lineRule="auto"/>
      </w:pPr>
      <w:r>
        <w:rPr>
          <w:sz w:val="20"/>
        </w:rPr>
        <w:t xml:space="preserve">W3C 颜色与文字状态  </w:t>
      </w:r>
      <w:hyperlink r:id="rId19">
        <w:r>
          <w:rPr>
            <w:color w:val="1F4E79"/>
            <w:sz w:val="20"/>
          </w:rPr>
          <w:t>查看来源</w:t>
        </w:r>
      </w:hyperlink>
    </w:p>
    <w:p>
      <w:pPr>
        <w:spacing w:after="60" w:line="259" w:lineRule="auto"/>
      </w:pPr>
      <w:r>
        <w:rPr>
          <w:sz w:val="20"/>
        </w:rPr>
        <w:t xml:space="preserve">Microsoft 音频偏移与 viseme  </w:t>
      </w:r>
      <w:hyperlink r:id="rId20">
        <w:r>
          <w:rPr>
            <w:color w:val="1F4E79"/>
            <w:sz w:val="20"/>
          </w:rPr>
          <w:t>查看来源</w:t>
        </w:r>
      </w:hyperlink>
    </w:p>
    <w:p>
      <w:pPr>
        <w:spacing w:after="60" w:line="259" w:lineRule="auto"/>
      </w:pPr>
      <w:r>
        <w:rPr>
          <w:sz w:val="20"/>
        </w:rPr>
        <w:t xml:space="preserve">Live2D 口型驱动  </w:t>
      </w:r>
      <w:hyperlink r:id="rId21">
        <w:r>
          <w:rPr>
            <w:color w:val="1F4E79"/>
            <w:sz w:val="20"/>
          </w:rPr>
          <w:t>查看来源</w:t>
        </w:r>
      </w:hyperlink>
    </w:p>
    <w:p>
      <w:pPr>
        <w:spacing w:after="60" w:line="259" w:lineRule="auto"/>
      </w:pPr>
      <w:r>
        <w:rPr>
          <w:sz w:val="20"/>
        </w:rPr>
        <w:t xml:space="preserve">Khronos morph targets  </w:t>
      </w:r>
      <w:hyperlink r:id="rId22">
        <w:r>
          <w:rPr>
            <w:color w:val="1F4E79"/>
            <w:sz w:val="20"/>
          </w:rPr>
          <w:t>查看来源</w:t>
        </w:r>
      </w:hyperlink>
    </w:p>
    <w:p>
      <w:pPr>
        <w:spacing w:after="60" w:line="259" w:lineRule="auto"/>
      </w:pPr>
      <w:r>
        <w:rPr>
          <w:sz w:val="20"/>
        </w:rPr>
        <w:t xml:space="preserve">Dockview 包与许可区分  </w:t>
      </w:r>
      <w:hyperlink r:id="rId23">
        <w:r>
          <w:rPr>
            <w:color w:val="1F4E79"/>
            <w:sz w:val="20"/>
          </w:rPr>
          <w:t>查看来源</w:t>
        </w:r>
      </w:hyperlink>
    </w:p>
    <w:p>
      <w:pPr>
        <w:spacing w:after="60" w:line="259" w:lineRule="auto"/>
      </w:pPr>
      <w:r>
        <w:rPr>
          <w:sz w:val="20"/>
        </w:rPr>
        <w:t xml:space="preserve">AIRI 官方源码与路线  </w:t>
      </w:r>
      <w:hyperlink r:id="rId24">
        <w:r>
          <w:rPr>
            <w:color w:val="1F4E79"/>
            <w:sz w:val="20"/>
          </w:rPr>
          <w:t>查看来源</w:t>
        </w:r>
      </w:hyperlink>
    </w:p>
    <w:p>
      <w:pPr>
        <w:spacing w:after="60" w:line="259" w:lineRule="auto"/>
      </w:pPr>
      <w:r>
        <w:rPr>
          <w:sz w:val="20"/>
        </w:rPr>
        <w:t xml:space="preserve">AIRI 3D 界面的 Vue 依赖  </w:t>
      </w:r>
      <w:hyperlink r:id="rId25">
        <w:r>
          <w:rPr>
            <w:color w:val="1F4E79"/>
            <w:sz w:val="20"/>
          </w:rPr>
          <w:t>查看来源</w:t>
        </w:r>
      </w:hyperlink>
    </w:p>
    <w:p>
      <w:pPr>
        <w:spacing w:after="60" w:line="259" w:lineRule="auto"/>
      </w:pPr>
      <w:r>
        <w:rPr>
          <w:sz w:val="20"/>
        </w:rPr>
        <w:t xml:space="preserve">AIRI 音频模块依赖  </w:t>
      </w:r>
      <w:hyperlink r:id="rId26">
        <w:r>
          <w:rPr>
            <w:color w:val="1F4E79"/>
            <w:sz w:val="20"/>
          </w:rPr>
          <w:t>查看来源</w:t>
        </w:r>
      </w:hyperlink>
    </w:p>
    <w:p>
      <w:pPr>
        <w:spacing w:after="60" w:line="259" w:lineRule="auto"/>
      </w:pPr>
      <w:r>
        <w:rPr>
          <w:sz w:val="20"/>
        </w:rPr>
        <w:t xml:space="preserve">TalkingHead 流式音频 语言与资产  </w:t>
      </w:r>
      <w:hyperlink r:id="rId27">
        <w:r>
          <w:rPr>
            <w:color w:val="1F4E79"/>
            <w:sz w:val="20"/>
          </w:rPr>
          <w:t>查看来源</w:t>
        </w:r>
      </w:hyperlink>
    </w:p>
    <w:p>
      <w:pPr>
        <w:spacing w:after="60" w:line="259" w:lineRule="auto"/>
      </w:pPr>
      <w:r>
        <w:rPr>
          <w:sz w:val="20"/>
        </w:rPr>
        <w:t xml:space="preserve">sherpa onnx 本地语音  </w:t>
      </w:r>
      <w:hyperlink r:id="rId28">
        <w:r>
          <w:rPr>
            <w:color w:val="1F4E79"/>
            <w:sz w:val="20"/>
          </w:rPr>
          <w:t>查看来源</w:t>
        </w:r>
      </w:hyperlink>
    </w:p>
    <w:p>
      <w:pPr>
        <w:spacing w:after="60" w:line="259" w:lineRule="auto"/>
      </w:pPr>
      <w:r>
        <w:rPr>
          <w:sz w:val="20"/>
        </w:rPr>
        <w:t xml:space="preserve">MarkItDown 转换范围  </w:t>
      </w:r>
      <w:hyperlink r:id="rId29">
        <w:r>
          <w:rPr>
            <w:color w:val="1F4E79"/>
            <w:sz w:val="20"/>
          </w:rPr>
          <w:t>查看来源</w:t>
        </w:r>
      </w:hyperlink>
    </w:p>
    <w:p>
      <w:pPr>
        <w:spacing w:after="60" w:line="259" w:lineRule="auto"/>
      </w:pPr>
      <w:r>
        <w:rPr>
          <w:sz w:val="20"/>
        </w:rPr>
        <w:t xml:space="preserve">Docling 解析与模型许可  </w:t>
      </w:r>
      <w:hyperlink r:id="rId30">
        <w:r>
          <w:rPr>
            <w:color w:val="1F4E79"/>
            <w:sz w:val="20"/>
          </w:rPr>
          <w:t>查看来源</w:t>
        </w:r>
      </w:hyperlink>
    </w:p>
    <w:p>
      <w:pPr>
        <w:spacing w:after="60" w:line="259" w:lineRule="auto"/>
      </w:pPr>
      <w:r>
        <w:rPr>
          <w:sz w:val="20"/>
        </w:rPr>
        <w:t xml:space="preserve">Codex QQ Skin 资产与来源声明  </w:t>
      </w:r>
      <w:hyperlink r:id="rId31">
        <w:r>
          <w:rPr>
            <w:color w:val="1F4E79"/>
            <w:sz w:val="20"/>
          </w:rPr>
          <w:t>查看来源</w:t>
        </w:r>
      </w:hyperlink>
    </w:p>
    <w:p>
      <w:pPr>
        <w:spacing w:after="60" w:line="259" w:lineRule="auto"/>
      </w:pPr>
      <w:r>
        <w:rPr>
          <w:sz w:val="20"/>
        </w:rPr>
        <w:t xml:space="preserve">Open LLM VTuber Web 实际许可证  </w:t>
      </w:r>
      <w:hyperlink r:id="rId32">
        <w:r>
          <w:rPr>
            <w:color w:val="1F4E79"/>
            <w:sz w:val="20"/>
          </w:rPr>
          <w:t>查看来源</w:t>
        </w:r>
      </w:hyperlink>
    </w:p>
    <w:p>
      <w:pPr>
        <w:spacing w:after="60" w:line="259" w:lineRule="auto"/>
      </w:pPr>
      <w:r>
        <w:rPr>
          <w:sz w:val="20"/>
        </w:rPr>
        <w:t xml:space="preserve">正式品牌命名  </w:t>
      </w:r>
      <w:hyperlink r:id="rId33">
        <w:r>
          <w:rPr>
            <w:color w:val="1F4E79"/>
            <w:sz w:val="20"/>
          </w:rPr>
          <w:t>查看来源</w:t>
        </w:r>
      </w:hyperlink>
    </w:p>
    <w:p>
      <w:pPr>
        <w:spacing w:after="60" w:line="259" w:lineRule="auto"/>
      </w:pPr>
      <w:r>
        <w:rPr>
          <w:sz w:val="20"/>
        </w:rPr>
        <w:t xml:space="preserve">全部 186 条能力原始设计细则  </w:t>
      </w:r>
      <w:hyperlink r:id="rId34">
        <w:r>
          <w:rPr>
            <w:color w:val="1F4E79"/>
            <w:sz w:val="20"/>
          </w:rPr>
          <w:t>查看来源</w:t>
        </w:r>
      </w:hyperlink>
    </w:p>
    <w:p>
      <w:pPr>
        <w:spacing w:after="60" w:line="259" w:lineRule="auto"/>
      </w:pPr>
      <w:r>
        <w:rPr>
          <w:sz w:val="20"/>
        </w:rPr>
        <w:t xml:space="preserve">模型配置的当前缺口  </w:t>
      </w:r>
      <w:hyperlink r:id="rId35">
        <w:r>
          <w:rPr>
            <w:color w:val="1F4E79"/>
            <w:sz w:val="20"/>
          </w:rPr>
          <w:t>查看来源</w:t>
        </w:r>
      </w:hyperlink>
    </w:p>
    <w:p>
      <w:pPr>
        <w:spacing w:after="60" w:line="259" w:lineRule="auto"/>
      </w:pPr>
      <w:r>
        <w:rPr>
          <w:sz w:val="20"/>
        </w:rPr>
        <w:t xml:space="preserve">本地模型清单和选择源码  </w:t>
      </w:r>
      <w:hyperlink r:id="rId36">
        <w:r>
          <w:rPr>
            <w:color w:val="1F4E79"/>
            <w:sz w:val="20"/>
          </w:rPr>
          <w:t>查看来源</w:t>
        </w:r>
      </w:hyperlink>
    </w:p>
    <w:p>
      <w:pPr>
        <w:spacing w:after="60" w:line="259" w:lineRule="auto"/>
      </w:pPr>
      <w:r>
        <w:rPr>
          <w:sz w:val="20"/>
        </w:rPr>
        <w:t xml:space="preserve">OpenAI 官方认证边界  </w:t>
      </w:r>
      <w:hyperlink r:id="rId37">
        <w:r>
          <w:rPr>
            <w:color w:val="1F4E79"/>
            <w:sz w:val="20"/>
          </w:rPr>
          <w:t>查看来源</w:t>
        </w:r>
      </w:hyperlink>
    </w:p>
    <w:p>
      <w:pPr>
        <w:spacing w:after="60" w:line="259" w:lineRule="auto"/>
      </w:pPr>
      <w:r>
        <w:rPr>
          <w:sz w:val="20"/>
        </w:rPr>
        <w:t xml:space="preserve">Ollama 服务接口  </w:t>
      </w:r>
      <w:hyperlink r:id="rId38">
        <w:r>
          <w:rPr>
            <w:color w:val="1F4E79"/>
            <w:sz w:val="20"/>
          </w:rPr>
          <w:t>查看来源</w:t>
        </w:r>
      </w:hyperlink>
    </w:p>
    <w:p>
      <w:pPr>
        <w:spacing w:after="60" w:line="259" w:lineRule="auto"/>
      </w:pPr>
      <w:r>
        <w:rPr>
          <w:sz w:val="20"/>
        </w:rPr>
        <w:t xml:space="preserve">LM Studio 服务接口  </w:t>
      </w:r>
      <w:hyperlink r:id="rId39">
        <w:r>
          <w:rPr>
            <w:color w:val="1F4E79"/>
            <w:sz w:val="20"/>
          </w:rPr>
          <w:t>查看来源</w:t>
        </w:r>
      </w:hyperlink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23" w:bottom="965" w:left="1123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 xml:space="preserve">方案版本 2026 10 13   ·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  <w:r>
      <w:rPr>
        <w:sz w:val="18"/>
      </w:rPr>
      <w:t>ArcheAxis 星环知识系统前端实施总方案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40" w:line="283" w:lineRule="auto"/>
    </w:pPr>
    <w:rPr>
      <w:rFonts w:ascii="Noto Sans CJK SC" w:hAnsi="Noto Sans CJK SC" w:eastAsia="Noto Sans CJK SC" w:cs="Noto Sans CJK SC"/>
      <w:b w:val="0"/>
      <w:i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60" w:line="283" w:lineRule="auto"/>
      <w:outlineLvl w:val="0"/>
    </w:pPr>
    <w:rPr>
      <w:rFonts w:asciiTheme="majorHAnsi" w:eastAsiaTheme="majorEastAsia" w:hAnsiTheme="majorHAnsi" w:cstheme="majorBidi" w:ascii="Noto Sans CJK SC" w:hAnsi="Noto Sans CJK SC" w:eastAsia="Noto Sans CJK SC" w:cs="Noto Sans CJK SC"/>
      <w:b/>
      <w:bCs/>
      <w:i w:val="0"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160" w:line="283" w:lineRule="auto"/>
      <w:outlineLvl w:val="1"/>
    </w:pPr>
    <w:rPr>
      <w:rFonts w:asciiTheme="majorHAnsi" w:eastAsiaTheme="majorEastAsia" w:hAnsiTheme="majorHAnsi" w:cstheme="majorBidi" w:ascii="Noto Sans CJK SC" w:hAnsi="Noto Sans CJK SC" w:eastAsia="Noto Sans CJK SC" w:cs="Noto Sans CJK SC"/>
      <w:b/>
      <w:bCs/>
      <w:i w:val="0"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60" w:after="160" w:line="283" w:lineRule="auto"/>
      <w:outlineLvl w:val="2"/>
    </w:pPr>
    <w:rPr>
      <w:rFonts w:asciiTheme="majorHAnsi" w:eastAsiaTheme="majorEastAsia" w:hAnsiTheme="majorHAnsi" w:cstheme="majorBidi" w:ascii="Noto Sans CJK SC" w:hAnsi="Noto Sans CJK SC" w:eastAsia="Noto Sans CJK SC" w:cs="Noto Sans CJK SC"/>
      <w:b/>
      <w:bCs/>
      <w:i w:val="0"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60" w:line="283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 w:cs="Noto Sans CJK SC"/>
      <w:b/>
      <w:i w:val="0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60" w:line="283" w:lineRule="auto"/>
    </w:pPr>
    <w:rPr>
      <w:rFonts w:asciiTheme="majorHAnsi" w:eastAsiaTheme="majorEastAsia" w:hAnsiTheme="majorHAnsi" w:cstheme="majorBidi" w:ascii="Noto Sans CJK SC" w:hAnsi="Noto Sans CJK SC" w:eastAsia="Noto Sans CJK SC" w:cs="Noto Sans CJK SC"/>
      <w:b w:val="0"/>
      <w:i w:val="0"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83" w:lineRule="auto" w:after="160"/>
    </w:pPr>
    <w:rPr>
      <w:rFonts w:ascii="Noto Sans CJK SC" w:hAnsi="Noto Sans CJK SC" w:eastAsia="Noto Sans CJK SC" w:cs="Noto Sans CJK SC"/>
      <w:b w:val="0"/>
      <w:bCs/>
      <w:i w:val="0"/>
      <w:color w:val="000000"/>
      <w:sz w:val="19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github.com/DTALEX66/ArcheAxis-Knowledge-OS/blob/main/AUTHORITY.md" TargetMode="External"/><Relationship Id="rId12" Type="http://schemas.openxmlformats.org/officeDocument/2006/relationships/hyperlink" Target="https://github.com/DTALEX66/ArcheAxis-Knowledge-OS/blob/main/frontend/src/presentation/uiPages.ts" TargetMode="External"/><Relationship Id="rId13" Type="http://schemas.openxmlformats.org/officeDocument/2006/relationships/hyperlink" Target="https://github.com/DTALEX66/ArcheAxis-Knowledge-OS/blob/main/frontend/src/api/generated/capability-catalog.ts" TargetMode="External"/><Relationship Id="rId14" Type="http://schemas.openxmlformats.org/officeDocument/2006/relationships/hyperlink" Target="https://github.com/DTALEX66/ArcheAxis-Knowledge-OS/blob/be79ff90e7394247171afc311b002eb96ff0581e/docs/current/AAOS-COVERAGE-MATRIX-20261006.md" TargetMode="External"/><Relationship Id="rId15" Type="http://schemas.openxmlformats.org/officeDocument/2006/relationships/hyperlink" Target="https://github.com/DTALEX66/ASTRYN" TargetMode="External"/><Relationship Id="rId16" Type="http://schemas.openxmlformats.org/officeDocument/2006/relationships/hyperlink" Target="https://github.com/DTALEX66/WORK-LAB" TargetMode="External"/><Relationship Id="rId17" Type="http://schemas.openxmlformats.org/officeDocument/2006/relationships/hyperlink" Target="https://github.com/DTALEX66/DESIGN-LAB" TargetMode="External"/><Relationship Id="rId18" Type="http://schemas.openxmlformats.org/officeDocument/2006/relationships/hyperlink" Target="https://dockview.dev/docs/core/panels/rendering/" TargetMode="External"/><Relationship Id="rId19" Type="http://schemas.openxmlformats.org/officeDocument/2006/relationships/hyperlink" Target="https://www.w3.org/WAI/WCAG22/Understanding/use-of-color.html" TargetMode="External"/><Relationship Id="rId20" Type="http://schemas.openxmlformats.org/officeDocument/2006/relationships/hyperlink" Target="https://learn.microsoft.com/en-us/azure/ai-services/speech-service/how-to-speech-synthesis-viseme" TargetMode="External"/><Relationship Id="rId21" Type="http://schemas.openxmlformats.org/officeDocument/2006/relationships/hyperlink" Target="https://docs.live2d.com/en/cubism-sdk-manual/lipsync/" TargetMode="External"/><Relationship Id="rId22" Type="http://schemas.openxmlformats.org/officeDocument/2006/relationships/hyperlink" Target="https://github.khronos.org/glTF-Tutorials/gltfTutorial/gltfTutorial_018_MorphTargets.html" TargetMode="External"/><Relationship Id="rId23" Type="http://schemas.openxmlformats.org/officeDocument/2006/relationships/hyperlink" Target="https://github.com/dockview/dockview" TargetMode="External"/><Relationship Id="rId24" Type="http://schemas.openxmlformats.org/officeDocument/2006/relationships/hyperlink" Target="https://github.com/moeru-ai/airi" TargetMode="External"/><Relationship Id="rId25" Type="http://schemas.openxmlformats.org/officeDocument/2006/relationships/hyperlink" Target="https://github.com/moeru-ai/airi/blob/main/packages/stage-ui-three/package.json" TargetMode="External"/><Relationship Id="rId26" Type="http://schemas.openxmlformats.org/officeDocument/2006/relationships/hyperlink" Target="https://github.com/moeru-ai/airi/blob/main/packages/audio/package.json" TargetMode="External"/><Relationship Id="rId27" Type="http://schemas.openxmlformats.org/officeDocument/2006/relationships/hyperlink" Target="https://github.com/met4citizen/TalkingHead" TargetMode="External"/><Relationship Id="rId28" Type="http://schemas.openxmlformats.org/officeDocument/2006/relationships/hyperlink" Target="https://github.com/k2-fsa/sherpa-onnx" TargetMode="External"/><Relationship Id="rId29" Type="http://schemas.openxmlformats.org/officeDocument/2006/relationships/hyperlink" Target="https://github.com/microsoft/markitdown" TargetMode="External"/><Relationship Id="rId30" Type="http://schemas.openxmlformats.org/officeDocument/2006/relationships/hyperlink" Target="https://github.com/docling-project/docling" TargetMode="External"/><Relationship Id="rId31" Type="http://schemas.openxmlformats.org/officeDocument/2006/relationships/hyperlink" Target="https://github.com/zhulin025/Codex-QQ-Skin/blob/main/NOTICE.md" TargetMode="External"/><Relationship Id="rId32" Type="http://schemas.openxmlformats.org/officeDocument/2006/relationships/hyperlink" Target="https://github.com/Open-LLM-VTuber/Open-LLM-VTuber-Web/blob/main/LICENSE" TargetMode="External"/><Relationship Id="rId33" Type="http://schemas.openxmlformats.org/officeDocument/2006/relationships/hyperlink" Target="https://github.com/DTALEX66/ArcheAxis-Knowledge-OS/blob/main/config/product-naming-registry.yaml" TargetMode="External"/><Relationship Id="rId34" Type="http://schemas.openxmlformats.org/officeDocument/2006/relationships/hyperlink" Target="https://github.com/DTALEX66/ArcheAxis-Knowledge-OS/blob/be79ff90e7394247171afc311b002eb96ff0581e/frontend/src/presentation/uiCapabilityIntent.ts" TargetMode="External"/><Relationship Id="rId35" Type="http://schemas.openxmlformats.org/officeDocument/2006/relationships/hyperlink" Target="https://github.com/DTALEX66/ArcheAxis-Knowledge-OS/blob/main/frontend/src/presentation/spaceSections.ts" TargetMode="External"/><Relationship Id="rId36" Type="http://schemas.openxmlformats.org/officeDocument/2006/relationships/hyperlink" Target="https://github.com/DTALEX66/ArcheAxis-Knowledge-OS/blob/main/frontend/src/components/MachineAnswerPanel.tsx" TargetMode="External"/><Relationship Id="rId37" Type="http://schemas.openxmlformats.org/officeDocument/2006/relationships/hyperlink" Target="https://learn.chatgpt.com/docs/auth" TargetMode="External"/><Relationship Id="rId38" Type="http://schemas.openxmlformats.org/officeDocument/2006/relationships/hyperlink" Target="https://docs.ollama.com/api/introduction" TargetMode="External"/><Relationship Id="rId39" Type="http://schemas.openxmlformats.org/officeDocument/2006/relationships/hyperlink" Target="https://lmstudio.ai/docs/developer/openai-compa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ArcheAxis 星环知识系统前端实施总方案</dc:title>
  <dc:subject/>
  <dc:creator>Codex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