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IT3091 Machine Learning Personal Learning Journey</w:t>
      </w:r>
    </w:p>
    <w:p>
      <w:pPr>
        <w:jc w:val="center"/>
      </w:pPr>
      <w:r>
        <w:t>IT23361690 - Gunathilake B.M.P</w:t>
        <w:br/>
        <w:t>Group 2026-AI-16</w:t>
        <w:br/>
        <w:t>Revised project: Colombo next-week wholesale price and district crop yield prediction</w:t>
      </w:r>
    </w:p>
    <w:p>
      <w:r>
        <w:t>My responsibility was model training, evaluation, and prediction integration. The revised project uses separate pipelines for next-week Colombo price and district crop yield because the two targets have different observational units and different sources of variation. The Streamlit application still presents both as one farmer decision-support interface.</w:t>
      </w:r>
    </w:p>
    <w:p>
      <w:r>
        <w:t>I compared a dummy baseline, Ridge Regression, Random Forest, and Gradient Boosting using chronological train, validation, and test periods. Gradient Boosting was selected for price and Random Forest for yield. The price model achieved a positive test R2 and beat the persistence baseline, but the result remains uncertain because market prices are volatile.</w:t>
      </w:r>
    </w:p>
    <w:p>
      <w:r>
        <w:t>I learned that a model should not be judged only by whether it runs. Baseline comparison, time-aware validation, data freshness, and clear limitations are equally important. The application therefore warns users that historical Colombo data do not represent a live national price and that yield predictions should support, not replace, agricultural judgement.</w:t>
      </w:r>
    </w:p>
    <w:p>
      <w:r>
        <w:t>AI-use note: This account must be reviewed and approved by the named student before final submission. The group remains responsible for the data, code, experiments, and claims.</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