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02124"/>
          <w:sz w:val="48"/>
          <w:szCs w:val="48"/>
        </w:rPr>
        <w:t xml:space="preserve">DREW T. ERNST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f6368"/>
          <w:sz w:val="24"/>
          <w:szCs w:val="24"/>
        </w:rPr>
        <w:t xml:space="preserve">Frontend Architect | Full-Stack Engineer | Strategic Data Analyst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5f6368"/>
          <w:sz w:val="20"/>
          <w:szCs w:val="20"/>
        </w:rPr>
        <w:t xml:space="preserve">Quincy, IL  •  </w:t>
      </w:r>
      <w:r>
        <w:rPr>
          <w:rFonts w:ascii="Calibri" w:cs="Calibri" w:eastAsia="Calibri" w:hAnsi="Calibri"/>
          <w:color w:val="5f6368"/>
          <w:sz w:val="20"/>
          <w:szCs w:val="20"/>
        </w:rPr>
        <w:t xml:space="preserve">(217) 653-9445</w:t>
      </w:r>
      <w:r>
        <w:rPr>
          <w:rFonts w:ascii="Calibri" w:cs="Calibri" w:eastAsia="Calibri" w:hAnsi="Calibri"/>
          <w:color w:val="5f6368"/>
          <w:sz w:val="20"/>
          <w:szCs w:val="20"/>
        </w:rPr>
        <w:t xml:space="preserve">  •  </w:t>
      </w:r>
      <w:hyperlink w:history="1" r:id="rIdheo10hzjwmwjqsygqhjdj">
        <w:r>
          <w:rPr>
            <w:rFonts w:ascii="Calibri" w:cs="Calibri" w:eastAsia="Calibri" w:hAnsi="Calibri"/>
            <w:color w:val="1a73e8"/>
            <w:sz w:val="20"/>
            <w:szCs w:val="20"/>
            <w:u w:val="single"/>
          </w:rPr>
          <w:t xml:space="preserve">dte.solutions.llc@gmail.com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
</w:t>
      </w:r>
      <w:hyperlink w:history="1" r:id="rIdoymn9keucwy8jb-awtvq6">
        <w:r>
          <w:rPr>
            <w:rFonts w:ascii="Calibri" w:cs="Calibri" w:eastAsia="Calibri" w:hAnsi="Calibri"/>
            <w:color w:val="1a73e8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f6368"/>
          <w:sz w:val="20"/>
          <w:szCs w:val="20"/>
        </w:rPr>
        <w:t xml:space="preserve">  •  </w:t>
      </w:r>
      <w:hyperlink w:history="1" r:id="rIdg463ylrdv8d0ifqtg_h3c">
        <w:r>
          <w:rPr>
            <w:rFonts w:ascii="Calibri" w:cs="Calibri" w:eastAsia="Calibri" w:hAnsi="Calibri"/>
            <w:color w:val="1a73e8"/>
            <w:sz w:val="20"/>
            <w:szCs w:val="20"/>
            <w:u w:val="single"/>
          </w:rPr>
          <w:t xml:space="preserve">Website</w:t>
        </w:r>
      </w:hyperlink>
      <w:r>
        <w:rPr>
          <w:rFonts w:ascii="Calibri" w:cs="Calibri" w:eastAsia="Calibri" w:hAnsi="Calibri"/>
          <w:color w:val="5f6368"/>
          <w:sz w:val="20"/>
          <w:szCs w:val="20"/>
        </w:rPr>
        <w:t xml:space="preserve">  •  </w:t>
      </w:r>
      <w:hyperlink w:history="1" r:id="rIdutsbi25z0utbpyewax3vc">
        <w:r>
          <w:rPr>
            <w:rFonts w:ascii="Calibri" w:cs="Calibri" w:eastAsia="Calibri" w:hAnsi="Calibri"/>
            <w:color w:val="1a73e8"/>
            <w:sz w:val="20"/>
            <w:szCs w:val="20"/>
            <w:u w:val="single"/>
          </w:rPr>
          <w:t xml:space="preserve">LinkedIn</w:t>
        </w:r>
      </w:hyperlink>
    </w:p>
    <w:p>
      <w:pPr>
        <w:pStyle w:val="SectionTitle"/>
      </w:pPr>
      <w:r>
        <w:t xml:space="preserve">EXECUTIVE PROFILE</w:t>
      </w:r>
    </w:p>
    <w:p>
      <w:pPr>
        <w:spacing w:after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Elite software architect bridging advanced engineering with strategic communication. Dual degrees in Public Relations and Marketing enable translation of complex algorithmic logic into intuitive user experiences. Specialized in architecting production-grade systems from HIPAA-compliant clinical engines to Behavioral AI fintech platforms, with proven ability to transform technical velocity into measurable business value.</w:t>
      </w:r>
    </w:p>
    <w:p>
      <w:pPr>
        <w:pStyle w:val="SectionTitle"/>
      </w:pPr>
      <w:r>
        <w:t xml:space="preserve">TECHNICAL EXPERTISE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4"/>
                <w:sz w:val="22"/>
                <w:szCs w:val="22"/>
              </w:rPr>
              <w:t xml:space="preserve">Languages: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TypeScript, JavaScript (ES6+), Python, Java, C#, SQL (PostgreSQL), NoSQL (MongoDB)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4"/>
                <w:sz w:val="22"/>
                <w:szCs w:val="22"/>
              </w:rPr>
              <w:t xml:space="preserve">Frameworks: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19, Next.js, Node.js, FastAPI, .NET Core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4"/>
                <w:sz w:val="22"/>
                <w:szCs w:val="22"/>
              </w:rPr>
              <w:t xml:space="preserve">Cloud &amp; DevOps: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(S3, EC2), Docker, CI/CD (GitHub Actions), Vercel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4"/>
                <w:sz w:val="22"/>
                <w:szCs w:val="22"/>
              </w:rPr>
              <w:t xml:space="preserve">AI Integration: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GPT-4o, Claude 3.5, Behavioral Modeling, Long-Term Memory Systems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4"/>
                <w:sz w:val="22"/>
                <w:szCs w:val="22"/>
              </w:rPr>
              <w:t xml:space="preserve">Methodology: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2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SDLC, Object-Oriented Design, Agile/Scrum, High-Fidelity UI/UX Design</w:t>
            </w:r>
          </w:p>
        </w:tc>
      </w:tr>
    </w:tbl>
    <w:p>
      <w:pPr>
        <w:pStyle w:val="SectionTitle"/>
      </w:pPr>
      <w:r>
        <w:t xml:space="preserve">ENGINEERING LEADERSHIP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Founder &amp; Principal Consultant</w:t>
      </w:r>
      <w:r>
        <w:rPr>
          <w:rFonts w:ascii="Calibri" w:cs="Calibri" w:eastAsia="Calibri" w:hAnsi="Calibri"/>
          <w:color w:val="5f6368"/>
          <w:sz w:val="24"/>
          <w:szCs w:val="24"/>
        </w:rPr>
        <w:t xml:space="preserve">  |  </w:t>
      </w: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DTE Solutions LLC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2025 – Present  •  Tech Stack: TypeScript, Next.js, Node.js, C#, .NET Core, AWS, Docker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Established independent consultancy architecting specialized analytical tools using Next.js for frontends and Node.js for backend data orchestration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Designed high-performance API integration roadmap for automotive client, navigating complex data-sensitivity constraints to architect secure inventory management interface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Orchestrated full product lifecycle utilizing Docker for containerization and AWS (EC2/S3) for production deployments with GitHub Actions CI/CD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Founder &amp; Principal Engineer</w:t>
      </w:r>
      <w:r>
        <w:rPr>
          <w:rFonts w:ascii="Calibri" w:cs="Calibri" w:eastAsia="Calibri" w:hAnsi="Calibri"/>
          <w:color w:val="5f6368"/>
          <w:sz w:val="24"/>
          <w:szCs w:val="24"/>
        </w:rPr>
        <w:t xml:space="preserve">  |  </w:t>
      </w: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NestLegacy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2026  •  Digital Trust Layer for $84T Wealth Transfer  •  Tech Stack: Next.js, TypeScript, GPT-4o, Tailwind CSS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Engineered AI-driven behavioral lead qualification engine utilizing GPT-4o via OpenAI API, integrated into Next.js application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Architected interactive longevity and tax-exposure calculators using TypeScript, delivering immediate mathematical value through high-fidelity UI components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Developed modular hub-style architecture deployed on Vercel ensuring global scalability and data integrity across enterprise branches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Lead Full-Stack Developer</w:t>
      </w:r>
      <w:r>
        <w:rPr>
          <w:rFonts w:ascii="Calibri" w:cs="Calibri" w:eastAsia="Calibri" w:hAnsi="Calibri"/>
          <w:color w:val="5f6368"/>
          <w:sz w:val="24"/>
          <w:szCs w:val="24"/>
        </w:rPr>
        <w:t xml:space="preserve">  |  </w:t>
      </w: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Pulse (Behavioral Finance AI)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2026  •  Tech Stack: React 19, FastAPI (Python), PostgreSQL, MongoDB, AWS S3, Recharts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Engineered "Nova," an evolving AI consciousness using GPT-4o implementing behavioral mirroring to correlate PostgreSQL financial data with user stress indices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Designed relational database schemas in PostgreSQL maintaining strict ACID compliance for financial transactional data with detailed behavioral tracking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Architected multi-tier system utilizing React 19 and FastAPI asynchronous backend achieving sub-millisecond data delivery to Recharts visualization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Integrated AWS S3 receipt system utilizing encrypted pre-signed URL protocols ensuring audit-ready data persistence and uncompromising user privacy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Lead Software Engineer</w:t>
      </w:r>
      <w:r>
        <w:rPr>
          <w:rFonts w:ascii="Calibri" w:cs="Calibri" w:eastAsia="Calibri" w:hAnsi="Calibri"/>
          <w:color w:val="5f6368"/>
          <w:sz w:val="24"/>
          <w:szCs w:val="24"/>
        </w:rPr>
        <w:t xml:space="preserve">  |  </w:t>
      </w: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Marion County DDSD (Missouri DMH)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2026  •  HIPAA-Compliant Clinical Documentation Engine  •  Tech Stack: JavaScript, Java, OOD, CSS3, HTML5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Developed intelligent phrasing engine in vanilla JavaScript applying Object-Oriented Design to translate complex clinical requirements into intuitive UI patterns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Reduced documentation revision cycles by architecting custom state management system ensuring 100% adherence to Missouri DMH state audit requirements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Engineered in-memory processing architecture satisfying stringent HIPAA security standards without compromising system speed or data integrity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Full-Stack Engineer</w:t>
      </w:r>
      <w:r>
        <w:rPr>
          <w:rFonts w:ascii="Calibri" w:cs="Calibri" w:eastAsia="Calibri" w:hAnsi="Calibri"/>
          <w:color w:val="5f6368"/>
          <w:sz w:val="24"/>
          <w:szCs w:val="24"/>
        </w:rPr>
        <w:t xml:space="preserve">  |  </w:t>
      </w: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Caddie &amp; Fluff Ecosystem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2025 – 2026  •  Biomechanical Intelligence &amp; Performance Tracking  •  Tech Stack: React, TypeScript, Node.js, MongoDB, Firebase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Engineered computer vision engine using Python and OpenCV to analyze skeletal alignment, streaming real-time kinematic feedback to React mobile interface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Developed "Live Skins" synchronization engine using Node.js, Socket.io, and MongoDB providing real-time competitive precision for multiple users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34a853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Leveraged Firebase (Auth &amp; Firestore) as primary real-time database managing user state, GPS coordinates, and tactical course advice synchronization</w:t>
      </w:r>
    </w:p>
    <w:p>
      <w:pPr>
        <w:pStyle w:val="SectionTitle"/>
      </w:pPr>
      <w:r>
        <w:t xml:space="preserve">EDUCATION &amp; TRAINING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2124"/>
          <w:sz w:val="22"/>
          <w:szCs w:val="22"/>
        </w:rPr>
        <w:t xml:space="preserve">Advanced Engineering Mentorship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  |  David Bragg (Senior Software Engineer)  |  2025 –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Intensive 1-on-1 technical mentorship focused on enterprise-grade software architecture, advanced OOD principles, and production lifecycle management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2124"/>
          <w:sz w:val="22"/>
          <w:szCs w:val="22"/>
        </w:rPr>
        <w:t xml:space="preserve">Frontend Simplified Bootcamp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  |  Production-Grade React &amp; Software Architecture  |  2025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Comprehensive immersion in modern frontend ecosystems, focusing on state management complexity and elite UI implementation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2124"/>
          <w:sz w:val="22"/>
          <w:szCs w:val="22"/>
        </w:rPr>
        <w:t xml:space="preserve">B.S. Communication (Public Relations Focus)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  |  Quincy University  |  GPA: 3.8</w:t>
      </w:r>
    </w:p>
    <w:p>
      <w:r>
        <w:rPr>
          <w:rFonts w:ascii="Calibri" w:cs="Calibri" w:eastAsia="Calibri" w:hAnsi="Calibri"/>
          <w:b/>
          <w:bCs/>
          <w:color w:val="202124"/>
          <w:sz w:val="22"/>
          <w:szCs w:val="22"/>
        </w:rPr>
        <w:t xml:space="preserve">B.S. Marketing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  |  Culver-Stockton College  |  GPA: 3.8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" w:cs="Calibri" w:eastAsia="Calibri" w:hAnsi="Calibri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02124"/>
      <w:sz w:val="26"/>
      <w:szCs w:val="26"/>
    </w:rPr>
  </w:style>
  <w:style w:type="paragraph" w:styleId="SectionTitle">
    <w:name w:val="Section Title"/>
    <w:basedOn w:val="Normal"/>
    <w:pPr>
      <w:pBdr>
        <w:bottom w:val="single" w:color="1a73e8" w:sz="12" w:space="4"/>
      </w:pBdr>
      <w:spacing w:before="320" w:after="160"/>
    </w:pPr>
    <w:rPr>
      <w:rFonts w:ascii="Calibri" w:cs="Calibri" w:eastAsia="Calibri" w:hAnsi="Calibri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eo10hzjwmwjqsygqhjdj" Type="http://schemas.openxmlformats.org/officeDocument/2006/relationships/hyperlink" Target="mailto:dte.solutions.llc@gmail.com" TargetMode="External"/><Relationship Id="rIdoymn9keucwy8jb-awtvq6" Type="http://schemas.openxmlformats.org/officeDocument/2006/relationships/hyperlink" Target="https://dte-84.github.io/DTE-E-Portfoio" TargetMode="External"/><Relationship Id="rIdg463ylrdv8d0ifqtg_h3c" Type="http://schemas.openxmlformats.org/officeDocument/2006/relationships/hyperlink" Target="https://dte-solutions.icu" TargetMode="External"/><Relationship Id="rIdutsbi25z0utbpyewax3vc" Type="http://schemas.openxmlformats.org/officeDocument/2006/relationships/hyperlink" Target="https://linkedin.com/in/dte84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2026-03-13T16:59:30.308Z</dcterms:created>
  <dcterms:modified xsi:type="dcterms:W3CDTF">2026-03-13T16:59:30.309Z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