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6818" w:rsidRPr="0077512D" w:rsidRDefault="0034426E" w:rsidP="00716818">
      <w:pPr>
        <w:pStyle w:val="Title"/>
      </w:pPr>
      <w:bookmarkStart w:id="0" w:name="_GoBack"/>
      <w:bookmarkEnd w:id="0"/>
      <w:r>
        <w:t>Supervision c</w:t>
      </w:r>
      <w:r w:rsidR="00D15511">
        <w:t xml:space="preserve">harge on </w:t>
      </w:r>
      <w:r>
        <w:t>gaming v</w:t>
      </w:r>
      <w:r w:rsidR="00D15511">
        <w:t xml:space="preserve">enue </w:t>
      </w:r>
      <w:r>
        <w:t>o</w:t>
      </w:r>
      <w:r w:rsidR="00D15511">
        <w:t>perators</w:t>
      </w:r>
    </w:p>
    <w:p w:rsidR="00716818" w:rsidRPr="0077512D" w:rsidRDefault="00391229" w:rsidP="00716818">
      <w:pPr>
        <w:pStyle w:val="Subtitle"/>
      </w:pPr>
      <w:r>
        <w:t xml:space="preserve">Draft </w:t>
      </w:r>
      <w:r w:rsidR="00D15511">
        <w:t>Regulatory Impact Statement</w:t>
      </w:r>
    </w:p>
    <w:p w:rsidR="00716818" w:rsidRDefault="00D15511" w:rsidP="00716818">
      <w:pPr>
        <w:pStyle w:val="TertiaryTitle"/>
      </w:pPr>
      <w:r>
        <w:t>June 2013</w:t>
      </w:r>
    </w:p>
    <w:p w:rsidR="003238E0" w:rsidRDefault="003238E0">
      <w:pPr>
        <w:rPr>
          <w:noProof/>
        </w:rPr>
      </w:pPr>
    </w:p>
    <w:p w:rsidR="00716818" w:rsidRDefault="000817D7">
      <w:pPr>
        <w:spacing w:after="0"/>
        <w:rPr>
          <w:noProof/>
        </w:rPr>
      </w:pPr>
      <w:r>
        <w:rPr>
          <w:noProof/>
        </w:rPr>
        <w:drawing>
          <wp:anchor distT="0" distB="0" distL="114300" distR="114300" simplePos="0" relativeHeight="251673600" behindDoc="0" locked="0" layoutInCell="1" allowOverlap="1" wp14:anchorId="55DBB5DF" wp14:editId="68DD1E93">
            <wp:simplePos x="0" y="0"/>
            <wp:positionH relativeFrom="column">
              <wp:posOffset>-894824</wp:posOffset>
            </wp:positionH>
            <wp:positionV relativeFrom="page">
              <wp:posOffset>3027045</wp:posOffset>
            </wp:positionV>
            <wp:extent cx="7639050" cy="2133600"/>
            <wp:effectExtent l="0" t="0" r="0" b="0"/>
            <wp:wrapNone/>
            <wp:docPr id="335" name="Picture 239" title="Cover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 name="Picture 239" descr="CoverArt"/>
                    <pic:cNvPicPr>
                      <a:picLocks noChangeAspect="1" noChangeArrowheads="1"/>
                    </pic:cNvPicPr>
                  </pic:nvPicPr>
                  <pic:blipFill>
                    <a:blip r:embed="rId9">
                      <a:extLst>
                        <a:ext uri="{28A0092B-C50C-407E-A947-70E740481C1C}">
                          <a14:useLocalDpi xmlns:a14="http://schemas.microsoft.com/office/drawing/2010/main" val="0"/>
                        </a:ext>
                      </a:extLst>
                    </a:blip>
                    <a:srcRect l="143" t="850" r="-333" b="-850"/>
                    <a:stretch>
                      <a:fillRect/>
                    </a:stretch>
                  </pic:blipFill>
                  <pic:spPr bwMode="auto">
                    <a:xfrm>
                      <a:off x="0" y="0"/>
                      <a:ext cx="7639050" cy="2133600"/>
                    </a:xfrm>
                    <a:prstGeom prst="rect">
                      <a:avLst/>
                    </a:prstGeom>
                    <a:noFill/>
                    <a:ln>
                      <a:noFill/>
                    </a:ln>
                  </pic:spPr>
                </pic:pic>
              </a:graphicData>
            </a:graphic>
          </wp:anchor>
        </w:drawing>
      </w:r>
      <w:r w:rsidR="009F179E">
        <w:rPr>
          <w:noProof/>
        </w:rPr>
        <w:drawing>
          <wp:anchor distT="0" distB="0" distL="114300" distR="114300" simplePos="0" relativeHeight="251663360" behindDoc="0" locked="0" layoutInCell="1" allowOverlap="1" wp14:anchorId="05EAE332" wp14:editId="1F1A96F6">
            <wp:simplePos x="0" y="0"/>
            <wp:positionH relativeFrom="column">
              <wp:posOffset>5321826</wp:posOffset>
            </wp:positionH>
            <wp:positionV relativeFrom="page">
              <wp:posOffset>9884410</wp:posOffset>
            </wp:positionV>
            <wp:extent cx="1005840" cy="685800"/>
            <wp:effectExtent l="0" t="0" r="0" b="0"/>
            <wp:wrapNone/>
            <wp:docPr id="336" name="Picture 145" descr="SGV_black_reversed_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Picture 145" descr="SGV_black_reversed_bmp"/>
                    <pic:cNvPicPr>
                      <a:picLocks noChangeAspect="1" noChangeArrowheads="1"/>
                    </pic:cNvPicPr>
                  </pic:nvPicPr>
                  <pic:blipFill>
                    <a:blip r:embed="rId10" cstate="print">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1005840" cy="685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6818">
        <w:rPr>
          <w:noProof/>
        </w:rPr>
        <mc:AlternateContent>
          <mc:Choice Requires="wps">
            <w:drawing>
              <wp:anchor distT="0" distB="0" distL="114300" distR="114300" simplePos="0" relativeHeight="251659264" behindDoc="0" locked="0" layoutInCell="1" allowOverlap="1" wp14:anchorId="5A1E0BC5" wp14:editId="4DB66B71">
                <wp:simplePos x="0" y="0"/>
                <wp:positionH relativeFrom="column">
                  <wp:posOffset>-971550</wp:posOffset>
                </wp:positionH>
                <wp:positionV relativeFrom="page">
                  <wp:posOffset>5123815</wp:posOffset>
                </wp:positionV>
                <wp:extent cx="7639050" cy="4610100"/>
                <wp:effectExtent l="0" t="0" r="0" b="0"/>
                <wp:wrapNone/>
                <wp:docPr id="309" name="Rectangle 12" descr="Cover Coloured Body Section"/>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39050" cy="4610100"/>
                        </a:xfrm>
                        <a:prstGeom prst="rect">
                          <a:avLst/>
                        </a:prstGeom>
                        <a:solidFill>
                          <a:srgbClr val="1665A1"/>
                        </a:solidFill>
                        <a:ln>
                          <a:noFill/>
                        </a:ln>
                        <a:extLst>
                          <a:ext uri="{91240B29-F687-4F45-9708-019B960494DF}">
                            <a14:hiddenLine xmlns:a14="http://schemas.microsoft.com/office/drawing/2010/main" w="25400" algn="ctr">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anchor>
            </w:drawing>
          </mc:Choice>
          <mc:Fallback>
            <w:pict>
              <v:rect id="Rectangle 12" o:spid="_x0000_s1026" alt="Cover Coloured Body Section" style="position:absolute;margin-left:-76.5pt;margin-top:403.45pt;width:601.5pt;height:363pt;z-index:2516592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" fillcolor="#1665a1" stroked="f" strokeweight="2pt">
                <w10:wrap anchory="page"/>
              </v:rect>
            </w:pict>
          </mc:Fallback>
        </mc:AlternateContent>
      </w:r>
      <w:r w:rsidR="00716818">
        <w:rPr>
          <w:noProof/>
        </w:rPr>
        <mc:AlternateContent>
          <mc:Choice Requires="wpg">
            <w:drawing>
              <wp:anchor distT="0" distB="0" distL="114300" distR="114300" simplePos="0" relativeHeight="251661312" behindDoc="0" locked="0" layoutInCell="1" allowOverlap="1" wp14:anchorId="6A44B6F3" wp14:editId="692B6D81">
                <wp:simplePos x="0" y="0"/>
                <wp:positionH relativeFrom="column">
                  <wp:posOffset>-4038600</wp:posOffset>
                </wp:positionH>
                <wp:positionV relativeFrom="page">
                  <wp:posOffset>9152890</wp:posOffset>
                </wp:positionV>
                <wp:extent cx="5543550" cy="1581150"/>
                <wp:effectExtent l="0" t="0" r="19050" b="19050"/>
                <wp:wrapNone/>
                <wp:docPr id="311" name="Group 2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43550" cy="1581150"/>
                          <a:chOff x="0" y="0"/>
                          <a:chExt cx="5543550" cy="1581150"/>
                        </a:xfrm>
                      </wpg:grpSpPr>
                      <wps:wsp>
                        <wps:cNvPr id="312" name="Straight Connector 3"/>
                        <wps:cNvCnPr>
                          <a:cxnSpLocks noChangeShapeType="1"/>
                        </wps:cNvCnPr>
                        <wps:spPr bwMode="auto">
                          <a:xfrm flipV="1">
                            <a:off x="361950" y="0"/>
                            <a:ext cx="1581150" cy="1581150"/>
                          </a:xfrm>
                          <a:prstGeom prst="line">
                            <a:avLst/>
                          </a:prstGeom>
                          <a:noFill/>
                          <a:ln w="6350" algn="ctr">
                            <a:solidFill>
                              <a:srgbClr val="FFFFFF"/>
                            </a:solidFill>
                            <a:round/>
                            <a:headEnd/>
                            <a:tailEnd/>
                          </a:ln>
                          <a:extLst>
                            <a:ext uri="{909E8E84-426E-40DD-AFC4-6F175D3DCCD1}">
                              <a14:hiddenFill xmlns:a14="http://schemas.microsoft.com/office/drawing/2010/main">
                                <a:noFill/>
                              </a14:hiddenFill>
                            </a:ext>
                          </a:extLst>
                        </wps:spPr>
                        <wps:bodyPr/>
                      </wps:wsp>
                      <wps:wsp>
                        <wps:cNvPr id="313" name="Straight Connector 4"/>
                        <wps:cNvCnPr>
                          <a:cxnSpLocks noChangeShapeType="1"/>
                        </wps:cNvCnPr>
                        <wps:spPr bwMode="auto">
                          <a:xfrm flipV="1">
                            <a:off x="542925" y="0"/>
                            <a:ext cx="1581150" cy="1581150"/>
                          </a:xfrm>
                          <a:prstGeom prst="line">
                            <a:avLst/>
                          </a:prstGeom>
                          <a:noFill/>
                          <a:ln w="6350" algn="ctr">
                            <a:solidFill>
                              <a:srgbClr val="FFFFFF"/>
                            </a:solidFill>
                            <a:round/>
                            <a:headEnd/>
                            <a:tailEnd/>
                          </a:ln>
                          <a:extLst>
                            <a:ext uri="{909E8E84-426E-40DD-AFC4-6F175D3DCCD1}">
                              <a14:hiddenFill xmlns:a14="http://schemas.microsoft.com/office/drawing/2010/main">
                                <a:noFill/>
                              </a14:hiddenFill>
                            </a:ext>
                          </a:extLst>
                        </wps:spPr>
                        <wps:bodyPr/>
                      </wps:wsp>
                      <wps:wsp>
                        <wps:cNvPr id="314" name="Straight Connector 5"/>
                        <wps:cNvCnPr>
                          <a:cxnSpLocks noChangeShapeType="1"/>
                        </wps:cNvCnPr>
                        <wps:spPr bwMode="auto">
                          <a:xfrm flipV="1">
                            <a:off x="723900" y="0"/>
                            <a:ext cx="1581150" cy="1581150"/>
                          </a:xfrm>
                          <a:prstGeom prst="line">
                            <a:avLst/>
                          </a:prstGeom>
                          <a:noFill/>
                          <a:ln w="6350" algn="ctr">
                            <a:solidFill>
                              <a:srgbClr val="FFFFFF"/>
                            </a:solidFill>
                            <a:round/>
                            <a:headEnd/>
                            <a:tailEnd/>
                          </a:ln>
                          <a:extLst>
                            <a:ext uri="{909E8E84-426E-40DD-AFC4-6F175D3DCCD1}">
                              <a14:hiddenFill xmlns:a14="http://schemas.microsoft.com/office/drawing/2010/main">
                                <a:noFill/>
                              </a14:hiddenFill>
                            </a:ext>
                          </a:extLst>
                        </wps:spPr>
                        <wps:bodyPr/>
                      </wps:wsp>
                      <wps:wsp>
                        <wps:cNvPr id="315" name="Straight Connector 6"/>
                        <wps:cNvCnPr>
                          <a:cxnSpLocks noChangeShapeType="1"/>
                        </wps:cNvCnPr>
                        <wps:spPr bwMode="auto">
                          <a:xfrm flipV="1">
                            <a:off x="904875" y="0"/>
                            <a:ext cx="1581150" cy="1581150"/>
                          </a:xfrm>
                          <a:prstGeom prst="line">
                            <a:avLst/>
                          </a:prstGeom>
                          <a:noFill/>
                          <a:ln w="6350" algn="ctr">
                            <a:solidFill>
                              <a:srgbClr val="FFFFFF"/>
                            </a:solidFill>
                            <a:round/>
                            <a:headEnd/>
                            <a:tailEnd/>
                          </a:ln>
                          <a:extLst>
                            <a:ext uri="{909E8E84-426E-40DD-AFC4-6F175D3DCCD1}">
                              <a14:hiddenFill xmlns:a14="http://schemas.microsoft.com/office/drawing/2010/main">
                                <a:noFill/>
                              </a14:hiddenFill>
                            </a:ext>
                          </a:extLst>
                        </wps:spPr>
                        <wps:bodyPr/>
                      </wps:wsp>
                      <wps:wsp>
                        <wps:cNvPr id="316" name="Straight Connector 7"/>
                        <wps:cNvCnPr>
                          <a:cxnSpLocks noChangeShapeType="1"/>
                        </wps:cNvCnPr>
                        <wps:spPr bwMode="auto">
                          <a:xfrm flipV="1">
                            <a:off x="1076325" y="0"/>
                            <a:ext cx="1581150" cy="1581150"/>
                          </a:xfrm>
                          <a:prstGeom prst="line">
                            <a:avLst/>
                          </a:prstGeom>
                          <a:noFill/>
                          <a:ln w="6350" algn="ctr">
                            <a:solidFill>
                              <a:srgbClr val="FFFFFF"/>
                            </a:solidFill>
                            <a:round/>
                            <a:headEnd/>
                            <a:tailEnd/>
                          </a:ln>
                          <a:extLst>
                            <a:ext uri="{909E8E84-426E-40DD-AFC4-6F175D3DCCD1}">
                              <a14:hiddenFill xmlns:a14="http://schemas.microsoft.com/office/drawing/2010/main">
                                <a:noFill/>
                              </a14:hiddenFill>
                            </a:ext>
                          </a:extLst>
                        </wps:spPr>
                        <wps:bodyPr/>
                      </wps:wsp>
                      <wps:wsp>
                        <wps:cNvPr id="317" name="Straight Connector 8"/>
                        <wps:cNvCnPr>
                          <a:cxnSpLocks noChangeShapeType="1"/>
                        </wps:cNvCnPr>
                        <wps:spPr bwMode="auto">
                          <a:xfrm flipV="1">
                            <a:off x="1257300" y="0"/>
                            <a:ext cx="1581150" cy="1581150"/>
                          </a:xfrm>
                          <a:prstGeom prst="line">
                            <a:avLst/>
                          </a:prstGeom>
                          <a:noFill/>
                          <a:ln w="6350" algn="ctr">
                            <a:solidFill>
                              <a:srgbClr val="FFFFFF"/>
                            </a:solidFill>
                            <a:round/>
                            <a:headEnd/>
                            <a:tailEnd/>
                          </a:ln>
                          <a:extLst>
                            <a:ext uri="{909E8E84-426E-40DD-AFC4-6F175D3DCCD1}">
                              <a14:hiddenFill xmlns:a14="http://schemas.microsoft.com/office/drawing/2010/main">
                                <a:noFill/>
                              </a14:hiddenFill>
                            </a:ext>
                          </a:extLst>
                        </wps:spPr>
                        <wps:bodyPr/>
                      </wps:wsp>
                      <wps:wsp>
                        <wps:cNvPr id="318" name="Straight Connector 9"/>
                        <wps:cNvCnPr>
                          <a:cxnSpLocks noChangeShapeType="1"/>
                        </wps:cNvCnPr>
                        <wps:spPr bwMode="auto">
                          <a:xfrm flipV="1">
                            <a:off x="1438275" y="0"/>
                            <a:ext cx="1581150" cy="1581150"/>
                          </a:xfrm>
                          <a:prstGeom prst="line">
                            <a:avLst/>
                          </a:prstGeom>
                          <a:noFill/>
                          <a:ln w="6350" algn="ctr">
                            <a:solidFill>
                              <a:srgbClr val="FFFFFF"/>
                            </a:solidFill>
                            <a:round/>
                            <a:headEnd/>
                            <a:tailEnd/>
                          </a:ln>
                          <a:extLst>
                            <a:ext uri="{909E8E84-426E-40DD-AFC4-6F175D3DCCD1}">
                              <a14:hiddenFill xmlns:a14="http://schemas.microsoft.com/office/drawing/2010/main">
                                <a:noFill/>
                              </a14:hiddenFill>
                            </a:ext>
                          </a:extLst>
                        </wps:spPr>
                        <wps:bodyPr/>
                      </wps:wsp>
                      <wps:wsp>
                        <wps:cNvPr id="319" name="Straight Connector 10"/>
                        <wps:cNvCnPr>
                          <a:cxnSpLocks noChangeShapeType="1"/>
                        </wps:cNvCnPr>
                        <wps:spPr bwMode="auto">
                          <a:xfrm flipV="1">
                            <a:off x="1619250" y="0"/>
                            <a:ext cx="1581150" cy="1581150"/>
                          </a:xfrm>
                          <a:prstGeom prst="line">
                            <a:avLst/>
                          </a:prstGeom>
                          <a:noFill/>
                          <a:ln w="6350" algn="ctr">
                            <a:solidFill>
                              <a:srgbClr val="FFFFFF"/>
                            </a:solidFill>
                            <a:round/>
                            <a:headEnd/>
                            <a:tailEnd/>
                          </a:ln>
                          <a:extLst>
                            <a:ext uri="{909E8E84-426E-40DD-AFC4-6F175D3DCCD1}">
                              <a14:hiddenFill xmlns:a14="http://schemas.microsoft.com/office/drawing/2010/main">
                                <a:noFill/>
                              </a14:hiddenFill>
                            </a:ext>
                          </a:extLst>
                        </wps:spPr>
                        <wps:bodyPr/>
                      </wps:wsp>
                      <wps:wsp>
                        <wps:cNvPr id="320" name="Straight Connector 11"/>
                        <wps:cNvCnPr>
                          <a:cxnSpLocks noChangeShapeType="1"/>
                        </wps:cNvCnPr>
                        <wps:spPr bwMode="auto">
                          <a:xfrm flipV="1">
                            <a:off x="1800225" y="0"/>
                            <a:ext cx="1581150" cy="1581150"/>
                          </a:xfrm>
                          <a:prstGeom prst="line">
                            <a:avLst/>
                          </a:prstGeom>
                          <a:noFill/>
                          <a:ln w="6350" algn="ctr">
                            <a:solidFill>
                              <a:srgbClr val="FFFFFF"/>
                            </a:solidFill>
                            <a:round/>
                            <a:headEnd/>
                            <a:tailEnd/>
                          </a:ln>
                          <a:extLst>
                            <a:ext uri="{909E8E84-426E-40DD-AFC4-6F175D3DCCD1}">
                              <a14:hiddenFill xmlns:a14="http://schemas.microsoft.com/office/drawing/2010/main">
                                <a:noFill/>
                              </a14:hiddenFill>
                            </a:ext>
                          </a:extLst>
                        </wps:spPr>
                        <wps:bodyPr/>
                      </wps:wsp>
                      <wps:wsp>
                        <wps:cNvPr id="321" name="Straight Connector 12"/>
                        <wps:cNvCnPr>
                          <a:cxnSpLocks noChangeShapeType="1"/>
                        </wps:cNvCnPr>
                        <wps:spPr bwMode="auto">
                          <a:xfrm flipV="1">
                            <a:off x="1981200" y="0"/>
                            <a:ext cx="1581150" cy="1581150"/>
                          </a:xfrm>
                          <a:prstGeom prst="line">
                            <a:avLst/>
                          </a:prstGeom>
                          <a:noFill/>
                          <a:ln w="6350" algn="ctr">
                            <a:solidFill>
                              <a:srgbClr val="FFFFFF"/>
                            </a:solidFill>
                            <a:round/>
                            <a:headEnd/>
                            <a:tailEnd/>
                          </a:ln>
                          <a:extLst>
                            <a:ext uri="{909E8E84-426E-40DD-AFC4-6F175D3DCCD1}">
                              <a14:hiddenFill xmlns:a14="http://schemas.microsoft.com/office/drawing/2010/main">
                                <a:noFill/>
                              </a14:hiddenFill>
                            </a:ext>
                          </a:extLst>
                        </wps:spPr>
                        <wps:bodyPr/>
                      </wps:wsp>
                      <wps:wsp>
                        <wps:cNvPr id="322" name="Straight Connector 13"/>
                        <wps:cNvCnPr>
                          <a:cxnSpLocks noChangeShapeType="1"/>
                        </wps:cNvCnPr>
                        <wps:spPr bwMode="auto">
                          <a:xfrm flipV="1">
                            <a:off x="2162175" y="0"/>
                            <a:ext cx="1581150" cy="1581150"/>
                          </a:xfrm>
                          <a:prstGeom prst="line">
                            <a:avLst/>
                          </a:prstGeom>
                          <a:noFill/>
                          <a:ln w="6350" algn="ctr">
                            <a:solidFill>
                              <a:srgbClr val="FFFFFF"/>
                            </a:solidFill>
                            <a:round/>
                            <a:headEnd/>
                            <a:tailEnd/>
                          </a:ln>
                          <a:extLst>
                            <a:ext uri="{909E8E84-426E-40DD-AFC4-6F175D3DCCD1}">
                              <a14:hiddenFill xmlns:a14="http://schemas.microsoft.com/office/drawing/2010/main">
                                <a:noFill/>
                              </a14:hiddenFill>
                            </a:ext>
                          </a:extLst>
                        </wps:spPr>
                        <wps:bodyPr/>
                      </wps:wsp>
                      <wps:wsp>
                        <wps:cNvPr id="323" name="Straight Connector 14"/>
                        <wps:cNvCnPr>
                          <a:cxnSpLocks noChangeShapeType="1"/>
                        </wps:cNvCnPr>
                        <wps:spPr bwMode="auto">
                          <a:xfrm flipV="1">
                            <a:off x="2343150" y="0"/>
                            <a:ext cx="1581150" cy="1581150"/>
                          </a:xfrm>
                          <a:prstGeom prst="line">
                            <a:avLst/>
                          </a:prstGeom>
                          <a:noFill/>
                          <a:ln w="6350" algn="ctr">
                            <a:solidFill>
                              <a:srgbClr val="FFFFFF"/>
                            </a:solidFill>
                            <a:round/>
                            <a:headEnd/>
                            <a:tailEnd/>
                          </a:ln>
                          <a:extLst>
                            <a:ext uri="{909E8E84-426E-40DD-AFC4-6F175D3DCCD1}">
                              <a14:hiddenFill xmlns:a14="http://schemas.microsoft.com/office/drawing/2010/main">
                                <a:noFill/>
                              </a14:hiddenFill>
                            </a:ext>
                          </a:extLst>
                        </wps:spPr>
                        <wps:bodyPr/>
                      </wps:wsp>
                      <wps:wsp>
                        <wps:cNvPr id="324" name="Straight Connector 15"/>
                        <wps:cNvCnPr>
                          <a:cxnSpLocks noChangeShapeType="1"/>
                        </wps:cNvCnPr>
                        <wps:spPr bwMode="auto">
                          <a:xfrm flipV="1">
                            <a:off x="2524125" y="0"/>
                            <a:ext cx="1581150" cy="1581150"/>
                          </a:xfrm>
                          <a:prstGeom prst="line">
                            <a:avLst/>
                          </a:prstGeom>
                          <a:noFill/>
                          <a:ln w="6350" algn="ctr">
                            <a:solidFill>
                              <a:srgbClr val="FFFFFF"/>
                            </a:solidFill>
                            <a:round/>
                            <a:headEnd/>
                            <a:tailEnd/>
                          </a:ln>
                          <a:extLst>
                            <a:ext uri="{909E8E84-426E-40DD-AFC4-6F175D3DCCD1}">
                              <a14:hiddenFill xmlns:a14="http://schemas.microsoft.com/office/drawing/2010/main">
                                <a:noFill/>
                              </a14:hiddenFill>
                            </a:ext>
                          </a:extLst>
                        </wps:spPr>
                        <wps:bodyPr/>
                      </wps:wsp>
                      <wps:wsp>
                        <wps:cNvPr id="325" name="Straight Connector 16"/>
                        <wps:cNvCnPr>
                          <a:cxnSpLocks noChangeShapeType="1"/>
                        </wps:cNvCnPr>
                        <wps:spPr bwMode="auto">
                          <a:xfrm flipV="1">
                            <a:off x="2705100" y="0"/>
                            <a:ext cx="1581150" cy="1581150"/>
                          </a:xfrm>
                          <a:prstGeom prst="line">
                            <a:avLst/>
                          </a:prstGeom>
                          <a:noFill/>
                          <a:ln w="6350" algn="ctr">
                            <a:solidFill>
                              <a:srgbClr val="FFFFFF"/>
                            </a:solidFill>
                            <a:round/>
                            <a:headEnd/>
                            <a:tailEnd/>
                          </a:ln>
                          <a:extLst>
                            <a:ext uri="{909E8E84-426E-40DD-AFC4-6F175D3DCCD1}">
                              <a14:hiddenFill xmlns:a14="http://schemas.microsoft.com/office/drawing/2010/main">
                                <a:noFill/>
                              </a14:hiddenFill>
                            </a:ext>
                          </a:extLst>
                        </wps:spPr>
                        <wps:bodyPr/>
                      </wps:wsp>
                      <wps:wsp>
                        <wps:cNvPr id="326" name="Straight Connector 17"/>
                        <wps:cNvCnPr>
                          <a:cxnSpLocks noChangeShapeType="1"/>
                        </wps:cNvCnPr>
                        <wps:spPr bwMode="auto">
                          <a:xfrm flipV="1">
                            <a:off x="2886075" y="0"/>
                            <a:ext cx="1581150" cy="1581150"/>
                          </a:xfrm>
                          <a:prstGeom prst="line">
                            <a:avLst/>
                          </a:prstGeom>
                          <a:noFill/>
                          <a:ln w="6350" algn="ctr">
                            <a:solidFill>
                              <a:srgbClr val="FFFFFF"/>
                            </a:solidFill>
                            <a:round/>
                            <a:headEnd/>
                            <a:tailEnd/>
                          </a:ln>
                          <a:extLst>
                            <a:ext uri="{909E8E84-426E-40DD-AFC4-6F175D3DCCD1}">
                              <a14:hiddenFill xmlns:a14="http://schemas.microsoft.com/office/drawing/2010/main">
                                <a:noFill/>
                              </a14:hiddenFill>
                            </a:ext>
                          </a:extLst>
                        </wps:spPr>
                        <wps:bodyPr/>
                      </wps:wsp>
                      <wps:wsp>
                        <wps:cNvPr id="327" name="Straight Connector 18"/>
                        <wps:cNvCnPr>
                          <a:cxnSpLocks noChangeShapeType="1"/>
                        </wps:cNvCnPr>
                        <wps:spPr bwMode="auto">
                          <a:xfrm flipV="1">
                            <a:off x="3067050" y="0"/>
                            <a:ext cx="1581150" cy="1581150"/>
                          </a:xfrm>
                          <a:prstGeom prst="line">
                            <a:avLst/>
                          </a:prstGeom>
                          <a:noFill/>
                          <a:ln w="6350" algn="ctr">
                            <a:solidFill>
                              <a:srgbClr val="FFFFFF"/>
                            </a:solidFill>
                            <a:round/>
                            <a:headEnd/>
                            <a:tailEnd/>
                          </a:ln>
                          <a:extLst>
                            <a:ext uri="{909E8E84-426E-40DD-AFC4-6F175D3DCCD1}">
                              <a14:hiddenFill xmlns:a14="http://schemas.microsoft.com/office/drawing/2010/main">
                                <a:noFill/>
                              </a14:hiddenFill>
                            </a:ext>
                          </a:extLst>
                        </wps:spPr>
                        <wps:bodyPr/>
                      </wps:wsp>
                      <wps:wsp>
                        <wps:cNvPr id="328" name="Straight Connector 19"/>
                        <wps:cNvCnPr>
                          <a:cxnSpLocks noChangeShapeType="1"/>
                        </wps:cNvCnPr>
                        <wps:spPr bwMode="auto">
                          <a:xfrm flipV="1">
                            <a:off x="3238500" y="0"/>
                            <a:ext cx="1581150" cy="1581150"/>
                          </a:xfrm>
                          <a:prstGeom prst="line">
                            <a:avLst/>
                          </a:prstGeom>
                          <a:noFill/>
                          <a:ln w="6350" algn="ctr">
                            <a:solidFill>
                              <a:srgbClr val="FFFFFF"/>
                            </a:solidFill>
                            <a:round/>
                            <a:headEnd/>
                            <a:tailEnd/>
                          </a:ln>
                          <a:extLst>
                            <a:ext uri="{909E8E84-426E-40DD-AFC4-6F175D3DCCD1}">
                              <a14:hiddenFill xmlns:a14="http://schemas.microsoft.com/office/drawing/2010/main">
                                <a:noFill/>
                              </a14:hiddenFill>
                            </a:ext>
                          </a:extLst>
                        </wps:spPr>
                        <wps:bodyPr/>
                      </wps:wsp>
                      <wps:wsp>
                        <wps:cNvPr id="329" name="Straight Connector 20"/>
                        <wps:cNvCnPr>
                          <a:cxnSpLocks noChangeShapeType="1"/>
                        </wps:cNvCnPr>
                        <wps:spPr bwMode="auto">
                          <a:xfrm flipV="1">
                            <a:off x="3419475" y="0"/>
                            <a:ext cx="1581150" cy="1581150"/>
                          </a:xfrm>
                          <a:prstGeom prst="line">
                            <a:avLst/>
                          </a:prstGeom>
                          <a:noFill/>
                          <a:ln w="6350" algn="ctr">
                            <a:solidFill>
                              <a:srgbClr val="FFFFFF"/>
                            </a:solidFill>
                            <a:round/>
                            <a:headEnd/>
                            <a:tailEnd/>
                          </a:ln>
                          <a:extLst>
                            <a:ext uri="{909E8E84-426E-40DD-AFC4-6F175D3DCCD1}">
                              <a14:hiddenFill xmlns:a14="http://schemas.microsoft.com/office/drawing/2010/main">
                                <a:noFill/>
                              </a14:hiddenFill>
                            </a:ext>
                          </a:extLst>
                        </wps:spPr>
                        <wps:bodyPr/>
                      </wps:wsp>
                      <wps:wsp>
                        <wps:cNvPr id="330" name="Straight Connector 21"/>
                        <wps:cNvCnPr>
                          <a:cxnSpLocks noChangeShapeType="1"/>
                        </wps:cNvCnPr>
                        <wps:spPr bwMode="auto">
                          <a:xfrm flipV="1">
                            <a:off x="3600450" y="0"/>
                            <a:ext cx="1581150" cy="1581150"/>
                          </a:xfrm>
                          <a:prstGeom prst="line">
                            <a:avLst/>
                          </a:prstGeom>
                          <a:noFill/>
                          <a:ln w="6350" algn="ctr">
                            <a:solidFill>
                              <a:srgbClr val="FFFFFF"/>
                            </a:solidFill>
                            <a:round/>
                            <a:headEnd/>
                            <a:tailEnd/>
                          </a:ln>
                          <a:extLst>
                            <a:ext uri="{909E8E84-426E-40DD-AFC4-6F175D3DCCD1}">
                              <a14:hiddenFill xmlns:a14="http://schemas.microsoft.com/office/drawing/2010/main">
                                <a:noFill/>
                              </a14:hiddenFill>
                            </a:ext>
                          </a:extLst>
                        </wps:spPr>
                        <wps:bodyPr/>
                      </wps:wsp>
                      <wps:wsp>
                        <wps:cNvPr id="331" name="Straight Connector 22"/>
                        <wps:cNvCnPr>
                          <a:cxnSpLocks noChangeShapeType="1"/>
                        </wps:cNvCnPr>
                        <wps:spPr bwMode="auto">
                          <a:xfrm flipV="1">
                            <a:off x="3781425" y="0"/>
                            <a:ext cx="1581150" cy="1581150"/>
                          </a:xfrm>
                          <a:prstGeom prst="line">
                            <a:avLst/>
                          </a:prstGeom>
                          <a:noFill/>
                          <a:ln w="6350" algn="ctr">
                            <a:solidFill>
                              <a:srgbClr val="FFFFFF"/>
                            </a:solidFill>
                            <a:round/>
                            <a:headEnd/>
                            <a:tailEnd/>
                          </a:ln>
                          <a:extLst>
                            <a:ext uri="{909E8E84-426E-40DD-AFC4-6F175D3DCCD1}">
                              <a14:hiddenFill xmlns:a14="http://schemas.microsoft.com/office/drawing/2010/main">
                                <a:noFill/>
                              </a14:hiddenFill>
                            </a:ext>
                          </a:extLst>
                        </wps:spPr>
                        <wps:bodyPr/>
                      </wps:wsp>
                      <wps:wsp>
                        <wps:cNvPr id="332" name="Straight Connector 23"/>
                        <wps:cNvCnPr>
                          <a:cxnSpLocks noChangeShapeType="1"/>
                        </wps:cNvCnPr>
                        <wps:spPr bwMode="auto">
                          <a:xfrm flipV="1">
                            <a:off x="3962400" y="0"/>
                            <a:ext cx="1581150" cy="1581150"/>
                          </a:xfrm>
                          <a:prstGeom prst="line">
                            <a:avLst/>
                          </a:prstGeom>
                          <a:noFill/>
                          <a:ln w="6350" algn="ctr">
                            <a:solidFill>
                              <a:srgbClr val="FFFFFF"/>
                            </a:solidFill>
                            <a:round/>
                            <a:headEnd/>
                            <a:tailEnd/>
                          </a:ln>
                          <a:extLst>
                            <a:ext uri="{909E8E84-426E-40DD-AFC4-6F175D3DCCD1}">
                              <a14:hiddenFill xmlns:a14="http://schemas.microsoft.com/office/drawing/2010/main">
                                <a:noFill/>
                              </a14:hiddenFill>
                            </a:ext>
                          </a:extLst>
                        </wps:spPr>
                        <wps:bodyPr/>
                      </wps:wsp>
                      <wps:wsp>
                        <wps:cNvPr id="333" name="Straight Connector 24"/>
                        <wps:cNvCnPr>
                          <a:cxnSpLocks noChangeShapeType="1"/>
                        </wps:cNvCnPr>
                        <wps:spPr bwMode="auto">
                          <a:xfrm flipV="1">
                            <a:off x="180975" y="0"/>
                            <a:ext cx="1581150" cy="1581150"/>
                          </a:xfrm>
                          <a:prstGeom prst="line">
                            <a:avLst/>
                          </a:prstGeom>
                          <a:noFill/>
                          <a:ln w="6350" algn="ctr">
                            <a:solidFill>
                              <a:srgbClr val="FFFFFF"/>
                            </a:solidFill>
                            <a:round/>
                            <a:headEnd/>
                            <a:tailEnd/>
                          </a:ln>
                          <a:extLst>
                            <a:ext uri="{909E8E84-426E-40DD-AFC4-6F175D3DCCD1}">
                              <a14:hiddenFill xmlns:a14="http://schemas.microsoft.com/office/drawing/2010/main">
                                <a:noFill/>
                              </a14:hiddenFill>
                            </a:ext>
                          </a:extLst>
                        </wps:spPr>
                        <wps:bodyPr/>
                      </wps:wsp>
                      <wps:wsp>
                        <wps:cNvPr id="334" name="Straight Connector 25"/>
                        <wps:cNvCnPr>
                          <a:cxnSpLocks noChangeShapeType="1"/>
                        </wps:cNvCnPr>
                        <wps:spPr bwMode="auto">
                          <a:xfrm flipV="1">
                            <a:off x="0" y="0"/>
                            <a:ext cx="1581150" cy="1581150"/>
                          </a:xfrm>
                          <a:prstGeom prst="line">
                            <a:avLst/>
                          </a:prstGeom>
                          <a:noFill/>
                          <a:ln w="6350" algn="ctr">
                            <a:solidFill>
                              <a:srgbClr val="FFFFFF"/>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id="Group 244" o:spid="_x0000_s1026" style="position:absolute;margin-left:-318pt;margin-top:720.7pt;width:436.5pt;height:124.5pt;z-index:251661312;mso-position-vertical-relative:page" coordsize="55435,15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">
                <v:line id="Straight Connector 3" o:spid="_x0000_s1027" style="position:absolute;flip:y;visibility:visible;mso-wrap-style:square" from="3619,0" to="19431,15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s7bsYAAADcAAAADwAAAGRycy9kb3ducmV2LnhtbESPQWvCQBSE7wX/w/IEb3WTCFJS11CE&#10;gC1SqI2gt0f2NRuafRuyq8b+erdQ6HGYmW+YVTHaTlxo8K1jBek8AUFcO91yo6D6LB+fQPiArLFz&#10;TApu5KFYTx5WmGt35Q+67EMjIoR9jgpMCH0upa8NWfRz1xNH78sNFkOUQyP1gNcIt53MkmQpLbYc&#10;Fwz2tDFUf+/PVoF1VXk4V/VYVubt/fgjT+nu9aTUbDq+PIMINIb/8F97qxUs0gx+z8QjIN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bO27GAAAA3AAAAA8AAAAAAAAA&#10;AAAAAAAAoQIAAGRycy9kb3ducmV2LnhtbFBLBQYAAAAABAAEAPkAAACUAwAAAAA=&#10;" strokecolor="white" strokeweight=".5pt"/>
                <v:line id="Straight Connector 4" o:spid="_x0000_s1028" style="position:absolute;flip:y;visibility:visible;mso-wrap-style:square" from="5429,0" to="21240,15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ee9cUAAADcAAAADwAAAGRycy9kb3ducmV2LnhtbESPQWvCQBSE7wX/w/IEb3UTBSmpqxQh&#10;oCIFbQS9PbKv2dDs25BdNfbXu0Khx2FmvmHmy9424kqdrx0rSMcJCOLS6ZorBcVX/voGwgdkjY1j&#10;UnAnD8vF4GWOmXY33tP1ECoRIewzVGBCaDMpfWnIoh+7ljh6366zGKLsKqk7vEW4beQkSWbSYs1x&#10;wWBLK0Plz+FiFVhX5MdLUfZ5Ybafp195Tnebs1KjYf/xDiJQH/7Df+21VjBNp/A8E4+AXD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5ee9cUAAADcAAAADwAAAAAAAAAA&#10;AAAAAAChAgAAZHJzL2Rvd25yZXYueG1sUEsFBgAAAAAEAAQA+QAAAJMDAAAAAA==&#10;" strokecolor="white" strokeweight=".5pt"/>
                <v:line id="Straight Connector 5" o:spid="_x0000_s1029" style="position:absolute;flip:y;visibility:visible;mso-wrap-style:square" from="7239,0" to="23050,15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4GgcYAAADcAAAADwAAAGRycy9kb3ducmV2LnhtbESPQWvCQBSE7wX/w/KE3ppNWhGJriJC&#10;oC2lUBtBb4/sMxvMvg3ZVVN/fbcg9DjMzDfMYjXYVlyo941jBVmSgiCunG64VlB+F08zED4ga2wd&#10;k4If8rBajh4WmGt35S+6bEMtIoR9jgpMCF0upa8MWfSJ64ijd3S9xRBlX0vd4zXCbSuf03QqLTYc&#10;Fwx2tDFUnbZnq8C6stidy2ooSvP+ub/JQ/bxdlDqcTys5yACDeE/fG+/agUv2QT+zsQj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h+BoHGAAAA3AAAAA8AAAAAAAAA&#10;AAAAAAAAoQIAAGRycy9kb3ducmV2LnhtbFBLBQYAAAAABAAEAPkAAACUAwAAAAA=&#10;" strokecolor="white" strokeweight=".5pt"/>
                <v:line id="Straight Connector 6" o:spid="_x0000_s1030" style="position:absolute;flip:y;visibility:visible;mso-wrap-style:square" from="9048,0" to="24860,15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KjGsYAAADcAAAADwAAAGRycy9kb3ducmV2LnhtbESPQWvCQBSE7wX/w/KE3ppNWhSJriJC&#10;oC2lUBtBb4/sMxvMvg3ZVVN/fbcg9DjMzDfMYjXYVlyo941jBVmSgiCunG64VlB+F08zED4ga2wd&#10;k4If8rBajh4WmGt35S+6bEMtIoR9jgpMCF0upa8MWfSJ64ijd3S9xRBlX0vd4zXCbSuf03QqLTYc&#10;Fwx2tDFUnbZnq8C6stidy2ooSvP+ub/JQ/bxdlDqcTys5yACDeE/fG+/agUv2QT+zsQj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cyoxrGAAAA3AAAAA8AAAAAAAAA&#10;AAAAAAAAoQIAAGRycy9kb3ducmV2LnhtbFBLBQYAAAAABAAEAPkAAACUAwAAAAA=&#10;" strokecolor="white" strokeweight=".5pt"/>
                <v:line id="Straight Connector 7" o:spid="_x0000_s1031" style="position:absolute;flip:y;visibility:visible;mso-wrap-style:square" from="10763,0" to="26574,15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A9bcYAAADcAAAADwAAAGRycy9kb3ducmV2LnhtbESPQWvCQBSE74L/YXmCN92kBZHUNRQh&#10;YIsUaiPo7ZF9zYZm34bsRtP++m5B6HGYmW+YTT7aVlyp941jBekyAUFcOd1wraD8KBZrED4ga2wd&#10;k4Jv8pBvp5MNZtrd+J2ux1CLCGGfoQITQpdJ6StDFv3SdcTR+3S9xRBlX0vd4y3CbSsfkmQlLTYc&#10;Fwx2tDNUfR0Hq8C6sjgNZTUWpXl9O//IS3p4uSg1n43PTyACjeE/fG/vtYLHdAV/Z+IRkN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fgPW3GAAAA3AAAAA8AAAAAAAAA&#10;AAAAAAAAoQIAAGRycy9kb3ducmV2LnhtbFBLBQYAAAAABAAEAPkAAACUAwAAAAA=&#10;" strokecolor="white" strokeweight=".5pt"/>
                <v:line id="Straight Connector 8" o:spid="_x0000_s1032" style="position:absolute;flip:y;visibility:visible;mso-wrap-style:square" from="12573,0" to="28384,15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yY9sYAAADcAAAADwAAAGRycy9kb3ducmV2LnhtbESPQWvCQBSE7wX/w/KE3ppNWlCJriJC&#10;oC2lUBtBb4/sMxvMvg3ZVVN/fbcg9DjMzDfMYjXYVlyo941jBVmSgiCunG64VlB+F08zED4ga2wd&#10;k4If8rBajh4WmGt35S+6bEMtIoR9jgpMCF0upa8MWfSJ64ijd3S9xRBlX0vd4zXCbSuf03QiLTYc&#10;Fwx2tDFUnbZnq8C6stidy2ooSvP+ub/JQ/bxdlDqcTys5yACDeE/fG+/agUv2RT+zsQj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ismPbGAAAA3AAAAA8AAAAAAAAA&#10;AAAAAAAAoQIAAGRycy9kb3ducmV2LnhtbFBLBQYAAAAABAAEAPkAAACUAwAAAAA=&#10;" strokecolor="white" strokeweight=".5pt"/>
                <v:line id="Straight Connector 9" o:spid="_x0000_s1033" style="position:absolute;flip:y;visibility:visible;mso-wrap-style:square" from="14382,0" to="30194,15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MMhMIAAADcAAAADwAAAGRycy9kb3ducmV2LnhtbERPXWvCMBR9F/wP4Qq+aVqFIZ1RxqDg&#10;hgi6Dubbpbk2xeamNFGrv355EHw8nO/lureNuFLna8cK0mkCgrh0uuZKQfGTTxYgfEDW2DgmBXfy&#10;sF4NB0vMtLvxnq6HUIkYwj5DBSaENpPSl4Ys+qlriSN3cp3FEGFXSd3hLYbbRs6S5E1arDk2GGzp&#10;01B5PlysAuuK/PdSlH1emO/d30Me0+3XUanxqP94BxGoDy/x073RCuZpXBvPxCMg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TMMhMIAAADcAAAADwAAAAAAAAAAAAAA&#10;AAChAgAAZHJzL2Rvd25yZXYueG1sUEsFBgAAAAAEAAQA+QAAAJADAAAAAA==&#10;" strokecolor="white" strokeweight=".5pt"/>
                <v:line id="Straight Connector 10" o:spid="_x0000_s1034" style="position:absolute;flip:y;visibility:visible;mso-wrap-style:square" from="16192,0" to="32004,15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pH8YAAADcAAAADwAAAGRycy9kb3ducmV2LnhtbESPQWvCQBSE7wX/w/KE3ppNWhCNriJC&#10;oC2lUBtBb4/sMxvMvg3ZVVN/fbcg9DjMzDfMYjXYVlyo941jBVmSgiCunG64VlB+F09TED4ga2wd&#10;k4If8rBajh4WmGt35S+6bEMtIoR9jgpMCF0upa8MWfSJ64ijd3S9xRBlX0vd4zXCbSuf03QiLTYc&#10;Fwx2tDFUnbZnq8C6stidy2ooSvP+ub/JQ/bxdlDqcTys5yACDeE/fG+/agUv2Qz+zsQj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Z/qR/GAAAA3AAAAA8AAAAAAAAA&#10;AAAAAAAAoQIAAGRycy9kb3ducmV2LnhtbFBLBQYAAAAABAAEAPkAAACUAwAAAAA=&#10;" strokecolor="white" strokeweight=".5pt"/>
                <v:line id="Straight Connector 11" o:spid="_x0000_s1035" style="position:absolute;flip:y;visibility:visible;mso-wrap-style:square" from="18002,0" to="33813,15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KP8EAAADcAAAADwAAAGRycy9kb3ducmV2LnhtbERPTYvCMBC9C/sfwizsTVNdEKlGkYXC&#10;KougVtDb0IxNsZmUJmrXX28OgsfH+54tOluLG7W+cqxgOEhAEBdOV1wqyPdZfwLCB2SNtWNS8E8e&#10;FvOP3gxT7e68pdsulCKGsE9RgQmhSaX0hSGLfuAa4sidXWsxRNiWUrd4j+G2lqMkGUuLFccGgw39&#10;GCouu6tVYF2eHa550WW5WW+OD3ka/q1OSn19dsspiEBdeItf7l+t4HsU58cz8QjI+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5Kco/wQAAANwAAAAPAAAAAAAAAAAAAAAA&#10;AKECAABkcnMvZG93bnJldi54bWxQSwUGAAAAAAQABAD5AAAAjwMAAAAA&#10;" strokecolor="white" strokeweight=".5pt"/>
                <v:line id="Straight Connector 12" o:spid="_x0000_s1036" style="position:absolute;flip:y;visibility:visible;mso-wrap-style:square" from="19812,0" to="35623,15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VvpMYAAADcAAAADwAAAGRycy9kb3ducmV2LnhtbESPQWvCQBSE7wX/w/IEb3WTCFJS11CE&#10;gC1SqI2gt0f2NRuafRuyq8b+erdQ6HGYmW+YVTHaTlxo8K1jBek8AUFcO91yo6D6LB+fQPiArLFz&#10;TApu5KFYTx5WmGt35Q+67EMjIoR9jgpMCH0upa8NWfRz1xNH78sNFkOUQyP1gNcIt53MkmQpLbYc&#10;Fwz2tDFUf+/PVoF1VXk4V/VYVubt/fgjT+nu9aTUbDq+PIMINIb/8F97qxUsshR+z8QjIN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Zlb6TGAAAA3AAAAA8AAAAAAAAA&#10;AAAAAAAAoQIAAGRycy9kb3ducmV2LnhtbFBLBQYAAAAABAAEAPkAAACUAwAAAAA=&#10;" strokecolor="white" strokeweight=".5pt"/>
                <v:line id="Straight Connector 13" o:spid="_x0000_s1037" style="position:absolute;flip:y;visibility:visible;mso-wrap-style:square" from="21621,0" to="37433,15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fx08YAAADcAAAADwAAAGRycy9kb3ducmV2LnhtbESPQWvCQBSE7wX/w/IEb3WTCFJS11CE&#10;gC1SqI2gt0f2NRuafRuyq8b+erdQ6HGYmW+YVTHaTlxo8K1jBek8AUFcO91yo6D6LB+fQPiArLFz&#10;TApu5KFYTx5WmGt35Q+67EMjIoR9jgpMCH0upa8NWfRz1xNH78sNFkOUQyP1gNcIt53MkmQpLbYc&#10;Fwz2tDFUf+/PVoF1VXk4V/VYVubt/fgjT+nu9aTUbDq+PIMINIb/8F97qxUssgx+z8QjIN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38dPGAAAA3AAAAA8AAAAAAAAA&#10;AAAAAAAAoQIAAGRycy9kb3ducmV2LnhtbFBLBQYAAAAABAAEAPkAAACUAwAAAAA=&#10;" strokecolor="white" strokeweight=".5pt"/>
                <v:line id="Straight Connector 14" o:spid="_x0000_s1038" style="position:absolute;flip:y;visibility:visible;mso-wrap-style:square" from="23431,0" to="39243,15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tUSMUAAADcAAAADwAAAGRycy9kb3ducmV2LnhtbESPQWvCQBSE74X+h+UVvDUbFUqJrlIK&#10;ARURqhH09sg+s8Hs25BdNfrru4WCx2FmvmGm89424kqdrx0rGCYpCOLS6ZorBcUuf/8E4QOyxsYx&#10;KbiTh/ns9WWKmXY3/qHrNlQiQthnqMCE0GZS+tKQRZ+4ljh6J9dZDFF2ldQd3iLcNnKUph/SYs1x&#10;wWBL34bK8/ZiFVhX5PtLUfZ5YVabw0Meh+vlUanBW/81ARGoD8/wf3uhFYxHY/g7E4+An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tUSMUAAADcAAAADwAAAAAAAAAA&#10;AAAAAAChAgAAZHJzL2Rvd25yZXYueG1sUEsFBgAAAAAEAAQA+QAAAJMDAAAAAA==&#10;" strokecolor="white" strokeweight=".5pt"/>
                <v:line id="Straight Connector 15" o:spid="_x0000_s1039" style="position:absolute;flip:y;visibility:visible;mso-wrap-style:square" from="25241,0" to="41052,15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LMPMUAAADcAAAADwAAAGRycy9kb3ducmV2LnhtbESPQWvCQBSE7wX/w/KE3upGW6REVxEh&#10;YIsUtBH09sg+s8Hs25BdNfbXdwXB4zAz3zDTeWdrcaHWV44VDAcJCOLC6YpLBflv9vYJwgdkjbVj&#10;UnAjD/NZ72WKqXZX3tBlG0oRIexTVGBCaFIpfWHIoh+4hjh6R9daDFG2pdQtXiPc1nKUJGNpseK4&#10;YLChpaHitD1bBdbl2e6cF12Wm++f/Z88DNdfB6Ve+91iAiJQF57hR3ulFbyPPuB+Jh4BOfs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hLMPMUAAADcAAAADwAAAAAAAAAA&#10;AAAAAAChAgAAZHJzL2Rvd25yZXYueG1sUEsFBgAAAAAEAAQA+QAAAJMDAAAAAA==&#10;" strokecolor="white" strokeweight=".5pt"/>
                <v:line id="Straight Connector 16" o:spid="_x0000_s1040" style="position:absolute;flip:y;visibility:visible;mso-wrap-style:square" from="27051,0" to="42862,15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5pp8UAAADcAAAADwAAAGRycy9kb3ducmV2LnhtbESPQWvCQBSE7wX/w/KE3upGS6VEVxEh&#10;YIsUtBH09sg+s8Hs25BdNfbXdwXB4zAz3zDTeWdrcaHWV44VDAcJCOLC6YpLBflv9vYJwgdkjbVj&#10;UnAjD/NZ72WKqXZX3tBlG0oRIexTVGBCaFIpfWHIoh+4hjh6R9daDFG2pdQtXiPc1nKUJGNpseK4&#10;YLChpaHitD1bBdbl2e6cF12Wm++f/Z88DNdfB6Ve+91iAiJQF57hR3ulFbyPPuB+Jh4BOfs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V5pp8UAAADcAAAADwAAAAAAAAAA&#10;AAAAAAChAgAAZHJzL2Rvd25yZXYueG1sUEsFBgAAAAAEAAQA+QAAAJMDAAAAAA==&#10;" strokecolor="white" strokeweight=".5pt"/>
                <v:line id="Straight Connector 17" o:spid="_x0000_s1041" style="position:absolute;flip:y;visibility:visible;mso-wrap-style:square" from="28860,0" to="44672,15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z30MUAAADcAAAADwAAAGRycy9kb3ducmV2LnhtbESPQWvCQBSE74L/YXmCN92oICV1FREC&#10;rYigTaHeHtlnNph9G7Krpv31rlDwOMzMN8xi1dla3Kj1lWMFk3ECgrhwuuJSQf6Vjd5A+ICssXZM&#10;Cn7Jw2rZ7y0w1e7OB7odQykihH2KCkwITSqlLwxZ9GPXEEfv7FqLIcq2lLrFe4TbWk6TZC4tVhwX&#10;DDa0MVRcjlerwLo8+77mRZflZrv/+ZOnye7zpNRw0K3fQQTqwiv83/7QCmbTOTzPxCMgl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Yz30MUAAADcAAAADwAAAAAAAAAA&#10;AAAAAAChAgAAZHJzL2Rvd25yZXYueG1sUEsFBgAAAAAEAAQA+QAAAJMDAAAAAA==&#10;" strokecolor="white" strokeweight=".5pt"/>
                <v:line id="Straight Connector 18" o:spid="_x0000_s1042" style="position:absolute;flip:y;visibility:visible;mso-wrap-style:square" from="30670,0" to="46482,15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BSS8UAAADcAAAADwAAAGRycy9kb3ducmV2LnhtbESPQWvCQBSE7wX/w/KE3upGC7VEVxEh&#10;YIsUtBH09sg+s8Hs25BdNfbXdwXB4zAz3zDTeWdrcaHWV44VDAcJCOLC6YpLBflv9vYJwgdkjbVj&#10;UnAjD/NZ72WKqXZX3tBlG0oRIexTVGBCaFIpfWHIoh+4hjh6R9daDFG2pdQtXiPc1nKUJB/SYsVx&#10;wWBDS0PFaXu2CqzLs905L7osN98/+z95GK6/Dkq99rvFBESgLjzDj/ZKK3gfjeF+Jh4BOfs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sBSS8UAAADcAAAADwAAAAAAAAAA&#10;AAAAAAChAgAAZHJzL2Rvd25yZXYueG1sUEsFBgAAAAAEAAQA+QAAAJMDAAAAAA==&#10;" strokecolor="white" strokeweight=".5pt"/>
                <v:line id="Straight Connector 19" o:spid="_x0000_s1043" style="position:absolute;flip:y;visibility:visible;mso-wrap-style:square" from="32385,0" to="48196,15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GOcEAAADcAAAADwAAAGRycy9kb3ducmV2LnhtbERPTYvCMBC9C/sfwizsTVNdEKlGkYXC&#10;KougVtDb0IxNsZmUJmrXX28OgsfH+54tOluLG7W+cqxgOEhAEBdOV1wqyPdZfwLCB2SNtWNS8E8e&#10;FvOP3gxT7e68pdsulCKGsE9RgQmhSaX0hSGLfuAa4sidXWsxRNiWUrd4j+G2lqMkGUuLFccGgw39&#10;GCouu6tVYF2eHa550WW5WW+OD3ka/q1OSn19dsspiEBdeItf7l+t4HsU18Yz8QjI+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X8Y5wQAAANwAAAAPAAAAAAAAAAAAAAAA&#10;AKECAABkcnMvZG93bnJldi54bWxQSwUGAAAAAAQABAD5AAAAjwMAAAAA&#10;" strokecolor="white" strokeweight=".5pt"/>
                <v:line id="Straight Connector 20" o:spid="_x0000_s1044" style="position:absolute;flip:y;visibility:visible;mso-wrap-style:square" from="34194,0" to="50006,15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NjosUAAADcAAAADwAAAGRycy9kb3ducmV2LnhtbESPQWvCQBSE7wX/w/KE3upGC8VGVxEh&#10;YIsUtBH09sg+s8Hs25BdNfbXdwXB4zAz3zDTeWdrcaHWV44VDAcJCOLC6YpLBflv9jYG4QOyxtox&#10;KbiRh/ms9zLFVLsrb+iyDaWIEPYpKjAhNKmUvjBk0Q9cQxy9o2sthijbUuoWrxFuazlKkg9pseK4&#10;YLChpaHitD1bBdbl2e6cF12Wm++f/Z88DNdfB6Ve+91iAiJQF57hR3ulFbyPPuF+Jh4BOfs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BNjosUAAADcAAAADwAAAAAAAAAA&#10;AAAAAAChAgAAZHJzL2Rvd25yZXYueG1sUEsFBgAAAAAEAAQA+QAAAJMDAAAAAA==&#10;" strokecolor="white" strokeweight=".5pt"/>
                <v:line id="Straight Connector 21" o:spid="_x0000_s1045" style="position:absolute;flip:y;visibility:visible;mso-wrap-style:square" from="36004,0" to="51816,15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Bc4sMAAADcAAAADwAAAGRycy9kb3ducmV2LnhtbERPW2vCMBR+F/YfwhnsTVMtDOmMIoPC&#10;HEOYdjDfDs1ZU2xOSpNe5q9fHgY+fnz3zW6yjRio87VjBctFAoK4dLrmSkFxzudrED4ga2wck4Jf&#10;8rDbPsw2mGk38icNp1CJGMI+QwUmhDaT0peGLPqFa4kj9+M6iyHCrpK6wzGG20aukuRZWqw5Nhhs&#10;6dVQeT31VoF1Rf7VF+WUF+b9+H2Tl+XH4aLU0+O0fwERaAp38b/7TStI0zg/nolH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wXOLDAAAA3AAAAA8AAAAAAAAAAAAA&#10;AAAAoQIAAGRycy9kb3ducmV2LnhtbFBLBQYAAAAABAAEAPkAAACRAwAAAAA=&#10;" strokecolor="white" strokeweight=".5pt"/>
                <v:line id="Straight Connector 22" o:spid="_x0000_s1046" style="position:absolute;flip:y;visibility:visible;mso-wrap-style:square" from="37814,0" to="53625,15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7z5ecUAAADcAAAADwAAAGRycy9kb3ducmV2LnhtbESPQWvCQBSE7wX/w/IEb3UTBSmpqxQh&#10;oCIFbQS9PbKv2dDs25BdNfbXu0Khx2FmvmHmy9424kqdrx0rSMcJCOLS6ZorBcVX/voGwgdkjY1j&#10;UnAnD8vF4GWOmXY33tP1ECoRIewzVGBCaDMpfWnIoh+7ljh6366zGKLsKqk7vEW4beQkSWbSYs1x&#10;wWBLK0Plz+FiFVhX5MdLUfZ5Ybafp195Tnebs1KjYf/xDiJQH/7Df+21VjCdpvA8E4+AXD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7z5ecUAAADcAAAADwAAAAAAAAAA&#10;AAAAAAChAgAAZHJzL2Rvd25yZXYueG1sUEsFBgAAAAAEAAQA+QAAAJMDAAAAAA==&#10;" strokecolor="white" strokeweight=".5pt"/>
                <v:line id="Straight Connector 23" o:spid="_x0000_s1047" style="position:absolute;flip:y;visibility:visible;mso-wrap-style:square" from="39624,0" to="55435,15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25nDsUAAADcAAAADwAAAGRycy9kb3ducmV2LnhtbESPQWvCQBSE74X+h+UVvDUbFUqJrlIK&#10;ARURqhH09sg+s8Hs25BdNfrru4WCx2FmvmGm89424kqdrx0rGCYpCOLS6ZorBcUuf/8E4QOyxsYx&#10;KbiTh/ns9WWKmXY3/qHrNlQiQthnqMCE0GZS+tKQRZ+4ljh6J9dZDFF2ldQd3iLcNnKUph/SYs1x&#10;wWBL34bK8/ZiFVhX5PtLUfZ5YVabw0Meh+vlUanBW/81ARGoD8/wf3uhFYzHI/g7E4+An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25nDsUAAADcAAAADwAAAAAAAAAA&#10;AAAAAAChAgAAZHJzL2Rvd25yZXYueG1sUEsFBgAAAAAEAAQA+QAAAJMDAAAAAA==&#10;" strokecolor="white" strokeweight=".5pt"/>
                <v:line id="Straight Connector 24" o:spid="_x0000_s1048" style="position:absolute;flip:y;visibility:visible;mso-wrap-style:square" from="1809,0" to="17621,15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LClcYAAADcAAAADwAAAGRycy9kb3ducmV2LnhtbESPQWvCQBSE7wX/w/IEb3WTBqSkrqEI&#10;AStSqI2gt0f2NRuafRuyq8b+erdQ6HGYmW+YZTHaTlxo8K1jBek8AUFcO91yo6D6LB+fQfiArLFz&#10;TApu5KFYTR6WmGt35Q+67EMjIoR9jgpMCH0upa8NWfRz1xNH78sNFkOUQyP1gNcIt518SpKFtNhy&#10;XDDY09pQ/b0/WwXWVeXhXNVjWZnt+/FHntLd20mp2XR8fQERaAz/4b/2RivIsgx+z8QjIF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wiwpXGAAAA3AAAAA8AAAAAAAAA&#10;AAAAAAAAoQIAAGRycy9kb3ducmV2LnhtbFBLBQYAAAAABAAEAPkAAACUAwAAAAA=&#10;" strokecolor="white" strokeweight=".5pt"/>
                <v:line id="Straight Connector 25" o:spid="_x0000_s1049" style="position:absolute;flip:y;visibility:visible;mso-wrap-style:square" from="0,0" to="15811,15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ta4cUAAADcAAAADwAAAGRycy9kb3ducmV2LnhtbESPQWvCQBSE74L/YXlCb7pRi0jqKiIE&#10;2lIENYV6e2Rfs8Hs25BdNe2vdwXB4zAz3zCLVWdrcaHWV44VjEcJCOLC6YpLBfkhG85B+ICssXZM&#10;Cv7Iw2rZ7y0w1e7KO7rsQykihH2KCkwITSqlLwxZ9CPXEEfv17UWQ5RtKXWL1wi3tZwkyUxarDgu&#10;GGxoY6g47c9WgXV59n3Oiy7Lzef2518ex18fR6VeBt36DUSgLjzDj/a7VjCdvsL9TDwCc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8ta4cUAAADcAAAADwAAAAAAAAAA&#10;AAAAAAChAgAAZHJzL2Rvd25yZXYueG1sUEsFBgAAAAAEAAQA+QAAAJMDAAAAAA==&#10;" strokecolor="white" strokeweight=".5pt"/>
                <w10:wrap anchory="page"/>
              </v:group>
            </w:pict>
          </mc:Fallback>
        </mc:AlternateContent>
      </w:r>
      <w:r w:rsidR="00716818">
        <w:rPr>
          <w:noProof/>
        </w:rPr>
        <mc:AlternateContent>
          <mc:Choice Requires="wps">
            <w:drawing>
              <wp:anchor distT="0" distB="0" distL="114300" distR="114300" simplePos="0" relativeHeight="251660288" behindDoc="0" locked="0" layoutInCell="1" allowOverlap="1" wp14:anchorId="4214D6EA" wp14:editId="34859BCF">
                <wp:simplePos x="0" y="0"/>
                <wp:positionH relativeFrom="column">
                  <wp:posOffset>-952500</wp:posOffset>
                </wp:positionH>
                <wp:positionV relativeFrom="page">
                  <wp:posOffset>9657715</wp:posOffset>
                </wp:positionV>
                <wp:extent cx="7639050" cy="1085850"/>
                <wp:effectExtent l="0" t="0" r="0" b="0"/>
                <wp:wrapNone/>
                <wp:docPr id="310" name="Rectangle 14" descr="Cover Coloured Footer Section"/>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39050" cy="1085850"/>
                        </a:xfrm>
                        <a:prstGeom prst="rect">
                          <a:avLst/>
                        </a:prstGeom>
                        <a:solidFill>
                          <a:srgbClr val="00557E"/>
                        </a:solidFill>
                        <a:ln>
                          <a:noFill/>
                        </a:ln>
                        <a:extLst>
                          <a:ext uri="{91240B29-F687-4F45-9708-019B960494DF}">
                            <a14:hiddenLine xmlns:a14="http://schemas.microsoft.com/office/drawing/2010/main" w="25400" algn="ctr">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anchor>
            </w:drawing>
          </mc:Choice>
          <mc:Fallback>
            <w:pict>
              <v:rect id="Rectangle 14" o:spid="_x0000_s1026" alt="Cover Coloured Footer Section" style="position:absolute;margin-left:-75pt;margin-top:760.45pt;width:601.5pt;height:85.5pt;z-index:2516602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" fillcolor="#00557e" stroked="f" strokeweight="2pt">
                <w10:wrap anchory="page"/>
              </v:rect>
            </w:pict>
          </mc:Fallback>
        </mc:AlternateContent>
      </w:r>
      <w:r w:rsidR="00716818">
        <w:rPr>
          <w:noProof/>
        </w:rPr>
        <w:br w:type="page"/>
      </w:r>
    </w:p>
    <w:p w:rsidR="00716818" w:rsidRDefault="00716818"/>
    <w:p w:rsidR="00716818" w:rsidRDefault="00716818" w:rsidP="00716818">
      <w:pPr>
        <w:spacing w:before="6400"/>
      </w:pPr>
    </w:p>
    <w:p w:rsidR="00716818" w:rsidRPr="00E46801" w:rsidRDefault="00716818" w:rsidP="00716818">
      <w:pPr>
        <w:pStyle w:val="NormalTight"/>
      </w:pPr>
      <w:r w:rsidRPr="00E46801">
        <w:t>The Secretary</w:t>
      </w:r>
    </w:p>
    <w:p w:rsidR="00716818" w:rsidRPr="00E46801" w:rsidRDefault="00716818" w:rsidP="00716818">
      <w:pPr>
        <w:pStyle w:val="NormalTight"/>
      </w:pPr>
      <w:r w:rsidRPr="00E46801">
        <w:t>Department of Treasury and Finance</w:t>
      </w:r>
    </w:p>
    <w:p w:rsidR="00716818" w:rsidRPr="00E46801" w:rsidRDefault="00716818" w:rsidP="00716818">
      <w:pPr>
        <w:pStyle w:val="NormalTight"/>
      </w:pPr>
      <w:r w:rsidRPr="00E46801">
        <w:t>1 Treasury Place</w:t>
      </w:r>
    </w:p>
    <w:p w:rsidR="00716818" w:rsidRPr="00E46801" w:rsidRDefault="00716818" w:rsidP="00716818">
      <w:pPr>
        <w:pStyle w:val="NormalTight"/>
      </w:pPr>
      <w:r w:rsidRPr="00E46801">
        <w:t>Melbourne Victoria 3002</w:t>
      </w:r>
    </w:p>
    <w:p w:rsidR="00716818" w:rsidRPr="00E46801" w:rsidRDefault="00716818" w:rsidP="00716818">
      <w:pPr>
        <w:pStyle w:val="NormalTight"/>
      </w:pPr>
      <w:r w:rsidRPr="00E46801">
        <w:t>Australia</w:t>
      </w:r>
    </w:p>
    <w:p w:rsidR="00716818" w:rsidRPr="00E46801" w:rsidRDefault="00716818" w:rsidP="00716818">
      <w:pPr>
        <w:pStyle w:val="NormalTight"/>
      </w:pPr>
      <w:r w:rsidRPr="00E46801">
        <w:t>Telephone: +61 3 9651 5111</w:t>
      </w:r>
    </w:p>
    <w:p w:rsidR="00716818" w:rsidRPr="00E46801" w:rsidRDefault="00716818" w:rsidP="00716818">
      <w:pPr>
        <w:pStyle w:val="NormalTight"/>
      </w:pPr>
      <w:r w:rsidRPr="00E46801">
        <w:t>Facsimile: +61 3 9651 5298</w:t>
      </w:r>
    </w:p>
    <w:p w:rsidR="00716818" w:rsidRPr="00E46801" w:rsidRDefault="00716818" w:rsidP="00716818">
      <w:pPr>
        <w:pStyle w:val="NormalTight"/>
      </w:pPr>
      <w:r w:rsidRPr="00E46801">
        <w:t>www.dtf.vic.gov.au</w:t>
      </w:r>
    </w:p>
    <w:p w:rsidR="00716818" w:rsidRPr="00E46801" w:rsidRDefault="00716818" w:rsidP="00716818">
      <w:pPr>
        <w:pStyle w:val="NormalTight"/>
      </w:pPr>
    </w:p>
    <w:p w:rsidR="00716818" w:rsidRPr="00E46801" w:rsidRDefault="00716818" w:rsidP="00716818">
      <w:pPr>
        <w:pStyle w:val="NormalTight"/>
      </w:pPr>
      <w:r w:rsidRPr="00E46801">
        <w:t>Authorised by the Victorian Government</w:t>
      </w:r>
    </w:p>
    <w:p w:rsidR="00716818" w:rsidRPr="00E46801" w:rsidRDefault="00716818" w:rsidP="00716818">
      <w:pPr>
        <w:pStyle w:val="NormalTight"/>
      </w:pPr>
      <w:r w:rsidRPr="00E46801">
        <w:t>1 Treasury Place, Melbourne, 3002</w:t>
      </w:r>
    </w:p>
    <w:p w:rsidR="00716818" w:rsidRPr="00E46801" w:rsidRDefault="00716818" w:rsidP="00716818">
      <w:pPr>
        <w:pStyle w:val="NormalTight"/>
      </w:pPr>
    </w:p>
    <w:p w:rsidR="00716818" w:rsidRPr="00E46801" w:rsidRDefault="00716818" w:rsidP="00716818">
      <w:pPr>
        <w:pStyle w:val="NormalTight"/>
      </w:pPr>
      <w:r w:rsidRPr="00E46801">
        <w:t>© Copyright State of Victoria 2010</w:t>
      </w:r>
    </w:p>
    <w:p w:rsidR="00716818" w:rsidRPr="00E46801" w:rsidRDefault="00716818" w:rsidP="00716818">
      <w:pPr>
        <w:pStyle w:val="NormalTight"/>
      </w:pPr>
      <w:r w:rsidRPr="00E46801">
        <w:t xml:space="preserve">This book is copyright. No part may be reproduced by any process except in accordance with the provisions of the </w:t>
      </w:r>
      <w:r w:rsidRPr="0051295C">
        <w:rPr>
          <w:i/>
        </w:rPr>
        <w:t>Copyright Act 1968</w:t>
      </w:r>
      <w:r w:rsidRPr="00E46801">
        <w:t>.</w:t>
      </w:r>
    </w:p>
    <w:p w:rsidR="00C5596B" w:rsidRDefault="00C5596B" w:rsidP="00E254CB">
      <w:pPr>
        <w:pStyle w:val="NormalTight"/>
      </w:pPr>
    </w:p>
    <w:p w:rsidR="00E254CB" w:rsidRPr="00E46801" w:rsidRDefault="00E254CB" w:rsidP="00E254CB">
      <w:pPr>
        <w:pStyle w:val="NormalTight"/>
      </w:pPr>
      <w:r w:rsidRPr="00E46801">
        <w:t xml:space="preserve">ISBN </w:t>
      </w:r>
      <w:r w:rsidRPr="00E254CB">
        <w:t>978-1-922045-49-2</w:t>
      </w:r>
    </w:p>
    <w:p w:rsidR="00C5596B" w:rsidRDefault="00C5596B" w:rsidP="00E254CB">
      <w:pPr>
        <w:pStyle w:val="NormalTight"/>
      </w:pPr>
    </w:p>
    <w:p w:rsidR="00E254CB" w:rsidRPr="00E46801" w:rsidRDefault="00E254CB" w:rsidP="00E254CB">
      <w:pPr>
        <w:pStyle w:val="NormalTight"/>
      </w:pPr>
      <w:r>
        <w:t>Published June 2013</w:t>
      </w:r>
      <w:r w:rsidRPr="00E46801">
        <w:t>.</w:t>
      </w:r>
    </w:p>
    <w:p w:rsidR="00716818" w:rsidRDefault="00716818" w:rsidP="00716818">
      <w:pPr>
        <w:pStyle w:val="NormalTight"/>
      </w:pPr>
    </w:p>
    <w:p w:rsidR="00716818" w:rsidRPr="00B8202F" w:rsidRDefault="00716818" w:rsidP="0079746B">
      <w:pPr>
        <w:pStyle w:val="NormalTight"/>
      </w:pPr>
      <w:r>
        <w:t xml:space="preserve">If you would like to receive this publication in an accessible format please telephone </w:t>
      </w:r>
      <w:r w:rsidRPr="00B8202F">
        <w:t xml:space="preserve">9651 0909 or email </w:t>
      </w:r>
      <w:hyperlink r:id="rId11" w:history="1">
        <w:r w:rsidR="0079746B" w:rsidRPr="0079746B">
          <w:t>to: information@dtf.vic.gov.au</w:t>
        </w:r>
      </w:hyperlink>
    </w:p>
    <w:p w:rsidR="00716818" w:rsidRDefault="00716818"/>
    <w:p w:rsidR="00C5596B" w:rsidRDefault="00C5596B">
      <w:pPr>
        <w:spacing w:before="0" w:after="0"/>
        <w:ind w:left="0"/>
      </w:pPr>
      <w:r>
        <w:br w:type="page"/>
      </w:r>
    </w:p>
    <w:p w:rsidR="00C5596B" w:rsidRDefault="00C5596B">
      <w:r>
        <w:rPr>
          <w:noProof/>
        </w:rPr>
        <w:lastRenderedPageBreak/>
        <w:drawing>
          <wp:anchor distT="0" distB="0" distL="114300" distR="114300" simplePos="0" relativeHeight="251704320" behindDoc="0" locked="0" layoutInCell="1" allowOverlap="1" wp14:anchorId="77BADC69" wp14:editId="56A6A0A1">
            <wp:simplePos x="0" y="0"/>
            <wp:positionH relativeFrom="column">
              <wp:posOffset>-321827</wp:posOffset>
            </wp:positionH>
            <wp:positionV relativeFrom="paragraph">
              <wp:posOffset>-506111</wp:posOffset>
            </wp:positionV>
            <wp:extent cx="6560289" cy="9279767"/>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 assessment letter - supervision charge on gaming venue operators RIS - 6 June 2013.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64128" cy="9285197"/>
                    </a:xfrm>
                    <a:prstGeom prst="rect">
                      <a:avLst/>
                    </a:prstGeom>
                  </pic:spPr>
                </pic:pic>
              </a:graphicData>
            </a:graphic>
            <wp14:sizeRelH relativeFrom="page">
              <wp14:pctWidth>0</wp14:pctWidth>
            </wp14:sizeRelH>
            <wp14:sizeRelV relativeFrom="page">
              <wp14:pctHeight>0</wp14:pctHeight>
            </wp14:sizeRelV>
          </wp:anchor>
        </w:drawing>
      </w:r>
    </w:p>
    <w:p w:rsidR="00C5596B" w:rsidRDefault="00C5596B">
      <w:pPr>
        <w:sectPr w:rsidR="00C5596B" w:rsidSect="00716818">
          <w:headerReference w:type="default" r:id="rId13"/>
          <w:type w:val="oddPage"/>
          <w:pgSz w:w="11906" w:h="16838" w:code="9"/>
          <w:pgMar w:top="1584" w:right="1411" w:bottom="1138" w:left="1411" w:header="706" w:footer="706" w:gutter="0"/>
          <w:cols w:space="708"/>
          <w:docGrid w:linePitch="360"/>
        </w:sectPr>
      </w:pPr>
    </w:p>
    <w:p w:rsidR="000319EF" w:rsidRDefault="000319EF" w:rsidP="000319EF">
      <w:pPr>
        <w:pStyle w:val="TOCHeading"/>
        <w:rPr>
          <w:lang w:eastAsia="en-US"/>
        </w:rPr>
      </w:pPr>
      <w:r>
        <w:rPr>
          <w:lang w:eastAsia="en-US"/>
        </w:rPr>
        <w:lastRenderedPageBreak/>
        <w:t>Contents</w:t>
      </w:r>
    </w:p>
    <w:p w:rsidR="002657AF" w:rsidRDefault="000319EF">
      <w:pPr>
        <w:pStyle w:val="TOC1"/>
        <w:rPr>
          <w:rFonts w:asciiTheme="minorHAnsi" w:eastAsiaTheme="minorEastAsia" w:hAnsiTheme="minorHAnsi" w:cstheme="minorBidi"/>
          <w:color w:val="auto"/>
          <w:sz w:val="22"/>
          <w:szCs w:val="22"/>
        </w:rPr>
      </w:pPr>
      <w:r w:rsidRPr="0078188C">
        <w:rPr>
          <w:color w:val="404040"/>
          <w:lang w:eastAsia="en-US"/>
        </w:rPr>
        <w:fldChar w:fldCharType="begin"/>
      </w:r>
      <w:r w:rsidRPr="0078188C">
        <w:rPr>
          <w:lang w:eastAsia="en-US"/>
        </w:rPr>
        <w:instrText xml:space="preserve"> TOC \o "1-3" \t "Attachment 1,1" </w:instrText>
      </w:r>
      <w:r w:rsidRPr="0078188C">
        <w:rPr>
          <w:color w:val="404040"/>
          <w:lang w:eastAsia="en-US"/>
        </w:rPr>
        <w:fldChar w:fldCharType="separate"/>
      </w:r>
      <w:r w:rsidR="002657AF">
        <w:t>Summary</w:t>
      </w:r>
      <w:r w:rsidR="002657AF">
        <w:tab/>
      </w:r>
      <w:r w:rsidR="002657AF">
        <w:fldChar w:fldCharType="begin"/>
      </w:r>
      <w:r w:rsidR="002657AF">
        <w:instrText xml:space="preserve"> PAGEREF _Toc356830843 \h </w:instrText>
      </w:r>
      <w:r w:rsidR="002657AF">
        <w:fldChar w:fldCharType="separate"/>
      </w:r>
      <w:r w:rsidR="004F14D1">
        <w:t>1</w:t>
      </w:r>
      <w:r w:rsidR="002657AF">
        <w:fldChar w:fldCharType="end"/>
      </w:r>
    </w:p>
    <w:p w:rsidR="002657AF" w:rsidRDefault="002657AF">
      <w:pPr>
        <w:pStyle w:val="TOC1"/>
        <w:rPr>
          <w:rFonts w:asciiTheme="minorHAnsi" w:eastAsiaTheme="minorEastAsia" w:hAnsiTheme="minorHAnsi" w:cstheme="minorBidi"/>
          <w:color w:val="auto"/>
          <w:sz w:val="22"/>
          <w:szCs w:val="22"/>
        </w:rPr>
      </w:pPr>
      <w:r>
        <w:t>1.</w:t>
      </w:r>
      <w:r>
        <w:rPr>
          <w:rFonts w:asciiTheme="minorHAnsi" w:eastAsiaTheme="minorEastAsia" w:hAnsiTheme="minorHAnsi" w:cstheme="minorBidi"/>
          <w:color w:val="auto"/>
          <w:sz w:val="22"/>
          <w:szCs w:val="22"/>
        </w:rPr>
        <w:tab/>
      </w:r>
      <w:r>
        <w:t>Introduction and background</w:t>
      </w:r>
      <w:r>
        <w:tab/>
      </w:r>
      <w:r>
        <w:fldChar w:fldCharType="begin"/>
      </w:r>
      <w:r>
        <w:instrText xml:space="preserve"> PAGEREF _Toc356830844 \h </w:instrText>
      </w:r>
      <w:r>
        <w:fldChar w:fldCharType="separate"/>
      </w:r>
      <w:r w:rsidR="004F14D1">
        <w:t>5</w:t>
      </w:r>
      <w:r>
        <w:fldChar w:fldCharType="end"/>
      </w:r>
    </w:p>
    <w:p w:rsidR="002657AF" w:rsidRDefault="002657AF">
      <w:pPr>
        <w:pStyle w:val="TOC2"/>
        <w:rPr>
          <w:rFonts w:asciiTheme="minorHAnsi" w:eastAsiaTheme="minorEastAsia" w:hAnsiTheme="minorHAnsi" w:cstheme="minorBidi"/>
          <w:color w:val="auto"/>
        </w:rPr>
      </w:pPr>
      <w:r>
        <w:t>1.1</w:t>
      </w:r>
      <w:r>
        <w:rPr>
          <w:rFonts w:asciiTheme="minorHAnsi" w:eastAsiaTheme="minorEastAsia" w:hAnsiTheme="minorHAnsi" w:cstheme="minorBidi"/>
          <w:color w:val="auto"/>
        </w:rPr>
        <w:tab/>
      </w:r>
      <w:r>
        <w:t>Purpose of this Regulatory Impact Statement</w:t>
      </w:r>
      <w:r>
        <w:tab/>
      </w:r>
      <w:r>
        <w:fldChar w:fldCharType="begin"/>
      </w:r>
      <w:r>
        <w:instrText xml:space="preserve"> PAGEREF _Toc356830845 \h </w:instrText>
      </w:r>
      <w:r>
        <w:fldChar w:fldCharType="separate"/>
      </w:r>
      <w:r w:rsidR="004F14D1">
        <w:t>6</w:t>
      </w:r>
      <w:r>
        <w:fldChar w:fldCharType="end"/>
      </w:r>
    </w:p>
    <w:p w:rsidR="002657AF" w:rsidRDefault="002657AF">
      <w:pPr>
        <w:pStyle w:val="TOC2"/>
        <w:rPr>
          <w:rFonts w:asciiTheme="minorHAnsi" w:eastAsiaTheme="minorEastAsia" w:hAnsiTheme="minorHAnsi" w:cstheme="minorBidi"/>
          <w:color w:val="auto"/>
        </w:rPr>
      </w:pPr>
      <w:r>
        <w:t>1.2</w:t>
      </w:r>
      <w:r>
        <w:rPr>
          <w:rFonts w:asciiTheme="minorHAnsi" w:eastAsiaTheme="minorEastAsia" w:hAnsiTheme="minorHAnsi" w:cstheme="minorBidi"/>
          <w:color w:val="auto"/>
        </w:rPr>
        <w:tab/>
      </w:r>
      <w:r>
        <w:t>Assessment framework adopted</w:t>
      </w:r>
      <w:r>
        <w:tab/>
      </w:r>
      <w:r>
        <w:fldChar w:fldCharType="begin"/>
      </w:r>
      <w:r>
        <w:instrText xml:space="preserve"> PAGEREF _Toc356830846 \h </w:instrText>
      </w:r>
      <w:r>
        <w:fldChar w:fldCharType="separate"/>
      </w:r>
      <w:r w:rsidR="004F14D1">
        <w:t>7</w:t>
      </w:r>
      <w:r>
        <w:fldChar w:fldCharType="end"/>
      </w:r>
    </w:p>
    <w:p w:rsidR="002657AF" w:rsidRDefault="002657AF">
      <w:pPr>
        <w:pStyle w:val="TOC2"/>
        <w:rPr>
          <w:rFonts w:asciiTheme="minorHAnsi" w:eastAsiaTheme="minorEastAsia" w:hAnsiTheme="minorHAnsi" w:cstheme="minorBidi"/>
          <w:color w:val="auto"/>
        </w:rPr>
      </w:pPr>
      <w:r>
        <w:t>1.3</w:t>
      </w:r>
      <w:r>
        <w:rPr>
          <w:rFonts w:asciiTheme="minorHAnsi" w:eastAsiaTheme="minorEastAsia" w:hAnsiTheme="minorHAnsi" w:cstheme="minorBidi"/>
          <w:color w:val="auto"/>
        </w:rPr>
        <w:tab/>
      </w:r>
      <w:r>
        <w:t>Public submissions</w:t>
      </w:r>
      <w:r>
        <w:tab/>
      </w:r>
      <w:r>
        <w:fldChar w:fldCharType="begin"/>
      </w:r>
      <w:r>
        <w:instrText xml:space="preserve"> PAGEREF _Toc356830847 \h </w:instrText>
      </w:r>
      <w:r>
        <w:fldChar w:fldCharType="separate"/>
      </w:r>
      <w:r w:rsidR="004F14D1">
        <w:t>7</w:t>
      </w:r>
      <w:r>
        <w:fldChar w:fldCharType="end"/>
      </w:r>
    </w:p>
    <w:p w:rsidR="002657AF" w:rsidRDefault="002657AF">
      <w:pPr>
        <w:pStyle w:val="TOC1"/>
        <w:rPr>
          <w:rFonts w:asciiTheme="minorHAnsi" w:eastAsiaTheme="minorEastAsia" w:hAnsiTheme="minorHAnsi" w:cstheme="minorBidi"/>
          <w:color w:val="auto"/>
          <w:sz w:val="22"/>
          <w:szCs w:val="22"/>
        </w:rPr>
      </w:pPr>
      <w:r>
        <w:t>2.</w:t>
      </w:r>
      <w:r>
        <w:rPr>
          <w:rFonts w:asciiTheme="minorHAnsi" w:eastAsiaTheme="minorEastAsia" w:hAnsiTheme="minorHAnsi" w:cstheme="minorBidi"/>
          <w:color w:val="auto"/>
          <w:sz w:val="22"/>
          <w:szCs w:val="22"/>
        </w:rPr>
        <w:tab/>
      </w:r>
      <w:r>
        <w:t>Nature and extent of the issue</w:t>
      </w:r>
      <w:r>
        <w:tab/>
      </w:r>
      <w:r>
        <w:fldChar w:fldCharType="begin"/>
      </w:r>
      <w:r>
        <w:instrText xml:space="preserve"> PAGEREF _Toc356830848 \h </w:instrText>
      </w:r>
      <w:r>
        <w:fldChar w:fldCharType="separate"/>
      </w:r>
      <w:r w:rsidR="004F14D1">
        <w:t>9</w:t>
      </w:r>
      <w:r>
        <w:fldChar w:fldCharType="end"/>
      </w:r>
    </w:p>
    <w:p w:rsidR="002657AF" w:rsidRDefault="002657AF">
      <w:pPr>
        <w:pStyle w:val="TOC2"/>
        <w:rPr>
          <w:rFonts w:asciiTheme="minorHAnsi" w:eastAsiaTheme="minorEastAsia" w:hAnsiTheme="minorHAnsi" w:cstheme="minorBidi"/>
          <w:color w:val="auto"/>
        </w:rPr>
      </w:pPr>
      <w:r>
        <w:t>2.1</w:t>
      </w:r>
      <w:r>
        <w:rPr>
          <w:rFonts w:asciiTheme="minorHAnsi" w:eastAsiaTheme="minorEastAsia" w:hAnsiTheme="minorHAnsi" w:cstheme="minorBidi"/>
          <w:color w:val="auto"/>
        </w:rPr>
        <w:tab/>
      </w:r>
      <w:r>
        <w:t>Overview of gaming machine regulation</w:t>
      </w:r>
      <w:r>
        <w:tab/>
      </w:r>
      <w:r>
        <w:fldChar w:fldCharType="begin"/>
      </w:r>
      <w:r>
        <w:instrText xml:space="preserve"> PAGEREF _Toc356830849 \h </w:instrText>
      </w:r>
      <w:r>
        <w:fldChar w:fldCharType="separate"/>
      </w:r>
      <w:r w:rsidR="004F14D1">
        <w:t>9</w:t>
      </w:r>
      <w:r>
        <w:fldChar w:fldCharType="end"/>
      </w:r>
    </w:p>
    <w:p w:rsidR="002657AF" w:rsidRDefault="002657AF">
      <w:pPr>
        <w:pStyle w:val="TOC2"/>
        <w:rPr>
          <w:rFonts w:asciiTheme="minorHAnsi" w:eastAsiaTheme="minorEastAsia" w:hAnsiTheme="minorHAnsi" w:cstheme="minorBidi"/>
          <w:color w:val="auto"/>
        </w:rPr>
      </w:pPr>
      <w:r>
        <w:t>2.2</w:t>
      </w:r>
      <w:r>
        <w:rPr>
          <w:rFonts w:asciiTheme="minorHAnsi" w:eastAsiaTheme="minorEastAsia" w:hAnsiTheme="minorHAnsi" w:cstheme="minorBidi"/>
          <w:color w:val="auto"/>
        </w:rPr>
        <w:tab/>
      </w:r>
      <w:r>
        <w:t>The reasons for regulation</w:t>
      </w:r>
      <w:r>
        <w:tab/>
      </w:r>
      <w:r>
        <w:fldChar w:fldCharType="begin"/>
      </w:r>
      <w:r>
        <w:instrText xml:space="preserve"> PAGEREF _Toc356830850 \h </w:instrText>
      </w:r>
      <w:r>
        <w:fldChar w:fldCharType="separate"/>
      </w:r>
      <w:r w:rsidR="004F14D1">
        <w:t>10</w:t>
      </w:r>
      <w:r>
        <w:fldChar w:fldCharType="end"/>
      </w:r>
    </w:p>
    <w:p w:rsidR="002657AF" w:rsidRDefault="002657AF">
      <w:pPr>
        <w:pStyle w:val="TOC2"/>
        <w:rPr>
          <w:rFonts w:asciiTheme="minorHAnsi" w:eastAsiaTheme="minorEastAsia" w:hAnsiTheme="minorHAnsi" w:cstheme="minorBidi"/>
          <w:color w:val="auto"/>
        </w:rPr>
      </w:pPr>
      <w:r>
        <w:t>2.3</w:t>
      </w:r>
      <w:r>
        <w:rPr>
          <w:rFonts w:asciiTheme="minorHAnsi" w:eastAsiaTheme="minorEastAsia" w:hAnsiTheme="minorHAnsi" w:cstheme="minorBidi"/>
          <w:color w:val="auto"/>
        </w:rPr>
        <w:tab/>
      </w:r>
      <w:r>
        <w:t>VCGLR’s regulatory output</w:t>
      </w:r>
      <w:r>
        <w:tab/>
      </w:r>
      <w:r>
        <w:fldChar w:fldCharType="begin"/>
      </w:r>
      <w:r>
        <w:instrText xml:space="preserve"> PAGEREF _Toc356830851 \h </w:instrText>
      </w:r>
      <w:r>
        <w:fldChar w:fldCharType="separate"/>
      </w:r>
      <w:r w:rsidR="004F14D1">
        <w:t>10</w:t>
      </w:r>
      <w:r>
        <w:fldChar w:fldCharType="end"/>
      </w:r>
    </w:p>
    <w:p w:rsidR="002657AF" w:rsidRDefault="002657AF">
      <w:pPr>
        <w:pStyle w:val="TOC2"/>
        <w:rPr>
          <w:rFonts w:asciiTheme="minorHAnsi" w:eastAsiaTheme="minorEastAsia" w:hAnsiTheme="minorHAnsi" w:cstheme="minorBidi"/>
          <w:color w:val="auto"/>
        </w:rPr>
      </w:pPr>
      <w:r>
        <w:t>2.4</w:t>
      </w:r>
      <w:r>
        <w:rPr>
          <w:rFonts w:asciiTheme="minorHAnsi" w:eastAsiaTheme="minorEastAsia" w:hAnsiTheme="minorHAnsi" w:cstheme="minorBidi"/>
          <w:color w:val="auto"/>
        </w:rPr>
        <w:tab/>
      </w:r>
      <w:r>
        <w:t>Recovering VCGLR’s costs – Who pays?</w:t>
      </w:r>
      <w:r>
        <w:tab/>
      </w:r>
      <w:r>
        <w:fldChar w:fldCharType="begin"/>
      </w:r>
      <w:r>
        <w:instrText xml:space="preserve"> PAGEREF _Toc356830852 \h </w:instrText>
      </w:r>
      <w:r>
        <w:fldChar w:fldCharType="separate"/>
      </w:r>
      <w:r w:rsidR="004F14D1">
        <w:t>11</w:t>
      </w:r>
      <w:r>
        <w:fldChar w:fldCharType="end"/>
      </w:r>
    </w:p>
    <w:p w:rsidR="002657AF" w:rsidRDefault="002657AF">
      <w:pPr>
        <w:pStyle w:val="TOC3"/>
        <w:tabs>
          <w:tab w:val="left" w:pos="1985"/>
        </w:tabs>
        <w:rPr>
          <w:rFonts w:asciiTheme="minorHAnsi" w:eastAsiaTheme="minorEastAsia" w:hAnsiTheme="minorHAnsi" w:cstheme="minorBidi"/>
        </w:rPr>
      </w:pPr>
      <w:r>
        <w:t>2.4.1</w:t>
      </w:r>
      <w:r>
        <w:rPr>
          <w:rFonts w:asciiTheme="minorHAnsi" w:eastAsiaTheme="minorEastAsia" w:hAnsiTheme="minorHAnsi" w:cstheme="minorBidi"/>
        </w:rPr>
        <w:tab/>
      </w:r>
      <w:r>
        <w:t>Historical collection of VCGLR’s costs</w:t>
      </w:r>
      <w:r>
        <w:tab/>
      </w:r>
      <w:r>
        <w:fldChar w:fldCharType="begin"/>
      </w:r>
      <w:r>
        <w:instrText xml:space="preserve"> PAGEREF _Toc356830853 \h </w:instrText>
      </w:r>
      <w:r>
        <w:fldChar w:fldCharType="separate"/>
      </w:r>
      <w:r w:rsidR="004F14D1">
        <w:t>11</w:t>
      </w:r>
      <w:r>
        <w:fldChar w:fldCharType="end"/>
      </w:r>
    </w:p>
    <w:p w:rsidR="002657AF" w:rsidRDefault="002657AF">
      <w:pPr>
        <w:pStyle w:val="TOC3"/>
        <w:tabs>
          <w:tab w:val="left" w:pos="1985"/>
        </w:tabs>
        <w:rPr>
          <w:rFonts w:asciiTheme="minorHAnsi" w:eastAsiaTheme="minorEastAsia" w:hAnsiTheme="minorHAnsi" w:cstheme="minorBidi"/>
        </w:rPr>
      </w:pPr>
      <w:r>
        <w:t>2.4.2</w:t>
      </w:r>
      <w:r>
        <w:rPr>
          <w:rFonts w:asciiTheme="minorHAnsi" w:eastAsiaTheme="minorEastAsia" w:hAnsiTheme="minorHAnsi" w:cstheme="minorBidi"/>
        </w:rPr>
        <w:tab/>
      </w:r>
      <w:r>
        <w:t>The case for full cost recovery from the gaming industry</w:t>
      </w:r>
      <w:r>
        <w:tab/>
      </w:r>
      <w:r>
        <w:fldChar w:fldCharType="begin"/>
      </w:r>
      <w:r>
        <w:instrText xml:space="preserve"> PAGEREF _Toc356830854 \h </w:instrText>
      </w:r>
      <w:r>
        <w:fldChar w:fldCharType="separate"/>
      </w:r>
      <w:r w:rsidR="004F14D1">
        <w:t>13</w:t>
      </w:r>
      <w:r>
        <w:fldChar w:fldCharType="end"/>
      </w:r>
    </w:p>
    <w:p w:rsidR="002657AF" w:rsidRDefault="002657AF">
      <w:pPr>
        <w:pStyle w:val="TOC3"/>
        <w:tabs>
          <w:tab w:val="left" w:pos="1985"/>
        </w:tabs>
        <w:rPr>
          <w:rFonts w:asciiTheme="minorHAnsi" w:eastAsiaTheme="minorEastAsia" w:hAnsiTheme="minorHAnsi" w:cstheme="minorBidi"/>
        </w:rPr>
      </w:pPr>
      <w:r>
        <w:t>2.4.3</w:t>
      </w:r>
      <w:r>
        <w:rPr>
          <w:rFonts w:asciiTheme="minorHAnsi" w:eastAsiaTheme="minorEastAsia" w:hAnsiTheme="minorHAnsi" w:cstheme="minorBidi"/>
        </w:rPr>
        <w:tab/>
      </w:r>
      <w:r>
        <w:t>Accounting for other benefits</w:t>
      </w:r>
      <w:r>
        <w:tab/>
      </w:r>
      <w:r>
        <w:fldChar w:fldCharType="begin"/>
      </w:r>
      <w:r>
        <w:instrText xml:space="preserve"> PAGEREF _Toc356830855 \h </w:instrText>
      </w:r>
      <w:r>
        <w:fldChar w:fldCharType="separate"/>
      </w:r>
      <w:r w:rsidR="004F14D1">
        <w:t>14</w:t>
      </w:r>
      <w:r>
        <w:fldChar w:fldCharType="end"/>
      </w:r>
    </w:p>
    <w:p w:rsidR="002657AF" w:rsidRDefault="002657AF">
      <w:pPr>
        <w:pStyle w:val="TOC3"/>
        <w:tabs>
          <w:tab w:val="left" w:pos="1985"/>
        </w:tabs>
        <w:rPr>
          <w:rFonts w:asciiTheme="minorHAnsi" w:eastAsiaTheme="minorEastAsia" w:hAnsiTheme="minorHAnsi" w:cstheme="minorBidi"/>
        </w:rPr>
      </w:pPr>
      <w:r>
        <w:t>2.4.4</w:t>
      </w:r>
      <w:r>
        <w:rPr>
          <w:rFonts w:asciiTheme="minorHAnsi" w:eastAsiaTheme="minorEastAsia" w:hAnsiTheme="minorHAnsi" w:cstheme="minorBidi"/>
        </w:rPr>
        <w:tab/>
      </w:r>
      <w:r>
        <w:t>Practice in other jurisdictions</w:t>
      </w:r>
      <w:r>
        <w:tab/>
      </w:r>
      <w:r>
        <w:fldChar w:fldCharType="begin"/>
      </w:r>
      <w:r>
        <w:instrText xml:space="preserve"> PAGEREF _Toc356830856 \h </w:instrText>
      </w:r>
      <w:r>
        <w:fldChar w:fldCharType="separate"/>
      </w:r>
      <w:r w:rsidR="004F14D1">
        <w:t>15</w:t>
      </w:r>
      <w:r>
        <w:fldChar w:fldCharType="end"/>
      </w:r>
    </w:p>
    <w:p w:rsidR="002657AF" w:rsidRDefault="002657AF">
      <w:pPr>
        <w:pStyle w:val="TOC2"/>
        <w:rPr>
          <w:rFonts w:asciiTheme="minorHAnsi" w:eastAsiaTheme="minorEastAsia" w:hAnsiTheme="minorHAnsi" w:cstheme="minorBidi"/>
          <w:color w:val="auto"/>
        </w:rPr>
      </w:pPr>
      <w:r>
        <w:t>2.5</w:t>
      </w:r>
      <w:r>
        <w:rPr>
          <w:rFonts w:asciiTheme="minorHAnsi" w:eastAsiaTheme="minorEastAsia" w:hAnsiTheme="minorHAnsi" w:cstheme="minorBidi"/>
          <w:color w:val="auto"/>
        </w:rPr>
        <w:tab/>
      </w:r>
      <w:r>
        <w:t>Issues to consider in applying the charge</w:t>
      </w:r>
      <w:r>
        <w:tab/>
      </w:r>
      <w:r>
        <w:fldChar w:fldCharType="begin"/>
      </w:r>
      <w:r>
        <w:instrText xml:space="preserve"> PAGEREF _Toc356830857 \h </w:instrText>
      </w:r>
      <w:r>
        <w:fldChar w:fldCharType="separate"/>
      </w:r>
      <w:r w:rsidR="004F14D1">
        <w:t>15</w:t>
      </w:r>
      <w:r>
        <w:fldChar w:fldCharType="end"/>
      </w:r>
    </w:p>
    <w:p w:rsidR="002657AF" w:rsidRDefault="002657AF">
      <w:pPr>
        <w:pStyle w:val="TOC1"/>
        <w:rPr>
          <w:rFonts w:asciiTheme="minorHAnsi" w:eastAsiaTheme="minorEastAsia" w:hAnsiTheme="minorHAnsi" w:cstheme="minorBidi"/>
          <w:color w:val="auto"/>
          <w:sz w:val="22"/>
          <w:szCs w:val="22"/>
        </w:rPr>
      </w:pPr>
      <w:r>
        <w:t>3.</w:t>
      </w:r>
      <w:r>
        <w:rPr>
          <w:rFonts w:asciiTheme="minorHAnsi" w:eastAsiaTheme="minorEastAsia" w:hAnsiTheme="minorHAnsi" w:cstheme="minorBidi"/>
          <w:color w:val="auto"/>
          <w:sz w:val="22"/>
          <w:szCs w:val="22"/>
        </w:rPr>
        <w:tab/>
      </w:r>
      <w:r>
        <w:t>Objectives of the supervision charge</w:t>
      </w:r>
      <w:r>
        <w:tab/>
      </w:r>
      <w:r>
        <w:fldChar w:fldCharType="begin"/>
      </w:r>
      <w:r>
        <w:instrText xml:space="preserve"> PAGEREF _Toc356830858 \h </w:instrText>
      </w:r>
      <w:r>
        <w:fldChar w:fldCharType="separate"/>
      </w:r>
      <w:r w:rsidR="004F14D1">
        <w:t>17</w:t>
      </w:r>
      <w:r>
        <w:fldChar w:fldCharType="end"/>
      </w:r>
    </w:p>
    <w:p w:rsidR="002657AF" w:rsidRDefault="002657AF">
      <w:pPr>
        <w:pStyle w:val="TOC1"/>
        <w:rPr>
          <w:rFonts w:asciiTheme="minorHAnsi" w:eastAsiaTheme="minorEastAsia" w:hAnsiTheme="minorHAnsi" w:cstheme="minorBidi"/>
          <w:color w:val="auto"/>
          <w:sz w:val="22"/>
          <w:szCs w:val="22"/>
        </w:rPr>
      </w:pPr>
      <w:r>
        <w:t>4.</w:t>
      </w:r>
      <w:r>
        <w:rPr>
          <w:rFonts w:asciiTheme="minorHAnsi" w:eastAsiaTheme="minorEastAsia" w:hAnsiTheme="minorHAnsi" w:cstheme="minorBidi"/>
          <w:color w:val="auto"/>
          <w:sz w:val="22"/>
          <w:szCs w:val="22"/>
        </w:rPr>
        <w:tab/>
      </w:r>
      <w:r>
        <w:t>VCGLR’s 2012-13 gaming related regulatory costs</w:t>
      </w:r>
      <w:r>
        <w:tab/>
      </w:r>
      <w:r>
        <w:fldChar w:fldCharType="begin"/>
      </w:r>
      <w:r>
        <w:instrText xml:space="preserve"> PAGEREF _Toc356830859 \h </w:instrText>
      </w:r>
      <w:r>
        <w:fldChar w:fldCharType="separate"/>
      </w:r>
      <w:r w:rsidR="004F14D1">
        <w:t>18</w:t>
      </w:r>
      <w:r>
        <w:fldChar w:fldCharType="end"/>
      </w:r>
    </w:p>
    <w:p w:rsidR="002657AF" w:rsidRDefault="002657AF">
      <w:pPr>
        <w:pStyle w:val="TOC2"/>
        <w:rPr>
          <w:rFonts w:asciiTheme="minorHAnsi" w:eastAsiaTheme="minorEastAsia" w:hAnsiTheme="minorHAnsi" w:cstheme="minorBidi"/>
          <w:color w:val="auto"/>
        </w:rPr>
      </w:pPr>
      <w:r>
        <w:t>4.1</w:t>
      </w:r>
      <w:r>
        <w:rPr>
          <w:rFonts w:asciiTheme="minorHAnsi" w:eastAsiaTheme="minorEastAsia" w:hAnsiTheme="minorHAnsi" w:cstheme="minorBidi"/>
          <w:color w:val="auto"/>
        </w:rPr>
        <w:tab/>
      </w:r>
      <w:r>
        <w:t>Overview of the VCGLR’s costing framework</w:t>
      </w:r>
      <w:r>
        <w:tab/>
      </w:r>
      <w:r>
        <w:fldChar w:fldCharType="begin"/>
      </w:r>
      <w:r>
        <w:instrText xml:space="preserve"> PAGEREF _Toc356830860 \h </w:instrText>
      </w:r>
      <w:r>
        <w:fldChar w:fldCharType="separate"/>
      </w:r>
      <w:r w:rsidR="004F14D1">
        <w:t>18</w:t>
      </w:r>
      <w:r>
        <w:fldChar w:fldCharType="end"/>
      </w:r>
    </w:p>
    <w:p w:rsidR="002657AF" w:rsidRDefault="002657AF">
      <w:pPr>
        <w:pStyle w:val="TOC2"/>
        <w:rPr>
          <w:rFonts w:asciiTheme="minorHAnsi" w:eastAsiaTheme="minorEastAsia" w:hAnsiTheme="minorHAnsi" w:cstheme="minorBidi"/>
          <w:color w:val="auto"/>
        </w:rPr>
      </w:pPr>
      <w:r>
        <w:t>4.2</w:t>
      </w:r>
      <w:r>
        <w:rPr>
          <w:rFonts w:asciiTheme="minorHAnsi" w:eastAsiaTheme="minorEastAsia" w:hAnsiTheme="minorHAnsi" w:cstheme="minorBidi"/>
          <w:color w:val="auto"/>
        </w:rPr>
        <w:tab/>
      </w:r>
      <w:r>
        <w:t>Estimating VCGLR’s costs in 2012-13</w:t>
      </w:r>
      <w:r>
        <w:tab/>
      </w:r>
      <w:r>
        <w:fldChar w:fldCharType="begin"/>
      </w:r>
      <w:r>
        <w:instrText xml:space="preserve"> PAGEREF _Toc356830861 \h </w:instrText>
      </w:r>
      <w:r>
        <w:fldChar w:fldCharType="separate"/>
      </w:r>
      <w:r w:rsidR="004F14D1">
        <w:t>20</w:t>
      </w:r>
      <w:r>
        <w:fldChar w:fldCharType="end"/>
      </w:r>
    </w:p>
    <w:p w:rsidR="002657AF" w:rsidRDefault="002657AF">
      <w:pPr>
        <w:pStyle w:val="TOC1"/>
        <w:rPr>
          <w:rFonts w:asciiTheme="minorHAnsi" w:eastAsiaTheme="minorEastAsia" w:hAnsiTheme="minorHAnsi" w:cstheme="minorBidi"/>
          <w:color w:val="auto"/>
          <w:sz w:val="22"/>
          <w:szCs w:val="22"/>
        </w:rPr>
      </w:pPr>
      <w:r>
        <w:t>5.</w:t>
      </w:r>
      <w:r>
        <w:rPr>
          <w:rFonts w:asciiTheme="minorHAnsi" w:eastAsiaTheme="minorEastAsia" w:hAnsiTheme="minorHAnsi" w:cstheme="minorBidi"/>
          <w:color w:val="auto"/>
          <w:sz w:val="22"/>
          <w:szCs w:val="22"/>
        </w:rPr>
        <w:tab/>
      </w:r>
      <w:r>
        <w:t>Identification of cost recovery options</w:t>
      </w:r>
      <w:r>
        <w:tab/>
      </w:r>
      <w:r>
        <w:fldChar w:fldCharType="begin"/>
      </w:r>
      <w:r>
        <w:instrText xml:space="preserve"> PAGEREF _Toc356830862 \h </w:instrText>
      </w:r>
      <w:r>
        <w:fldChar w:fldCharType="separate"/>
      </w:r>
      <w:r w:rsidR="004F14D1">
        <w:t>25</w:t>
      </w:r>
      <w:r>
        <w:fldChar w:fldCharType="end"/>
      </w:r>
    </w:p>
    <w:p w:rsidR="002657AF" w:rsidRDefault="002657AF">
      <w:pPr>
        <w:pStyle w:val="TOC2"/>
        <w:rPr>
          <w:rFonts w:asciiTheme="minorHAnsi" w:eastAsiaTheme="minorEastAsia" w:hAnsiTheme="minorHAnsi" w:cstheme="minorBidi"/>
          <w:color w:val="auto"/>
        </w:rPr>
      </w:pPr>
      <w:r>
        <w:t>5.1</w:t>
      </w:r>
      <w:r>
        <w:rPr>
          <w:rFonts w:asciiTheme="minorHAnsi" w:eastAsiaTheme="minorEastAsia" w:hAnsiTheme="minorHAnsi" w:cstheme="minorBidi"/>
          <w:color w:val="auto"/>
        </w:rPr>
        <w:tab/>
      </w:r>
      <w:r>
        <w:t>Regulatory and non-regulatory options</w:t>
      </w:r>
      <w:r>
        <w:tab/>
      </w:r>
      <w:r>
        <w:fldChar w:fldCharType="begin"/>
      </w:r>
      <w:r>
        <w:instrText xml:space="preserve"> PAGEREF _Toc356830863 \h </w:instrText>
      </w:r>
      <w:r>
        <w:fldChar w:fldCharType="separate"/>
      </w:r>
      <w:r w:rsidR="004F14D1">
        <w:t>25</w:t>
      </w:r>
      <w:r>
        <w:fldChar w:fldCharType="end"/>
      </w:r>
    </w:p>
    <w:p w:rsidR="002657AF" w:rsidRDefault="002657AF">
      <w:pPr>
        <w:pStyle w:val="TOC2"/>
        <w:rPr>
          <w:rFonts w:asciiTheme="minorHAnsi" w:eastAsiaTheme="minorEastAsia" w:hAnsiTheme="minorHAnsi" w:cstheme="minorBidi"/>
          <w:color w:val="auto"/>
        </w:rPr>
      </w:pPr>
      <w:r>
        <w:t>5.2</w:t>
      </w:r>
      <w:r>
        <w:rPr>
          <w:rFonts w:asciiTheme="minorHAnsi" w:eastAsiaTheme="minorEastAsia" w:hAnsiTheme="minorHAnsi" w:cstheme="minorBidi"/>
          <w:color w:val="auto"/>
        </w:rPr>
        <w:tab/>
      </w:r>
      <w:r>
        <w:t>Options to be assessed</w:t>
      </w:r>
      <w:r>
        <w:tab/>
      </w:r>
      <w:r>
        <w:fldChar w:fldCharType="begin"/>
      </w:r>
      <w:r>
        <w:instrText xml:space="preserve"> PAGEREF _Toc356830864 \h </w:instrText>
      </w:r>
      <w:r>
        <w:fldChar w:fldCharType="separate"/>
      </w:r>
      <w:r w:rsidR="004F14D1">
        <w:t>26</w:t>
      </w:r>
      <w:r>
        <w:fldChar w:fldCharType="end"/>
      </w:r>
    </w:p>
    <w:p w:rsidR="002657AF" w:rsidRDefault="002657AF">
      <w:pPr>
        <w:pStyle w:val="TOC3"/>
        <w:tabs>
          <w:tab w:val="left" w:pos="1985"/>
        </w:tabs>
        <w:rPr>
          <w:rFonts w:asciiTheme="minorHAnsi" w:eastAsiaTheme="minorEastAsia" w:hAnsiTheme="minorHAnsi" w:cstheme="minorBidi"/>
        </w:rPr>
      </w:pPr>
      <w:r>
        <w:t>5.2.1</w:t>
      </w:r>
      <w:r>
        <w:rPr>
          <w:rFonts w:asciiTheme="minorHAnsi" w:eastAsiaTheme="minorEastAsia" w:hAnsiTheme="minorHAnsi" w:cstheme="minorBidi"/>
        </w:rPr>
        <w:tab/>
      </w:r>
      <w:r>
        <w:t>Base case – No supervision charge</w:t>
      </w:r>
      <w:r>
        <w:tab/>
      </w:r>
      <w:r>
        <w:fldChar w:fldCharType="begin"/>
      </w:r>
      <w:r>
        <w:instrText xml:space="preserve"> PAGEREF _Toc356830865 \h </w:instrText>
      </w:r>
      <w:r>
        <w:fldChar w:fldCharType="separate"/>
      </w:r>
      <w:r w:rsidR="004F14D1">
        <w:t>26</w:t>
      </w:r>
      <w:r>
        <w:fldChar w:fldCharType="end"/>
      </w:r>
    </w:p>
    <w:p w:rsidR="002657AF" w:rsidRDefault="002657AF">
      <w:pPr>
        <w:pStyle w:val="TOC3"/>
        <w:tabs>
          <w:tab w:val="left" w:pos="1985"/>
        </w:tabs>
        <w:rPr>
          <w:rFonts w:asciiTheme="minorHAnsi" w:eastAsiaTheme="minorEastAsia" w:hAnsiTheme="minorHAnsi" w:cstheme="minorBidi"/>
        </w:rPr>
      </w:pPr>
      <w:r>
        <w:t>5.2.2</w:t>
      </w:r>
      <w:r>
        <w:rPr>
          <w:rFonts w:asciiTheme="minorHAnsi" w:eastAsiaTheme="minorEastAsia" w:hAnsiTheme="minorHAnsi" w:cstheme="minorBidi"/>
        </w:rPr>
        <w:tab/>
      </w:r>
      <w:r>
        <w:t>Option A – Two tiered charge on entitlements and gaming machines</w:t>
      </w:r>
      <w:r>
        <w:tab/>
      </w:r>
      <w:r>
        <w:fldChar w:fldCharType="begin"/>
      </w:r>
      <w:r>
        <w:instrText xml:space="preserve"> PAGEREF _Toc356830866 \h </w:instrText>
      </w:r>
      <w:r>
        <w:fldChar w:fldCharType="separate"/>
      </w:r>
      <w:r w:rsidR="004F14D1">
        <w:t>26</w:t>
      </w:r>
      <w:r>
        <w:fldChar w:fldCharType="end"/>
      </w:r>
    </w:p>
    <w:p w:rsidR="002657AF" w:rsidRDefault="002657AF">
      <w:pPr>
        <w:pStyle w:val="TOC3"/>
        <w:tabs>
          <w:tab w:val="left" w:pos="1985"/>
        </w:tabs>
        <w:rPr>
          <w:rFonts w:asciiTheme="minorHAnsi" w:eastAsiaTheme="minorEastAsia" w:hAnsiTheme="minorHAnsi" w:cstheme="minorBidi"/>
        </w:rPr>
      </w:pPr>
      <w:r>
        <w:t>5.2.3</w:t>
      </w:r>
      <w:r>
        <w:rPr>
          <w:rFonts w:asciiTheme="minorHAnsi" w:eastAsiaTheme="minorEastAsia" w:hAnsiTheme="minorHAnsi" w:cstheme="minorBidi"/>
        </w:rPr>
        <w:tab/>
      </w:r>
      <w:r>
        <w:t>Option B – Single tiered charge on entitlements</w:t>
      </w:r>
      <w:r>
        <w:tab/>
      </w:r>
      <w:r>
        <w:fldChar w:fldCharType="begin"/>
      </w:r>
      <w:r>
        <w:instrText xml:space="preserve"> PAGEREF _Toc356830867 \h </w:instrText>
      </w:r>
      <w:r>
        <w:fldChar w:fldCharType="separate"/>
      </w:r>
      <w:r w:rsidR="004F14D1">
        <w:t>28</w:t>
      </w:r>
      <w:r>
        <w:fldChar w:fldCharType="end"/>
      </w:r>
    </w:p>
    <w:p w:rsidR="002657AF" w:rsidRDefault="002657AF">
      <w:pPr>
        <w:pStyle w:val="TOC3"/>
        <w:tabs>
          <w:tab w:val="left" w:pos="1985"/>
        </w:tabs>
        <w:rPr>
          <w:rFonts w:asciiTheme="minorHAnsi" w:eastAsiaTheme="minorEastAsia" w:hAnsiTheme="minorHAnsi" w:cstheme="minorBidi"/>
        </w:rPr>
      </w:pPr>
      <w:r>
        <w:t>5.2.4</w:t>
      </w:r>
      <w:r>
        <w:rPr>
          <w:rFonts w:asciiTheme="minorHAnsi" w:eastAsiaTheme="minorEastAsia" w:hAnsiTheme="minorHAnsi" w:cstheme="minorBidi"/>
        </w:rPr>
        <w:tab/>
      </w:r>
      <w:r>
        <w:t>Option C –Gaming machine revenue based charge</w:t>
      </w:r>
      <w:r>
        <w:tab/>
      </w:r>
      <w:r>
        <w:fldChar w:fldCharType="begin"/>
      </w:r>
      <w:r>
        <w:instrText xml:space="preserve"> PAGEREF _Toc356830868 \h </w:instrText>
      </w:r>
      <w:r>
        <w:fldChar w:fldCharType="separate"/>
      </w:r>
      <w:r w:rsidR="004F14D1">
        <w:t>29</w:t>
      </w:r>
      <w:r>
        <w:fldChar w:fldCharType="end"/>
      </w:r>
    </w:p>
    <w:p w:rsidR="002657AF" w:rsidRDefault="002657AF">
      <w:pPr>
        <w:pStyle w:val="TOC3"/>
        <w:tabs>
          <w:tab w:val="left" w:pos="1985"/>
        </w:tabs>
        <w:rPr>
          <w:rFonts w:asciiTheme="minorHAnsi" w:eastAsiaTheme="minorEastAsia" w:hAnsiTheme="minorHAnsi" w:cstheme="minorBidi"/>
        </w:rPr>
      </w:pPr>
      <w:r>
        <w:t>5.2.5</w:t>
      </w:r>
      <w:r>
        <w:rPr>
          <w:rFonts w:asciiTheme="minorHAnsi" w:eastAsiaTheme="minorEastAsia" w:hAnsiTheme="minorHAnsi" w:cstheme="minorBidi"/>
        </w:rPr>
        <w:tab/>
      </w:r>
      <w:r>
        <w:t>Option D – Fixed fee per entitlement</w:t>
      </w:r>
      <w:r>
        <w:tab/>
      </w:r>
      <w:r>
        <w:fldChar w:fldCharType="begin"/>
      </w:r>
      <w:r>
        <w:instrText xml:space="preserve"> PAGEREF _Toc356830869 \h </w:instrText>
      </w:r>
      <w:r>
        <w:fldChar w:fldCharType="separate"/>
      </w:r>
      <w:r w:rsidR="004F14D1">
        <w:t>30</w:t>
      </w:r>
      <w:r>
        <w:fldChar w:fldCharType="end"/>
      </w:r>
    </w:p>
    <w:p w:rsidR="002657AF" w:rsidRDefault="002657AF">
      <w:pPr>
        <w:pStyle w:val="TOC2"/>
        <w:rPr>
          <w:rFonts w:asciiTheme="minorHAnsi" w:eastAsiaTheme="minorEastAsia" w:hAnsiTheme="minorHAnsi" w:cstheme="minorBidi"/>
          <w:color w:val="auto"/>
        </w:rPr>
      </w:pPr>
      <w:r>
        <w:t>5.3</w:t>
      </w:r>
      <w:r>
        <w:rPr>
          <w:rFonts w:asciiTheme="minorHAnsi" w:eastAsiaTheme="minorEastAsia" w:hAnsiTheme="minorHAnsi" w:cstheme="minorBidi"/>
          <w:color w:val="auto"/>
        </w:rPr>
        <w:tab/>
      </w:r>
      <w:r>
        <w:t>Financial impact of options</w:t>
      </w:r>
      <w:r>
        <w:tab/>
      </w:r>
      <w:r>
        <w:fldChar w:fldCharType="begin"/>
      </w:r>
      <w:r>
        <w:instrText xml:space="preserve"> PAGEREF _Toc356830870 \h </w:instrText>
      </w:r>
      <w:r>
        <w:fldChar w:fldCharType="separate"/>
      </w:r>
      <w:r w:rsidR="004F14D1">
        <w:t>31</w:t>
      </w:r>
      <w:r>
        <w:fldChar w:fldCharType="end"/>
      </w:r>
    </w:p>
    <w:p w:rsidR="002657AF" w:rsidRDefault="002657AF">
      <w:pPr>
        <w:pStyle w:val="TOC2"/>
        <w:rPr>
          <w:rFonts w:asciiTheme="minorHAnsi" w:eastAsiaTheme="minorEastAsia" w:hAnsiTheme="minorHAnsi" w:cstheme="minorBidi"/>
          <w:color w:val="auto"/>
        </w:rPr>
      </w:pPr>
      <w:r>
        <w:t>5.4</w:t>
      </w:r>
      <w:r>
        <w:rPr>
          <w:rFonts w:asciiTheme="minorHAnsi" w:eastAsiaTheme="minorEastAsia" w:hAnsiTheme="minorHAnsi" w:cstheme="minorBidi"/>
          <w:color w:val="auto"/>
        </w:rPr>
        <w:tab/>
      </w:r>
      <w:r>
        <w:t>Other options considered</w:t>
      </w:r>
      <w:r>
        <w:tab/>
      </w:r>
      <w:r>
        <w:fldChar w:fldCharType="begin"/>
      </w:r>
      <w:r>
        <w:instrText xml:space="preserve"> PAGEREF _Toc356830871 \h </w:instrText>
      </w:r>
      <w:r>
        <w:fldChar w:fldCharType="separate"/>
      </w:r>
      <w:r w:rsidR="004F14D1">
        <w:t>33</w:t>
      </w:r>
      <w:r>
        <w:fldChar w:fldCharType="end"/>
      </w:r>
    </w:p>
    <w:p w:rsidR="002657AF" w:rsidRDefault="002657AF">
      <w:pPr>
        <w:pStyle w:val="TOC2"/>
        <w:rPr>
          <w:rFonts w:asciiTheme="minorHAnsi" w:eastAsiaTheme="minorEastAsia" w:hAnsiTheme="minorHAnsi" w:cstheme="minorBidi"/>
          <w:color w:val="auto"/>
        </w:rPr>
      </w:pPr>
      <w:r>
        <w:t>5.5</w:t>
      </w:r>
      <w:r>
        <w:rPr>
          <w:rFonts w:asciiTheme="minorHAnsi" w:eastAsiaTheme="minorEastAsia" w:hAnsiTheme="minorHAnsi" w:cstheme="minorBidi"/>
          <w:color w:val="auto"/>
        </w:rPr>
        <w:tab/>
      </w:r>
      <w:r>
        <w:t>Implementing the supervision charge</w:t>
      </w:r>
      <w:r>
        <w:tab/>
      </w:r>
      <w:r>
        <w:fldChar w:fldCharType="begin"/>
      </w:r>
      <w:r>
        <w:instrText xml:space="preserve"> PAGEREF _Toc356830872 \h </w:instrText>
      </w:r>
      <w:r>
        <w:fldChar w:fldCharType="separate"/>
      </w:r>
      <w:r w:rsidR="004F14D1">
        <w:t>34</w:t>
      </w:r>
      <w:r>
        <w:fldChar w:fldCharType="end"/>
      </w:r>
    </w:p>
    <w:p w:rsidR="002657AF" w:rsidRDefault="002657AF">
      <w:pPr>
        <w:pStyle w:val="TOC1"/>
        <w:rPr>
          <w:rFonts w:asciiTheme="minorHAnsi" w:eastAsiaTheme="minorEastAsia" w:hAnsiTheme="minorHAnsi" w:cstheme="minorBidi"/>
          <w:color w:val="auto"/>
          <w:sz w:val="22"/>
          <w:szCs w:val="22"/>
        </w:rPr>
      </w:pPr>
      <w:r>
        <w:t>6.</w:t>
      </w:r>
      <w:r>
        <w:rPr>
          <w:rFonts w:asciiTheme="minorHAnsi" w:eastAsiaTheme="minorEastAsia" w:hAnsiTheme="minorHAnsi" w:cstheme="minorBidi"/>
          <w:color w:val="auto"/>
          <w:sz w:val="22"/>
          <w:szCs w:val="22"/>
        </w:rPr>
        <w:tab/>
      </w:r>
      <w:r>
        <w:t>Comparative analysis and assessment of options</w:t>
      </w:r>
      <w:r>
        <w:tab/>
      </w:r>
      <w:r>
        <w:fldChar w:fldCharType="begin"/>
      </w:r>
      <w:r>
        <w:instrText xml:space="preserve"> PAGEREF _Toc356830873 \h </w:instrText>
      </w:r>
      <w:r>
        <w:fldChar w:fldCharType="separate"/>
      </w:r>
      <w:r w:rsidR="004F14D1">
        <w:t>36</w:t>
      </w:r>
      <w:r>
        <w:fldChar w:fldCharType="end"/>
      </w:r>
    </w:p>
    <w:p w:rsidR="002657AF" w:rsidRDefault="002657AF">
      <w:pPr>
        <w:pStyle w:val="TOC2"/>
        <w:rPr>
          <w:rFonts w:asciiTheme="minorHAnsi" w:eastAsiaTheme="minorEastAsia" w:hAnsiTheme="minorHAnsi" w:cstheme="minorBidi"/>
          <w:color w:val="auto"/>
        </w:rPr>
      </w:pPr>
      <w:r>
        <w:t>6.1</w:t>
      </w:r>
      <w:r>
        <w:rPr>
          <w:rFonts w:asciiTheme="minorHAnsi" w:eastAsiaTheme="minorEastAsia" w:hAnsiTheme="minorHAnsi" w:cstheme="minorBidi"/>
          <w:color w:val="auto"/>
        </w:rPr>
        <w:tab/>
      </w:r>
      <w:r>
        <w:t>Methodology</w:t>
      </w:r>
      <w:r>
        <w:tab/>
      </w:r>
      <w:r>
        <w:fldChar w:fldCharType="begin"/>
      </w:r>
      <w:r>
        <w:instrText xml:space="preserve"> PAGEREF _Toc356830874 \h </w:instrText>
      </w:r>
      <w:r>
        <w:fldChar w:fldCharType="separate"/>
      </w:r>
      <w:r w:rsidR="004F14D1">
        <w:t>36</w:t>
      </w:r>
      <w:r>
        <w:fldChar w:fldCharType="end"/>
      </w:r>
    </w:p>
    <w:p w:rsidR="002657AF" w:rsidRDefault="002657AF">
      <w:pPr>
        <w:pStyle w:val="TOC3"/>
        <w:tabs>
          <w:tab w:val="left" w:pos="1985"/>
        </w:tabs>
        <w:rPr>
          <w:rFonts w:asciiTheme="minorHAnsi" w:eastAsiaTheme="minorEastAsia" w:hAnsiTheme="minorHAnsi" w:cstheme="minorBidi"/>
        </w:rPr>
      </w:pPr>
      <w:r>
        <w:t>6.1.1</w:t>
      </w:r>
      <w:r>
        <w:rPr>
          <w:rFonts w:asciiTheme="minorHAnsi" w:eastAsiaTheme="minorEastAsia" w:hAnsiTheme="minorHAnsi" w:cstheme="minorBidi"/>
        </w:rPr>
        <w:tab/>
      </w:r>
      <w:r>
        <w:t>Multi-criteria analysis</w:t>
      </w:r>
      <w:r>
        <w:tab/>
      </w:r>
      <w:r>
        <w:fldChar w:fldCharType="begin"/>
      </w:r>
      <w:r>
        <w:instrText xml:space="preserve"> PAGEREF _Toc356830875 \h </w:instrText>
      </w:r>
      <w:r>
        <w:fldChar w:fldCharType="separate"/>
      </w:r>
      <w:r w:rsidR="004F14D1">
        <w:t>36</w:t>
      </w:r>
      <w:r>
        <w:fldChar w:fldCharType="end"/>
      </w:r>
    </w:p>
    <w:p w:rsidR="002657AF" w:rsidRDefault="002657AF">
      <w:pPr>
        <w:pStyle w:val="TOC3"/>
        <w:tabs>
          <w:tab w:val="left" w:pos="1985"/>
        </w:tabs>
        <w:rPr>
          <w:rFonts w:asciiTheme="minorHAnsi" w:eastAsiaTheme="minorEastAsia" w:hAnsiTheme="minorHAnsi" w:cstheme="minorBidi"/>
        </w:rPr>
      </w:pPr>
      <w:r>
        <w:t>6.1.2</w:t>
      </w:r>
      <w:r>
        <w:rPr>
          <w:rFonts w:asciiTheme="minorHAnsi" w:eastAsiaTheme="minorEastAsia" w:hAnsiTheme="minorHAnsi" w:cstheme="minorBidi"/>
        </w:rPr>
        <w:tab/>
      </w:r>
      <w:r>
        <w:t>Assessment criteria</w:t>
      </w:r>
      <w:r>
        <w:tab/>
      </w:r>
      <w:r>
        <w:fldChar w:fldCharType="begin"/>
      </w:r>
      <w:r>
        <w:instrText xml:space="preserve"> PAGEREF _Toc356830876 \h </w:instrText>
      </w:r>
      <w:r>
        <w:fldChar w:fldCharType="separate"/>
      </w:r>
      <w:r w:rsidR="004F14D1">
        <w:t>37</w:t>
      </w:r>
      <w:r>
        <w:fldChar w:fldCharType="end"/>
      </w:r>
    </w:p>
    <w:p w:rsidR="002657AF" w:rsidRDefault="002657AF">
      <w:pPr>
        <w:pStyle w:val="TOC2"/>
        <w:rPr>
          <w:rFonts w:asciiTheme="minorHAnsi" w:eastAsiaTheme="minorEastAsia" w:hAnsiTheme="minorHAnsi" w:cstheme="minorBidi"/>
          <w:color w:val="auto"/>
        </w:rPr>
      </w:pPr>
      <w:r>
        <w:t>6.2</w:t>
      </w:r>
      <w:r>
        <w:rPr>
          <w:rFonts w:asciiTheme="minorHAnsi" w:eastAsiaTheme="minorEastAsia" w:hAnsiTheme="minorHAnsi" w:cstheme="minorBidi"/>
          <w:color w:val="auto"/>
        </w:rPr>
        <w:tab/>
      </w:r>
      <w:r>
        <w:t>Groups affected</w:t>
      </w:r>
      <w:r>
        <w:tab/>
      </w:r>
      <w:r>
        <w:fldChar w:fldCharType="begin"/>
      </w:r>
      <w:r>
        <w:instrText xml:space="preserve"> PAGEREF _Toc356830877 \h </w:instrText>
      </w:r>
      <w:r>
        <w:fldChar w:fldCharType="separate"/>
      </w:r>
      <w:r w:rsidR="004F14D1">
        <w:t>38</w:t>
      </w:r>
      <w:r>
        <w:fldChar w:fldCharType="end"/>
      </w:r>
    </w:p>
    <w:p w:rsidR="002657AF" w:rsidRDefault="002657AF">
      <w:pPr>
        <w:pStyle w:val="TOC2"/>
        <w:rPr>
          <w:rFonts w:asciiTheme="minorHAnsi" w:eastAsiaTheme="minorEastAsia" w:hAnsiTheme="minorHAnsi" w:cstheme="minorBidi"/>
          <w:color w:val="auto"/>
        </w:rPr>
      </w:pPr>
      <w:r>
        <w:t>6.3</w:t>
      </w:r>
      <w:r>
        <w:rPr>
          <w:rFonts w:asciiTheme="minorHAnsi" w:eastAsiaTheme="minorEastAsia" w:hAnsiTheme="minorHAnsi" w:cstheme="minorBidi"/>
          <w:color w:val="auto"/>
        </w:rPr>
        <w:tab/>
      </w:r>
      <w:r>
        <w:t>Assessment of options</w:t>
      </w:r>
      <w:r>
        <w:tab/>
      </w:r>
      <w:r>
        <w:fldChar w:fldCharType="begin"/>
      </w:r>
      <w:r>
        <w:instrText xml:space="preserve"> PAGEREF _Toc356830878 \h </w:instrText>
      </w:r>
      <w:r>
        <w:fldChar w:fldCharType="separate"/>
      </w:r>
      <w:r w:rsidR="004F14D1">
        <w:t>39</w:t>
      </w:r>
      <w:r>
        <w:fldChar w:fldCharType="end"/>
      </w:r>
    </w:p>
    <w:p w:rsidR="002657AF" w:rsidRDefault="002657AF">
      <w:pPr>
        <w:pStyle w:val="TOC3"/>
        <w:tabs>
          <w:tab w:val="left" w:pos="1985"/>
        </w:tabs>
        <w:rPr>
          <w:rFonts w:asciiTheme="minorHAnsi" w:eastAsiaTheme="minorEastAsia" w:hAnsiTheme="minorHAnsi" w:cstheme="minorBidi"/>
        </w:rPr>
      </w:pPr>
      <w:r>
        <w:t>6.3.1</w:t>
      </w:r>
      <w:r>
        <w:rPr>
          <w:rFonts w:asciiTheme="minorHAnsi" w:eastAsiaTheme="minorEastAsia" w:hAnsiTheme="minorHAnsi" w:cstheme="minorBidi"/>
        </w:rPr>
        <w:tab/>
      </w:r>
      <w:r>
        <w:t>Base case – No supervision charge</w:t>
      </w:r>
      <w:r>
        <w:tab/>
      </w:r>
      <w:r>
        <w:fldChar w:fldCharType="begin"/>
      </w:r>
      <w:r>
        <w:instrText xml:space="preserve"> PAGEREF _Toc356830879 \h </w:instrText>
      </w:r>
      <w:r>
        <w:fldChar w:fldCharType="separate"/>
      </w:r>
      <w:r w:rsidR="004F14D1">
        <w:t>39</w:t>
      </w:r>
      <w:r>
        <w:fldChar w:fldCharType="end"/>
      </w:r>
    </w:p>
    <w:p w:rsidR="002657AF" w:rsidRDefault="002657AF">
      <w:pPr>
        <w:pStyle w:val="TOC3"/>
        <w:tabs>
          <w:tab w:val="left" w:pos="1985"/>
        </w:tabs>
        <w:rPr>
          <w:rFonts w:asciiTheme="minorHAnsi" w:eastAsiaTheme="minorEastAsia" w:hAnsiTheme="minorHAnsi" w:cstheme="minorBidi"/>
        </w:rPr>
      </w:pPr>
      <w:r>
        <w:t>6.3.2</w:t>
      </w:r>
      <w:r>
        <w:rPr>
          <w:rFonts w:asciiTheme="minorHAnsi" w:eastAsiaTheme="minorEastAsia" w:hAnsiTheme="minorHAnsi" w:cstheme="minorBidi"/>
        </w:rPr>
        <w:tab/>
      </w:r>
      <w:r>
        <w:t>Option A – Two tiered charge on entitlements and gaming machines</w:t>
      </w:r>
      <w:r>
        <w:tab/>
      </w:r>
      <w:r>
        <w:fldChar w:fldCharType="begin"/>
      </w:r>
      <w:r>
        <w:instrText xml:space="preserve"> PAGEREF _Toc356830880 \h </w:instrText>
      </w:r>
      <w:r>
        <w:fldChar w:fldCharType="separate"/>
      </w:r>
      <w:r w:rsidR="004F14D1">
        <w:t>40</w:t>
      </w:r>
      <w:r>
        <w:fldChar w:fldCharType="end"/>
      </w:r>
    </w:p>
    <w:p w:rsidR="002657AF" w:rsidRDefault="002657AF">
      <w:pPr>
        <w:pStyle w:val="TOC3"/>
        <w:tabs>
          <w:tab w:val="left" w:pos="1985"/>
        </w:tabs>
        <w:rPr>
          <w:rFonts w:asciiTheme="minorHAnsi" w:eastAsiaTheme="minorEastAsia" w:hAnsiTheme="minorHAnsi" w:cstheme="minorBidi"/>
        </w:rPr>
      </w:pPr>
      <w:r>
        <w:t>6.3.3</w:t>
      </w:r>
      <w:r>
        <w:rPr>
          <w:rFonts w:asciiTheme="minorHAnsi" w:eastAsiaTheme="minorEastAsia" w:hAnsiTheme="minorHAnsi" w:cstheme="minorBidi"/>
        </w:rPr>
        <w:tab/>
      </w:r>
      <w:r>
        <w:t>Option B – Single tiered charge on entitlements</w:t>
      </w:r>
      <w:r>
        <w:tab/>
      </w:r>
      <w:r>
        <w:fldChar w:fldCharType="begin"/>
      </w:r>
      <w:r>
        <w:instrText xml:space="preserve"> PAGEREF _Toc356830881 \h </w:instrText>
      </w:r>
      <w:r>
        <w:fldChar w:fldCharType="separate"/>
      </w:r>
      <w:r w:rsidR="004F14D1">
        <w:t>42</w:t>
      </w:r>
      <w:r>
        <w:fldChar w:fldCharType="end"/>
      </w:r>
    </w:p>
    <w:p w:rsidR="002657AF" w:rsidRDefault="002657AF">
      <w:pPr>
        <w:pStyle w:val="TOC3"/>
        <w:tabs>
          <w:tab w:val="left" w:pos="1985"/>
        </w:tabs>
        <w:rPr>
          <w:rFonts w:asciiTheme="minorHAnsi" w:eastAsiaTheme="minorEastAsia" w:hAnsiTheme="minorHAnsi" w:cstheme="minorBidi"/>
        </w:rPr>
      </w:pPr>
      <w:r>
        <w:t>6.3.4</w:t>
      </w:r>
      <w:r>
        <w:rPr>
          <w:rFonts w:asciiTheme="minorHAnsi" w:eastAsiaTheme="minorEastAsia" w:hAnsiTheme="minorHAnsi" w:cstheme="minorBidi"/>
        </w:rPr>
        <w:tab/>
      </w:r>
      <w:r>
        <w:t>Option C – Gaming machine revenue based charge</w:t>
      </w:r>
      <w:r>
        <w:tab/>
      </w:r>
      <w:r>
        <w:fldChar w:fldCharType="begin"/>
      </w:r>
      <w:r>
        <w:instrText xml:space="preserve"> PAGEREF _Toc356830882 \h </w:instrText>
      </w:r>
      <w:r>
        <w:fldChar w:fldCharType="separate"/>
      </w:r>
      <w:r w:rsidR="004F14D1">
        <w:t>44</w:t>
      </w:r>
      <w:r>
        <w:fldChar w:fldCharType="end"/>
      </w:r>
    </w:p>
    <w:p w:rsidR="002657AF" w:rsidRDefault="002657AF">
      <w:pPr>
        <w:pStyle w:val="TOC3"/>
        <w:tabs>
          <w:tab w:val="left" w:pos="1985"/>
        </w:tabs>
        <w:rPr>
          <w:rFonts w:asciiTheme="minorHAnsi" w:eastAsiaTheme="minorEastAsia" w:hAnsiTheme="minorHAnsi" w:cstheme="minorBidi"/>
        </w:rPr>
      </w:pPr>
      <w:r>
        <w:t>6.3.5</w:t>
      </w:r>
      <w:r>
        <w:rPr>
          <w:rFonts w:asciiTheme="minorHAnsi" w:eastAsiaTheme="minorEastAsia" w:hAnsiTheme="minorHAnsi" w:cstheme="minorBidi"/>
        </w:rPr>
        <w:tab/>
      </w:r>
      <w:r>
        <w:t>Option D – Fixed fee on entitlements</w:t>
      </w:r>
      <w:r>
        <w:tab/>
      </w:r>
      <w:r>
        <w:fldChar w:fldCharType="begin"/>
      </w:r>
      <w:r>
        <w:instrText xml:space="preserve"> PAGEREF _Toc356830883 \h </w:instrText>
      </w:r>
      <w:r>
        <w:fldChar w:fldCharType="separate"/>
      </w:r>
      <w:r w:rsidR="004F14D1">
        <w:t>45</w:t>
      </w:r>
      <w:r>
        <w:fldChar w:fldCharType="end"/>
      </w:r>
    </w:p>
    <w:p w:rsidR="002657AF" w:rsidRDefault="002657AF">
      <w:pPr>
        <w:pStyle w:val="TOC2"/>
        <w:rPr>
          <w:rFonts w:asciiTheme="minorHAnsi" w:eastAsiaTheme="minorEastAsia" w:hAnsiTheme="minorHAnsi" w:cstheme="minorBidi"/>
          <w:color w:val="auto"/>
        </w:rPr>
      </w:pPr>
      <w:r>
        <w:t>6.4</w:t>
      </w:r>
      <w:r>
        <w:rPr>
          <w:rFonts w:asciiTheme="minorHAnsi" w:eastAsiaTheme="minorEastAsia" w:hAnsiTheme="minorHAnsi" w:cstheme="minorBidi"/>
          <w:color w:val="auto"/>
        </w:rPr>
        <w:tab/>
      </w:r>
      <w:r>
        <w:t>Summary of results</w:t>
      </w:r>
      <w:r>
        <w:tab/>
      </w:r>
      <w:r>
        <w:fldChar w:fldCharType="begin"/>
      </w:r>
      <w:r>
        <w:instrText xml:space="preserve"> PAGEREF _Toc356830884 \h </w:instrText>
      </w:r>
      <w:r>
        <w:fldChar w:fldCharType="separate"/>
      </w:r>
      <w:r w:rsidR="004F14D1">
        <w:t>46</w:t>
      </w:r>
      <w:r>
        <w:fldChar w:fldCharType="end"/>
      </w:r>
    </w:p>
    <w:p w:rsidR="002657AF" w:rsidRDefault="002657AF">
      <w:pPr>
        <w:pStyle w:val="TOC1"/>
        <w:rPr>
          <w:rFonts w:asciiTheme="minorHAnsi" w:eastAsiaTheme="minorEastAsia" w:hAnsiTheme="minorHAnsi" w:cstheme="minorBidi"/>
          <w:color w:val="auto"/>
          <w:sz w:val="22"/>
          <w:szCs w:val="22"/>
        </w:rPr>
      </w:pPr>
      <w:r>
        <w:t>7.</w:t>
      </w:r>
      <w:r>
        <w:rPr>
          <w:rFonts w:asciiTheme="minorHAnsi" w:eastAsiaTheme="minorEastAsia" w:hAnsiTheme="minorHAnsi" w:cstheme="minorBidi"/>
          <w:color w:val="auto"/>
          <w:sz w:val="22"/>
          <w:szCs w:val="22"/>
        </w:rPr>
        <w:tab/>
      </w:r>
      <w:r>
        <w:t>Statement of compliance with National Competition Policy</w:t>
      </w:r>
      <w:r>
        <w:tab/>
      </w:r>
      <w:r>
        <w:fldChar w:fldCharType="begin"/>
      </w:r>
      <w:r>
        <w:instrText xml:space="preserve"> PAGEREF _Toc356830885 \h </w:instrText>
      </w:r>
      <w:r>
        <w:fldChar w:fldCharType="separate"/>
      </w:r>
      <w:r w:rsidR="004F14D1">
        <w:t>47</w:t>
      </w:r>
      <w:r>
        <w:fldChar w:fldCharType="end"/>
      </w:r>
    </w:p>
    <w:p w:rsidR="002657AF" w:rsidRDefault="002657AF">
      <w:pPr>
        <w:pStyle w:val="TOC1"/>
        <w:rPr>
          <w:rFonts w:asciiTheme="minorHAnsi" w:eastAsiaTheme="minorEastAsia" w:hAnsiTheme="minorHAnsi" w:cstheme="minorBidi"/>
          <w:color w:val="auto"/>
          <w:sz w:val="22"/>
          <w:szCs w:val="22"/>
        </w:rPr>
      </w:pPr>
      <w:r>
        <w:t>8.</w:t>
      </w:r>
      <w:r>
        <w:rPr>
          <w:rFonts w:asciiTheme="minorHAnsi" w:eastAsiaTheme="minorEastAsia" w:hAnsiTheme="minorHAnsi" w:cstheme="minorBidi"/>
          <w:color w:val="auto"/>
          <w:sz w:val="22"/>
          <w:szCs w:val="22"/>
        </w:rPr>
        <w:tab/>
      </w:r>
      <w:r>
        <w:t>Enforcement and evaluation</w:t>
      </w:r>
      <w:r>
        <w:tab/>
      </w:r>
      <w:r>
        <w:fldChar w:fldCharType="begin"/>
      </w:r>
      <w:r>
        <w:instrText xml:space="preserve"> PAGEREF _Toc356830886 \h </w:instrText>
      </w:r>
      <w:r>
        <w:fldChar w:fldCharType="separate"/>
      </w:r>
      <w:r w:rsidR="004F14D1">
        <w:t>49</w:t>
      </w:r>
      <w:r>
        <w:fldChar w:fldCharType="end"/>
      </w:r>
    </w:p>
    <w:p w:rsidR="002657AF" w:rsidRDefault="002657AF">
      <w:pPr>
        <w:pStyle w:val="TOC2"/>
        <w:rPr>
          <w:rFonts w:asciiTheme="minorHAnsi" w:eastAsiaTheme="minorEastAsia" w:hAnsiTheme="minorHAnsi" w:cstheme="minorBidi"/>
          <w:color w:val="auto"/>
        </w:rPr>
      </w:pPr>
      <w:r>
        <w:t>8.1</w:t>
      </w:r>
      <w:r>
        <w:rPr>
          <w:rFonts w:asciiTheme="minorHAnsi" w:eastAsiaTheme="minorEastAsia" w:hAnsiTheme="minorHAnsi" w:cstheme="minorBidi"/>
          <w:color w:val="auto"/>
        </w:rPr>
        <w:tab/>
      </w:r>
      <w:r>
        <w:t>Enforcement mechanisms</w:t>
      </w:r>
      <w:r>
        <w:tab/>
      </w:r>
      <w:r>
        <w:fldChar w:fldCharType="begin"/>
      </w:r>
      <w:r>
        <w:instrText xml:space="preserve"> PAGEREF _Toc356830887 \h </w:instrText>
      </w:r>
      <w:r>
        <w:fldChar w:fldCharType="separate"/>
      </w:r>
      <w:r w:rsidR="004F14D1">
        <w:t>49</w:t>
      </w:r>
      <w:r>
        <w:fldChar w:fldCharType="end"/>
      </w:r>
    </w:p>
    <w:p w:rsidR="002657AF" w:rsidRDefault="002657AF">
      <w:pPr>
        <w:pStyle w:val="TOC2"/>
        <w:rPr>
          <w:rFonts w:asciiTheme="minorHAnsi" w:eastAsiaTheme="minorEastAsia" w:hAnsiTheme="minorHAnsi" w:cstheme="minorBidi"/>
          <w:color w:val="auto"/>
        </w:rPr>
      </w:pPr>
      <w:r>
        <w:t>8.2</w:t>
      </w:r>
      <w:r>
        <w:rPr>
          <w:rFonts w:asciiTheme="minorHAnsi" w:eastAsiaTheme="minorEastAsia" w:hAnsiTheme="minorHAnsi" w:cstheme="minorBidi"/>
          <w:color w:val="auto"/>
        </w:rPr>
        <w:tab/>
      </w:r>
      <w:r>
        <w:t>Evaluating the 2012-13 supervision charge</w:t>
      </w:r>
      <w:r>
        <w:tab/>
      </w:r>
      <w:r>
        <w:fldChar w:fldCharType="begin"/>
      </w:r>
      <w:r>
        <w:instrText xml:space="preserve"> PAGEREF _Toc356830888 \h </w:instrText>
      </w:r>
      <w:r>
        <w:fldChar w:fldCharType="separate"/>
      </w:r>
      <w:r w:rsidR="004F14D1">
        <w:t>49</w:t>
      </w:r>
      <w:r>
        <w:fldChar w:fldCharType="end"/>
      </w:r>
    </w:p>
    <w:p w:rsidR="002657AF" w:rsidRDefault="002657AF">
      <w:pPr>
        <w:pStyle w:val="TOC1"/>
        <w:rPr>
          <w:rFonts w:asciiTheme="minorHAnsi" w:eastAsiaTheme="minorEastAsia" w:hAnsiTheme="minorHAnsi" w:cstheme="minorBidi"/>
          <w:color w:val="auto"/>
          <w:sz w:val="22"/>
          <w:szCs w:val="22"/>
        </w:rPr>
      </w:pPr>
      <w:r>
        <w:t>9.</w:t>
      </w:r>
      <w:r>
        <w:rPr>
          <w:rFonts w:asciiTheme="minorHAnsi" w:eastAsiaTheme="minorEastAsia" w:hAnsiTheme="minorHAnsi" w:cstheme="minorBidi"/>
          <w:color w:val="auto"/>
          <w:sz w:val="22"/>
          <w:szCs w:val="22"/>
        </w:rPr>
        <w:tab/>
      </w:r>
      <w:r>
        <w:t>Consultation</w:t>
      </w:r>
      <w:r>
        <w:tab/>
      </w:r>
      <w:r>
        <w:fldChar w:fldCharType="begin"/>
      </w:r>
      <w:r>
        <w:instrText xml:space="preserve"> PAGEREF _Toc356830889 \h </w:instrText>
      </w:r>
      <w:r>
        <w:fldChar w:fldCharType="separate"/>
      </w:r>
      <w:r w:rsidR="004F14D1">
        <w:t>51</w:t>
      </w:r>
      <w:r>
        <w:fldChar w:fldCharType="end"/>
      </w:r>
    </w:p>
    <w:p w:rsidR="002657AF" w:rsidRDefault="002657AF">
      <w:pPr>
        <w:pStyle w:val="TOC1"/>
        <w:rPr>
          <w:rFonts w:asciiTheme="minorHAnsi" w:eastAsiaTheme="minorEastAsia" w:hAnsiTheme="minorHAnsi" w:cstheme="minorBidi"/>
          <w:color w:val="auto"/>
          <w:sz w:val="22"/>
          <w:szCs w:val="22"/>
        </w:rPr>
      </w:pPr>
      <w:r>
        <w:t>Appendix 1: Notice to make a legislative instrument</w:t>
      </w:r>
      <w:r>
        <w:tab/>
      </w:r>
      <w:r>
        <w:fldChar w:fldCharType="begin"/>
      </w:r>
      <w:r>
        <w:instrText xml:space="preserve"> PAGEREF _Toc356830890 \h </w:instrText>
      </w:r>
      <w:r>
        <w:fldChar w:fldCharType="separate"/>
      </w:r>
      <w:r w:rsidR="004F14D1">
        <w:t>52</w:t>
      </w:r>
      <w:r>
        <w:fldChar w:fldCharType="end"/>
      </w:r>
    </w:p>
    <w:p w:rsidR="002657AF" w:rsidRDefault="002657AF">
      <w:pPr>
        <w:pStyle w:val="TOC1"/>
        <w:rPr>
          <w:rFonts w:asciiTheme="minorHAnsi" w:eastAsiaTheme="minorEastAsia" w:hAnsiTheme="minorHAnsi" w:cstheme="minorBidi"/>
          <w:color w:val="auto"/>
          <w:sz w:val="22"/>
          <w:szCs w:val="22"/>
        </w:rPr>
      </w:pPr>
      <w:r>
        <w:t>Appendix 2: Functions of the VCGLR</w:t>
      </w:r>
      <w:r>
        <w:tab/>
      </w:r>
      <w:r>
        <w:fldChar w:fldCharType="begin"/>
      </w:r>
      <w:r>
        <w:instrText xml:space="preserve"> PAGEREF _Toc356830891 \h </w:instrText>
      </w:r>
      <w:r>
        <w:fldChar w:fldCharType="separate"/>
      </w:r>
      <w:r w:rsidR="004F14D1">
        <w:t>53</w:t>
      </w:r>
      <w:r>
        <w:fldChar w:fldCharType="end"/>
      </w:r>
    </w:p>
    <w:p w:rsidR="002657AF" w:rsidRDefault="002657AF">
      <w:pPr>
        <w:pStyle w:val="TOC1"/>
        <w:rPr>
          <w:rFonts w:asciiTheme="minorHAnsi" w:eastAsiaTheme="minorEastAsia" w:hAnsiTheme="minorHAnsi" w:cstheme="minorBidi"/>
          <w:color w:val="auto"/>
          <w:sz w:val="22"/>
          <w:szCs w:val="22"/>
        </w:rPr>
      </w:pPr>
      <w:r>
        <w:t>Appendix 3:  Pro-rata of supervision charge payable</w:t>
      </w:r>
      <w:r>
        <w:tab/>
      </w:r>
      <w:r>
        <w:fldChar w:fldCharType="begin"/>
      </w:r>
      <w:r>
        <w:instrText xml:space="preserve"> PAGEREF _Toc356830892 \h </w:instrText>
      </w:r>
      <w:r>
        <w:fldChar w:fldCharType="separate"/>
      </w:r>
      <w:r w:rsidR="004F14D1">
        <w:t>55</w:t>
      </w:r>
      <w:r>
        <w:fldChar w:fldCharType="end"/>
      </w:r>
    </w:p>
    <w:p w:rsidR="002657AF" w:rsidRDefault="002657AF">
      <w:pPr>
        <w:pStyle w:val="TOC1"/>
        <w:rPr>
          <w:rFonts w:asciiTheme="minorHAnsi" w:eastAsiaTheme="minorEastAsia" w:hAnsiTheme="minorHAnsi" w:cstheme="minorBidi"/>
          <w:color w:val="auto"/>
          <w:sz w:val="22"/>
          <w:szCs w:val="22"/>
        </w:rPr>
      </w:pPr>
      <w:r>
        <w:t>References</w:t>
      </w:r>
      <w:r>
        <w:tab/>
      </w:r>
      <w:r>
        <w:fldChar w:fldCharType="begin"/>
      </w:r>
      <w:r>
        <w:instrText xml:space="preserve"> PAGEREF _Toc356830893 \h </w:instrText>
      </w:r>
      <w:r>
        <w:fldChar w:fldCharType="separate"/>
      </w:r>
      <w:r w:rsidR="004F14D1">
        <w:t>57</w:t>
      </w:r>
      <w:r>
        <w:fldChar w:fldCharType="end"/>
      </w:r>
    </w:p>
    <w:p w:rsidR="000319EF" w:rsidRDefault="000319EF" w:rsidP="0078188C">
      <w:pPr>
        <w:rPr>
          <w:lang w:eastAsia="en-US"/>
        </w:rPr>
        <w:sectPr w:rsidR="000319EF" w:rsidSect="0085041F">
          <w:headerReference w:type="even" r:id="rId14"/>
          <w:headerReference w:type="default" r:id="rId15"/>
          <w:footerReference w:type="even" r:id="rId16"/>
          <w:footerReference w:type="default" r:id="rId17"/>
          <w:headerReference w:type="first" r:id="rId18"/>
          <w:type w:val="oddPage"/>
          <w:pgSz w:w="11907" w:h="16840" w:code="9"/>
          <w:pgMar w:top="1584" w:right="1411" w:bottom="1138" w:left="1411" w:header="461" w:footer="288" w:gutter="0"/>
          <w:pgNumType w:fmt="lowerRoman" w:start="1"/>
          <w:cols w:space="708"/>
          <w:docGrid w:linePitch="360"/>
        </w:sectPr>
      </w:pPr>
      <w:r w:rsidRPr="0078188C">
        <w:rPr>
          <w:lang w:eastAsia="en-US"/>
        </w:rPr>
        <w:fldChar w:fldCharType="end"/>
      </w:r>
    </w:p>
    <w:p w:rsidR="005C412B" w:rsidRDefault="005C412B" w:rsidP="00D80F64">
      <w:pPr>
        <w:pStyle w:val="Heading1"/>
        <w:numPr>
          <w:ilvl w:val="0"/>
          <w:numId w:val="0"/>
        </w:numPr>
        <w:spacing w:after="1080"/>
      </w:pPr>
      <w:bookmarkStart w:id="1" w:name="_Toc356830843"/>
      <w:r>
        <w:t>Summary</w:t>
      </w:r>
      <w:bookmarkEnd w:id="1"/>
    </w:p>
    <w:p w:rsidR="006F596F" w:rsidRPr="00CD6FA1" w:rsidRDefault="006F596F" w:rsidP="00F50D14">
      <w:pPr>
        <w:spacing w:before="200" w:after="200"/>
      </w:pPr>
      <w:r w:rsidRPr="000C3DED">
        <w:t xml:space="preserve">In Victoria, gaming machines are principally regulated under the </w:t>
      </w:r>
      <w:r w:rsidRPr="000C3DED">
        <w:rPr>
          <w:i/>
        </w:rPr>
        <w:t>Gambling Regulation Act 2003</w:t>
      </w:r>
      <w:r w:rsidRPr="000C3DED">
        <w:t xml:space="preserve"> (GRA). </w:t>
      </w:r>
      <w:r>
        <w:t>These</w:t>
      </w:r>
      <w:r w:rsidRPr="00CD6FA1">
        <w:t xml:space="preserve"> regulations primarily aim to reduce problem gambling, prevent criminal influence/exploitation and maintain the integrity of gaming machines so that they are fair to players.</w:t>
      </w:r>
    </w:p>
    <w:p w:rsidR="006F596F" w:rsidRDefault="006F596F" w:rsidP="00F50D14">
      <w:pPr>
        <w:spacing w:before="200" w:after="200"/>
      </w:pPr>
      <w:r w:rsidRPr="000C3DED">
        <w:t>The Victorian Commission for Gambling and Liquor Regulation (VCGLR</w:t>
      </w:r>
      <w:r>
        <w:t xml:space="preserve">) </w:t>
      </w:r>
      <w:r w:rsidRPr="000C3DED">
        <w:t>administers the regulatory requirem</w:t>
      </w:r>
      <w:r>
        <w:t xml:space="preserve">ents under the GRA. The </w:t>
      </w:r>
      <w:r w:rsidR="00050023">
        <w:t xml:space="preserve">VCGLR </w:t>
      </w:r>
      <w:r w:rsidR="00050023" w:rsidRPr="00050023">
        <w:t>monitors compliance with the State’s gaming machine laws to ensure the integrity of the gaming machine industry in Victoria.</w:t>
      </w:r>
    </w:p>
    <w:p w:rsidR="00F96194" w:rsidRDefault="006F596F" w:rsidP="00F96194">
      <w:pPr>
        <w:spacing w:before="240" w:after="0"/>
      </w:pPr>
      <w:r w:rsidRPr="00CD6FA1">
        <w:t xml:space="preserve">The VCGLR incurs costs as it deploys resources to fulfil its regulatory responsibilities. </w:t>
      </w:r>
      <w:r w:rsidR="004D16D4">
        <w:t>Venue o</w:t>
      </w:r>
      <w:r w:rsidRPr="000C3DED">
        <w:t>perators who</w:t>
      </w:r>
      <w:r>
        <w:t xml:space="preserve"> own gaming entitlements and</w:t>
      </w:r>
      <w:r w:rsidRPr="000C3DED">
        <w:t xml:space="preserve"> operate gaming machines are required to pay </w:t>
      </w:r>
      <w:r>
        <w:t>a</w:t>
      </w:r>
      <w:r w:rsidRPr="000C3DED">
        <w:t xml:space="preserve"> supervision charge</w:t>
      </w:r>
      <w:r>
        <w:t xml:space="preserve"> every year</w:t>
      </w:r>
      <w:r w:rsidRPr="000C3DED">
        <w:t xml:space="preserve"> </w:t>
      </w:r>
      <w:r>
        <w:t>to recover such costs</w:t>
      </w:r>
      <w:r w:rsidRPr="000C3DED">
        <w:t xml:space="preserve">. </w:t>
      </w:r>
    </w:p>
    <w:p w:rsidR="00F96194" w:rsidRDefault="006F596F" w:rsidP="00F96194">
      <w:pPr>
        <w:spacing w:before="240" w:after="0"/>
      </w:pPr>
      <w:r w:rsidRPr="00130AEA">
        <w:t xml:space="preserve">The VCGLR’s total net gaming related regulatory costs for 2012-13 are </w:t>
      </w:r>
      <w:r>
        <w:t>estimat</w:t>
      </w:r>
      <w:r w:rsidRPr="00130AEA">
        <w:t>ed to be $5.3</w:t>
      </w:r>
      <w:r>
        <w:t> </w:t>
      </w:r>
      <w:r w:rsidRPr="00130AEA">
        <w:t>million</w:t>
      </w:r>
      <w:r>
        <w:t xml:space="preserve"> – this </w:t>
      </w:r>
      <w:r w:rsidR="00F50D14">
        <w:t xml:space="preserve">is likely to </w:t>
      </w:r>
      <w:r>
        <w:t>form the basis of the total amount to be collected from the supervision charge in 2012-13</w:t>
      </w:r>
      <w:r w:rsidRPr="00130AEA">
        <w:t xml:space="preserve">. </w:t>
      </w:r>
      <w:r w:rsidR="00F50D14">
        <w:t xml:space="preserve">This amount </w:t>
      </w:r>
      <w:r w:rsidR="00F50D14" w:rsidRPr="00F50D14">
        <w:t>is relatively small compared to to</w:t>
      </w:r>
      <w:r w:rsidR="00C55E58">
        <w:t>tal Victorian gaming machine</w:t>
      </w:r>
      <w:r w:rsidR="00F50D14" w:rsidRPr="00F50D14">
        <w:t xml:space="preserve"> revenue of almost $2.7 billion and </w:t>
      </w:r>
      <w:r w:rsidR="00887FE5">
        <w:t>gaming machine</w:t>
      </w:r>
      <w:r w:rsidR="00F50D14" w:rsidRPr="00F50D14">
        <w:t xml:space="preserve"> tax revenue of over $1</w:t>
      </w:r>
      <w:r w:rsidR="00E652A0">
        <w:t>.1</w:t>
      </w:r>
      <w:r w:rsidR="00F50D14" w:rsidRPr="00F50D14">
        <w:t xml:space="preserve"> billion </w:t>
      </w:r>
      <w:r w:rsidR="00E652A0">
        <w:t>in 2012-13</w:t>
      </w:r>
      <w:r w:rsidR="00F50D14" w:rsidRPr="00F50D14">
        <w:t xml:space="preserve"> respectively</w:t>
      </w:r>
      <w:r w:rsidR="00F50D14">
        <w:t>.</w:t>
      </w:r>
      <w:r w:rsidR="00F96194">
        <w:t xml:space="preserve"> The estimate</w:t>
      </w:r>
      <w:r w:rsidRPr="00130AEA">
        <w:t xml:space="preserve"> cover</w:t>
      </w:r>
      <w:r w:rsidR="00F96194">
        <w:t>s</w:t>
      </w:r>
      <w:r w:rsidRPr="00130AEA">
        <w:t xml:space="preserve"> 10.5 months of 2012-13 because </w:t>
      </w:r>
      <w:r w:rsidR="00F96194">
        <w:t>it</w:t>
      </w:r>
      <w:r w:rsidRPr="00130AEA">
        <w:t xml:space="preserve"> only include</w:t>
      </w:r>
      <w:r w:rsidR="00F96194">
        <w:t>s</w:t>
      </w:r>
      <w:r w:rsidRPr="00130AEA">
        <w:t xml:space="preserve"> regulatory costs incurred since venue operator licences </w:t>
      </w:r>
      <w:r>
        <w:t xml:space="preserve">commenced from 16 August 2012. </w:t>
      </w:r>
    </w:p>
    <w:p w:rsidR="006F596F" w:rsidRDefault="006F596F" w:rsidP="00F96194">
      <w:pPr>
        <w:spacing w:before="240" w:after="0"/>
      </w:pPr>
      <w:r w:rsidRPr="00130AEA">
        <w:t xml:space="preserve">In real terms, the VCGLR’s gaming related regulatory costs have declined by </w:t>
      </w:r>
      <w:r w:rsidR="00D80F64">
        <w:t xml:space="preserve">an annual average rate of </w:t>
      </w:r>
      <w:r w:rsidR="0075295F">
        <w:t>3.</w:t>
      </w:r>
      <w:r w:rsidR="00F96194">
        <w:t>5</w:t>
      </w:r>
      <w:r w:rsidRPr="00130AEA">
        <w:t> per cent over the last 13 years; from $33</w:t>
      </w:r>
      <w:r w:rsidR="00F96194">
        <w:t>1</w:t>
      </w:r>
      <w:r w:rsidRPr="00130AEA">
        <w:t xml:space="preserve"> per machine in 2000-01 to $216 pe</w:t>
      </w:r>
      <w:r w:rsidR="001276AE">
        <w:t>r gaming entitlement in 2012</w:t>
      </w:r>
      <w:r w:rsidR="001276AE">
        <w:noBreakHyphen/>
        <w:t>13</w:t>
      </w:r>
      <w:r w:rsidR="00F96194">
        <w:t xml:space="preserve"> (2013 Prices)</w:t>
      </w:r>
      <w:r w:rsidR="001276AE">
        <w:t>.</w:t>
      </w:r>
    </w:p>
    <w:p w:rsidR="0079746B" w:rsidRDefault="006F596F" w:rsidP="00F50D14">
      <w:pPr>
        <w:spacing w:before="200" w:after="200"/>
      </w:pPr>
      <w:r w:rsidRPr="000C3DED">
        <w:t xml:space="preserve">Over the coming months, the </w:t>
      </w:r>
      <w:r>
        <w:t xml:space="preserve">Treasurer will determine the </w:t>
      </w:r>
      <w:r w:rsidRPr="000C3DED">
        <w:t>supervision char</w:t>
      </w:r>
      <w:r w:rsidR="0075295F">
        <w:t>ge for the 2012</w:t>
      </w:r>
      <w:r w:rsidR="0075295F">
        <w:noBreakHyphen/>
      </w:r>
      <w:r w:rsidR="004D16D4">
        <w:t>13 year. Venue o</w:t>
      </w:r>
      <w:r w:rsidRPr="000C3DED">
        <w:t xml:space="preserve">perators will be paying the supervision charge for the first time. </w:t>
      </w:r>
    </w:p>
    <w:p w:rsidR="006F596F" w:rsidRPr="000C3DED" w:rsidRDefault="002526AB" w:rsidP="00F50D14">
      <w:pPr>
        <w:spacing w:before="200" w:after="200"/>
      </w:pPr>
      <w:r>
        <w:t>This Regulatory Impact Statement</w:t>
      </w:r>
      <w:r w:rsidR="00C46DDC">
        <w:t xml:space="preserve"> (RIS)</w:t>
      </w:r>
      <w:r>
        <w:t xml:space="preserve"> </w:t>
      </w:r>
      <w:r w:rsidRPr="000C3DED">
        <w:t>formally assess</w:t>
      </w:r>
      <w:r>
        <w:t>es</w:t>
      </w:r>
      <w:r w:rsidRPr="000C3DED">
        <w:t xml:space="preserve"> the options available for recovering </w:t>
      </w:r>
      <w:r>
        <w:t xml:space="preserve">the </w:t>
      </w:r>
      <w:r w:rsidRPr="000C3DED">
        <w:t xml:space="preserve">VCGLR’s </w:t>
      </w:r>
      <w:r>
        <w:t xml:space="preserve">2012-13 </w:t>
      </w:r>
      <w:r w:rsidRPr="000C3DED">
        <w:t>costs through the supervision charge.</w:t>
      </w:r>
    </w:p>
    <w:p w:rsidR="006F596F" w:rsidRPr="00CD6FA1" w:rsidRDefault="006F596F" w:rsidP="006F596F">
      <w:pPr>
        <w:spacing w:before="240" w:after="0"/>
        <w:contextualSpacing/>
      </w:pPr>
      <w:r w:rsidRPr="00CD6FA1">
        <w:t>There is a strong case for using the supervision charge to fully recover</w:t>
      </w:r>
      <w:r w:rsidR="00756CB0">
        <w:t xml:space="preserve"> the reasonable</w:t>
      </w:r>
      <w:r w:rsidRPr="00CD6FA1">
        <w:t xml:space="preserve"> </w:t>
      </w:r>
      <w:r>
        <w:t xml:space="preserve">regulatory </w:t>
      </w:r>
      <w:r w:rsidRPr="00CD6FA1">
        <w:t xml:space="preserve">costs from </w:t>
      </w:r>
      <w:r>
        <w:t>venue operators holding gaming machine entitlements</w:t>
      </w:r>
      <w:r w:rsidRPr="00CD6FA1">
        <w:t xml:space="preserve">. </w:t>
      </w:r>
    </w:p>
    <w:p w:rsidR="006F596F" w:rsidRPr="00CD6FA1" w:rsidRDefault="006F596F" w:rsidP="00B14372">
      <w:pPr>
        <w:pStyle w:val="ListParagraph"/>
        <w:numPr>
          <w:ilvl w:val="0"/>
          <w:numId w:val="40"/>
        </w:numPr>
        <w:spacing w:before="0" w:after="240"/>
        <w:ind w:hanging="357"/>
      </w:pPr>
      <w:r w:rsidRPr="00CD6FA1">
        <w:t xml:space="preserve">This is based on the view that the regulatory cost should be internalised by the industry that gives rise to the regulation in the first place. </w:t>
      </w:r>
    </w:p>
    <w:p w:rsidR="006F596F" w:rsidRPr="00CD6FA1" w:rsidRDefault="004D16D4" w:rsidP="00B14372">
      <w:pPr>
        <w:pStyle w:val="ListParagraph"/>
        <w:numPr>
          <w:ilvl w:val="0"/>
          <w:numId w:val="40"/>
        </w:numPr>
        <w:spacing w:before="240" w:after="200"/>
        <w:ind w:hanging="357"/>
      </w:pPr>
      <w:r>
        <w:t>Venue o</w:t>
      </w:r>
      <w:r w:rsidR="006F596F" w:rsidRPr="00CD6FA1">
        <w:t xml:space="preserve">perators benefit from the regulations administered by the VCGLR. The integrity and value of the entitlements would </w:t>
      </w:r>
      <w:r w:rsidR="00D80F64">
        <w:t xml:space="preserve">likely </w:t>
      </w:r>
      <w:r w:rsidR="006F596F" w:rsidRPr="00CD6FA1">
        <w:t>be undermined if the VCGLR were not undertaking the regulatory activi</w:t>
      </w:r>
      <w:r>
        <w:t>ties necessary to ensure venue o</w:t>
      </w:r>
      <w:r w:rsidR="006F596F" w:rsidRPr="00CD6FA1">
        <w:t>perators comply with legislative requirements.</w:t>
      </w:r>
    </w:p>
    <w:p w:rsidR="006F596F" w:rsidRDefault="006F596F" w:rsidP="00F50D14">
      <w:pPr>
        <w:spacing w:before="200" w:after="0"/>
      </w:pPr>
      <w:r>
        <w:t xml:space="preserve">Five options in the design and structure of the 2012-13 supervision charge </w:t>
      </w:r>
      <w:r w:rsidR="00472069">
        <w:t xml:space="preserve">have been </w:t>
      </w:r>
      <w:r w:rsidRPr="00470CA0">
        <w:t xml:space="preserve">identified </w:t>
      </w:r>
      <w:r>
        <w:t>and</w:t>
      </w:r>
      <w:r w:rsidRPr="00470CA0">
        <w:t xml:space="preserve"> assessed </w:t>
      </w:r>
      <w:r>
        <w:t>including:</w:t>
      </w:r>
    </w:p>
    <w:p w:rsidR="006F596F" w:rsidRPr="00470CA0" w:rsidRDefault="006F596F" w:rsidP="00B14372">
      <w:pPr>
        <w:pStyle w:val="ListParagraph"/>
        <w:numPr>
          <w:ilvl w:val="1"/>
          <w:numId w:val="41"/>
        </w:numPr>
        <w:spacing w:before="0" w:after="0"/>
        <w:ind w:left="1434" w:hanging="357"/>
      </w:pPr>
      <w:r w:rsidRPr="00470CA0">
        <w:t>Ba</w:t>
      </w:r>
      <w:r w:rsidR="004D16D4">
        <w:t>se case – no supervision charge.</w:t>
      </w:r>
    </w:p>
    <w:p w:rsidR="006F596F" w:rsidRPr="00470CA0" w:rsidRDefault="006F596F" w:rsidP="00B14372">
      <w:pPr>
        <w:numPr>
          <w:ilvl w:val="1"/>
          <w:numId w:val="41"/>
        </w:numPr>
        <w:spacing w:before="0" w:after="240"/>
        <w:ind w:left="1434" w:hanging="357"/>
        <w:contextualSpacing/>
      </w:pPr>
      <w:r>
        <w:t>Option A</w:t>
      </w:r>
      <w:r w:rsidRPr="00470CA0">
        <w:t xml:space="preserve"> – two tiered charge based on</w:t>
      </w:r>
      <w:r>
        <w:t xml:space="preserve"> the number of gaming</w:t>
      </w:r>
      <w:r w:rsidRPr="00470CA0">
        <w:t xml:space="preserve"> entitlements</w:t>
      </w:r>
      <w:r>
        <w:t xml:space="preserve"> owned and </w:t>
      </w:r>
      <w:r w:rsidRPr="00470CA0">
        <w:t>gaming machines</w:t>
      </w:r>
      <w:r>
        <w:t xml:space="preserve"> operated by a </w:t>
      </w:r>
      <w:r w:rsidR="00F13192">
        <w:t>v</w:t>
      </w:r>
      <w:r w:rsidR="004D16D4">
        <w:t>enue operator.</w:t>
      </w:r>
    </w:p>
    <w:p w:rsidR="006F596F" w:rsidRPr="00470CA0" w:rsidRDefault="006F596F" w:rsidP="00B14372">
      <w:pPr>
        <w:numPr>
          <w:ilvl w:val="1"/>
          <w:numId w:val="41"/>
        </w:numPr>
        <w:spacing w:before="240" w:after="240"/>
        <w:ind w:left="1434" w:hanging="357"/>
        <w:contextualSpacing/>
      </w:pPr>
      <w:r>
        <w:t>Option B</w:t>
      </w:r>
      <w:r w:rsidRPr="00470CA0">
        <w:t xml:space="preserve"> – single tiered charge based on entitlements</w:t>
      </w:r>
      <w:r>
        <w:t xml:space="preserve"> owned by a </w:t>
      </w:r>
      <w:r w:rsidR="004D16D4">
        <w:t>venue operator.</w:t>
      </w:r>
    </w:p>
    <w:p w:rsidR="006F596F" w:rsidRPr="00470CA0" w:rsidRDefault="006F596F" w:rsidP="00B14372">
      <w:pPr>
        <w:numPr>
          <w:ilvl w:val="1"/>
          <w:numId w:val="41"/>
        </w:numPr>
        <w:spacing w:before="240" w:after="240"/>
        <w:ind w:left="1434" w:hanging="357"/>
        <w:contextualSpacing/>
      </w:pPr>
      <w:r>
        <w:t>Option C</w:t>
      </w:r>
      <w:r w:rsidRPr="00470CA0">
        <w:t xml:space="preserve"> – </w:t>
      </w:r>
      <w:r w:rsidR="00D80F64">
        <w:t xml:space="preserve">charge based on </w:t>
      </w:r>
      <w:r>
        <w:t xml:space="preserve">annual </w:t>
      </w:r>
      <w:r w:rsidRPr="00470CA0">
        <w:t xml:space="preserve">gaming machine revenue </w:t>
      </w:r>
      <w:r>
        <w:t xml:space="preserve">earned by a </w:t>
      </w:r>
      <w:r w:rsidR="004D16D4">
        <w:t>venue operator.</w:t>
      </w:r>
    </w:p>
    <w:p w:rsidR="006F596F" w:rsidRPr="00470CA0" w:rsidRDefault="006F596F" w:rsidP="00B14372">
      <w:pPr>
        <w:numPr>
          <w:ilvl w:val="1"/>
          <w:numId w:val="41"/>
        </w:numPr>
        <w:spacing w:before="240" w:after="240"/>
        <w:ind w:left="1434" w:hanging="357"/>
      </w:pPr>
      <w:r>
        <w:t>Option D</w:t>
      </w:r>
      <w:r w:rsidRPr="00470CA0">
        <w:t xml:space="preserve"> – fixed fee per entitlement</w:t>
      </w:r>
      <w:r>
        <w:t xml:space="preserve"> owned by a </w:t>
      </w:r>
      <w:r w:rsidR="004D16D4">
        <w:t>v</w:t>
      </w:r>
      <w:r w:rsidR="00472069">
        <w:t xml:space="preserve">enue </w:t>
      </w:r>
      <w:r w:rsidR="004D16D4">
        <w:t>o</w:t>
      </w:r>
      <w:r w:rsidR="00472069">
        <w:t>perator</w:t>
      </w:r>
      <w:r w:rsidRPr="00470CA0">
        <w:t>.</w:t>
      </w:r>
    </w:p>
    <w:p w:rsidR="006F596F" w:rsidRDefault="004D16D4" w:rsidP="006F596F">
      <w:pPr>
        <w:spacing w:before="240" w:after="240"/>
      </w:pPr>
      <w:r>
        <w:t>Multi-criteria a</w:t>
      </w:r>
      <w:r w:rsidR="006F596F">
        <w:t>nalysis (MCA) was applied to rank each option and assess the relative costs and benefits relating to efficiency, equity, cost effectiveness and transparency. The results of the MCA, outlined in the table below, apply the highest score and ranking to Option A.</w:t>
      </w:r>
    </w:p>
    <w:p w:rsidR="006F596F" w:rsidRPr="00390E23" w:rsidRDefault="006F596F" w:rsidP="006F596F">
      <w:pPr>
        <w:pStyle w:val="Heading5"/>
        <w:numPr>
          <w:ilvl w:val="4"/>
          <w:numId w:val="7"/>
        </w:numPr>
      </w:pPr>
      <w:r w:rsidRPr="00390E23">
        <w:t xml:space="preserve">Table </w:t>
      </w:r>
      <w:r>
        <w:t>E.1</w:t>
      </w:r>
      <w:r w:rsidRPr="00390E23">
        <w:t xml:space="preserve">: Summary of </w:t>
      </w:r>
      <w:r>
        <w:t xml:space="preserve">MCA </w:t>
      </w:r>
      <w:r w:rsidRPr="00390E23">
        <w:t>results</w:t>
      </w:r>
    </w:p>
    <w:tbl>
      <w:tblPr>
        <w:tblW w:w="8347" w:type="dxa"/>
        <w:tblInd w:w="964" w:type="dxa"/>
        <w:tblBorders>
          <w:top w:val="single" w:sz="2" w:space="0" w:color="auto"/>
          <w:bottom w:val="single" w:sz="2" w:space="0" w:color="auto"/>
          <w:insideH w:val="single" w:sz="2" w:space="0" w:color="auto"/>
        </w:tblBorders>
        <w:tblCellMar>
          <w:left w:w="113" w:type="dxa"/>
          <w:right w:w="113" w:type="dxa"/>
        </w:tblCellMar>
        <w:tblLook w:val="04A0" w:firstRow="1" w:lastRow="0" w:firstColumn="1" w:lastColumn="0" w:noHBand="0" w:noVBand="1"/>
      </w:tblPr>
      <w:tblGrid>
        <w:gridCol w:w="2438"/>
        <w:gridCol w:w="2948"/>
        <w:gridCol w:w="2961"/>
      </w:tblGrid>
      <w:tr w:rsidR="005D10A9" w:rsidRPr="00390E23" w:rsidTr="004F14D1">
        <w:trPr>
          <w:cantSplit/>
        </w:trPr>
        <w:tc>
          <w:tcPr>
            <w:tcW w:w="2438" w:type="dxa"/>
            <w:tcBorders>
              <w:top w:val="single" w:sz="2" w:space="0" w:color="auto"/>
              <w:left w:val="nil"/>
              <w:bottom w:val="single" w:sz="2" w:space="0" w:color="auto"/>
              <w:right w:val="nil"/>
              <w:tl2br w:val="nil"/>
              <w:tr2bl w:val="nil"/>
            </w:tcBorders>
            <w:shd w:val="clear" w:color="auto" w:fill="D9D9D9"/>
          </w:tcPr>
          <w:p w:rsidR="005D10A9" w:rsidRPr="00390E23" w:rsidRDefault="005D10A9" w:rsidP="004F14D1">
            <w:pPr>
              <w:spacing w:before="60" w:after="60"/>
              <w:ind w:left="0"/>
              <w:rPr>
                <w:sz w:val="20"/>
                <w:szCs w:val="20"/>
                <w:lang w:eastAsia="en-US"/>
              </w:rPr>
            </w:pPr>
          </w:p>
        </w:tc>
        <w:tc>
          <w:tcPr>
            <w:tcW w:w="2948" w:type="dxa"/>
            <w:tcBorders>
              <w:top w:val="single" w:sz="2" w:space="0" w:color="auto"/>
              <w:left w:val="nil"/>
              <w:bottom w:val="single" w:sz="2" w:space="0" w:color="auto"/>
              <w:right w:val="nil"/>
              <w:tl2br w:val="nil"/>
              <w:tr2bl w:val="nil"/>
            </w:tcBorders>
            <w:shd w:val="clear" w:color="auto" w:fill="D9D9D9"/>
          </w:tcPr>
          <w:p w:rsidR="005D10A9" w:rsidRPr="00390E23" w:rsidRDefault="005D10A9" w:rsidP="004F14D1">
            <w:pPr>
              <w:spacing w:before="60" w:after="60"/>
              <w:ind w:left="0"/>
              <w:jc w:val="center"/>
              <w:rPr>
                <w:b/>
                <w:sz w:val="20"/>
                <w:szCs w:val="20"/>
                <w:lang w:eastAsia="en-US"/>
              </w:rPr>
            </w:pPr>
            <w:r w:rsidRPr="00390E23">
              <w:rPr>
                <w:b/>
                <w:sz w:val="20"/>
                <w:szCs w:val="20"/>
                <w:lang w:eastAsia="en-US"/>
              </w:rPr>
              <w:t>Total weighted score</w:t>
            </w:r>
          </w:p>
        </w:tc>
        <w:tc>
          <w:tcPr>
            <w:tcW w:w="2961" w:type="dxa"/>
            <w:tcBorders>
              <w:top w:val="single" w:sz="2" w:space="0" w:color="auto"/>
              <w:left w:val="nil"/>
              <w:bottom w:val="single" w:sz="2" w:space="0" w:color="auto"/>
              <w:right w:val="nil"/>
              <w:tl2br w:val="nil"/>
              <w:tr2bl w:val="nil"/>
            </w:tcBorders>
            <w:shd w:val="clear" w:color="auto" w:fill="D9D9D9"/>
          </w:tcPr>
          <w:p w:rsidR="005D10A9" w:rsidRPr="00390E23" w:rsidRDefault="005D10A9" w:rsidP="004F14D1">
            <w:pPr>
              <w:spacing w:before="60" w:after="60"/>
              <w:ind w:left="0"/>
              <w:jc w:val="center"/>
              <w:rPr>
                <w:b/>
                <w:sz w:val="20"/>
                <w:szCs w:val="20"/>
                <w:lang w:eastAsia="en-US"/>
              </w:rPr>
            </w:pPr>
            <w:r w:rsidRPr="00390E23">
              <w:rPr>
                <w:b/>
                <w:sz w:val="20"/>
                <w:szCs w:val="20"/>
                <w:lang w:eastAsia="en-US"/>
              </w:rPr>
              <w:t>Rank</w:t>
            </w:r>
          </w:p>
        </w:tc>
      </w:tr>
      <w:tr w:rsidR="005D10A9" w:rsidRPr="00390E23" w:rsidTr="004F14D1">
        <w:trPr>
          <w:cantSplit/>
        </w:trPr>
        <w:tc>
          <w:tcPr>
            <w:tcW w:w="2438" w:type="dxa"/>
            <w:shd w:val="clear" w:color="auto" w:fill="auto"/>
          </w:tcPr>
          <w:p w:rsidR="005D10A9" w:rsidRPr="00390E23" w:rsidRDefault="005D10A9" w:rsidP="004F14D1">
            <w:pPr>
              <w:spacing w:before="60" w:after="60"/>
              <w:ind w:left="0"/>
              <w:rPr>
                <w:b/>
                <w:sz w:val="20"/>
                <w:szCs w:val="20"/>
                <w:lang w:eastAsia="en-US"/>
              </w:rPr>
            </w:pPr>
            <w:r w:rsidRPr="00390E23">
              <w:rPr>
                <w:b/>
                <w:sz w:val="20"/>
                <w:szCs w:val="20"/>
                <w:lang w:eastAsia="en-US"/>
              </w:rPr>
              <w:t>Base case</w:t>
            </w:r>
          </w:p>
        </w:tc>
        <w:tc>
          <w:tcPr>
            <w:tcW w:w="2948" w:type="dxa"/>
          </w:tcPr>
          <w:p w:rsidR="005D10A9" w:rsidRPr="00390E23" w:rsidRDefault="005D10A9" w:rsidP="004F14D1">
            <w:pPr>
              <w:spacing w:before="60" w:after="60"/>
              <w:ind w:left="0"/>
              <w:jc w:val="center"/>
              <w:rPr>
                <w:sz w:val="20"/>
                <w:szCs w:val="20"/>
                <w:lang w:eastAsia="en-US"/>
              </w:rPr>
            </w:pPr>
            <w:r>
              <w:rPr>
                <w:sz w:val="20"/>
                <w:szCs w:val="20"/>
                <w:lang w:eastAsia="en-US"/>
              </w:rPr>
              <w:t>0</w:t>
            </w:r>
          </w:p>
        </w:tc>
        <w:tc>
          <w:tcPr>
            <w:tcW w:w="2961" w:type="dxa"/>
            <w:shd w:val="clear" w:color="auto" w:fill="auto"/>
          </w:tcPr>
          <w:p w:rsidR="005D10A9" w:rsidRPr="00390E23" w:rsidRDefault="005D10A9" w:rsidP="004F14D1">
            <w:pPr>
              <w:spacing w:before="60" w:after="60"/>
              <w:ind w:left="0"/>
              <w:jc w:val="center"/>
              <w:rPr>
                <w:sz w:val="20"/>
                <w:szCs w:val="20"/>
                <w:lang w:eastAsia="en-US"/>
              </w:rPr>
            </w:pPr>
            <w:r w:rsidRPr="00390E23">
              <w:rPr>
                <w:sz w:val="20"/>
                <w:szCs w:val="20"/>
                <w:lang w:eastAsia="en-US"/>
              </w:rPr>
              <w:t>5</w:t>
            </w:r>
          </w:p>
        </w:tc>
      </w:tr>
      <w:tr w:rsidR="005D10A9" w:rsidRPr="00390E23" w:rsidTr="004F14D1">
        <w:trPr>
          <w:cantSplit/>
        </w:trPr>
        <w:tc>
          <w:tcPr>
            <w:tcW w:w="2438" w:type="dxa"/>
            <w:shd w:val="clear" w:color="auto" w:fill="auto"/>
          </w:tcPr>
          <w:p w:rsidR="005D10A9" w:rsidRPr="00390E23" w:rsidRDefault="005D10A9" w:rsidP="004F14D1">
            <w:pPr>
              <w:spacing w:before="60" w:after="60"/>
              <w:ind w:left="0"/>
              <w:rPr>
                <w:b/>
                <w:sz w:val="20"/>
                <w:szCs w:val="20"/>
                <w:lang w:eastAsia="en-US"/>
              </w:rPr>
            </w:pPr>
            <w:r>
              <w:rPr>
                <w:b/>
                <w:sz w:val="20"/>
                <w:szCs w:val="20"/>
                <w:lang w:eastAsia="en-US"/>
              </w:rPr>
              <w:t>Option A</w:t>
            </w:r>
          </w:p>
        </w:tc>
        <w:tc>
          <w:tcPr>
            <w:tcW w:w="2948" w:type="dxa"/>
          </w:tcPr>
          <w:p w:rsidR="005D10A9" w:rsidRPr="00390E23" w:rsidRDefault="005D10A9" w:rsidP="004F14D1">
            <w:pPr>
              <w:spacing w:before="60" w:after="60"/>
              <w:ind w:left="0"/>
              <w:jc w:val="center"/>
              <w:rPr>
                <w:sz w:val="20"/>
                <w:szCs w:val="20"/>
                <w:lang w:eastAsia="en-US"/>
              </w:rPr>
            </w:pPr>
            <w:r w:rsidRPr="00390E23">
              <w:rPr>
                <w:sz w:val="20"/>
                <w:szCs w:val="20"/>
                <w:lang w:eastAsia="en-US"/>
              </w:rPr>
              <w:t>+</w:t>
            </w:r>
            <w:r>
              <w:rPr>
                <w:sz w:val="20"/>
                <w:szCs w:val="20"/>
                <w:lang w:eastAsia="en-US"/>
              </w:rPr>
              <w:t>6.9</w:t>
            </w:r>
          </w:p>
        </w:tc>
        <w:tc>
          <w:tcPr>
            <w:tcW w:w="2961" w:type="dxa"/>
            <w:shd w:val="clear" w:color="auto" w:fill="auto"/>
          </w:tcPr>
          <w:p w:rsidR="005D10A9" w:rsidRPr="00390E23" w:rsidRDefault="005D10A9" w:rsidP="004F14D1">
            <w:pPr>
              <w:spacing w:before="60" w:after="60"/>
              <w:ind w:left="0"/>
              <w:jc w:val="center"/>
              <w:rPr>
                <w:sz w:val="20"/>
                <w:szCs w:val="20"/>
                <w:lang w:eastAsia="en-US"/>
              </w:rPr>
            </w:pPr>
            <w:r w:rsidRPr="00390E23">
              <w:rPr>
                <w:sz w:val="20"/>
                <w:szCs w:val="20"/>
                <w:lang w:eastAsia="en-US"/>
              </w:rPr>
              <w:t>1</w:t>
            </w:r>
          </w:p>
        </w:tc>
      </w:tr>
      <w:tr w:rsidR="005D10A9" w:rsidRPr="00390E23" w:rsidTr="004F14D1">
        <w:trPr>
          <w:cantSplit/>
        </w:trPr>
        <w:tc>
          <w:tcPr>
            <w:tcW w:w="2438" w:type="dxa"/>
            <w:shd w:val="clear" w:color="auto" w:fill="auto"/>
          </w:tcPr>
          <w:p w:rsidR="005D10A9" w:rsidRPr="00390E23" w:rsidRDefault="005D10A9" w:rsidP="004F14D1">
            <w:pPr>
              <w:spacing w:before="60" w:after="60"/>
              <w:ind w:left="0"/>
              <w:rPr>
                <w:b/>
                <w:sz w:val="20"/>
                <w:szCs w:val="20"/>
                <w:lang w:eastAsia="en-US"/>
              </w:rPr>
            </w:pPr>
            <w:r>
              <w:rPr>
                <w:b/>
                <w:sz w:val="20"/>
                <w:szCs w:val="20"/>
                <w:lang w:eastAsia="en-US"/>
              </w:rPr>
              <w:t>Option B</w:t>
            </w:r>
          </w:p>
        </w:tc>
        <w:tc>
          <w:tcPr>
            <w:tcW w:w="2948" w:type="dxa"/>
          </w:tcPr>
          <w:p w:rsidR="005D10A9" w:rsidRPr="00390E23" w:rsidRDefault="005D10A9" w:rsidP="004F14D1">
            <w:pPr>
              <w:spacing w:before="60" w:after="60"/>
              <w:ind w:left="0"/>
              <w:jc w:val="center"/>
              <w:rPr>
                <w:sz w:val="20"/>
                <w:szCs w:val="20"/>
                <w:lang w:eastAsia="en-US"/>
              </w:rPr>
            </w:pPr>
            <w:r w:rsidRPr="00390E23">
              <w:rPr>
                <w:sz w:val="20"/>
                <w:szCs w:val="20"/>
                <w:lang w:eastAsia="en-US"/>
              </w:rPr>
              <w:t>+</w:t>
            </w:r>
            <w:r>
              <w:rPr>
                <w:sz w:val="20"/>
                <w:szCs w:val="20"/>
                <w:lang w:eastAsia="en-US"/>
              </w:rPr>
              <w:t>5.1</w:t>
            </w:r>
          </w:p>
        </w:tc>
        <w:tc>
          <w:tcPr>
            <w:tcW w:w="2961" w:type="dxa"/>
            <w:shd w:val="clear" w:color="auto" w:fill="auto"/>
          </w:tcPr>
          <w:p w:rsidR="005D10A9" w:rsidRPr="00390E23" w:rsidRDefault="005D10A9" w:rsidP="004F14D1">
            <w:pPr>
              <w:spacing w:before="60" w:after="60"/>
              <w:ind w:left="0"/>
              <w:jc w:val="center"/>
              <w:rPr>
                <w:sz w:val="20"/>
                <w:szCs w:val="20"/>
                <w:lang w:eastAsia="en-US"/>
              </w:rPr>
            </w:pPr>
            <w:r>
              <w:rPr>
                <w:sz w:val="20"/>
                <w:szCs w:val="20"/>
                <w:lang w:eastAsia="en-US"/>
              </w:rPr>
              <w:t>2</w:t>
            </w:r>
          </w:p>
        </w:tc>
      </w:tr>
      <w:tr w:rsidR="005D10A9" w:rsidRPr="00390E23" w:rsidTr="004F14D1">
        <w:trPr>
          <w:cantSplit/>
        </w:trPr>
        <w:tc>
          <w:tcPr>
            <w:tcW w:w="2438" w:type="dxa"/>
            <w:shd w:val="clear" w:color="auto" w:fill="auto"/>
          </w:tcPr>
          <w:p w:rsidR="005D10A9" w:rsidRPr="00390E23" w:rsidRDefault="005D10A9" w:rsidP="004F14D1">
            <w:pPr>
              <w:spacing w:before="60" w:after="60"/>
              <w:ind w:left="0"/>
              <w:rPr>
                <w:b/>
                <w:sz w:val="20"/>
                <w:szCs w:val="20"/>
                <w:lang w:eastAsia="en-US"/>
              </w:rPr>
            </w:pPr>
            <w:r>
              <w:rPr>
                <w:b/>
                <w:sz w:val="20"/>
                <w:szCs w:val="20"/>
                <w:lang w:eastAsia="en-US"/>
              </w:rPr>
              <w:t>Option C</w:t>
            </w:r>
          </w:p>
        </w:tc>
        <w:tc>
          <w:tcPr>
            <w:tcW w:w="2948" w:type="dxa"/>
          </w:tcPr>
          <w:p w:rsidR="005D10A9" w:rsidRPr="00390E23" w:rsidRDefault="005D10A9" w:rsidP="004F14D1">
            <w:pPr>
              <w:spacing w:before="60" w:after="60"/>
              <w:ind w:left="0"/>
              <w:jc w:val="center"/>
              <w:rPr>
                <w:sz w:val="20"/>
                <w:szCs w:val="20"/>
                <w:lang w:eastAsia="en-US"/>
              </w:rPr>
            </w:pPr>
            <w:r w:rsidRPr="00390E23">
              <w:rPr>
                <w:sz w:val="20"/>
                <w:szCs w:val="20"/>
                <w:lang w:eastAsia="en-US"/>
              </w:rPr>
              <w:t>+</w:t>
            </w:r>
            <w:r>
              <w:rPr>
                <w:sz w:val="20"/>
                <w:szCs w:val="20"/>
                <w:lang w:eastAsia="en-US"/>
              </w:rPr>
              <w:t>4.0</w:t>
            </w:r>
          </w:p>
        </w:tc>
        <w:tc>
          <w:tcPr>
            <w:tcW w:w="2961" w:type="dxa"/>
            <w:shd w:val="clear" w:color="auto" w:fill="auto"/>
          </w:tcPr>
          <w:p w:rsidR="005D10A9" w:rsidRPr="00390E23" w:rsidRDefault="005D10A9" w:rsidP="004F14D1">
            <w:pPr>
              <w:spacing w:before="60" w:after="60"/>
              <w:ind w:left="0"/>
              <w:jc w:val="center"/>
              <w:rPr>
                <w:sz w:val="20"/>
                <w:szCs w:val="20"/>
                <w:lang w:eastAsia="en-US"/>
              </w:rPr>
            </w:pPr>
            <w:r w:rsidRPr="00390E23">
              <w:rPr>
                <w:sz w:val="20"/>
                <w:szCs w:val="20"/>
                <w:lang w:eastAsia="en-US"/>
              </w:rPr>
              <w:t>4</w:t>
            </w:r>
          </w:p>
        </w:tc>
      </w:tr>
      <w:tr w:rsidR="005D10A9" w:rsidRPr="00390E23" w:rsidTr="004F14D1">
        <w:trPr>
          <w:cantSplit/>
        </w:trPr>
        <w:tc>
          <w:tcPr>
            <w:tcW w:w="2438" w:type="dxa"/>
            <w:shd w:val="clear" w:color="auto" w:fill="auto"/>
          </w:tcPr>
          <w:p w:rsidR="005D10A9" w:rsidRPr="00390E23" w:rsidRDefault="005D10A9" w:rsidP="004F14D1">
            <w:pPr>
              <w:spacing w:before="60" w:after="60"/>
              <w:ind w:left="0"/>
              <w:rPr>
                <w:b/>
                <w:sz w:val="20"/>
                <w:szCs w:val="20"/>
                <w:lang w:eastAsia="en-US"/>
              </w:rPr>
            </w:pPr>
            <w:r>
              <w:rPr>
                <w:b/>
                <w:sz w:val="20"/>
                <w:szCs w:val="20"/>
                <w:lang w:eastAsia="en-US"/>
              </w:rPr>
              <w:t>Option D</w:t>
            </w:r>
          </w:p>
        </w:tc>
        <w:tc>
          <w:tcPr>
            <w:tcW w:w="2948" w:type="dxa"/>
          </w:tcPr>
          <w:p w:rsidR="005D10A9" w:rsidRPr="00390E23" w:rsidRDefault="005D10A9" w:rsidP="004F14D1">
            <w:pPr>
              <w:spacing w:before="60" w:after="60"/>
              <w:ind w:left="0"/>
              <w:jc w:val="center"/>
              <w:rPr>
                <w:sz w:val="20"/>
                <w:szCs w:val="20"/>
                <w:lang w:eastAsia="en-US"/>
              </w:rPr>
            </w:pPr>
            <w:r w:rsidRPr="00390E23">
              <w:rPr>
                <w:sz w:val="20"/>
                <w:szCs w:val="20"/>
                <w:lang w:eastAsia="en-US"/>
              </w:rPr>
              <w:t>+</w:t>
            </w:r>
            <w:r>
              <w:rPr>
                <w:sz w:val="20"/>
                <w:szCs w:val="20"/>
                <w:lang w:eastAsia="en-US"/>
              </w:rPr>
              <w:t>4.9</w:t>
            </w:r>
          </w:p>
        </w:tc>
        <w:tc>
          <w:tcPr>
            <w:tcW w:w="2961" w:type="dxa"/>
            <w:shd w:val="clear" w:color="auto" w:fill="auto"/>
          </w:tcPr>
          <w:p w:rsidR="005D10A9" w:rsidRPr="00390E23" w:rsidRDefault="005D10A9" w:rsidP="004F14D1">
            <w:pPr>
              <w:spacing w:before="60" w:after="60"/>
              <w:ind w:left="0"/>
              <w:jc w:val="center"/>
              <w:rPr>
                <w:sz w:val="20"/>
                <w:szCs w:val="20"/>
                <w:lang w:eastAsia="en-US"/>
              </w:rPr>
            </w:pPr>
            <w:r>
              <w:rPr>
                <w:sz w:val="20"/>
                <w:szCs w:val="20"/>
                <w:lang w:eastAsia="en-US"/>
              </w:rPr>
              <w:t>3</w:t>
            </w:r>
          </w:p>
        </w:tc>
      </w:tr>
    </w:tbl>
    <w:p w:rsidR="006F596F" w:rsidRDefault="006F596F" w:rsidP="006F596F">
      <w:pPr>
        <w:spacing w:before="240" w:after="240"/>
      </w:pPr>
      <w:r>
        <w:t xml:space="preserve">On the basis of the MCA results, it is proposed that the 2012-13 supervision charge be set as per Option A. </w:t>
      </w:r>
    </w:p>
    <w:p w:rsidR="006F596F" w:rsidRDefault="006F596F" w:rsidP="006F596F">
      <w:pPr>
        <w:spacing w:before="240" w:after="240"/>
        <w:rPr>
          <w:szCs w:val="24"/>
        </w:rPr>
      </w:pPr>
      <w:r>
        <w:rPr>
          <w:szCs w:val="24"/>
          <w:lang w:eastAsia="en-US"/>
        </w:rPr>
        <w:t>The table below shows the estimated dollar amount of the unit charge for 2012-13.</w:t>
      </w:r>
      <w:r w:rsidRPr="000C3A64">
        <w:rPr>
          <w:szCs w:val="24"/>
        </w:rPr>
        <w:t xml:space="preserve"> </w:t>
      </w:r>
      <w:r w:rsidR="00472069">
        <w:rPr>
          <w:szCs w:val="24"/>
        </w:rPr>
        <w:t>T</w:t>
      </w:r>
      <w:r w:rsidRPr="000A1BEA">
        <w:rPr>
          <w:szCs w:val="24"/>
        </w:rPr>
        <w:t xml:space="preserve">hese are estimates of the VCGLR costs and provide an indication of what the total supervision charge for </w:t>
      </w:r>
      <w:r w:rsidR="004D16D4">
        <w:rPr>
          <w:szCs w:val="24"/>
        </w:rPr>
        <w:t>v</w:t>
      </w:r>
      <w:r w:rsidR="00472069">
        <w:rPr>
          <w:szCs w:val="24"/>
        </w:rPr>
        <w:t xml:space="preserve">enue </w:t>
      </w:r>
      <w:r w:rsidR="004D16D4">
        <w:rPr>
          <w:szCs w:val="24"/>
        </w:rPr>
        <w:t>o</w:t>
      </w:r>
      <w:r w:rsidR="00472069">
        <w:rPr>
          <w:szCs w:val="24"/>
        </w:rPr>
        <w:t>perator</w:t>
      </w:r>
      <w:r w:rsidRPr="000A1BEA">
        <w:rPr>
          <w:szCs w:val="24"/>
        </w:rPr>
        <w:t xml:space="preserve">s in 2012-13 may be. </w:t>
      </w:r>
      <w:r w:rsidRPr="005E65FE">
        <w:rPr>
          <w:b/>
          <w:szCs w:val="24"/>
        </w:rPr>
        <w:t>The final costs and applicable charge will be calculated</w:t>
      </w:r>
      <w:r>
        <w:rPr>
          <w:b/>
          <w:szCs w:val="24"/>
        </w:rPr>
        <w:t xml:space="preserve"> based on actual costs, </w:t>
      </w:r>
      <w:r w:rsidRPr="005E65FE">
        <w:rPr>
          <w:b/>
          <w:szCs w:val="24"/>
        </w:rPr>
        <w:t>and invoiced after the end of the 2012</w:t>
      </w:r>
      <w:r w:rsidRPr="005E65FE">
        <w:rPr>
          <w:b/>
          <w:szCs w:val="24"/>
        </w:rPr>
        <w:noBreakHyphen/>
        <w:t>13 financial year.</w:t>
      </w:r>
      <w:r w:rsidRPr="000A1BEA">
        <w:rPr>
          <w:szCs w:val="24"/>
        </w:rPr>
        <w:t xml:space="preserve"> </w:t>
      </w:r>
    </w:p>
    <w:p w:rsidR="006F596F" w:rsidRPr="00390E23" w:rsidRDefault="006F596F" w:rsidP="006F596F">
      <w:pPr>
        <w:pStyle w:val="Heading5"/>
        <w:numPr>
          <w:ilvl w:val="4"/>
          <w:numId w:val="7"/>
        </w:numPr>
      </w:pPr>
      <w:r w:rsidRPr="00390E23">
        <w:t xml:space="preserve">Table </w:t>
      </w:r>
      <w:r>
        <w:t>E.2</w:t>
      </w:r>
      <w:r w:rsidRPr="00390E23">
        <w:t xml:space="preserve">: </w:t>
      </w:r>
      <w:r w:rsidR="004D16D4">
        <w:t>Proposed 2012-13 supervision charge – Estimated per unit c</w:t>
      </w:r>
      <w:r>
        <w:t>harge</w:t>
      </w:r>
      <w:r w:rsidR="00472069">
        <w:t>s</w:t>
      </w:r>
      <w:r w:rsidR="0007265F">
        <w:t>**</w:t>
      </w:r>
    </w:p>
    <w:tbl>
      <w:tblPr>
        <w:tblStyle w:val="TableGrid"/>
        <w:tblW w:w="8363" w:type="dxa"/>
        <w:tblInd w:w="964" w:type="dxa"/>
        <w:tblLook w:val="04A0" w:firstRow="1" w:lastRow="0" w:firstColumn="1" w:lastColumn="0" w:noHBand="0" w:noVBand="1"/>
      </w:tblPr>
      <w:tblGrid>
        <w:gridCol w:w="6379"/>
        <w:gridCol w:w="1984"/>
      </w:tblGrid>
      <w:tr w:rsidR="006F596F" w:rsidRPr="005E65FE" w:rsidTr="00EF7E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9" w:type="dxa"/>
          </w:tcPr>
          <w:p w:rsidR="006F596F" w:rsidRPr="005E65FE" w:rsidRDefault="004D16D4" w:rsidP="00472069">
            <w:pPr>
              <w:spacing w:before="60" w:after="60"/>
              <w:ind w:left="0"/>
              <w:rPr>
                <w:b/>
                <w:sz w:val="20"/>
                <w:szCs w:val="20"/>
                <w:lang w:eastAsia="en-US"/>
              </w:rPr>
            </w:pPr>
            <w:r>
              <w:rPr>
                <w:b/>
                <w:sz w:val="20"/>
                <w:szCs w:val="20"/>
                <w:lang w:eastAsia="en-US"/>
              </w:rPr>
              <w:t>Supervision u</w:t>
            </w:r>
            <w:r w:rsidR="006F596F" w:rsidRPr="005E65FE">
              <w:rPr>
                <w:b/>
                <w:sz w:val="20"/>
                <w:szCs w:val="20"/>
                <w:lang w:eastAsia="en-US"/>
              </w:rPr>
              <w:t>nit</w:t>
            </w:r>
            <w:r>
              <w:rPr>
                <w:b/>
                <w:sz w:val="20"/>
                <w:szCs w:val="20"/>
                <w:lang w:eastAsia="en-US"/>
              </w:rPr>
              <w:t xml:space="preserve"> c</w:t>
            </w:r>
            <w:r w:rsidR="00472069">
              <w:rPr>
                <w:b/>
                <w:sz w:val="20"/>
                <w:szCs w:val="20"/>
                <w:lang w:eastAsia="en-US"/>
              </w:rPr>
              <w:t>harge</w:t>
            </w:r>
            <w:r w:rsidR="006F596F" w:rsidRPr="005E65FE">
              <w:rPr>
                <w:b/>
                <w:sz w:val="20"/>
                <w:szCs w:val="20"/>
                <w:lang w:eastAsia="en-US"/>
              </w:rPr>
              <w:t>s</w:t>
            </w:r>
          </w:p>
        </w:tc>
        <w:tc>
          <w:tcPr>
            <w:tcW w:w="1984" w:type="dxa"/>
          </w:tcPr>
          <w:p w:rsidR="006F596F" w:rsidRPr="005E65FE" w:rsidRDefault="006F596F" w:rsidP="00EF7E26">
            <w:pPr>
              <w:spacing w:before="60" w:after="60"/>
              <w:ind w:left="0"/>
              <w:jc w:val="center"/>
              <w:cnfStyle w:val="100000000000" w:firstRow="1" w:lastRow="0" w:firstColumn="0" w:lastColumn="0" w:oddVBand="0" w:evenVBand="0" w:oddHBand="0" w:evenHBand="0" w:firstRowFirstColumn="0" w:firstRowLastColumn="0" w:lastRowFirstColumn="0" w:lastRowLastColumn="0"/>
              <w:rPr>
                <w:b/>
                <w:sz w:val="20"/>
                <w:szCs w:val="20"/>
                <w:lang w:eastAsia="en-US"/>
              </w:rPr>
            </w:pPr>
            <w:r w:rsidRPr="005E65FE">
              <w:rPr>
                <w:b/>
                <w:sz w:val="20"/>
                <w:szCs w:val="20"/>
                <w:lang w:eastAsia="en-US"/>
              </w:rPr>
              <w:t>2012-13</w:t>
            </w:r>
          </w:p>
        </w:tc>
      </w:tr>
      <w:tr w:rsidR="006F596F" w:rsidRPr="005E65FE" w:rsidTr="00EF7E26">
        <w:tc>
          <w:tcPr>
            <w:cnfStyle w:val="001000000000" w:firstRow="0" w:lastRow="0" w:firstColumn="1" w:lastColumn="0" w:oddVBand="0" w:evenVBand="0" w:oddHBand="0" w:evenHBand="0" w:firstRowFirstColumn="0" w:firstRowLastColumn="0" w:lastRowFirstColumn="0" w:lastRowLastColumn="0"/>
            <w:tcW w:w="6379" w:type="dxa"/>
          </w:tcPr>
          <w:p w:rsidR="006F596F" w:rsidRPr="005E65FE" w:rsidRDefault="00756CB0" w:rsidP="00756CB0">
            <w:pPr>
              <w:spacing w:before="60" w:after="60"/>
              <w:ind w:left="0"/>
              <w:rPr>
                <w:sz w:val="20"/>
                <w:szCs w:val="20"/>
                <w:lang w:eastAsia="en-US"/>
              </w:rPr>
            </w:pPr>
            <w:r>
              <w:rPr>
                <w:sz w:val="20"/>
                <w:szCs w:val="20"/>
                <w:lang w:eastAsia="en-US"/>
              </w:rPr>
              <w:t>Per o</w:t>
            </w:r>
            <w:r w:rsidR="00670CBC">
              <w:rPr>
                <w:sz w:val="20"/>
                <w:szCs w:val="20"/>
                <w:lang w:eastAsia="en-US"/>
              </w:rPr>
              <w:t>perating gamin</w:t>
            </w:r>
            <w:r>
              <w:rPr>
                <w:sz w:val="20"/>
                <w:szCs w:val="20"/>
                <w:lang w:eastAsia="en-US"/>
              </w:rPr>
              <w:t>g machine charge</w:t>
            </w:r>
            <w:r w:rsidR="006F596F">
              <w:rPr>
                <w:sz w:val="20"/>
                <w:szCs w:val="20"/>
                <w:lang w:eastAsia="en-US"/>
              </w:rPr>
              <w:t>*</w:t>
            </w:r>
          </w:p>
        </w:tc>
        <w:tc>
          <w:tcPr>
            <w:tcW w:w="1984" w:type="dxa"/>
          </w:tcPr>
          <w:p w:rsidR="006F596F" w:rsidRPr="005E65FE" w:rsidRDefault="006F596F" w:rsidP="00EF7E26">
            <w:pPr>
              <w:spacing w:before="60" w:after="60"/>
              <w:ind w:left="0"/>
              <w:jc w:val="center"/>
              <w:cnfStyle w:val="000000000000" w:firstRow="0" w:lastRow="0" w:firstColumn="0" w:lastColumn="0" w:oddVBand="0" w:evenVBand="0" w:oddHBand="0" w:evenHBand="0" w:firstRowFirstColumn="0" w:firstRowLastColumn="0" w:lastRowFirstColumn="0" w:lastRowLastColumn="0"/>
              <w:rPr>
                <w:sz w:val="20"/>
                <w:szCs w:val="20"/>
                <w:lang w:eastAsia="en-US"/>
              </w:rPr>
            </w:pPr>
            <w:r>
              <w:rPr>
                <w:sz w:val="20"/>
                <w:szCs w:val="20"/>
                <w:lang w:eastAsia="en-US"/>
              </w:rPr>
              <w:t>$</w:t>
            </w:r>
            <w:r w:rsidR="00F143D0">
              <w:rPr>
                <w:sz w:val="20"/>
                <w:szCs w:val="20"/>
                <w:lang w:eastAsia="en-US"/>
              </w:rPr>
              <w:t>191.67</w:t>
            </w:r>
          </w:p>
        </w:tc>
      </w:tr>
      <w:tr w:rsidR="006F596F" w:rsidRPr="005E65FE" w:rsidTr="00EF7E26">
        <w:tc>
          <w:tcPr>
            <w:cnfStyle w:val="001000000000" w:firstRow="0" w:lastRow="0" w:firstColumn="1" w:lastColumn="0" w:oddVBand="0" w:evenVBand="0" w:oddHBand="0" w:evenHBand="0" w:firstRowFirstColumn="0" w:firstRowLastColumn="0" w:lastRowFirstColumn="0" w:lastRowLastColumn="0"/>
            <w:tcW w:w="6379" w:type="dxa"/>
          </w:tcPr>
          <w:p w:rsidR="006F596F" w:rsidRPr="005E65FE" w:rsidRDefault="00756CB0" w:rsidP="00756CB0">
            <w:pPr>
              <w:spacing w:before="60" w:after="60"/>
              <w:ind w:left="0"/>
              <w:rPr>
                <w:sz w:val="20"/>
                <w:szCs w:val="20"/>
                <w:lang w:eastAsia="en-US"/>
              </w:rPr>
            </w:pPr>
            <w:r>
              <w:rPr>
                <w:sz w:val="20"/>
                <w:szCs w:val="20"/>
                <w:lang w:eastAsia="en-US"/>
              </w:rPr>
              <w:t>Per entitlement charge</w:t>
            </w:r>
            <w:r w:rsidR="006F596F">
              <w:rPr>
                <w:sz w:val="20"/>
                <w:szCs w:val="20"/>
                <w:lang w:eastAsia="en-US"/>
              </w:rPr>
              <w:t>*</w:t>
            </w:r>
          </w:p>
        </w:tc>
        <w:tc>
          <w:tcPr>
            <w:tcW w:w="1984" w:type="dxa"/>
          </w:tcPr>
          <w:p w:rsidR="006F596F" w:rsidRPr="005E65FE" w:rsidRDefault="006F596F" w:rsidP="00EF7E26">
            <w:pPr>
              <w:spacing w:before="60" w:after="60"/>
              <w:ind w:left="0"/>
              <w:jc w:val="center"/>
              <w:cnfStyle w:val="000000000000" w:firstRow="0" w:lastRow="0" w:firstColumn="0" w:lastColumn="0" w:oddVBand="0" w:evenVBand="0" w:oddHBand="0" w:evenHBand="0" w:firstRowFirstColumn="0" w:firstRowLastColumn="0" w:lastRowFirstColumn="0" w:lastRowLastColumn="0"/>
              <w:rPr>
                <w:sz w:val="20"/>
                <w:szCs w:val="20"/>
                <w:lang w:eastAsia="en-US"/>
              </w:rPr>
            </w:pPr>
            <w:r>
              <w:rPr>
                <w:sz w:val="20"/>
                <w:szCs w:val="20"/>
                <w:lang w:eastAsia="en-US"/>
              </w:rPr>
              <w:t>$</w:t>
            </w:r>
            <w:r w:rsidR="00F143D0">
              <w:rPr>
                <w:sz w:val="20"/>
                <w:szCs w:val="20"/>
                <w:lang w:eastAsia="en-US"/>
              </w:rPr>
              <w:t>16.36</w:t>
            </w:r>
          </w:p>
        </w:tc>
      </w:tr>
    </w:tbl>
    <w:p w:rsidR="006F596F" w:rsidRDefault="006F596F" w:rsidP="0007265F">
      <w:pPr>
        <w:spacing w:before="0" w:after="0"/>
        <w:ind w:left="992"/>
        <w:rPr>
          <w:i/>
          <w:sz w:val="18"/>
          <w:szCs w:val="18"/>
          <w:lang w:eastAsia="en-US"/>
        </w:rPr>
      </w:pPr>
      <w:r w:rsidRPr="005E65FE">
        <w:rPr>
          <w:i/>
          <w:sz w:val="18"/>
          <w:szCs w:val="18"/>
          <w:lang w:eastAsia="en-US"/>
        </w:rPr>
        <w:t>*The number of entitlements held and gaming machines operated will be a function of and calculated by taking each venue’s monthly average over the 2012-13 financial year (from 16 August 2012 to 30 June 2013).</w:t>
      </w:r>
    </w:p>
    <w:p w:rsidR="0007265F" w:rsidRPr="005E65FE" w:rsidRDefault="0007265F" w:rsidP="006F596F">
      <w:pPr>
        <w:spacing w:before="0" w:after="240"/>
        <w:ind w:left="993"/>
        <w:rPr>
          <w:i/>
          <w:sz w:val="18"/>
          <w:szCs w:val="18"/>
        </w:rPr>
      </w:pPr>
      <w:r>
        <w:rPr>
          <w:i/>
          <w:sz w:val="18"/>
          <w:szCs w:val="18"/>
          <w:lang w:eastAsia="en-US"/>
        </w:rPr>
        <w:t xml:space="preserve">** This is the first time the supervision charge on </w:t>
      </w:r>
      <w:r w:rsidR="004D16D4">
        <w:rPr>
          <w:i/>
          <w:sz w:val="18"/>
          <w:szCs w:val="18"/>
          <w:lang w:eastAsia="en-US"/>
        </w:rPr>
        <w:t>v</w:t>
      </w:r>
      <w:r w:rsidR="00472069">
        <w:rPr>
          <w:i/>
          <w:sz w:val="18"/>
          <w:szCs w:val="18"/>
          <w:lang w:eastAsia="en-US"/>
        </w:rPr>
        <w:t xml:space="preserve">enue </w:t>
      </w:r>
      <w:r w:rsidR="004D16D4">
        <w:rPr>
          <w:i/>
          <w:sz w:val="18"/>
          <w:szCs w:val="18"/>
          <w:lang w:eastAsia="en-US"/>
        </w:rPr>
        <w:t>o</w:t>
      </w:r>
      <w:r w:rsidR="00472069">
        <w:rPr>
          <w:i/>
          <w:sz w:val="18"/>
          <w:szCs w:val="18"/>
          <w:lang w:eastAsia="en-US"/>
        </w:rPr>
        <w:t>perator</w:t>
      </w:r>
      <w:r>
        <w:rPr>
          <w:i/>
          <w:sz w:val="18"/>
          <w:szCs w:val="18"/>
          <w:lang w:eastAsia="en-US"/>
        </w:rPr>
        <w:t xml:space="preserve">s (under Section 3.6.5A of the </w:t>
      </w:r>
      <w:r w:rsidR="00C46DDC">
        <w:rPr>
          <w:i/>
          <w:sz w:val="18"/>
          <w:szCs w:val="18"/>
          <w:lang w:eastAsia="en-US"/>
        </w:rPr>
        <w:t>GRA</w:t>
      </w:r>
      <w:r>
        <w:rPr>
          <w:i/>
          <w:sz w:val="18"/>
          <w:szCs w:val="18"/>
          <w:lang w:eastAsia="en-US"/>
        </w:rPr>
        <w:t>) is being determined.</w:t>
      </w:r>
    </w:p>
    <w:p w:rsidR="0007265F" w:rsidRDefault="0007265F" w:rsidP="006F596F">
      <w:pPr>
        <w:spacing w:before="240" w:after="240"/>
      </w:pPr>
      <w:r w:rsidRPr="00470CA0">
        <w:rPr>
          <w:noProof/>
        </w:rPr>
        <mc:AlternateContent>
          <mc:Choice Requires="wps">
            <w:drawing>
              <wp:anchor distT="0" distB="0" distL="114300" distR="114300" simplePos="0" relativeHeight="251703296" behindDoc="0" locked="0" layoutInCell="1" allowOverlap="1" wp14:anchorId="58D608A7" wp14:editId="2616CC41">
                <wp:simplePos x="0" y="0"/>
                <wp:positionH relativeFrom="column">
                  <wp:posOffset>551180</wp:posOffset>
                </wp:positionH>
                <wp:positionV relativeFrom="paragraph">
                  <wp:posOffset>16722</wp:posOffset>
                </wp:positionV>
                <wp:extent cx="5347970" cy="2038350"/>
                <wp:effectExtent l="0" t="0" r="5080" b="0"/>
                <wp:wrapNone/>
                <wp:docPr id="7" name="Text Box 7"/>
                <wp:cNvGraphicFramePr/>
                <a:graphic xmlns:a="http://schemas.openxmlformats.org/drawingml/2006/main">
                  <a:graphicData uri="http://schemas.microsoft.com/office/word/2010/wordprocessingShape">
                    <wps:wsp>
                      <wps:cNvSpPr txBox="1"/>
                      <wps:spPr>
                        <a:xfrm>
                          <a:off x="0" y="0"/>
                          <a:ext cx="5347970" cy="2038350"/>
                        </a:xfrm>
                        <a:prstGeom prst="rect">
                          <a:avLst/>
                        </a:prstGeom>
                        <a:solidFill>
                          <a:sysClr val="window" lastClr="FFFFFF">
                            <a:lumMod val="85000"/>
                          </a:sysClr>
                        </a:solidFill>
                        <a:ln w="6350">
                          <a:noFill/>
                        </a:ln>
                        <a:effectLst/>
                      </wps:spPr>
                      <wps:txbx>
                        <w:txbxContent>
                          <w:p w:rsidR="004F14D1" w:rsidRPr="00470CA0" w:rsidRDefault="004F14D1" w:rsidP="0007265F">
                            <w:pPr>
                              <w:ind w:left="0"/>
                              <w:rPr>
                                <w:b/>
                              </w:rPr>
                            </w:pPr>
                            <w:r w:rsidRPr="00470CA0">
                              <w:rPr>
                                <w:b/>
                              </w:rPr>
                              <w:t xml:space="preserve">Box </w:t>
                            </w:r>
                            <w:r>
                              <w:rPr>
                                <w:b/>
                              </w:rPr>
                              <w:t>E</w:t>
                            </w:r>
                            <w:r w:rsidRPr="00470CA0">
                              <w:rPr>
                                <w:b/>
                              </w:rPr>
                              <w:t xml:space="preserve">.1 – </w:t>
                            </w:r>
                            <w:r>
                              <w:rPr>
                                <w:b/>
                              </w:rPr>
                              <w:t>Proposed 2012-13 supervision charge</w:t>
                            </w:r>
                            <w:r w:rsidRPr="00470CA0">
                              <w:rPr>
                                <w:b/>
                              </w:rPr>
                              <w:t xml:space="preserve"> worked example</w:t>
                            </w:r>
                          </w:p>
                          <w:p w:rsidR="004F14D1" w:rsidRPr="00284AB8" w:rsidRDefault="004F14D1" w:rsidP="0007265F">
                            <w:pPr>
                              <w:ind w:left="0"/>
                            </w:pPr>
                            <w:r w:rsidRPr="00284AB8">
                              <w:t xml:space="preserve">Consider a venue operator that owns a total of 50 gaming machine entitlements. The venue </w:t>
                            </w:r>
                            <w:r>
                              <w:t>is currently using</w:t>
                            </w:r>
                            <w:r w:rsidRPr="00284AB8">
                              <w:t xml:space="preserve"> 40 entitlemen</w:t>
                            </w:r>
                            <w:r>
                              <w:t>ts by attaching and operating a gaming machine</w:t>
                            </w:r>
                            <w:r w:rsidRPr="00284AB8">
                              <w:t xml:space="preserve">, leaving 10 unused entitlements. </w:t>
                            </w:r>
                          </w:p>
                          <w:p w:rsidR="004F14D1" w:rsidRPr="00284AB8" w:rsidRDefault="004F14D1" w:rsidP="0007265F">
                            <w:pPr>
                              <w:ind w:left="0"/>
                            </w:pPr>
                            <w:r w:rsidRPr="00284AB8">
                              <w:t>The supervision charge payable by this venue</w:t>
                            </w:r>
                            <w:r>
                              <w:t xml:space="preserve"> for 2012-13</w:t>
                            </w:r>
                            <w:r w:rsidRPr="00284AB8">
                              <w:t xml:space="preserve"> is $</w:t>
                            </w:r>
                            <w:r>
                              <w:t>8 485</w:t>
                            </w:r>
                            <w:r w:rsidRPr="00284AB8">
                              <w:t xml:space="preserve"> and is calculated as follows:</w:t>
                            </w:r>
                          </w:p>
                          <w:p w:rsidR="004F14D1" w:rsidRDefault="004F14D1" w:rsidP="0007265F">
                            <w:pPr>
                              <w:ind w:left="567"/>
                              <w:contextualSpacing/>
                              <w:rPr>
                                <w:i/>
                              </w:rPr>
                            </w:pPr>
                            <w:r w:rsidRPr="00284AB8">
                              <w:rPr>
                                <w:i/>
                              </w:rPr>
                              <w:t>Supervision charge = (</w:t>
                            </w:r>
                            <w:r>
                              <w:rPr>
                                <w:i/>
                              </w:rPr>
                              <w:t>$16.36 X 50 entitlements) + ($191.67 X 40 gaming machines)</w:t>
                            </w:r>
                          </w:p>
                          <w:p w:rsidR="004F14D1" w:rsidRDefault="004F14D1" w:rsidP="0007265F">
                            <w:pPr>
                              <w:ind w:left="2268"/>
                              <w:contextualSpacing/>
                              <w:rPr>
                                <w:i/>
                              </w:rPr>
                            </w:pPr>
                            <w:r>
                              <w:rPr>
                                <w:i/>
                              </w:rPr>
                              <w:t>= $818 + $7 667</w:t>
                            </w:r>
                          </w:p>
                          <w:p w:rsidR="004F14D1" w:rsidRDefault="004F14D1" w:rsidP="0007265F">
                            <w:pPr>
                              <w:ind w:left="2268"/>
                              <w:contextualSpacing/>
                              <w:rPr>
                                <w:i/>
                              </w:rPr>
                            </w:pPr>
                            <w:r>
                              <w:rPr>
                                <w:i/>
                              </w:rPr>
                              <w:t>= $8 485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43.4pt;margin-top:1.3pt;width:421.1pt;height:160.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" fillcolor="#d9d9d9" stroked="f" strokeweight=".5pt">
                <v:textbox>
                  <w:txbxContent>
                    <w:p w:rsidR="004F14D1" w:rsidRPr="00470CA0" w:rsidRDefault="004F14D1" w:rsidP="0007265F">
                      <w:pPr>
                        <w:ind w:left="0"/>
                        <w:rPr>
                          <w:b/>
                        </w:rPr>
                      </w:pPr>
                      <w:r w:rsidRPr="00470CA0">
                        <w:rPr>
                          <w:b/>
                        </w:rPr>
                        <w:t xml:space="preserve">Box </w:t>
                      </w:r>
                      <w:r>
                        <w:rPr>
                          <w:b/>
                        </w:rPr>
                        <w:t>E</w:t>
                      </w:r>
                      <w:r w:rsidRPr="00470CA0">
                        <w:rPr>
                          <w:b/>
                        </w:rPr>
                        <w:t xml:space="preserve">.1 – </w:t>
                      </w:r>
                      <w:r>
                        <w:rPr>
                          <w:b/>
                        </w:rPr>
                        <w:t>Proposed 2012-13 supervision charge</w:t>
                      </w:r>
                      <w:r w:rsidRPr="00470CA0">
                        <w:rPr>
                          <w:b/>
                        </w:rPr>
                        <w:t xml:space="preserve"> worked example</w:t>
                      </w:r>
                    </w:p>
                    <w:p w:rsidR="004F14D1" w:rsidRPr="00284AB8" w:rsidRDefault="004F14D1" w:rsidP="0007265F">
                      <w:pPr>
                        <w:ind w:left="0"/>
                      </w:pPr>
                      <w:r w:rsidRPr="00284AB8">
                        <w:t xml:space="preserve">Consider a venue operator that owns a total of 50 gaming machine entitlements. The venue </w:t>
                      </w:r>
                      <w:r>
                        <w:t>is currently using</w:t>
                      </w:r>
                      <w:r w:rsidRPr="00284AB8">
                        <w:t xml:space="preserve"> 40 entitlemen</w:t>
                      </w:r>
                      <w:r>
                        <w:t>ts by attaching and operating a gaming machine</w:t>
                      </w:r>
                      <w:r w:rsidRPr="00284AB8">
                        <w:t xml:space="preserve">, leaving 10 unused entitlements. </w:t>
                      </w:r>
                    </w:p>
                    <w:p w:rsidR="004F14D1" w:rsidRPr="00284AB8" w:rsidRDefault="004F14D1" w:rsidP="0007265F">
                      <w:pPr>
                        <w:ind w:left="0"/>
                      </w:pPr>
                      <w:r w:rsidRPr="00284AB8">
                        <w:t>The supervision charge payable by this venue</w:t>
                      </w:r>
                      <w:r>
                        <w:t xml:space="preserve"> for 2012-13</w:t>
                      </w:r>
                      <w:r w:rsidRPr="00284AB8">
                        <w:t xml:space="preserve"> is $</w:t>
                      </w:r>
                      <w:r>
                        <w:t>8 485</w:t>
                      </w:r>
                      <w:r w:rsidRPr="00284AB8">
                        <w:t xml:space="preserve"> and is calculated as follows:</w:t>
                      </w:r>
                    </w:p>
                    <w:p w:rsidR="004F14D1" w:rsidRDefault="004F14D1" w:rsidP="0007265F">
                      <w:pPr>
                        <w:ind w:left="567"/>
                        <w:contextualSpacing/>
                        <w:rPr>
                          <w:i/>
                        </w:rPr>
                      </w:pPr>
                      <w:r w:rsidRPr="00284AB8">
                        <w:rPr>
                          <w:i/>
                        </w:rPr>
                        <w:t>Supervision charge = (</w:t>
                      </w:r>
                      <w:r>
                        <w:rPr>
                          <w:i/>
                        </w:rPr>
                        <w:t>$16.36 X 50 entitlements) + ($191.67 X 40 gaming machines)</w:t>
                      </w:r>
                    </w:p>
                    <w:p w:rsidR="004F14D1" w:rsidRDefault="004F14D1" w:rsidP="0007265F">
                      <w:pPr>
                        <w:ind w:left="2268"/>
                        <w:contextualSpacing/>
                        <w:rPr>
                          <w:i/>
                        </w:rPr>
                      </w:pPr>
                      <w:r>
                        <w:rPr>
                          <w:i/>
                        </w:rPr>
                        <w:t>= $818 + $7 667</w:t>
                      </w:r>
                    </w:p>
                    <w:p w:rsidR="004F14D1" w:rsidRDefault="004F14D1" w:rsidP="0007265F">
                      <w:pPr>
                        <w:ind w:left="2268"/>
                        <w:contextualSpacing/>
                        <w:rPr>
                          <w:i/>
                        </w:rPr>
                      </w:pPr>
                      <w:r>
                        <w:rPr>
                          <w:i/>
                        </w:rPr>
                        <w:t>= $8 485</w:t>
                      </w:r>
                    </w:p>
                  </w:txbxContent>
                </v:textbox>
              </v:shape>
            </w:pict>
          </mc:Fallback>
        </mc:AlternateContent>
      </w:r>
    </w:p>
    <w:p w:rsidR="0007265F" w:rsidRDefault="0007265F" w:rsidP="006F596F">
      <w:pPr>
        <w:spacing w:before="240" w:after="240"/>
      </w:pPr>
    </w:p>
    <w:p w:rsidR="0007265F" w:rsidRDefault="0007265F" w:rsidP="006F596F">
      <w:pPr>
        <w:spacing w:before="240" w:after="240"/>
      </w:pPr>
    </w:p>
    <w:p w:rsidR="0007265F" w:rsidRDefault="0007265F" w:rsidP="006F596F">
      <w:pPr>
        <w:spacing w:before="240" w:after="240"/>
      </w:pPr>
    </w:p>
    <w:p w:rsidR="0007265F" w:rsidRDefault="0007265F" w:rsidP="006F596F">
      <w:pPr>
        <w:spacing w:before="240" w:after="240"/>
      </w:pPr>
    </w:p>
    <w:p w:rsidR="0007265F" w:rsidRDefault="0007265F" w:rsidP="006F596F">
      <w:pPr>
        <w:spacing w:before="240" w:after="240"/>
      </w:pPr>
    </w:p>
    <w:p w:rsidR="0007265F" w:rsidRDefault="0007265F" w:rsidP="006F596F">
      <w:pPr>
        <w:spacing w:before="240" w:after="240"/>
      </w:pPr>
    </w:p>
    <w:p w:rsidR="00B14372" w:rsidRDefault="00B14372">
      <w:pPr>
        <w:spacing w:before="0" w:after="0"/>
        <w:ind w:left="0"/>
      </w:pPr>
    </w:p>
    <w:p w:rsidR="006409DB" w:rsidRDefault="006409DB">
      <w:pPr>
        <w:spacing w:before="0" w:after="0"/>
        <w:ind w:left="0"/>
      </w:pPr>
    </w:p>
    <w:p w:rsidR="006409DB" w:rsidRDefault="006409DB">
      <w:pPr>
        <w:spacing w:before="0" w:after="0"/>
        <w:ind w:left="0"/>
      </w:pPr>
    </w:p>
    <w:p w:rsidR="006F596F" w:rsidRPr="005E65FE" w:rsidRDefault="006F596F" w:rsidP="006F596F">
      <w:pPr>
        <w:spacing w:before="240" w:after="240"/>
      </w:pPr>
      <w:r>
        <w:t>Separately accounting for the costs of gaming entitlements</w:t>
      </w:r>
      <w:r w:rsidR="00472069">
        <w:t xml:space="preserve"> and gaming machines</w:t>
      </w:r>
      <w:r>
        <w:t xml:space="preserve"> is considered appropriate in a year </w:t>
      </w:r>
      <w:r w:rsidR="00391229">
        <w:t>where Victoria has</w:t>
      </w:r>
      <w:r>
        <w:t xml:space="preserve"> transition</w:t>
      </w:r>
      <w:r w:rsidR="00391229">
        <w:t>ed</w:t>
      </w:r>
      <w:r>
        <w:t xml:space="preserve"> to a new gaming regulatory model. </w:t>
      </w:r>
      <w:r w:rsidR="00391229">
        <w:t>The proposed charge</w:t>
      </w:r>
      <w:r>
        <w:t xml:space="preserve"> recognises the different costs associated with </w:t>
      </w:r>
      <w:r w:rsidR="009718F7">
        <w:t>administeri</w:t>
      </w:r>
      <w:r>
        <w:t>ng the entitlement system compared to</w:t>
      </w:r>
      <w:r w:rsidR="009718F7">
        <w:t xml:space="preserve"> regulating</w:t>
      </w:r>
      <w:r>
        <w:t xml:space="preserve"> operating gaming machines. Further, it accounts for the proportion of entitlements that were not in use in 2012-13 for factors out of the control of </w:t>
      </w:r>
      <w:r w:rsidR="009718F7">
        <w:t>some</w:t>
      </w:r>
      <w:r>
        <w:t xml:space="preserve"> </w:t>
      </w:r>
      <w:r w:rsidR="004D16D4">
        <w:t>venue o</w:t>
      </w:r>
      <w:r w:rsidR="00472069">
        <w:t>perator</w:t>
      </w:r>
      <w:r w:rsidR="009718F7">
        <w:t>s</w:t>
      </w:r>
      <w:r>
        <w:t xml:space="preserve"> (e.g. building a new venue). </w:t>
      </w:r>
    </w:p>
    <w:p w:rsidR="006F596F" w:rsidRDefault="00C46DDC" w:rsidP="006F596F">
      <w:pPr>
        <w:spacing w:before="240" w:after="240"/>
        <w:rPr>
          <w:szCs w:val="24"/>
        </w:rPr>
      </w:pPr>
      <w:r>
        <w:rPr>
          <w:szCs w:val="24"/>
        </w:rPr>
        <w:t>The Department of Treasury and Finance (</w:t>
      </w:r>
      <w:r w:rsidR="006F596F" w:rsidRPr="00040788">
        <w:rPr>
          <w:szCs w:val="24"/>
        </w:rPr>
        <w:t>DTF</w:t>
      </w:r>
      <w:r>
        <w:rPr>
          <w:szCs w:val="24"/>
        </w:rPr>
        <w:t>)</w:t>
      </w:r>
      <w:r w:rsidR="006F596F" w:rsidRPr="00040788">
        <w:rPr>
          <w:szCs w:val="24"/>
        </w:rPr>
        <w:t>, in conjunction with the VCGLR will review the implementation of the p</w:t>
      </w:r>
      <w:r w:rsidR="006F596F">
        <w:rPr>
          <w:szCs w:val="24"/>
        </w:rPr>
        <w:t>roposed</w:t>
      </w:r>
      <w:r w:rsidR="006F596F" w:rsidRPr="00040788">
        <w:rPr>
          <w:szCs w:val="24"/>
        </w:rPr>
        <w:t xml:space="preserve"> </w:t>
      </w:r>
      <w:r w:rsidR="006F596F">
        <w:rPr>
          <w:szCs w:val="24"/>
        </w:rPr>
        <w:t>supervision charge</w:t>
      </w:r>
      <w:r w:rsidR="006F596F" w:rsidRPr="00040788">
        <w:rPr>
          <w:szCs w:val="24"/>
        </w:rPr>
        <w:t xml:space="preserve"> </w:t>
      </w:r>
      <w:r w:rsidR="00472069">
        <w:rPr>
          <w:szCs w:val="24"/>
        </w:rPr>
        <w:t>once it is implemented</w:t>
      </w:r>
      <w:r w:rsidR="006F596F">
        <w:rPr>
          <w:szCs w:val="24"/>
        </w:rPr>
        <w:t>.</w:t>
      </w:r>
      <w:r w:rsidR="006F596F" w:rsidRPr="00040788">
        <w:rPr>
          <w:szCs w:val="24"/>
        </w:rPr>
        <w:t xml:space="preserve"> </w:t>
      </w:r>
    </w:p>
    <w:p w:rsidR="00D80F64" w:rsidRPr="00040788" w:rsidRDefault="00D80F64" w:rsidP="00D80F64">
      <w:pPr>
        <w:spacing w:before="240" w:after="240"/>
        <w:rPr>
          <w:szCs w:val="24"/>
        </w:rPr>
      </w:pPr>
      <w:r w:rsidRPr="00040788">
        <w:rPr>
          <w:szCs w:val="24"/>
        </w:rPr>
        <w:t xml:space="preserve">Views from the public are welcome on any part of this RIS and the gaming supervision charge arrangements in general. </w:t>
      </w:r>
      <w:r w:rsidR="00D15F0F" w:rsidRPr="000C3DED">
        <w:t xml:space="preserve">The closing </w:t>
      </w:r>
      <w:r w:rsidR="004D6C02">
        <w:t>date for submissions is 5pm on 5</w:t>
      </w:r>
      <w:r w:rsidR="00D15F0F" w:rsidRPr="000C3DED">
        <w:t xml:space="preserve"> July 2013</w:t>
      </w:r>
      <w:r w:rsidR="00D15F0F">
        <w:t xml:space="preserve">. </w:t>
      </w:r>
      <w:r w:rsidR="00D15F0F">
        <w:rPr>
          <w:szCs w:val="24"/>
        </w:rPr>
        <w:t>L</w:t>
      </w:r>
      <w:r w:rsidRPr="00040788">
        <w:rPr>
          <w:szCs w:val="24"/>
        </w:rPr>
        <w:t>isted below are questions that DTF is particularly interested in receiving views on:</w:t>
      </w:r>
    </w:p>
    <w:p w:rsidR="00D80F64" w:rsidRPr="005B62AD" w:rsidRDefault="00D80F64" w:rsidP="00115476">
      <w:pPr>
        <w:numPr>
          <w:ilvl w:val="0"/>
          <w:numId w:val="47"/>
        </w:numPr>
        <w:tabs>
          <w:tab w:val="left" w:pos="1560"/>
        </w:tabs>
        <w:spacing w:before="240" w:after="240"/>
        <w:rPr>
          <w:szCs w:val="24"/>
        </w:rPr>
      </w:pPr>
      <w:r w:rsidRPr="005B62AD">
        <w:rPr>
          <w:szCs w:val="24"/>
        </w:rPr>
        <w:t>What other costs or impacts for stakeholders not already discussed are likely if the proposed supervision charge is implemented?</w:t>
      </w:r>
    </w:p>
    <w:p w:rsidR="00D80F64" w:rsidRPr="005B62AD" w:rsidRDefault="00D80F64" w:rsidP="00115476">
      <w:pPr>
        <w:numPr>
          <w:ilvl w:val="0"/>
          <w:numId w:val="47"/>
        </w:numPr>
        <w:tabs>
          <w:tab w:val="left" w:pos="1560"/>
        </w:tabs>
        <w:spacing w:before="240" w:after="240"/>
        <w:rPr>
          <w:szCs w:val="24"/>
        </w:rPr>
      </w:pPr>
      <w:r w:rsidRPr="005B62AD">
        <w:rPr>
          <w:szCs w:val="24"/>
        </w:rPr>
        <w:t>Are any alternative options that meet the objectives of the supervision charge available, or are any of the options identified preferred and if so why?</w:t>
      </w:r>
    </w:p>
    <w:p w:rsidR="00D80F64" w:rsidRDefault="00D80F64" w:rsidP="00115476">
      <w:pPr>
        <w:numPr>
          <w:ilvl w:val="0"/>
          <w:numId w:val="47"/>
        </w:numPr>
        <w:tabs>
          <w:tab w:val="left" w:pos="1560"/>
        </w:tabs>
        <w:spacing w:before="240" w:after="240"/>
        <w:rPr>
          <w:szCs w:val="24"/>
        </w:rPr>
      </w:pPr>
      <w:r w:rsidRPr="005B62AD">
        <w:rPr>
          <w:szCs w:val="24"/>
        </w:rPr>
        <w:t>What additional measures could assist in the successful implementation of the proposed supervision charge?</w:t>
      </w:r>
    </w:p>
    <w:p w:rsidR="00050023" w:rsidRPr="00050023" w:rsidRDefault="00050023" w:rsidP="00050023">
      <w:pPr>
        <w:spacing w:before="240" w:after="240"/>
        <w:rPr>
          <w:szCs w:val="24"/>
        </w:rPr>
      </w:pPr>
      <w:r w:rsidRPr="00050023">
        <w:rPr>
          <w:szCs w:val="24"/>
        </w:rPr>
        <w:t>Submissions can be sent</w:t>
      </w:r>
      <w:r>
        <w:rPr>
          <w:szCs w:val="24"/>
        </w:rPr>
        <w:t xml:space="preserve"> by</w:t>
      </w:r>
      <w:r w:rsidRPr="00050023">
        <w:rPr>
          <w:szCs w:val="24"/>
        </w:rPr>
        <w:t>:</w:t>
      </w:r>
    </w:p>
    <w:p w:rsidR="00050023" w:rsidRPr="00050023" w:rsidRDefault="00050023" w:rsidP="00050023">
      <w:pPr>
        <w:pStyle w:val="ListParagraph"/>
        <w:spacing w:before="240" w:after="240"/>
        <w:ind w:left="1514"/>
        <w:rPr>
          <w:i/>
        </w:rPr>
      </w:pPr>
      <w:r>
        <w:rPr>
          <w:i/>
        </w:rPr>
        <w:t>Post</w:t>
      </w:r>
    </w:p>
    <w:p w:rsidR="00050023" w:rsidRPr="000C3DED" w:rsidRDefault="00050023" w:rsidP="00050023">
      <w:pPr>
        <w:pStyle w:val="ListParagraph"/>
        <w:spacing w:before="120" w:after="120"/>
        <w:ind w:left="1514"/>
        <w:rPr>
          <w:lang w:eastAsia="en-US"/>
        </w:rPr>
      </w:pPr>
      <w:r w:rsidRPr="000C3DED">
        <w:rPr>
          <w:lang w:eastAsia="en-US"/>
        </w:rPr>
        <w:t>Gambling Policy and Litigation Group</w:t>
      </w:r>
    </w:p>
    <w:p w:rsidR="00050023" w:rsidRPr="000C3DED" w:rsidRDefault="00050023" w:rsidP="00050023">
      <w:pPr>
        <w:pStyle w:val="ListParagraph"/>
        <w:spacing w:before="120" w:after="120"/>
        <w:ind w:left="1514"/>
        <w:rPr>
          <w:lang w:eastAsia="en-US"/>
        </w:rPr>
      </w:pPr>
      <w:r w:rsidRPr="000C3DED">
        <w:rPr>
          <w:lang w:eastAsia="en-US"/>
        </w:rPr>
        <w:t>Department of Treasury and Finance</w:t>
      </w:r>
    </w:p>
    <w:p w:rsidR="00050023" w:rsidRPr="000C3DED" w:rsidRDefault="00050023" w:rsidP="00050023">
      <w:pPr>
        <w:pStyle w:val="ListParagraph"/>
        <w:spacing w:before="120" w:after="120"/>
        <w:ind w:left="1514"/>
        <w:rPr>
          <w:lang w:eastAsia="en-US"/>
        </w:rPr>
      </w:pPr>
      <w:r w:rsidRPr="000C3DED">
        <w:rPr>
          <w:lang w:eastAsia="en-US"/>
        </w:rPr>
        <w:t>1 Treasury Place</w:t>
      </w:r>
    </w:p>
    <w:p w:rsidR="00050023" w:rsidRPr="000C3DED" w:rsidRDefault="00050023" w:rsidP="00050023">
      <w:pPr>
        <w:pStyle w:val="ListParagraph"/>
        <w:spacing w:before="120" w:after="120"/>
        <w:ind w:left="1514"/>
        <w:rPr>
          <w:lang w:eastAsia="en-US"/>
        </w:rPr>
      </w:pPr>
      <w:r w:rsidRPr="000C3DED">
        <w:rPr>
          <w:lang w:eastAsia="en-US"/>
        </w:rPr>
        <w:t>East Melbourne</w:t>
      </w:r>
    </w:p>
    <w:p w:rsidR="00050023" w:rsidRPr="000C3DED" w:rsidRDefault="00050023" w:rsidP="00050023">
      <w:pPr>
        <w:pStyle w:val="ListParagraph"/>
        <w:spacing w:before="120" w:after="120"/>
        <w:ind w:left="1514"/>
        <w:rPr>
          <w:lang w:eastAsia="en-US"/>
        </w:rPr>
      </w:pPr>
      <w:r w:rsidRPr="000C3DED">
        <w:rPr>
          <w:lang w:eastAsia="en-US"/>
        </w:rPr>
        <w:t>VIC 3002</w:t>
      </w:r>
    </w:p>
    <w:p w:rsidR="00050023" w:rsidRDefault="00050023" w:rsidP="00050023">
      <w:pPr>
        <w:pStyle w:val="ListParagraph"/>
        <w:spacing w:before="240" w:after="240"/>
        <w:ind w:left="1514"/>
        <w:rPr>
          <w:i/>
          <w:lang w:eastAsia="en-US"/>
        </w:rPr>
      </w:pPr>
    </w:p>
    <w:p w:rsidR="00050023" w:rsidRPr="00050023" w:rsidRDefault="00050023" w:rsidP="00050023">
      <w:pPr>
        <w:pStyle w:val="ListParagraph"/>
        <w:spacing w:before="240" w:after="240"/>
        <w:ind w:left="1514"/>
        <w:rPr>
          <w:i/>
        </w:rPr>
      </w:pPr>
      <w:r>
        <w:rPr>
          <w:i/>
          <w:lang w:eastAsia="en-US"/>
        </w:rPr>
        <w:t>E</w:t>
      </w:r>
      <w:r>
        <w:rPr>
          <w:i/>
        </w:rPr>
        <w:t>mail</w:t>
      </w:r>
    </w:p>
    <w:p w:rsidR="00050023" w:rsidRPr="00050023" w:rsidRDefault="004D13A5" w:rsidP="00050023">
      <w:pPr>
        <w:pStyle w:val="ListParagraph"/>
        <w:spacing w:before="120" w:after="120"/>
        <w:ind w:left="1514"/>
        <w:rPr>
          <w:i/>
        </w:rPr>
      </w:pPr>
      <w:hyperlink r:id="rId19" w:history="1">
        <w:r w:rsidR="00050023" w:rsidRPr="00050023">
          <w:rPr>
            <w:u w:val="single"/>
          </w:rPr>
          <w:t>supervisionchargeris@dtf.vic.gov.au</w:t>
        </w:r>
      </w:hyperlink>
    </w:p>
    <w:p w:rsidR="00463BB2" w:rsidRDefault="00463BB2">
      <w:pPr>
        <w:spacing w:before="0" w:after="0"/>
        <w:ind w:left="0"/>
        <w:rPr>
          <w:sz w:val="24"/>
          <w:szCs w:val="24"/>
          <w:lang w:eastAsia="en-US"/>
        </w:rPr>
      </w:pPr>
      <w:r>
        <w:rPr>
          <w:sz w:val="24"/>
          <w:szCs w:val="24"/>
          <w:lang w:eastAsia="en-US"/>
        </w:rPr>
        <w:br w:type="page"/>
      </w:r>
    </w:p>
    <w:p w:rsidR="00E9220D" w:rsidRPr="00E9220D" w:rsidRDefault="004D16D4" w:rsidP="00E9220D">
      <w:pPr>
        <w:keepNext/>
        <w:keepLines/>
        <w:pageBreakBefore/>
        <w:spacing w:before="0" w:after="1120" w:line="216" w:lineRule="auto"/>
        <w:ind w:hanging="794"/>
        <w:outlineLvl w:val="0"/>
        <w:rPr>
          <w:color w:val="404040"/>
          <w:kern w:val="28"/>
          <w:sz w:val="40"/>
          <w:lang w:eastAsia="en-US"/>
        </w:rPr>
      </w:pPr>
      <w:bookmarkStart w:id="2" w:name="_Toc277145536"/>
      <w:r>
        <w:rPr>
          <w:color w:val="404040"/>
          <w:kern w:val="28"/>
          <w:sz w:val="40"/>
          <w:lang w:eastAsia="en-US"/>
        </w:rPr>
        <w:t>Acronyms and a</w:t>
      </w:r>
      <w:r w:rsidR="00E9220D" w:rsidRPr="00E9220D">
        <w:rPr>
          <w:color w:val="404040"/>
          <w:kern w:val="28"/>
          <w:sz w:val="40"/>
          <w:lang w:eastAsia="en-US"/>
        </w:rPr>
        <w:t>bbreviations</w:t>
      </w:r>
      <w:bookmarkEnd w:id="2"/>
    </w:p>
    <w:p w:rsidR="00E9220D" w:rsidRPr="00E9220D" w:rsidRDefault="00E9220D" w:rsidP="00E9220D">
      <w:pPr>
        <w:spacing w:before="240" w:after="240"/>
      </w:pPr>
      <w:r w:rsidRPr="00E9220D">
        <w:t>DOJ</w:t>
      </w:r>
      <w:r w:rsidRPr="00E9220D">
        <w:tab/>
      </w:r>
      <w:r w:rsidRPr="00E9220D">
        <w:tab/>
        <w:t>Department of Justice</w:t>
      </w:r>
    </w:p>
    <w:p w:rsidR="00E9220D" w:rsidRPr="00E9220D" w:rsidRDefault="00E9220D" w:rsidP="00E9220D">
      <w:pPr>
        <w:spacing w:before="240" w:after="240"/>
      </w:pPr>
      <w:r w:rsidRPr="00E9220D">
        <w:t>DTF</w:t>
      </w:r>
      <w:r w:rsidRPr="00E9220D">
        <w:tab/>
      </w:r>
      <w:r w:rsidRPr="00E9220D">
        <w:tab/>
        <w:t>Department of Treasury and Finance</w:t>
      </w:r>
    </w:p>
    <w:p w:rsidR="00E9220D" w:rsidRPr="00E9220D" w:rsidRDefault="00E9220D" w:rsidP="00E9220D">
      <w:pPr>
        <w:spacing w:before="240" w:after="240"/>
      </w:pPr>
      <w:r w:rsidRPr="00E9220D">
        <w:t>FOI</w:t>
      </w:r>
      <w:r w:rsidRPr="00E9220D">
        <w:tab/>
      </w:r>
      <w:r w:rsidRPr="00E9220D">
        <w:tab/>
        <w:t>Freedom of Information</w:t>
      </w:r>
    </w:p>
    <w:p w:rsidR="00E9220D" w:rsidRPr="00E9220D" w:rsidRDefault="00E9220D" w:rsidP="00E9220D">
      <w:pPr>
        <w:spacing w:before="240" w:after="240"/>
      </w:pPr>
      <w:r w:rsidRPr="00E9220D">
        <w:t>GRA</w:t>
      </w:r>
      <w:r w:rsidRPr="00E9220D">
        <w:tab/>
      </w:r>
      <w:r w:rsidRPr="00E9220D">
        <w:tab/>
      </w:r>
      <w:r w:rsidRPr="00E9220D">
        <w:rPr>
          <w:i/>
        </w:rPr>
        <w:t>Gambling Regulation Act 2003</w:t>
      </w:r>
    </w:p>
    <w:p w:rsidR="00E9220D" w:rsidRPr="00E9220D" w:rsidRDefault="00E9220D" w:rsidP="00E9220D">
      <w:pPr>
        <w:spacing w:before="240" w:after="240"/>
      </w:pPr>
      <w:r w:rsidRPr="00E9220D">
        <w:t>MCA</w:t>
      </w:r>
      <w:r w:rsidRPr="00E9220D">
        <w:tab/>
      </w:r>
      <w:r w:rsidRPr="00E9220D">
        <w:tab/>
        <w:t>Multi-Criteria Analysis</w:t>
      </w:r>
    </w:p>
    <w:p w:rsidR="00E9220D" w:rsidRPr="00E9220D" w:rsidRDefault="00E9220D" w:rsidP="00E9220D">
      <w:pPr>
        <w:spacing w:before="240" w:after="240"/>
      </w:pPr>
      <w:r w:rsidRPr="00E9220D">
        <w:t>NCP</w:t>
      </w:r>
      <w:r w:rsidRPr="00E9220D">
        <w:tab/>
      </w:r>
      <w:r w:rsidRPr="00E9220D">
        <w:tab/>
        <w:t>National Competition Policy</w:t>
      </w:r>
    </w:p>
    <w:p w:rsidR="00E9220D" w:rsidRPr="00E9220D" w:rsidRDefault="00E9220D" w:rsidP="00E9220D">
      <w:pPr>
        <w:spacing w:before="240" w:after="240"/>
      </w:pPr>
      <w:r w:rsidRPr="00E9220D">
        <w:t>NCPA</w:t>
      </w:r>
      <w:r w:rsidRPr="00E9220D">
        <w:tab/>
      </w:r>
      <w:r w:rsidRPr="00E9220D">
        <w:tab/>
        <w:t>National Competition Policy Agreements</w:t>
      </w:r>
    </w:p>
    <w:p w:rsidR="00E9220D" w:rsidRPr="00E9220D" w:rsidRDefault="00E9220D" w:rsidP="00E9220D">
      <w:pPr>
        <w:spacing w:before="240" w:after="240"/>
      </w:pPr>
      <w:r w:rsidRPr="00E9220D">
        <w:t>RIS</w:t>
      </w:r>
      <w:r w:rsidRPr="00E9220D">
        <w:tab/>
      </w:r>
      <w:r w:rsidRPr="00E9220D">
        <w:tab/>
        <w:t>Regulatory Impact Statement</w:t>
      </w:r>
    </w:p>
    <w:p w:rsidR="00E9220D" w:rsidRPr="00E9220D" w:rsidRDefault="00E9220D" w:rsidP="00E9220D">
      <w:pPr>
        <w:spacing w:before="240" w:after="240"/>
        <w:rPr>
          <w:i/>
        </w:rPr>
      </w:pPr>
      <w:r w:rsidRPr="00E9220D">
        <w:t>SLA</w:t>
      </w:r>
      <w:r w:rsidRPr="00E9220D">
        <w:tab/>
      </w:r>
      <w:r w:rsidRPr="00E9220D">
        <w:tab/>
      </w:r>
      <w:r w:rsidRPr="00E9220D">
        <w:rPr>
          <w:i/>
        </w:rPr>
        <w:t>Subordinate Legislation Act 1994</w:t>
      </w:r>
    </w:p>
    <w:p w:rsidR="00E9220D" w:rsidRPr="00E9220D" w:rsidRDefault="00E9220D" w:rsidP="00E9220D">
      <w:pPr>
        <w:spacing w:before="240" w:after="240"/>
      </w:pPr>
      <w:r w:rsidRPr="00E9220D">
        <w:t>TCS</w:t>
      </w:r>
      <w:r w:rsidRPr="00E9220D">
        <w:tab/>
      </w:r>
      <w:r w:rsidRPr="00E9220D">
        <w:tab/>
        <w:t>Time Costing System</w:t>
      </w:r>
    </w:p>
    <w:p w:rsidR="0027234B" w:rsidRDefault="00E9220D" w:rsidP="00E9220D">
      <w:pPr>
        <w:spacing w:before="240" w:after="240"/>
      </w:pPr>
      <w:r w:rsidRPr="00E9220D">
        <w:t>VCGLR</w:t>
      </w:r>
      <w:r w:rsidRPr="00E9220D">
        <w:tab/>
      </w:r>
      <w:r w:rsidRPr="00E9220D">
        <w:tab/>
        <w:t>Victorian Commission for Gambling and Liquor Regulation</w:t>
      </w:r>
    </w:p>
    <w:p w:rsidR="006409DB" w:rsidRDefault="006409DB" w:rsidP="00E9220D">
      <w:pPr>
        <w:spacing w:before="240" w:after="240"/>
      </w:pPr>
    </w:p>
    <w:p w:rsidR="006409DB" w:rsidRDefault="006409DB" w:rsidP="00E9220D">
      <w:pPr>
        <w:spacing w:before="240" w:after="240"/>
      </w:pPr>
    </w:p>
    <w:p w:rsidR="006409DB" w:rsidRDefault="006409DB" w:rsidP="00E9220D">
      <w:pPr>
        <w:spacing w:before="240" w:after="240"/>
      </w:pPr>
    </w:p>
    <w:p w:rsidR="006409DB" w:rsidRDefault="006409DB" w:rsidP="00E9220D">
      <w:pPr>
        <w:spacing w:before="240" w:after="240"/>
      </w:pPr>
    </w:p>
    <w:p w:rsidR="006409DB" w:rsidRDefault="006409DB" w:rsidP="00E9220D">
      <w:pPr>
        <w:spacing w:before="240" w:after="240"/>
      </w:pPr>
    </w:p>
    <w:p w:rsidR="006409DB" w:rsidRDefault="006409DB" w:rsidP="00E9220D">
      <w:pPr>
        <w:spacing w:before="240" w:after="240"/>
      </w:pPr>
    </w:p>
    <w:p w:rsidR="006409DB" w:rsidRDefault="006409DB" w:rsidP="00E9220D">
      <w:pPr>
        <w:spacing w:before="240" w:after="240"/>
      </w:pPr>
    </w:p>
    <w:p w:rsidR="006409DB" w:rsidRDefault="006409DB" w:rsidP="00E9220D">
      <w:pPr>
        <w:spacing w:before="240" w:after="240"/>
      </w:pPr>
    </w:p>
    <w:p w:rsidR="006409DB" w:rsidRDefault="006409DB" w:rsidP="00E9220D">
      <w:pPr>
        <w:spacing w:before="240" w:after="240"/>
      </w:pPr>
    </w:p>
    <w:p w:rsidR="006409DB" w:rsidRDefault="006409DB" w:rsidP="00E9220D">
      <w:pPr>
        <w:spacing w:before="240" w:after="240"/>
      </w:pPr>
    </w:p>
    <w:p w:rsidR="006409DB" w:rsidRDefault="006409DB" w:rsidP="00E9220D">
      <w:pPr>
        <w:spacing w:before="240" w:after="240"/>
      </w:pPr>
    </w:p>
    <w:p w:rsidR="006409DB" w:rsidRDefault="006409DB" w:rsidP="00E9220D">
      <w:pPr>
        <w:spacing w:before="240" w:after="240"/>
      </w:pPr>
    </w:p>
    <w:p w:rsidR="006409DB" w:rsidRDefault="006409DB" w:rsidP="00E9220D">
      <w:pPr>
        <w:spacing w:before="240" w:after="240"/>
        <w:rPr>
          <w:sz w:val="24"/>
          <w:szCs w:val="24"/>
          <w:lang w:eastAsia="en-US"/>
        </w:rPr>
      </w:pPr>
    </w:p>
    <w:p w:rsidR="00D15511" w:rsidRPr="00D15511" w:rsidRDefault="004D16D4" w:rsidP="00B841E4">
      <w:pPr>
        <w:pStyle w:val="Heading1"/>
        <w:numPr>
          <w:ilvl w:val="0"/>
          <w:numId w:val="42"/>
        </w:numPr>
      </w:pPr>
      <w:bookmarkStart w:id="3" w:name="_Toc356830844"/>
      <w:r>
        <w:t>Introduction and</w:t>
      </w:r>
      <w:r w:rsidR="00D15511" w:rsidRPr="00D15511">
        <w:t xml:space="preserve"> </w:t>
      </w:r>
      <w:r w:rsidR="00C27A13">
        <w:t>b</w:t>
      </w:r>
      <w:r w:rsidR="00D15511" w:rsidRPr="00D15511">
        <w:t>ackground</w:t>
      </w:r>
      <w:bookmarkEnd w:id="3"/>
    </w:p>
    <w:p w:rsidR="00D15511" w:rsidRPr="000C3DED" w:rsidRDefault="00D15511" w:rsidP="00D15511">
      <w:pPr>
        <w:spacing w:before="200" w:after="200"/>
      </w:pPr>
      <w:r w:rsidRPr="000C3DED">
        <w:t xml:space="preserve">In Victoria, gaming machines are principally regulated under the </w:t>
      </w:r>
      <w:r w:rsidRPr="000C3DED">
        <w:rPr>
          <w:i/>
        </w:rPr>
        <w:t>Gambling Regulation Act 2003</w:t>
      </w:r>
      <w:r w:rsidRPr="000C3DED">
        <w:t xml:space="preserve"> (GRA). The industry is subject to a high degree of regulation in order to foster responsible gambling and ensure measures are in place to assist and protect gamblers.</w:t>
      </w:r>
    </w:p>
    <w:p w:rsidR="00D15511" w:rsidRPr="000C3DED" w:rsidRDefault="00D15511" w:rsidP="00D15511">
      <w:pPr>
        <w:spacing w:before="200" w:after="200"/>
      </w:pPr>
      <w:r w:rsidRPr="000C3DED">
        <w:t>The gaming industry recently underwent a significant transformation. On 10 April 2008, the Government annou</w:t>
      </w:r>
      <w:r w:rsidR="00F12E44">
        <w:t>nced a new regulatory and licens</w:t>
      </w:r>
      <w:r w:rsidRPr="000C3DED">
        <w:t>ing regime to commence from 16 August 2012. The main change included transitioning from the gaming operat</w:t>
      </w:r>
      <w:r w:rsidR="00F13192">
        <w:t>or duopoly to a devolved v</w:t>
      </w:r>
      <w:r w:rsidR="004D16D4">
        <w:t>enue o</w:t>
      </w:r>
      <w:r w:rsidRPr="000C3DED">
        <w:t xml:space="preserve">perator system. </w:t>
      </w:r>
    </w:p>
    <w:p w:rsidR="00D15511" w:rsidRPr="000C3DED" w:rsidRDefault="00D15511" w:rsidP="00D15511">
      <w:pPr>
        <w:spacing w:before="240" w:after="0"/>
      </w:pPr>
      <w:r w:rsidRPr="000C3DED">
        <w:t>Today, certain conditions must be met in order to lawfully operate a gaming machine in Victoria:</w:t>
      </w:r>
    </w:p>
    <w:p w:rsidR="00D15511" w:rsidRPr="000C3DED" w:rsidRDefault="004D16D4" w:rsidP="003F7272">
      <w:pPr>
        <w:numPr>
          <w:ilvl w:val="0"/>
          <w:numId w:val="14"/>
        </w:numPr>
        <w:spacing w:before="120" w:after="0"/>
        <w:ind w:left="1559" w:hanging="357"/>
      </w:pPr>
      <w:r>
        <w:t>a venue o</w:t>
      </w:r>
      <w:r w:rsidR="00D15511" w:rsidRPr="000C3DED">
        <w:t xml:space="preserve">perator (e.g. a pub or club) </w:t>
      </w:r>
      <w:r>
        <w:t>must hold a venue o</w:t>
      </w:r>
      <w:r w:rsidR="00D15511" w:rsidRPr="000C3DED">
        <w:t>perator</w:t>
      </w:r>
      <w:r w:rsidR="00472069">
        <w:t>’</w:t>
      </w:r>
      <w:r>
        <w:t>s l</w:t>
      </w:r>
      <w:r w:rsidR="00D15511" w:rsidRPr="000C3DED">
        <w:t>icence, which authorises it to operate a gaming venue and purchase gaming machine entitlements; and</w:t>
      </w:r>
    </w:p>
    <w:p w:rsidR="00D15511" w:rsidRPr="000C3DED" w:rsidRDefault="004D16D4" w:rsidP="003F7272">
      <w:pPr>
        <w:numPr>
          <w:ilvl w:val="0"/>
          <w:numId w:val="14"/>
        </w:numPr>
        <w:spacing w:before="120" w:after="240"/>
        <w:ind w:left="1559" w:hanging="357"/>
      </w:pPr>
      <w:r>
        <w:t>t</w:t>
      </w:r>
      <w:r w:rsidR="00D15511" w:rsidRPr="000C3DED">
        <w:t xml:space="preserve">he </w:t>
      </w:r>
      <w:r>
        <w:t>venue o</w:t>
      </w:r>
      <w:r w:rsidR="00472069">
        <w:t>perator</w:t>
      </w:r>
      <w:r w:rsidR="00D15511" w:rsidRPr="000C3DED">
        <w:t xml:space="preserve"> must hold a gaming machine entitlement for each gaming machine in operation.</w:t>
      </w:r>
    </w:p>
    <w:p w:rsidR="00D15511" w:rsidRPr="000C3DED" w:rsidRDefault="00D15511" w:rsidP="00D15511">
      <w:pPr>
        <w:spacing w:before="200" w:after="200"/>
      </w:pPr>
      <w:r w:rsidRPr="000C3DED">
        <w:t xml:space="preserve">Each entitlement authorises </w:t>
      </w:r>
      <w:r w:rsidR="004D16D4">
        <w:t>v</w:t>
      </w:r>
      <w:r w:rsidR="00472069">
        <w:t>e</w:t>
      </w:r>
      <w:r w:rsidR="004D16D4">
        <w:t>nue o</w:t>
      </w:r>
      <w:r w:rsidR="00472069">
        <w:t>perator</w:t>
      </w:r>
      <w:r w:rsidRPr="000C3DED">
        <w:t>s to operate a gaming machine for a period of 10 years from 16 August 2012.</w:t>
      </w:r>
    </w:p>
    <w:p w:rsidR="00D15511" w:rsidRPr="000C3DED" w:rsidRDefault="00D15511" w:rsidP="00D15511">
      <w:pPr>
        <w:spacing w:before="200" w:after="200"/>
      </w:pPr>
      <w:r w:rsidRPr="000C3DED">
        <w:t>The Victorian Commission for Gambling and Liquor Regulation (VCGLR), an independent statutory authority, administers the regulatory requirements under the GRA. The VCGLR monitor</w:t>
      </w:r>
      <w:r w:rsidR="00D80F64">
        <w:t>s</w:t>
      </w:r>
      <w:r w:rsidRPr="000C3DED">
        <w:t xml:space="preserve"> compliance with the State’s </w:t>
      </w:r>
      <w:r w:rsidR="00D80F64" w:rsidRPr="000C3DED">
        <w:t>gam</w:t>
      </w:r>
      <w:r w:rsidR="00D80F64">
        <w:t>ing machine</w:t>
      </w:r>
      <w:r w:rsidR="00D80F64" w:rsidRPr="000C3DED">
        <w:t xml:space="preserve"> </w:t>
      </w:r>
      <w:r w:rsidRPr="000C3DED">
        <w:t xml:space="preserve">laws </w:t>
      </w:r>
      <w:r w:rsidR="00D80F64">
        <w:t xml:space="preserve">to </w:t>
      </w:r>
      <w:r w:rsidRPr="000C3DED">
        <w:t xml:space="preserve">ensure the integrity of </w:t>
      </w:r>
      <w:r w:rsidR="00D80F64">
        <w:t>the gaming machine industry</w:t>
      </w:r>
      <w:r w:rsidRPr="000C3DED">
        <w:t xml:space="preserve"> in Victoria.</w:t>
      </w:r>
    </w:p>
    <w:p w:rsidR="00D15511" w:rsidRPr="000C3DED" w:rsidRDefault="00472069" w:rsidP="00D15511">
      <w:pPr>
        <w:spacing w:before="200" w:after="200"/>
      </w:pPr>
      <w:r>
        <w:t>Venue Operator</w:t>
      </w:r>
      <w:r w:rsidR="00D15511" w:rsidRPr="000C3DED">
        <w:t xml:space="preserve">s who operate gaming machines are required to pay regulatory and </w:t>
      </w:r>
      <w:r>
        <w:t xml:space="preserve">activity based </w:t>
      </w:r>
      <w:r w:rsidR="00D15511" w:rsidRPr="000C3DED">
        <w:t xml:space="preserve">licence fees to the VCGLR to recover the VCGLR’s costs of regulating gaming. One of these includes a broad based cost recovery instrument: the supervision charge on </w:t>
      </w:r>
      <w:r w:rsidR="007C5009">
        <w:t>venue o</w:t>
      </w:r>
      <w:r>
        <w:t>perator</w:t>
      </w:r>
      <w:r w:rsidR="00D15511" w:rsidRPr="000C3DED">
        <w:t>s.</w:t>
      </w:r>
      <w:r>
        <w:rPr>
          <w:rStyle w:val="FootnoteReference"/>
        </w:rPr>
        <w:footnoteReference w:id="1"/>
      </w:r>
      <w:r w:rsidR="00D15511" w:rsidRPr="000C3DED">
        <w:t xml:space="preserve"> </w:t>
      </w:r>
    </w:p>
    <w:p w:rsidR="00D15511" w:rsidRPr="000C3DED" w:rsidRDefault="00D15511" w:rsidP="00D15511">
      <w:pPr>
        <w:spacing w:before="200" w:after="200"/>
      </w:pPr>
      <w:r w:rsidRPr="000C3DED">
        <w:t xml:space="preserve">Over the coming months, the supervision charge relating to gaming will be determined for the 2012-13 year. </w:t>
      </w:r>
      <w:r w:rsidR="007C5009">
        <w:t>Venue o</w:t>
      </w:r>
      <w:r w:rsidR="00472069">
        <w:t>perator</w:t>
      </w:r>
      <w:r w:rsidRPr="000C3DED">
        <w:t xml:space="preserve">s will be paying the supervision charge for the first time. </w:t>
      </w:r>
    </w:p>
    <w:p w:rsidR="00D15511" w:rsidRDefault="00D15511" w:rsidP="00D15511">
      <w:pPr>
        <w:spacing w:before="200" w:after="200"/>
      </w:pPr>
      <w:r w:rsidRPr="000C3DED">
        <w:t xml:space="preserve">Under the GRA, the Treasurer determines the supervision charge in consultation with the Minister for </w:t>
      </w:r>
      <w:r w:rsidR="001E4B8A">
        <w:t xml:space="preserve">Liquor and </w:t>
      </w:r>
      <w:r w:rsidRPr="000C3DED">
        <w:t>Gaming</w:t>
      </w:r>
      <w:r w:rsidR="001E4B8A">
        <w:t xml:space="preserve"> Regulation</w:t>
      </w:r>
      <w:r w:rsidRPr="000C3DED">
        <w:t xml:space="preserve">. The supervision charge is intended to reflect the reasonable costs and expenses incurred by the VCGLR in carrying out its functions and powers with respect to monitoring and ensuring compliance with obligations under the GRA. The GRA’s requirements mean the charge can be imposed on each </w:t>
      </w:r>
      <w:r w:rsidR="007C5009">
        <w:t>venue o</w:t>
      </w:r>
      <w:r w:rsidR="00472069">
        <w:t>perator</w:t>
      </w:r>
      <w:r w:rsidRPr="000C3DED">
        <w:t xml:space="preserve"> holding entitlements regardless of whether the </w:t>
      </w:r>
      <w:r w:rsidR="007C5009">
        <w:t>venue o</w:t>
      </w:r>
      <w:r w:rsidR="00472069">
        <w:t>perator</w:t>
      </w:r>
      <w:r w:rsidRPr="000C3DED">
        <w:t xml:space="preserve"> is undertaking gaming under the entitlement during the relevant period.</w:t>
      </w:r>
    </w:p>
    <w:p w:rsidR="00B14372" w:rsidRDefault="00B14372">
      <w:pPr>
        <w:spacing w:before="0" w:after="0"/>
        <w:ind w:left="0"/>
      </w:pPr>
      <w:r>
        <w:br w:type="page"/>
      </w:r>
    </w:p>
    <w:p w:rsidR="00D15511" w:rsidRDefault="00D15511" w:rsidP="000C3DED">
      <w:pPr>
        <w:spacing w:before="240" w:after="240"/>
        <w:rPr>
          <w:color w:val="000000"/>
        </w:rPr>
      </w:pPr>
      <w:r w:rsidRPr="000C3DED">
        <w:rPr>
          <w:color w:val="000000"/>
        </w:rPr>
        <w:t xml:space="preserve">The supervision charge is also a condition of the property right </w:t>
      </w:r>
      <w:r w:rsidR="007C5009">
        <w:rPr>
          <w:color w:val="000000"/>
        </w:rPr>
        <w:t>venue o</w:t>
      </w:r>
      <w:r w:rsidR="00472069">
        <w:rPr>
          <w:color w:val="000000"/>
        </w:rPr>
        <w:t>perator</w:t>
      </w:r>
      <w:r w:rsidRPr="000C3DED">
        <w:rPr>
          <w:color w:val="000000"/>
        </w:rPr>
        <w:t xml:space="preserve">s hold and benefit from (i.e. gaming machine entitlements). By purchasing gaming machine entitlements in Victoria, </w:t>
      </w:r>
      <w:r w:rsidR="007C5009">
        <w:rPr>
          <w:color w:val="000000"/>
        </w:rPr>
        <w:t>venue o</w:t>
      </w:r>
      <w:r w:rsidR="00472069">
        <w:rPr>
          <w:color w:val="000000"/>
        </w:rPr>
        <w:t>perator</w:t>
      </w:r>
      <w:r w:rsidRPr="000C3DED">
        <w:rPr>
          <w:color w:val="000000"/>
        </w:rPr>
        <w:t>s agreed under an ‘entitlement related agreement’ to comply with the GRA, which includes the payment of a supervision charge to the State.</w:t>
      </w:r>
    </w:p>
    <w:p w:rsidR="00880A70" w:rsidRPr="00880A70" w:rsidRDefault="00880A70" w:rsidP="00880A70">
      <w:pPr>
        <w:spacing w:before="240" w:after="240"/>
        <w:rPr>
          <w:color w:val="000000"/>
        </w:rPr>
      </w:pPr>
      <w:r w:rsidRPr="00880A70">
        <w:rPr>
          <w:color w:val="000000"/>
        </w:rPr>
        <w:t xml:space="preserve">In 2009 the </w:t>
      </w:r>
      <w:r w:rsidR="005F6B99">
        <w:rPr>
          <w:color w:val="000000"/>
        </w:rPr>
        <w:t>Government advised v</w:t>
      </w:r>
      <w:r>
        <w:rPr>
          <w:color w:val="000000"/>
        </w:rPr>
        <w:t>enue operators</w:t>
      </w:r>
      <w:r w:rsidRPr="00880A70">
        <w:rPr>
          <w:color w:val="000000"/>
        </w:rPr>
        <w:t xml:space="preserve"> that a supervision charge</w:t>
      </w:r>
      <w:r>
        <w:rPr>
          <w:color w:val="000000"/>
        </w:rPr>
        <w:t>, with an indicative estimate</w:t>
      </w:r>
      <w:r w:rsidRPr="00880A70">
        <w:rPr>
          <w:color w:val="000000"/>
        </w:rPr>
        <w:t xml:space="preserve"> of </w:t>
      </w:r>
      <w:r>
        <w:rPr>
          <w:color w:val="000000"/>
        </w:rPr>
        <w:t>$550 per machine</w:t>
      </w:r>
      <w:r w:rsidRPr="00880A70">
        <w:rPr>
          <w:color w:val="000000"/>
        </w:rPr>
        <w:t xml:space="preserve"> per annum</w:t>
      </w:r>
      <w:r>
        <w:rPr>
          <w:color w:val="000000"/>
        </w:rPr>
        <w:t>,</w:t>
      </w:r>
      <w:r w:rsidRPr="00880A70">
        <w:rPr>
          <w:color w:val="000000"/>
        </w:rPr>
        <w:t xml:space="preserve"> would be payable based on all costs associated with regulating the gaming industry.</w:t>
      </w:r>
      <w:r w:rsidR="00E652A0">
        <w:rPr>
          <w:rStyle w:val="FootnoteReference"/>
          <w:color w:val="000000"/>
        </w:rPr>
        <w:footnoteReference w:id="2"/>
      </w:r>
      <w:r w:rsidRPr="00880A70">
        <w:rPr>
          <w:color w:val="000000"/>
        </w:rPr>
        <w:t xml:space="preserve"> </w:t>
      </w:r>
    </w:p>
    <w:p w:rsidR="000C3DED" w:rsidRDefault="00880A70">
      <w:pPr>
        <w:spacing w:before="0" w:after="0"/>
        <w:ind w:left="0"/>
        <w:rPr>
          <w:color w:val="000000"/>
        </w:rPr>
      </w:pPr>
      <w:r w:rsidRPr="000C3DED">
        <w:rPr>
          <w:noProof/>
        </w:rPr>
        <mc:AlternateContent>
          <mc:Choice Requires="wps">
            <w:drawing>
              <wp:anchor distT="0" distB="0" distL="114300" distR="114300" simplePos="0" relativeHeight="251675648" behindDoc="0" locked="0" layoutInCell="1" allowOverlap="1" wp14:anchorId="53A6AE6E" wp14:editId="3C7EA37A">
                <wp:simplePos x="0" y="0"/>
                <wp:positionH relativeFrom="column">
                  <wp:posOffset>485775</wp:posOffset>
                </wp:positionH>
                <wp:positionV relativeFrom="paragraph">
                  <wp:posOffset>37465</wp:posOffset>
                </wp:positionV>
                <wp:extent cx="5291455" cy="2878455"/>
                <wp:effectExtent l="0" t="0" r="444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1455" cy="2878455"/>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F14D1" w:rsidRPr="006E302D" w:rsidRDefault="004F14D1" w:rsidP="00D15511">
                            <w:pPr>
                              <w:shd w:val="clear" w:color="auto" w:fill="D9D9D9"/>
                              <w:ind w:left="0"/>
                              <w:rPr>
                                <w:b/>
                                <w:i/>
                              </w:rPr>
                            </w:pPr>
                            <w:r w:rsidRPr="006E302D">
                              <w:rPr>
                                <w:b/>
                              </w:rPr>
                              <w:t>Text Box 1 - Excerpt from the</w:t>
                            </w:r>
                            <w:r w:rsidRPr="006E302D">
                              <w:rPr>
                                <w:b/>
                                <w:i/>
                              </w:rPr>
                              <w:t xml:space="preserve"> </w:t>
                            </w:r>
                            <w:r w:rsidRPr="00C46DDC">
                              <w:rPr>
                                <w:b/>
                              </w:rPr>
                              <w:t>GRA</w:t>
                            </w:r>
                          </w:p>
                          <w:p w:rsidR="004F14D1" w:rsidRPr="000C3DED" w:rsidRDefault="004F14D1" w:rsidP="00D15511">
                            <w:pPr>
                              <w:pStyle w:val="BodyText"/>
                              <w:shd w:val="clear" w:color="auto" w:fill="D9D9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Pr>
                                <w:color w:val="000000"/>
                                <w:sz w:val="20"/>
                                <w:szCs w:val="20"/>
                              </w:rPr>
                            </w:pPr>
                            <w:r w:rsidRPr="0007265F">
                              <w:rPr>
                                <w:color w:val="000000"/>
                                <w:sz w:val="18"/>
                                <w:szCs w:val="18"/>
                              </w:rPr>
                              <w:t>3.</w:t>
                            </w:r>
                            <w:r w:rsidRPr="000C3DED">
                              <w:rPr>
                                <w:color w:val="000000"/>
                                <w:sz w:val="20"/>
                                <w:szCs w:val="20"/>
                              </w:rPr>
                              <w:t>6.5A. Venue operators to pay supervision charge</w:t>
                            </w:r>
                          </w:p>
                          <w:p w:rsidR="004F14D1" w:rsidRPr="000C3DED" w:rsidRDefault="004F14D1" w:rsidP="00D15511">
                            <w:pPr>
                              <w:pStyle w:val="BodyText"/>
                              <w:shd w:val="clear" w:color="auto" w:fill="D9D9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Pr>
                                <w:color w:val="000000"/>
                                <w:sz w:val="20"/>
                                <w:szCs w:val="20"/>
                              </w:rPr>
                            </w:pPr>
                          </w:p>
                          <w:p w:rsidR="004F14D1" w:rsidRPr="000C3DED" w:rsidRDefault="004F14D1" w:rsidP="00D15511">
                            <w:pPr>
                              <w:pStyle w:val="BodyText"/>
                              <w:shd w:val="clear" w:color="auto" w:fill="D9D9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Pr>
                                <w:color w:val="000000"/>
                                <w:sz w:val="20"/>
                                <w:szCs w:val="20"/>
                              </w:rPr>
                            </w:pPr>
                            <w:r w:rsidRPr="000C3DED">
                              <w:rPr>
                                <w:color w:val="000000"/>
                                <w:sz w:val="20"/>
                                <w:szCs w:val="20"/>
                              </w:rPr>
                              <w:t>(1) This section applies to a venue operator that holds a gaming machine entitlement.</w:t>
                            </w:r>
                          </w:p>
                          <w:p w:rsidR="004F14D1" w:rsidRPr="000C3DED" w:rsidRDefault="004F14D1" w:rsidP="00D15511">
                            <w:pPr>
                              <w:pStyle w:val="BodyText"/>
                              <w:shd w:val="clear" w:color="auto" w:fill="D9D9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Pr>
                                <w:color w:val="000000"/>
                                <w:sz w:val="20"/>
                                <w:szCs w:val="20"/>
                              </w:rPr>
                            </w:pPr>
                          </w:p>
                          <w:p w:rsidR="004F14D1" w:rsidRPr="000C3DED" w:rsidRDefault="004F14D1" w:rsidP="00D15511">
                            <w:pPr>
                              <w:pStyle w:val="BodyText"/>
                              <w:shd w:val="clear" w:color="auto" w:fill="D9D9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Pr>
                                <w:color w:val="000000"/>
                                <w:sz w:val="20"/>
                                <w:szCs w:val="20"/>
                              </w:rPr>
                            </w:pPr>
                            <w:r w:rsidRPr="000C3DED">
                              <w:rPr>
                                <w:color w:val="000000"/>
                                <w:sz w:val="20"/>
                                <w:szCs w:val="20"/>
                              </w:rPr>
                              <w:t>(2) On and after a gaming machine entitlement declared day that applies to the gaming machine entitlement held by the venue operator, the venue operator must pay to the Commission for payment into the Consolidated Fund a supervision charge in such instalments in respect of such periods in each financial year as the Treasurer determines from time to time.</w:t>
                            </w:r>
                          </w:p>
                          <w:p w:rsidR="004F14D1" w:rsidRPr="000C3DED" w:rsidRDefault="004F14D1" w:rsidP="00D15511">
                            <w:pPr>
                              <w:pStyle w:val="BodyText"/>
                              <w:shd w:val="clear" w:color="auto" w:fill="D9D9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Pr>
                                <w:color w:val="000000"/>
                                <w:sz w:val="20"/>
                                <w:szCs w:val="20"/>
                              </w:rPr>
                            </w:pPr>
                          </w:p>
                          <w:p w:rsidR="004F14D1" w:rsidRPr="000C3DED" w:rsidRDefault="004F14D1" w:rsidP="00D15511">
                            <w:pPr>
                              <w:pStyle w:val="BodyText"/>
                              <w:shd w:val="clear" w:color="auto" w:fill="D9D9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Pr>
                                <w:color w:val="000000"/>
                                <w:sz w:val="20"/>
                                <w:szCs w:val="20"/>
                              </w:rPr>
                            </w:pPr>
                            <w:r w:rsidRPr="000C3DED">
                              <w:rPr>
                                <w:color w:val="000000"/>
                                <w:sz w:val="20"/>
                                <w:szCs w:val="20"/>
                              </w:rPr>
                              <w:t>(3) The supervision charge is such amount in respect of each financial year as the Treasurer, after consultation with the Minister, determines having regard to the reasonable costs and expenses in respect of the financial year incurred by the Commission in carrying out its functions and powers under this Act in respect of gaming.</w:t>
                            </w:r>
                          </w:p>
                          <w:p w:rsidR="004F14D1" w:rsidRPr="000C3DED" w:rsidRDefault="004F14D1" w:rsidP="00D15511">
                            <w:pPr>
                              <w:pStyle w:val="BodyText"/>
                              <w:shd w:val="clear" w:color="auto" w:fill="D9D9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Pr>
                                <w:color w:val="000000"/>
                                <w:sz w:val="20"/>
                                <w:szCs w:val="20"/>
                              </w:rPr>
                            </w:pPr>
                          </w:p>
                          <w:p w:rsidR="004F14D1" w:rsidRPr="000C3DED" w:rsidRDefault="004F14D1" w:rsidP="00D15511">
                            <w:pPr>
                              <w:shd w:val="clear" w:color="auto" w:fill="D9D9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Pr>
                                <w:color w:val="000000"/>
                                <w:sz w:val="20"/>
                                <w:szCs w:val="20"/>
                              </w:rPr>
                            </w:pPr>
                            <w:r w:rsidRPr="000C3DED">
                              <w:rPr>
                                <w:color w:val="000000"/>
                                <w:sz w:val="20"/>
                                <w:szCs w:val="20"/>
                              </w:rPr>
                              <w:t>(4) The supervision charge is a tax.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38.25pt;margin-top:2.95pt;width:416.65pt;height:226.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" fillcolor="#d8d8d8" stroked="f">
                <v:textbox>
                  <w:txbxContent>
                    <w:p w:rsidR="004F14D1" w:rsidRPr="006E302D" w:rsidRDefault="004F14D1" w:rsidP="00D15511">
                      <w:pPr>
                        <w:shd w:val="clear" w:color="auto" w:fill="D9D9D9"/>
                        <w:ind w:left="0"/>
                        <w:rPr>
                          <w:b/>
                          <w:i/>
                        </w:rPr>
                      </w:pPr>
                      <w:r w:rsidRPr="006E302D">
                        <w:rPr>
                          <w:b/>
                        </w:rPr>
                        <w:t>Text Box 1 - Excerpt from the</w:t>
                      </w:r>
                      <w:r w:rsidRPr="006E302D">
                        <w:rPr>
                          <w:b/>
                          <w:i/>
                        </w:rPr>
                        <w:t xml:space="preserve"> </w:t>
                      </w:r>
                      <w:r w:rsidRPr="00C46DDC">
                        <w:rPr>
                          <w:b/>
                        </w:rPr>
                        <w:t>GRA</w:t>
                      </w:r>
                    </w:p>
                    <w:p w:rsidR="004F14D1" w:rsidRPr="000C3DED" w:rsidRDefault="004F14D1" w:rsidP="00D15511">
                      <w:pPr>
                        <w:pStyle w:val="BodyText"/>
                        <w:shd w:val="clear" w:color="auto" w:fill="D9D9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Pr>
                          <w:color w:val="000000"/>
                          <w:sz w:val="20"/>
                          <w:szCs w:val="20"/>
                        </w:rPr>
                      </w:pPr>
                      <w:r w:rsidRPr="0007265F">
                        <w:rPr>
                          <w:color w:val="000000"/>
                          <w:sz w:val="18"/>
                          <w:szCs w:val="18"/>
                        </w:rPr>
                        <w:t>3.</w:t>
                      </w:r>
                      <w:r w:rsidRPr="000C3DED">
                        <w:rPr>
                          <w:color w:val="000000"/>
                          <w:sz w:val="20"/>
                          <w:szCs w:val="20"/>
                        </w:rPr>
                        <w:t>6.5A. Venue operators to pay supervision charge</w:t>
                      </w:r>
                    </w:p>
                    <w:p w:rsidR="004F14D1" w:rsidRPr="000C3DED" w:rsidRDefault="004F14D1" w:rsidP="00D15511">
                      <w:pPr>
                        <w:pStyle w:val="BodyText"/>
                        <w:shd w:val="clear" w:color="auto" w:fill="D9D9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Pr>
                          <w:color w:val="000000"/>
                          <w:sz w:val="20"/>
                          <w:szCs w:val="20"/>
                        </w:rPr>
                      </w:pPr>
                    </w:p>
                    <w:p w:rsidR="004F14D1" w:rsidRPr="000C3DED" w:rsidRDefault="004F14D1" w:rsidP="00D15511">
                      <w:pPr>
                        <w:pStyle w:val="BodyText"/>
                        <w:shd w:val="clear" w:color="auto" w:fill="D9D9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Pr>
                          <w:color w:val="000000"/>
                          <w:sz w:val="20"/>
                          <w:szCs w:val="20"/>
                        </w:rPr>
                      </w:pPr>
                      <w:r w:rsidRPr="000C3DED">
                        <w:rPr>
                          <w:color w:val="000000"/>
                          <w:sz w:val="20"/>
                          <w:szCs w:val="20"/>
                        </w:rPr>
                        <w:t>(1) This section applies to a venue operator that holds a gaming machine entitlement.</w:t>
                      </w:r>
                    </w:p>
                    <w:p w:rsidR="004F14D1" w:rsidRPr="000C3DED" w:rsidRDefault="004F14D1" w:rsidP="00D15511">
                      <w:pPr>
                        <w:pStyle w:val="BodyText"/>
                        <w:shd w:val="clear" w:color="auto" w:fill="D9D9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Pr>
                          <w:color w:val="000000"/>
                          <w:sz w:val="20"/>
                          <w:szCs w:val="20"/>
                        </w:rPr>
                      </w:pPr>
                    </w:p>
                    <w:p w:rsidR="004F14D1" w:rsidRPr="000C3DED" w:rsidRDefault="004F14D1" w:rsidP="00D15511">
                      <w:pPr>
                        <w:pStyle w:val="BodyText"/>
                        <w:shd w:val="clear" w:color="auto" w:fill="D9D9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Pr>
                          <w:color w:val="000000"/>
                          <w:sz w:val="20"/>
                          <w:szCs w:val="20"/>
                        </w:rPr>
                      </w:pPr>
                      <w:r w:rsidRPr="000C3DED">
                        <w:rPr>
                          <w:color w:val="000000"/>
                          <w:sz w:val="20"/>
                          <w:szCs w:val="20"/>
                        </w:rPr>
                        <w:t>(2) On and after a gaming machine entitlement declared day that applies to the gaming machine entitlement held by the venue operator, the venue operator must pay to the Commission for payment into the Consolidated Fund a supervision charge in such instalments in respect of such periods in each financial year as the Treasurer determines from time to time.</w:t>
                      </w:r>
                    </w:p>
                    <w:p w:rsidR="004F14D1" w:rsidRPr="000C3DED" w:rsidRDefault="004F14D1" w:rsidP="00D15511">
                      <w:pPr>
                        <w:pStyle w:val="BodyText"/>
                        <w:shd w:val="clear" w:color="auto" w:fill="D9D9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Pr>
                          <w:color w:val="000000"/>
                          <w:sz w:val="20"/>
                          <w:szCs w:val="20"/>
                        </w:rPr>
                      </w:pPr>
                    </w:p>
                    <w:p w:rsidR="004F14D1" w:rsidRPr="000C3DED" w:rsidRDefault="004F14D1" w:rsidP="00D15511">
                      <w:pPr>
                        <w:pStyle w:val="BodyText"/>
                        <w:shd w:val="clear" w:color="auto" w:fill="D9D9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Pr>
                          <w:color w:val="000000"/>
                          <w:sz w:val="20"/>
                          <w:szCs w:val="20"/>
                        </w:rPr>
                      </w:pPr>
                      <w:r w:rsidRPr="000C3DED">
                        <w:rPr>
                          <w:color w:val="000000"/>
                          <w:sz w:val="20"/>
                          <w:szCs w:val="20"/>
                        </w:rPr>
                        <w:t>(3) The supervision charge is such amount in respect of each financial year as the Treasurer, after consultation with the Minister, determines having regard to the reasonable costs and expenses in respect of the financial year incurred by the Commission in carrying out its functions and powers under this Act in respect of gaming.</w:t>
                      </w:r>
                    </w:p>
                    <w:p w:rsidR="004F14D1" w:rsidRPr="000C3DED" w:rsidRDefault="004F14D1" w:rsidP="00D15511">
                      <w:pPr>
                        <w:pStyle w:val="BodyText"/>
                        <w:shd w:val="clear" w:color="auto" w:fill="D9D9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Pr>
                          <w:color w:val="000000"/>
                          <w:sz w:val="20"/>
                          <w:szCs w:val="20"/>
                        </w:rPr>
                      </w:pPr>
                    </w:p>
                    <w:p w:rsidR="004F14D1" w:rsidRPr="000C3DED" w:rsidRDefault="004F14D1" w:rsidP="00D15511">
                      <w:pPr>
                        <w:shd w:val="clear" w:color="auto" w:fill="D9D9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Pr>
                          <w:color w:val="000000"/>
                          <w:sz w:val="20"/>
                          <w:szCs w:val="20"/>
                        </w:rPr>
                      </w:pPr>
                      <w:r w:rsidRPr="000C3DED">
                        <w:rPr>
                          <w:color w:val="000000"/>
                          <w:sz w:val="20"/>
                          <w:szCs w:val="20"/>
                        </w:rPr>
                        <w:t>(4) The supervision charge is a tax.</w:t>
                      </w:r>
                    </w:p>
                  </w:txbxContent>
                </v:textbox>
              </v:shape>
            </w:pict>
          </mc:Fallback>
        </mc:AlternateContent>
      </w:r>
    </w:p>
    <w:p w:rsidR="000C3DED" w:rsidRPr="000C3DED" w:rsidRDefault="000C3DED" w:rsidP="00D15511">
      <w:pPr>
        <w:spacing w:before="240" w:after="240"/>
      </w:pPr>
    </w:p>
    <w:p w:rsidR="00D15511" w:rsidRPr="00D15511" w:rsidRDefault="00D15511" w:rsidP="00D15511"/>
    <w:p w:rsidR="00D15511" w:rsidRPr="00D15511" w:rsidRDefault="00D15511" w:rsidP="00D15511"/>
    <w:p w:rsidR="00D15511" w:rsidRPr="00D15511" w:rsidRDefault="00D15511" w:rsidP="00D15511"/>
    <w:p w:rsidR="00D15511" w:rsidRPr="00D15511" w:rsidRDefault="00D15511" w:rsidP="00D15511"/>
    <w:p w:rsidR="00D15511" w:rsidRPr="00D15511" w:rsidRDefault="00D15511" w:rsidP="00D15511"/>
    <w:p w:rsidR="00D15511" w:rsidRPr="00D15511" w:rsidRDefault="00D15511" w:rsidP="00D15511"/>
    <w:p w:rsidR="00D15511" w:rsidRPr="00D15511" w:rsidRDefault="00D15511" w:rsidP="00D15511"/>
    <w:p w:rsidR="00D15511" w:rsidRPr="00D15511" w:rsidRDefault="00D15511" w:rsidP="00D15511"/>
    <w:p w:rsidR="00D15511" w:rsidRPr="00D15511" w:rsidRDefault="00D15511" w:rsidP="00D15511"/>
    <w:p w:rsidR="00D15511" w:rsidRPr="00D15511" w:rsidRDefault="00D15511" w:rsidP="00D15511"/>
    <w:p w:rsidR="00D15511" w:rsidRPr="00D15511" w:rsidRDefault="00D15511" w:rsidP="006E302D">
      <w:pPr>
        <w:pStyle w:val="Heading2"/>
      </w:pPr>
      <w:bookmarkStart w:id="4" w:name="_Toc356830845"/>
      <w:r w:rsidRPr="00D15511">
        <w:t xml:space="preserve">Purpose of this </w:t>
      </w:r>
      <w:r w:rsidR="005F6B99">
        <w:t>R</w:t>
      </w:r>
      <w:r w:rsidRPr="00D15511">
        <w:t xml:space="preserve">egulatory </w:t>
      </w:r>
      <w:r w:rsidR="005F6B99">
        <w:t>I</w:t>
      </w:r>
      <w:r w:rsidR="00C27A13" w:rsidRPr="00D15511">
        <w:t xml:space="preserve">mpact </w:t>
      </w:r>
      <w:r w:rsidR="005F6B99">
        <w:t>S</w:t>
      </w:r>
      <w:r w:rsidR="00C27A13" w:rsidRPr="00D15511">
        <w:t>tatement</w:t>
      </w:r>
      <w:bookmarkEnd w:id="4"/>
    </w:p>
    <w:p w:rsidR="00D15511" w:rsidRPr="000C3DED" w:rsidRDefault="00D15511" w:rsidP="000C3DED">
      <w:pPr>
        <w:spacing w:before="240" w:after="240"/>
      </w:pPr>
      <w:r w:rsidRPr="000C3DED">
        <w:t xml:space="preserve">The purpose of this Regulatory Impact Statement (RIS) is to formally assess the options for recovering </w:t>
      </w:r>
      <w:r w:rsidR="00903E8A">
        <w:t xml:space="preserve">the </w:t>
      </w:r>
      <w:r w:rsidRPr="000C3DED">
        <w:t xml:space="preserve">VCGLR’s </w:t>
      </w:r>
      <w:r w:rsidR="00903E8A">
        <w:t xml:space="preserve">reasonable regulatory </w:t>
      </w:r>
      <w:r w:rsidRPr="000C3DED">
        <w:t>costs through the supervision charge.</w:t>
      </w:r>
    </w:p>
    <w:p w:rsidR="00D15511" w:rsidRDefault="00D15511" w:rsidP="00D15511">
      <w:pPr>
        <w:spacing w:before="240" w:after="240"/>
      </w:pPr>
      <w:r w:rsidRPr="000C3DED">
        <w:t>In accordance with the Victorian Guide to Regulation, the Government seeks to ensure that regulations and legislative instruments are well targeted, effective, appropriate and that they impose the lowest possible burden on Victorian businesses and the community more broadly.</w:t>
      </w:r>
    </w:p>
    <w:p w:rsidR="00D15511" w:rsidRPr="000C3DED" w:rsidRDefault="00D15511" w:rsidP="00D15511">
      <w:pPr>
        <w:spacing w:before="240" w:after="240"/>
      </w:pPr>
      <w:r w:rsidRPr="000C3DED">
        <w:t>There are particular aspects of the supervision charge that further support the need to prepare a RIS:</w:t>
      </w:r>
    </w:p>
    <w:p w:rsidR="00D15511" w:rsidRPr="000C3DED" w:rsidRDefault="005F6B99" w:rsidP="003F7272">
      <w:pPr>
        <w:numPr>
          <w:ilvl w:val="0"/>
          <w:numId w:val="16"/>
        </w:numPr>
        <w:tabs>
          <w:tab w:val="left" w:pos="1560"/>
        </w:tabs>
        <w:spacing w:before="240" w:after="240"/>
      </w:pPr>
      <w:r>
        <w:t>t</w:t>
      </w:r>
      <w:r w:rsidR="00D15511" w:rsidRPr="000C3DED">
        <w:t xml:space="preserve">he supervision charge on </w:t>
      </w:r>
      <w:r>
        <w:t>venue o</w:t>
      </w:r>
      <w:r w:rsidR="00472069">
        <w:t>perator</w:t>
      </w:r>
      <w:r w:rsidR="00D15511" w:rsidRPr="000C3DED">
        <w:t>s holding gaming machine entitlements will be</w:t>
      </w:r>
      <w:r>
        <w:t xml:space="preserve"> determined for the first time;</w:t>
      </w:r>
    </w:p>
    <w:p w:rsidR="00D15511" w:rsidRPr="000C3DED" w:rsidRDefault="005F6B99" w:rsidP="003F7272">
      <w:pPr>
        <w:numPr>
          <w:ilvl w:val="0"/>
          <w:numId w:val="16"/>
        </w:numPr>
        <w:tabs>
          <w:tab w:val="left" w:pos="1560"/>
        </w:tabs>
        <w:spacing w:before="240" w:after="240"/>
      </w:pPr>
      <w:r>
        <w:t>t</w:t>
      </w:r>
      <w:r w:rsidR="00D15511" w:rsidRPr="000C3DED">
        <w:t>otal revenues raised from the supervision charge are likely to be significant</w:t>
      </w:r>
      <w:r>
        <w:t>ly greater than the indicative ‘disproportionate impacts’</w:t>
      </w:r>
      <w:r w:rsidR="00D15511" w:rsidRPr="000C3DED">
        <w:t xml:space="preserve"> threshold of $500,000 per annum outlined in th</w:t>
      </w:r>
      <w:r>
        <w:t>e Victorian Guide to Regulation; and</w:t>
      </w:r>
    </w:p>
    <w:p w:rsidR="00D15511" w:rsidRPr="000C3DED" w:rsidRDefault="005F6B99" w:rsidP="003F7272">
      <w:pPr>
        <w:numPr>
          <w:ilvl w:val="0"/>
          <w:numId w:val="16"/>
        </w:numPr>
        <w:tabs>
          <w:tab w:val="left" w:pos="1560"/>
        </w:tabs>
        <w:spacing w:before="240" w:after="240"/>
      </w:pPr>
      <w:r>
        <w:t>t</w:t>
      </w:r>
      <w:r w:rsidR="00D15511" w:rsidRPr="000C3DED">
        <w:t xml:space="preserve">he charge will be paid by over 400 </w:t>
      </w:r>
      <w:r>
        <w:t>v</w:t>
      </w:r>
      <w:r w:rsidR="00472069">
        <w:t xml:space="preserve">enue </w:t>
      </w:r>
      <w:r>
        <w:t>o</w:t>
      </w:r>
      <w:r w:rsidR="00472069">
        <w:t>perator</w:t>
      </w:r>
      <w:r w:rsidR="00D15511" w:rsidRPr="000C3DED">
        <w:t>s that operate over 500 hotels and clubs across Victoria.</w:t>
      </w:r>
    </w:p>
    <w:p w:rsidR="00D15511" w:rsidRPr="00D15511" w:rsidRDefault="00D15511" w:rsidP="006E302D">
      <w:pPr>
        <w:pStyle w:val="Heading2"/>
      </w:pPr>
      <w:bookmarkStart w:id="5" w:name="_Toc356830846"/>
      <w:r w:rsidRPr="00D15511">
        <w:t xml:space="preserve">Assessment </w:t>
      </w:r>
      <w:r w:rsidR="00C27A13">
        <w:t>f</w:t>
      </w:r>
      <w:r w:rsidRPr="00D15511">
        <w:t xml:space="preserve">ramework </w:t>
      </w:r>
      <w:r w:rsidR="00C27A13">
        <w:t>a</w:t>
      </w:r>
      <w:r w:rsidR="00C27A13" w:rsidRPr="00D15511">
        <w:t>dopted</w:t>
      </w:r>
      <w:bookmarkEnd w:id="5"/>
    </w:p>
    <w:p w:rsidR="00D15511" w:rsidRPr="000C3DED" w:rsidRDefault="00D15511" w:rsidP="00D15511">
      <w:pPr>
        <w:spacing w:before="240" w:after="240"/>
        <w:rPr>
          <w:lang w:eastAsia="en-US"/>
        </w:rPr>
      </w:pPr>
      <w:r w:rsidRPr="000C3DED">
        <w:rPr>
          <w:lang w:eastAsia="en-US"/>
        </w:rPr>
        <w:t xml:space="preserve">This RIS has been prepared in accordance with the requirements set out in the </w:t>
      </w:r>
      <w:r w:rsidR="00C46DDC">
        <w:rPr>
          <w:i/>
          <w:lang w:eastAsia="en-US"/>
        </w:rPr>
        <w:t>SLA</w:t>
      </w:r>
      <w:r w:rsidRPr="000C3DED">
        <w:rPr>
          <w:lang w:eastAsia="en-US"/>
        </w:rPr>
        <w:t xml:space="preserve">, the </w:t>
      </w:r>
      <w:r w:rsidRPr="00472069">
        <w:rPr>
          <w:i/>
          <w:lang w:eastAsia="en-US"/>
        </w:rPr>
        <w:t>Victorian Guide to Regulation</w:t>
      </w:r>
      <w:r w:rsidRPr="000C3DED">
        <w:rPr>
          <w:lang w:eastAsia="en-US"/>
        </w:rPr>
        <w:t xml:space="preserve"> and the </w:t>
      </w:r>
      <w:r w:rsidR="005F6B99" w:rsidRPr="005F6B99">
        <w:rPr>
          <w:i/>
          <w:lang w:eastAsia="en-US"/>
        </w:rPr>
        <w:t>DTF</w:t>
      </w:r>
      <w:r w:rsidRPr="000C3DED">
        <w:rPr>
          <w:lang w:eastAsia="en-US"/>
        </w:rPr>
        <w:t xml:space="preserve"> </w:t>
      </w:r>
      <w:r w:rsidRPr="00472069">
        <w:rPr>
          <w:i/>
          <w:lang w:eastAsia="en-US"/>
        </w:rPr>
        <w:t>Cost Recovery Guidelines</w:t>
      </w:r>
      <w:r w:rsidRPr="000C3DED">
        <w:rPr>
          <w:lang w:eastAsia="en-US"/>
        </w:rPr>
        <w:t xml:space="preserve">. </w:t>
      </w:r>
    </w:p>
    <w:p w:rsidR="00D15511" w:rsidRPr="000C3DED" w:rsidRDefault="00D15511" w:rsidP="00D15511">
      <w:pPr>
        <w:spacing w:before="240" w:after="240"/>
        <w:rPr>
          <w:lang w:eastAsia="en-US"/>
        </w:rPr>
      </w:pPr>
      <w:r w:rsidRPr="000C3DED">
        <w:rPr>
          <w:lang w:eastAsia="en-US"/>
        </w:rPr>
        <w:t>This RIS will include:</w:t>
      </w:r>
    </w:p>
    <w:p w:rsidR="00D15511" w:rsidRPr="000C3DED" w:rsidRDefault="005F6B99" w:rsidP="003F7272">
      <w:pPr>
        <w:numPr>
          <w:ilvl w:val="0"/>
          <w:numId w:val="15"/>
        </w:numPr>
        <w:spacing w:before="240" w:after="240"/>
        <w:rPr>
          <w:lang w:eastAsia="en-US"/>
        </w:rPr>
      </w:pPr>
      <w:r>
        <w:rPr>
          <w:lang w:eastAsia="en-US"/>
        </w:rPr>
        <w:t>d</w:t>
      </w:r>
      <w:r w:rsidR="00D15511" w:rsidRPr="000C3DED">
        <w:rPr>
          <w:lang w:eastAsia="en-US"/>
        </w:rPr>
        <w:t xml:space="preserve">iscussion of the nature and extent of the </w:t>
      </w:r>
      <w:r w:rsidR="003F7DB5">
        <w:rPr>
          <w:lang w:eastAsia="en-US"/>
        </w:rPr>
        <w:t>issue</w:t>
      </w:r>
      <w:r w:rsidR="00D15511" w:rsidRPr="000C3DED">
        <w:rPr>
          <w:lang w:eastAsia="en-US"/>
        </w:rPr>
        <w:t xml:space="preserve"> the supervision charge is addressing;</w:t>
      </w:r>
    </w:p>
    <w:p w:rsidR="00D15511" w:rsidRPr="000C3DED" w:rsidRDefault="005F6B99" w:rsidP="003F7272">
      <w:pPr>
        <w:numPr>
          <w:ilvl w:val="0"/>
          <w:numId w:val="15"/>
        </w:numPr>
        <w:spacing w:before="240" w:after="240"/>
        <w:rPr>
          <w:lang w:eastAsia="en-US"/>
        </w:rPr>
      </w:pPr>
      <w:r>
        <w:rPr>
          <w:lang w:eastAsia="en-US"/>
        </w:rPr>
        <w:t>a</w:t>
      </w:r>
      <w:r w:rsidR="00D15511" w:rsidRPr="000C3DED">
        <w:rPr>
          <w:lang w:eastAsia="en-US"/>
        </w:rPr>
        <w:t>n outline of the objectives of the supervision charge;</w:t>
      </w:r>
    </w:p>
    <w:p w:rsidR="00D15511" w:rsidRPr="000C3DED" w:rsidRDefault="005F6B99" w:rsidP="003F7272">
      <w:pPr>
        <w:numPr>
          <w:ilvl w:val="0"/>
          <w:numId w:val="15"/>
        </w:numPr>
        <w:spacing w:before="240" w:after="240"/>
        <w:rPr>
          <w:lang w:eastAsia="en-US"/>
        </w:rPr>
      </w:pPr>
      <w:r>
        <w:rPr>
          <w:lang w:eastAsia="en-US"/>
        </w:rPr>
        <w:t>d</w:t>
      </w:r>
      <w:r w:rsidR="00D15511" w:rsidRPr="000C3DED">
        <w:rPr>
          <w:lang w:eastAsia="en-US"/>
        </w:rPr>
        <w:t>escription of the regulatory costs recovered by the VCGLR;</w:t>
      </w:r>
    </w:p>
    <w:p w:rsidR="00D15511" w:rsidRPr="000C3DED" w:rsidRDefault="005F6B99" w:rsidP="003F7272">
      <w:pPr>
        <w:numPr>
          <w:ilvl w:val="0"/>
          <w:numId w:val="15"/>
        </w:numPr>
        <w:spacing w:before="240" w:after="240"/>
        <w:rPr>
          <w:lang w:eastAsia="en-US"/>
        </w:rPr>
      </w:pPr>
      <w:r>
        <w:rPr>
          <w:lang w:eastAsia="en-US"/>
        </w:rPr>
        <w:t>i</w:t>
      </w:r>
      <w:r w:rsidR="00D15511" w:rsidRPr="000C3DED">
        <w:rPr>
          <w:lang w:eastAsia="en-US"/>
        </w:rPr>
        <w:t>dentification of the most viable cost recovery options;</w:t>
      </w:r>
    </w:p>
    <w:p w:rsidR="00D15511" w:rsidRPr="000C3DED" w:rsidRDefault="005F6B99" w:rsidP="003F7272">
      <w:pPr>
        <w:numPr>
          <w:ilvl w:val="0"/>
          <w:numId w:val="15"/>
        </w:numPr>
        <w:spacing w:before="240" w:after="240"/>
        <w:rPr>
          <w:lang w:eastAsia="en-US"/>
        </w:rPr>
      </w:pPr>
      <w:r>
        <w:rPr>
          <w:lang w:eastAsia="en-US"/>
        </w:rPr>
        <w:t>a</w:t>
      </w:r>
      <w:r w:rsidR="00D15511" w:rsidRPr="000C3DED">
        <w:rPr>
          <w:lang w:eastAsia="en-US"/>
        </w:rPr>
        <w:t>nalysis and assessment of the options; and</w:t>
      </w:r>
    </w:p>
    <w:p w:rsidR="00D15511" w:rsidRPr="000C3DED" w:rsidRDefault="005F6B99" w:rsidP="003F7272">
      <w:pPr>
        <w:numPr>
          <w:ilvl w:val="0"/>
          <w:numId w:val="15"/>
        </w:numPr>
        <w:spacing w:before="240" w:after="240"/>
        <w:rPr>
          <w:lang w:eastAsia="en-US"/>
        </w:rPr>
      </w:pPr>
      <w:r>
        <w:rPr>
          <w:lang w:eastAsia="en-US"/>
        </w:rPr>
        <w:t>a</w:t>
      </w:r>
      <w:r w:rsidR="00D15511" w:rsidRPr="000C3DED">
        <w:rPr>
          <w:lang w:eastAsia="en-US"/>
        </w:rPr>
        <w:t>n assessment in accordance with the National Competition Policy requirements.</w:t>
      </w:r>
    </w:p>
    <w:p w:rsidR="00D15511" w:rsidRPr="00D15511" w:rsidRDefault="00D15511" w:rsidP="006E302D">
      <w:pPr>
        <w:pStyle w:val="Heading2"/>
      </w:pPr>
      <w:bookmarkStart w:id="6" w:name="_Toc356830847"/>
      <w:r w:rsidRPr="00D15511">
        <w:t xml:space="preserve">Public </w:t>
      </w:r>
      <w:r w:rsidR="00C27A13">
        <w:t>s</w:t>
      </w:r>
      <w:r w:rsidRPr="00D15511">
        <w:t>ubmissions</w:t>
      </w:r>
      <w:bookmarkEnd w:id="6"/>
    </w:p>
    <w:p w:rsidR="00D15511" w:rsidRPr="000C3DED" w:rsidRDefault="00D15511" w:rsidP="00D15511">
      <w:pPr>
        <w:spacing w:before="240" w:after="240"/>
      </w:pPr>
      <w:r w:rsidRPr="000C3DED">
        <w:rPr>
          <w:lang w:eastAsia="en-US"/>
        </w:rPr>
        <w:t xml:space="preserve">A key part of the RIS process involves seeking public comment on the proposed legislative instruments before they are finalised. In the context of the supervision charge, such public input can </w:t>
      </w:r>
      <w:r w:rsidRPr="000C3DED">
        <w:t xml:space="preserve">provide valuable information and insight which will ensure that the best possible design of the supervision charge is adopted. </w:t>
      </w:r>
    </w:p>
    <w:p w:rsidR="00D15511" w:rsidRPr="000C3DED" w:rsidRDefault="00D15511" w:rsidP="00D15511">
      <w:pPr>
        <w:spacing w:before="240" w:after="240"/>
        <w:rPr>
          <w:lang w:eastAsia="en-US"/>
        </w:rPr>
      </w:pPr>
      <w:r w:rsidRPr="000C3DED">
        <w:rPr>
          <w:lang w:eastAsia="en-US"/>
        </w:rPr>
        <w:t xml:space="preserve">Questions inviting public comment </w:t>
      </w:r>
      <w:r w:rsidR="006E302D" w:rsidRPr="000C3DED">
        <w:rPr>
          <w:lang w:eastAsia="en-US"/>
        </w:rPr>
        <w:t>are listed</w:t>
      </w:r>
      <w:r w:rsidR="005F6B99">
        <w:rPr>
          <w:lang w:eastAsia="en-US"/>
        </w:rPr>
        <w:t xml:space="preserve"> in Chapter 9</w:t>
      </w:r>
      <w:r w:rsidRPr="000C3DED">
        <w:rPr>
          <w:lang w:eastAsia="en-US"/>
        </w:rPr>
        <w:t>: Consultation. In addition to commenting</w:t>
      </w:r>
      <w:r w:rsidRPr="000C3DED">
        <w:t xml:space="preserve"> on the body of the RIS, the public is also invited to review and comment on a copy of the proposed supervision charge </w:t>
      </w:r>
      <w:r w:rsidR="00F738AD">
        <w:t>notice</w:t>
      </w:r>
      <w:r w:rsidRPr="000C3DED">
        <w:t xml:space="preserve"> (</w:t>
      </w:r>
      <w:r w:rsidRPr="000C3DED">
        <w:rPr>
          <w:b/>
        </w:rPr>
        <w:t xml:space="preserve">Appendix </w:t>
      </w:r>
      <w:r w:rsidR="006E302D" w:rsidRPr="000C3DED">
        <w:rPr>
          <w:b/>
        </w:rPr>
        <w:t>1</w:t>
      </w:r>
      <w:r w:rsidRPr="000C3DED">
        <w:t xml:space="preserve">). </w:t>
      </w:r>
    </w:p>
    <w:p w:rsidR="00664432" w:rsidRDefault="00664432" w:rsidP="00664432">
      <w:pPr>
        <w:spacing w:before="240" w:after="240"/>
      </w:pPr>
      <w:r w:rsidRPr="000C3DED">
        <w:t xml:space="preserve">Submissions will be treated as public documents and will be made available on the </w:t>
      </w:r>
      <w:r w:rsidR="00C46DDC">
        <w:t>DTF</w:t>
      </w:r>
      <w:r w:rsidRPr="000C3DED">
        <w:t xml:space="preserve"> website, unless the author requests their submission be treated confidentially. Please note that</w:t>
      </w:r>
      <w:r>
        <w:t xml:space="preserve"> the Department will endeavour to keep such submissions confidential unless disclosure is required by law</w:t>
      </w:r>
      <w:r w:rsidRPr="000C3DED">
        <w:t>.</w:t>
      </w:r>
      <w:r w:rsidRPr="00DE7F36">
        <w:t xml:space="preserve"> </w:t>
      </w:r>
    </w:p>
    <w:p w:rsidR="00664432" w:rsidRDefault="00664432" w:rsidP="00664432">
      <w:pPr>
        <w:spacing w:before="240" w:after="240"/>
        <w:rPr>
          <w:lang w:eastAsia="en-US"/>
        </w:rPr>
      </w:pPr>
      <w:r>
        <w:rPr>
          <w:lang w:eastAsia="en-US"/>
        </w:rPr>
        <w:t xml:space="preserve">To facilitate publication and accessibility, </w:t>
      </w:r>
      <w:r w:rsidR="00472069">
        <w:rPr>
          <w:lang w:eastAsia="en-US"/>
        </w:rPr>
        <w:t xml:space="preserve">DTF </w:t>
      </w:r>
      <w:r>
        <w:rPr>
          <w:lang w:eastAsia="en-US"/>
        </w:rPr>
        <w:t>request</w:t>
      </w:r>
      <w:r w:rsidR="00472069">
        <w:rPr>
          <w:lang w:eastAsia="en-US"/>
        </w:rPr>
        <w:t>s</w:t>
      </w:r>
      <w:r>
        <w:rPr>
          <w:lang w:eastAsia="en-US"/>
        </w:rPr>
        <w:t xml:space="preserve"> that, where possible, submissions be submitted electronically in Word format.</w:t>
      </w:r>
    </w:p>
    <w:p w:rsidR="00664432" w:rsidRDefault="00AF698A" w:rsidP="00664432">
      <w:pPr>
        <w:spacing w:before="240" w:after="240"/>
      </w:pPr>
      <w:r>
        <w:t>DTF</w:t>
      </w:r>
      <w:r w:rsidR="00664432">
        <w:t xml:space="preserve"> in its discretion does not publish submissions where it considers it not in the public interest to do so. For example, where submissions contain irrelevant, offensive, vilifying, defamatory or otherwise unlawful content or content considered to be an abuse of the consultation process. </w:t>
      </w:r>
    </w:p>
    <w:p w:rsidR="00664432" w:rsidRDefault="00664432" w:rsidP="00664432">
      <w:pPr>
        <w:spacing w:before="240" w:after="240"/>
      </w:pPr>
      <w:r>
        <w:t xml:space="preserve">Before publication, </w:t>
      </w:r>
      <w:r w:rsidR="00AF698A">
        <w:t>DTF</w:t>
      </w:r>
      <w:r>
        <w:t xml:space="preserve"> will use best endeavours to remove sensitive personal information.</w:t>
      </w:r>
    </w:p>
    <w:p w:rsidR="000C3DED" w:rsidRDefault="00664432" w:rsidP="00664432">
      <w:pPr>
        <w:spacing w:before="240" w:after="240"/>
      </w:pPr>
      <w:r w:rsidRPr="00DE7F36">
        <w:t xml:space="preserve">All submissions, whether published or not, will be treated as public records in accordance with the </w:t>
      </w:r>
      <w:r w:rsidRPr="00C47DC8">
        <w:rPr>
          <w:i/>
        </w:rPr>
        <w:t xml:space="preserve">Public Records Act 1973 </w:t>
      </w:r>
      <w:r w:rsidRPr="00FE0733">
        <w:t>(Vic)</w:t>
      </w:r>
      <w:r>
        <w:t xml:space="preserve"> and will be </w:t>
      </w:r>
      <w:r w:rsidRPr="00DE7F36">
        <w:t>subject to</w:t>
      </w:r>
      <w:r>
        <w:t xml:space="preserve"> disclosure requirements under</w:t>
      </w:r>
      <w:r w:rsidRPr="00DE7F36">
        <w:t xml:space="preserve"> the </w:t>
      </w:r>
      <w:r w:rsidRPr="00C47DC8">
        <w:rPr>
          <w:i/>
        </w:rPr>
        <w:t>Freedom of Information Act 1982</w:t>
      </w:r>
      <w:r>
        <w:t xml:space="preserve"> (Vic).</w:t>
      </w:r>
    </w:p>
    <w:p w:rsidR="00B14372" w:rsidRDefault="00B14372">
      <w:pPr>
        <w:spacing w:before="0" w:after="0"/>
        <w:ind w:left="0"/>
      </w:pPr>
      <w:r>
        <w:br w:type="page"/>
      </w:r>
    </w:p>
    <w:p w:rsidR="00D15511" w:rsidRPr="000C3DED" w:rsidRDefault="00D15511" w:rsidP="00D15511">
      <w:pPr>
        <w:spacing w:before="240" w:after="240"/>
      </w:pPr>
      <w:r w:rsidRPr="000C3DED">
        <w:t xml:space="preserve">The closing date for submissions is 5pm on </w:t>
      </w:r>
      <w:r w:rsidR="00903E8A">
        <w:t>5</w:t>
      </w:r>
      <w:r w:rsidRPr="000C3DED">
        <w:t xml:space="preserve"> July 2013. Submissions can be sent:</w:t>
      </w:r>
    </w:p>
    <w:p w:rsidR="00D15511" w:rsidRPr="000C3DED" w:rsidRDefault="00D15511" w:rsidP="00D15511">
      <w:pPr>
        <w:spacing w:before="240" w:after="240"/>
        <w:rPr>
          <w:i/>
        </w:rPr>
      </w:pPr>
      <w:r w:rsidRPr="000C3DED">
        <w:rPr>
          <w:i/>
        </w:rPr>
        <w:t>By Post:</w:t>
      </w:r>
    </w:p>
    <w:p w:rsidR="00D15511" w:rsidRPr="000C3DED" w:rsidRDefault="00D15511" w:rsidP="00D15511">
      <w:pPr>
        <w:spacing w:before="120" w:after="120"/>
        <w:ind w:left="1440"/>
        <w:rPr>
          <w:lang w:eastAsia="en-US"/>
        </w:rPr>
      </w:pPr>
      <w:r w:rsidRPr="000C3DED">
        <w:rPr>
          <w:lang w:eastAsia="en-US"/>
        </w:rPr>
        <w:t>Gambling Policy and Litigation Group</w:t>
      </w:r>
    </w:p>
    <w:p w:rsidR="00D15511" w:rsidRPr="000C3DED" w:rsidRDefault="00D15511" w:rsidP="00D15511">
      <w:pPr>
        <w:spacing w:before="120" w:after="120"/>
        <w:ind w:left="1440"/>
        <w:rPr>
          <w:lang w:eastAsia="en-US"/>
        </w:rPr>
      </w:pPr>
      <w:r w:rsidRPr="000C3DED">
        <w:rPr>
          <w:lang w:eastAsia="en-US"/>
        </w:rPr>
        <w:t>Department of Treasury and Finance</w:t>
      </w:r>
    </w:p>
    <w:p w:rsidR="00D15511" w:rsidRPr="000C3DED" w:rsidRDefault="00D15511" w:rsidP="00D15511">
      <w:pPr>
        <w:spacing w:before="120" w:after="120"/>
        <w:ind w:left="1440"/>
        <w:rPr>
          <w:lang w:eastAsia="en-US"/>
        </w:rPr>
      </w:pPr>
      <w:r w:rsidRPr="000C3DED">
        <w:rPr>
          <w:lang w:eastAsia="en-US"/>
        </w:rPr>
        <w:t>1 Treasury Place</w:t>
      </w:r>
    </w:p>
    <w:p w:rsidR="00D15511" w:rsidRPr="000C3DED" w:rsidRDefault="00D15511" w:rsidP="00D15511">
      <w:pPr>
        <w:spacing w:before="120" w:after="120"/>
        <w:ind w:left="1440"/>
        <w:rPr>
          <w:lang w:eastAsia="en-US"/>
        </w:rPr>
      </w:pPr>
      <w:r w:rsidRPr="000C3DED">
        <w:rPr>
          <w:lang w:eastAsia="en-US"/>
        </w:rPr>
        <w:t>East Melbourne</w:t>
      </w:r>
    </w:p>
    <w:p w:rsidR="00D15511" w:rsidRPr="000C3DED" w:rsidRDefault="00D15511" w:rsidP="00D15511">
      <w:pPr>
        <w:spacing w:before="120" w:after="120"/>
        <w:ind w:left="1440"/>
        <w:rPr>
          <w:lang w:eastAsia="en-US"/>
        </w:rPr>
      </w:pPr>
      <w:r w:rsidRPr="000C3DED">
        <w:rPr>
          <w:lang w:eastAsia="en-US"/>
        </w:rPr>
        <w:t>VIC 3002</w:t>
      </w:r>
    </w:p>
    <w:p w:rsidR="006E302D" w:rsidRPr="000C3DED" w:rsidRDefault="00D15511" w:rsidP="006E302D">
      <w:pPr>
        <w:spacing w:before="240" w:after="240"/>
        <w:rPr>
          <w:i/>
        </w:rPr>
      </w:pPr>
      <w:r w:rsidRPr="000C3DED">
        <w:rPr>
          <w:i/>
          <w:lang w:eastAsia="en-US"/>
        </w:rPr>
        <w:t xml:space="preserve">By </w:t>
      </w:r>
      <w:r w:rsidRPr="000C3DED">
        <w:rPr>
          <w:i/>
        </w:rPr>
        <w:t xml:space="preserve">Email: </w:t>
      </w:r>
    </w:p>
    <w:p w:rsidR="006E302D" w:rsidRPr="000C3DED" w:rsidRDefault="004D13A5" w:rsidP="006E302D">
      <w:pPr>
        <w:spacing w:before="240" w:after="240"/>
        <w:ind w:left="1418"/>
        <w:rPr>
          <w:i/>
        </w:rPr>
      </w:pPr>
      <w:hyperlink r:id="rId20" w:history="1">
        <w:r w:rsidR="00D15511" w:rsidRPr="000C3DED">
          <w:rPr>
            <w:u w:val="single"/>
          </w:rPr>
          <w:t>supervisionchargeris@dtf.vic.gov.au</w:t>
        </w:r>
      </w:hyperlink>
    </w:p>
    <w:p w:rsidR="00D80F64" w:rsidRDefault="00D80F64" w:rsidP="00D80F64">
      <w:pPr>
        <w:spacing w:before="240" w:after="240"/>
      </w:pPr>
      <w:r>
        <w:t xml:space="preserve">Following the consideration of public submissions, it is expected that the RIS will be finalised and published on the DTF website by </w:t>
      </w:r>
      <w:r w:rsidR="00F41B5B">
        <w:t>early August 2013.</w:t>
      </w:r>
    </w:p>
    <w:p w:rsidR="00F54DC2" w:rsidRDefault="00F54DC2">
      <w:pPr>
        <w:spacing w:before="0" w:after="0"/>
        <w:ind w:left="0"/>
      </w:pPr>
      <w:r>
        <w:br w:type="page"/>
      </w:r>
    </w:p>
    <w:bookmarkStart w:id="7" w:name="_Toc356830848"/>
    <w:p w:rsidR="00D15511" w:rsidRDefault="00906FFF" w:rsidP="00D15511">
      <w:pPr>
        <w:pStyle w:val="Heading1"/>
      </w:pPr>
      <w:r>
        <w:rPr>
          <w:noProof/>
          <w:color w:val="auto"/>
          <w:lang w:eastAsia="en-AU"/>
        </w:rPr>
        <mc:AlternateContent>
          <mc:Choice Requires="wps">
            <w:drawing>
              <wp:anchor distT="0" distB="0" distL="114300" distR="114300" simplePos="0" relativeHeight="251679744" behindDoc="0" locked="0" layoutInCell="1" allowOverlap="1" wp14:anchorId="246B428D" wp14:editId="41E4EC4C">
                <wp:simplePos x="0" y="0"/>
                <wp:positionH relativeFrom="column">
                  <wp:posOffset>-6985</wp:posOffset>
                </wp:positionH>
                <wp:positionV relativeFrom="paragraph">
                  <wp:posOffset>814493</wp:posOffset>
                </wp:positionV>
                <wp:extent cx="5884545" cy="3606800"/>
                <wp:effectExtent l="0" t="0" r="1905"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4545" cy="3606800"/>
                        </a:xfrm>
                        <a:prstGeom prst="rect">
                          <a:avLst/>
                        </a:prstGeom>
                        <a:solidFill>
                          <a:srgbClr val="DBE5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F14D1" w:rsidRPr="00906FFF" w:rsidRDefault="004F14D1" w:rsidP="003854B7">
                            <w:pPr>
                              <w:spacing w:before="120" w:after="160"/>
                              <w:ind w:left="0"/>
                              <w:rPr>
                                <w:sz w:val="26"/>
                                <w:szCs w:val="26"/>
                              </w:rPr>
                            </w:pPr>
                            <w:r>
                              <w:rPr>
                                <w:sz w:val="26"/>
                                <w:szCs w:val="26"/>
                              </w:rPr>
                              <w:t>Key p</w:t>
                            </w:r>
                            <w:r w:rsidRPr="00906FFF">
                              <w:rPr>
                                <w:sz w:val="26"/>
                                <w:szCs w:val="26"/>
                              </w:rPr>
                              <w:t>oints</w:t>
                            </w:r>
                          </w:p>
                          <w:p w:rsidR="004F14D1" w:rsidRPr="00CD6FA1" w:rsidRDefault="004F14D1" w:rsidP="003F7272">
                            <w:pPr>
                              <w:numPr>
                                <w:ilvl w:val="0"/>
                                <w:numId w:val="18"/>
                              </w:numPr>
                              <w:spacing w:before="160" w:after="160"/>
                            </w:pPr>
                            <w:r w:rsidRPr="00CD6FA1">
                              <w:t>Victoria’s gaming machine regulations primarily aim to reduce problem gambling, prevent criminal influence/exploitation and maintain the integrity of gaming machines so that they are fair to players.</w:t>
                            </w:r>
                          </w:p>
                          <w:p w:rsidR="004F14D1" w:rsidRPr="00CD6FA1" w:rsidRDefault="004F14D1" w:rsidP="003F7272">
                            <w:pPr>
                              <w:numPr>
                                <w:ilvl w:val="0"/>
                                <w:numId w:val="18"/>
                              </w:numPr>
                              <w:spacing w:before="160" w:after="160"/>
                            </w:pPr>
                            <w:r w:rsidRPr="00CD6FA1">
                              <w:rPr>
                                <w:lang w:eastAsia="en-US"/>
                              </w:rPr>
                              <w:t xml:space="preserve">The VCGLR incurs costs as it deploys resources to fulfil its regulatory responsibilities. </w:t>
                            </w:r>
                          </w:p>
                          <w:p w:rsidR="004F14D1" w:rsidRPr="00CD6FA1" w:rsidRDefault="004F14D1" w:rsidP="003F7272">
                            <w:pPr>
                              <w:numPr>
                                <w:ilvl w:val="0"/>
                                <w:numId w:val="18"/>
                              </w:numPr>
                              <w:spacing w:before="160" w:after="160"/>
                            </w:pPr>
                            <w:r w:rsidRPr="00CD6FA1">
                              <w:rPr>
                                <w:lang w:eastAsia="en-US"/>
                              </w:rPr>
                              <w:t xml:space="preserve">There is a strong case for using the supervision charge to fully recover </w:t>
                            </w:r>
                            <w:r>
                              <w:rPr>
                                <w:lang w:eastAsia="en-US"/>
                              </w:rPr>
                              <w:t xml:space="preserve">all reasonable </w:t>
                            </w:r>
                            <w:r w:rsidRPr="00CD6FA1">
                              <w:rPr>
                                <w:lang w:eastAsia="en-US"/>
                              </w:rPr>
                              <w:t xml:space="preserve">costs from the gaming industry. </w:t>
                            </w:r>
                          </w:p>
                          <w:p w:rsidR="004F14D1" w:rsidRPr="00CD6FA1" w:rsidRDefault="004F14D1" w:rsidP="003F7272">
                            <w:pPr>
                              <w:numPr>
                                <w:ilvl w:val="1"/>
                                <w:numId w:val="18"/>
                              </w:numPr>
                              <w:spacing w:before="160" w:after="160"/>
                            </w:pPr>
                            <w:r w:rsidRPr="00CD6FA1">
                              <w:rPr>
                                <w:lang w:eastAsia="en-US"/>
                              </w:rPr>
                              <w:t xml:space="preserve">This is based on the view that the regulatory cost should be internalised by the industry that gives rise to the regulation in the first place. </w:t>
                            </w:r>
                          </w:p>
                          <w:p w:rsidR="004F14D1" w:rsidRPr="00CD6FA1" w:rsidRDefault="004F14D1" w:rsidP="003F7272">
                            <w:pPr>
                              <w:numPr>
                                <w:ilvl w:val="1"/>
                                <w:numId w:val="18"/>
                              </w:numPr>
                              <w:spacing w:before="160" w:after="160"/>
                            </w:pPr>
                            <w:r>
                              <w:rPr>
                                <w:lang w:eastAsia="en-US"/>
                              </w:rPr>
                              <w:t>Venue o</w:t>
                            </w:r>
                            <w:r w:rsidRPr="00CD6FA1">
                              <w:rPr>
                                <w:lang w:eastAsia="en-US"/>
                              </w:rPr>
                              <w:t>perators also benefit from the regulations administered by the VCGLR. The integrity and value of the entitlements would be undermined if the VCGLR were not undertaking the regulatory activi</w:t>
                            </w:r>
                            <w:r>
                              <w:rPr>
                                <w:lang w:eastAsia="en-US"/>
                              </w:rPr>
                              <w:t>ties necessary to ensure venue o</w:t>
                            </w:r>
                            <w:r w:rsidRPr="00CD6FA1">
                              <w:rPr>
                                <w:lang w:eastAsia="en-US"/>
                              </w:rPr>
                              <w:t>perators comply with legislative requirements.</w:t>
                            </w:r>
                          </w:p>
                          <w:p w:rsidR="004F14D1" w:rsidRPr="00CD6FA1" w:rsidRDefault="004F14D1" w:rsidP="003F7272">
                            <w:pPr>
                              <w:numPr>
                                <w:ilvl w:val="0"/>
                                <w:numId w:val="18"/>
                              </w:numPr>
                              <w:spacing w:before="160" w:after="160"/>
                            </w:pPr>
                            <w:r w:rsidRPr="00CD6FA1">
                              <w:rPr>
                                <w:lang w:eastAsia="en-US"/>
                              </w:rPr>
                              <w:t>The design of th</w:t>
                            </w:r>
                            <w:r>
                              <w:rPr>
                                <w:lang w:eastAsia="en-US"/>
                              </w:rPr>
                              <w:t>e supervision charge for venue o</w:t>
                            </w:r>
                            <w:r w:rsidRPr="00CD6FA1">
                              <w:rPr>
                                <w:lang w:eastAsia="en-US"/>
                              </w:rPr>
                              <w:t>perators will need to take account of the heterogeneous and unique nature of the gaming machine industry.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8" type="#_x0000_t202" style="position:absolute;left:0;text-align:left;margin-left:-.55pt;margin-top:64.15pt;width:463.35pt;height:28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" fillcolor="#dbe5f1" stroked="f">
                <v:textbox>
                  <w:txbxContent>
                    <w:p w:rsidR="004F14D1" w:rsidRPr="00906FFF" w:rsidRDefault="004F14D1" w:rsidP="003854B7">
                      <w:pPr>
                        <w:spacing w:before="120" w:after="160"/>
                        <w:ind w:left="0"/>
                        <w:rPr>
                          <w:sz w:val="26"/>
                          <w:szCs w:val="26"/>
                        </w:rPr>
                      </w:pPr>
                      <w:r>
                        <w:rPr>
                          <w:sz w:val="26"/>
                          <w:szCs w:val="26"/>
                        </w:rPr>
                        <w:t>Key p</w:t>
                      </w:r>
                      <w:r w:rsidRPr="00906FFF">
                        <w:rPr>
                          <w:sz w:val="26"/>
                          <w:szCs w:val="26"/>
                        </w:rPr>
                        <w:t>oints</w:t>
                      </w:r>
                    </w:p>
                    <w:p w:rsidR="004F14D1" w:rsidRPr="00CD6FA1" w:rsidRDefault="004F14D1" w:rsidP="003F7272">
                      <w:pPr>
                        <w:numPr>
                          <w:ilvl w:val="0"/>
                          <w:numId w:val="18"/>
                        </w:numPr>
                        <w:spacing w:before="160" w:after="160"/>
                      </w:pPr>
                      <w:r w:rsidRPr="00CD6FA1">
                        <w:t>Victoria’s gaming machine regulations primarily aim to reduce problem gambling, prevent criminal influence/exploitation and maintain the integrity of gaming machines so that they are fair to players.</w:t>
                      </w:r>
                    </w:p>
                    <w:p w:rsidR="004F14D1" w:rsidRPr="00CD6FA1" w:rsidRDefault="004F14D1" w:rsidP="003F7272">
                      <w:pPr>
                        <w:numPr>
                          <w:ilvl w:val="0"/>
                          <w:numId w:val="18"/>
                        </w:numPr>
                        <w:spacing w:before="160" w:after="160"/>
                      </w:pPr>
                      <w:r w:rsidRPr="00CD6FA1">
                        <w:rPr>
                          <w:lang w:eastAsia="en-US"/>
                        </w:rPr>
                        <w:t xml:space="preserve">The VCGLR incurs costs as it deploys resources to fulfil its regulatory responsibilities. </w:t>
                      </w:r>
                    </w:p>
                    <w:p w:rsidR="004F14D1" w:rsidRPr="00CD6FA1" w:rsidRDefault="004F14D1" w:rsidP="003F7272">
                      <w:pPr>
                        <w:numPr>
                          <w:ilvl w:val="0"/>
                          <w:numId w:val="18"/>
                        </w:numPr>
                        <w:spacing w:before="160" w:after="160"/>
                      </w:pPr>
                      <w:r w:rsidRPr="00CD6FA1">
                        <w:rPr>
                          <w:lang w:eastAsia="en-US"/>
                        </w:rPr>
                        <w:t xml:space="preserve">There is a strong case for using the supervision charge to fully recover </w:t>
                      </w:r>
                      <w:r>
                        <w:rPr>
                          <w:lang w:eastAsia="en-US"/>
                        </w:rPr>
                        <w:t xml:space="preserve">all reasonable </w:t>
                      </w:r>
                      <w:r w:rsidRPr="00CD6FA1">
                        <w:rPr>
                          <w:lang w:eastAsia="en-US"/>
                        </w:rPr>
                        <w:t xml:space="preserve">costs from the gaming industry. </w:t>
                      </w:r>
                    </w:p>
                    <w:p w:rsidR="004F14D1" w:rsidRPr="00CD6FA1" w:rsidRDefault="004F14D1" w:rsidP="003F7272">
                      <w:pPr>
                        <w:numPr>
                          <w:ilvl w:val="1"/>
                          <w:numId w:val="18"/>
                        </w:numPr>
                        <w:spacing w:before="160" w:after="160"/>
                      </w:pPr>
                      <w:r w:rsidRPr="00CD6FA1">
                        <w:rPr>
                          <w:lang w:eastAsia="en-US"/>
                        </w:rPr>
                        <w:t xml:space="preserve">This is based on the view that the regulatory cost should be internalised by the industry that gives rise to the regulation in the first place. </w:t>
                      </w:r>
                    </w:p>
                    <w:p w:rsidR="004F14D1" w:rsidRPr="00CD6FA1" w:rsidRDefault="004F14D1" w:rsidP="003F7272">
                      <w:pPr>
                        <w:numPr>
                          <w:ilvl w:val="1"/>
                          <w:numId w:val="18"/>
                        </w:numPr>
                        <w:spacing w:before="160" w:after="160"/>
                      </w:pPr>
                      <w:r>
                        <w:rPr>
                          <w:lang w:eastAsia="en-US"/>
                        </w:rPr>
                        <w:t>Venue o</w:t>
                      </w:r>
                      <w:r w:rsidRPr="00CD6FA1">
                        <w:rPr>
                          <w:lang w:eastAsia="en-US"/>
                        </w:rPr>
                        <w:t>perators also benefit from the regulations administered by the VCGLR. The integrity and value of the entitlements would be undermined if the VCGLR were not undertaking the regulatory activi</w:t>
                      </w:r>
                      <w:r>
                        <w:rPr>
                          <w:lang w:eastAsia="en-US"/>
                        </w:rPr>
                        <w:t>ties necessary to ensure venue o</w:t>
                      </w:r>
                      <w:r w:rsidRPr="00CD6FA1">
                        <w:rPr>
                          <w:lang w:eastAsia="en-US"/>
                        </w:rPr>
                        <w:t>perators comply with legislative requirements.</w:t>
                      </w:r>
                    </w:p>
                    <w:p w:rsidR="004F14D1" w:rsidRPr="00CD6FA1" w:rsidRDefault="004F14D1" w:rsidP="003F7272">
                      <w:pPr>
                        <w:numPr>
                          <w:ilvl w:val="0"/>
                          <w:numId w:val="18"/>
                        </w:numPr>
                        <w:spacing w:before="160" w:after="160"/>
                      </w:pPr>
                      <w:r w:rsidRPr="00CD6FA1">
                        <w:rPr>
                          <w:lang w:eastAsia="en-US"/>
                        </w:rPr>
                        <w:t>The design of th</w:t>
                      </w:r>
                      <w:r>
                        <w:rPr>
                          <w:lang w:eastAsia="en-US"/>
                        </w:rPr>
                        <w:t>e supervision charge for venue o</w:t>
                      </w:r>
                      <w:r w:rsidRPr="00CD6FA1">
                        <w:rPr>
                          <w:lang w:eastAsia="en-US"/>
                        </w:rPr>
                        <w:t>perators will need to take account of the heterogeneous and unique nature of the gaming machine industry.</w:t>
                      </w:r>
                    </w:p>
                  </w:txbxContent>
                </v:textbox>
              </v:shape>
            </w:pict>
          </mc:Fallback>
        </mc:AlternateContent>
      </w:r>
      <w:r w:rsidRPr="00906FFF">
        <w:t xml:space="preserve">Nature and extent of the </w:t>
      </w:r>
      <w:r w:rsidR="003F7DB5">
        <w:t>issue</w:t>
      </w:r>
      <w:bookmarkEnd w:id="7"/>
    </w:p>
    <w:p w:rsidR="00906FFF" w:rsidRDefault="00906FFF" w:rsidP="00906FFF">
      <w:pPr>
        <w:pStyle w:val="Heading2"/>
        <w:numPr>
          <w:ilvl w:val="0"/>
          <w:numId w:val="0"/>
        </w:numPr>
        <w:ind w:left="794"/>
        <w:rPr>
          <w:color w:val="auto"/>
        </w:rPr>
      </w:pPr>
    </w:p>
    <w:p w:rsidR="00906FFF" w:rsidRDefault="00906FFF" w:rsidP="00906FFF">
      <w:pPr>
        <w:rPr>
          <w:lang w:eastAsia="en-US"/>
        </w:rPr>
      </w:pPr>
    </w:p>
    <w:p w:rsidR="00906FFF" w:rsidRDefault="00906FFF" w:rsidP="00906FFF">
      <w:pPr>
        <w:rPr>
          <w:lang w:eastAsia="en-US"/>
        </w:rPr>
      </w:pPr>
    </w:p>
    <w:p w:rsidR="00906FFF" w:rsidRDefault="00906FFF" w:rsidP="00906FFF">
      <w:pPr>
        <w:rPr>
          <w:lang w:eastAsia="en-US"/>
        </w:rPr>
      </w:pPr>
    </w:p>
    <w:p w:rsidR="00906FFF" w:rsidRDefault="00906FFF" w:rsidP="00906FFF">
      <w:pPr>
        <w:rPr>
          <w:lang w:eastAsia="en-US"/>
        </w:rPr>
      </w:pPr>
    </w:p>
    <w:p w:rsidR="00906FFF" w:rsidRDefault="00906FFF" w:rsidP="00906FFF">
      <w:pPr>
        <w:rPr>
          <w:lang w:eastAsia="en-US"/>
        </w:rPr>
      </w:pPr>
    </w:p>
    <w:p w:rsidR="00906FFF" w:rsidRDefault="00906FFF" w:rsidP="00906FFF">
      <w:pPr>
        <w:rPr>
          <w:lang w:eastAsia="en-US"/>
        </w:rPr>
      </w:pPr>
    </w:p>
    <w:p w:rsidR="00906FFF" w:rsidRDefault="00906FFF" w:rsidP="00906FFF">
      <w:pPr>
        <w:rPr>
          <w:lang w:eastAsia="en-US"/>
        </w:rPr>
      </w:pPr>
    </w:p>
    <w:p w:rsidR="00906FFF" w:rsidRDefault="00906FFF" w:rsidP="00906FFF">
      <w:pPr>
        <w:rPr>
          <w:lang w:eastAsia="en-US"/>
        </w:rPr>
      </w:pPr>
    </w:p>
    <w:p w:rsidR="00906FFF" w:rsidRDefault="00906FFF" w:rsidP="00906FFF">
      <w:pPr>
        <w:rPr>
          <w:lang w:eastAsia="en-US"/>
        </w:rPr>
      </w:pPr>
    </w:p>
    <w:p w:rsidR="00906FFF" w:rsidRDefault="00906FFF" w:rsidP="00906FFF">
      <w:pPr>
        <w:rPr>
          <w:lang w:eastAsia="en-US"/>
        </w:rPr>
      </w:pPr>
    </w:p>
    <w:p w:rsidR="00906FFF" w:rsidRDefault="00906FFF" w:rsidP="00906FFF">
      <w:pPr>
        <w:rPr>
          <w:lang w:eastAsia="en-US"/>
        </w:rPr>
      </w:pPr>
    </w:p>
    <w:p w:rsidR="00906FFF" w:rsidRDefault="00906FFF" w:rsidP="00906FFF">
      <w:pPr>
        <w:rPr>
          <w:lang w:eastAsia="en-US"/>
        </w:rPr>
      </w:pPr>
    </w:p>
    <w:p w:rsidR="00906FFF" w:rsidRDefault="00906FFF" w:rsidP="00906FFF">
      <w:pPr>
        <w:rPr>
          <w:lang w:eastAsia="en-US"/>
        </w:rPr>
      </w:pPr>
    </w:p>
    <w:p w:rsidR="00906FFF" w:rsidRDefault="00906FFF" w:rsidP="00906FFF">
      <w:pPr>
        <w:rPr>
          <w:lang w:eastAsia="en-US"/>
        </w:rPr>
      </w:pPr>
    </w:p>
    <w:p w:rsidR="00906FFF" w:rsidRDefault="00906FFF" w:rsidP="00906FFF">
      <w:pPr>
        <w:pStyle w:val="Heading2"/>
        <w:spacing w:before="240"/>
        <w:rPr>
          <w:color w:val="auto"/>
        </w:rPr>
      </w:pPr>
      <w:bookmarkStart w:id="8" w:name="_Toc356830849"/>
      <w:r w:rsidRPr="00906FFF">
        <w:t>Overview of gaming machine regulation</w:t>
      </w:r>
      <w:bookmarkEnd w:id="8"/>
    </w:p>
    <w:p w:rsidR="00906FFF" w:rsidRPr="000C3DED" w:rsidRDefault="00906FFF" w:rsidP="00906FFF">
      <w:pPr>
        <w:spacing w:before="240" w:after="240"/>
      </w:pPr>
      <w:r w:rsidRPr="000C3DED">
        <w:t>Beginning in the early 1990s, the Victorian Government liberalised its laws in relation to gaming machines by providing restricted and exclusive rights to operate them. Prior to that, the provision and operation of gaming machines in Victoria was illegal.</w:t>
      </w:r>
    </w:p>
    <w:p w:rsidR="00906FFF" w:rsidRPr="000C3DED" w:rsidRDefault="00906FFF" w:rsidP="00906FFF">
      <w:pPr>
        <w:spacing w:before="240" w:after="240"/>
      </w:pPr>
      <w:r w:rsidRPr="000C3DED">
        <w:t>Today the government closely controls the gaming machine industry and requires it to comply with significant restrictions under legislation. For example, Victoria prohibits the conduct of gambling unless spe</w:t>
      </w:r>
      <w:r w:rsidR="00917306">
        <w:t xml:space="preserve">cifically authorised under the </w:t>
      </w:r>
      <w:r w:rsidRPr="000C3DED">
        <w:t xml:space="preserve">GRA. </w:t>
      </w:r>
    </w:p>
    <w:p w:rsidR="00906FFF" w:rsidRPr="000C3DED" w:rsidRDefault="00906FFF" w:rsidP="00906FFF">
      <w:pPr>
        <w:spacing w:before="240" w:after="240"/>
      </w:pPr>
      <w:r w:rsidRPr="000C3DED">
        <w:t>The VCGLR plays a key role as the responsible regulator in this context. Under section 3.4.12 of the GRA, hotels, clubs and racing clubs</w:t>
      </w:r>
      <w:r w:rsidR="00B235C7" w:rsidRPr="00B235C7">
        <w:t xml:space="preserve"> </w:t>
      </w:r>
      <w:r w:rsidR="00B235C7">
        <w:t xml:space="preserve">must obtain a </w:t>
      </w:r>
      <w:r w:rsidR="00B64B7F">
        <w:t>venue operator</w:t>
      </w:r>
      <w:r w:rsidR="00B235C7" w:rsidRPr="00B235C7">
        <w:t>’s licence</w:t>
      </w:r>
      <w:r w:rsidRPr="000C3DED">
        <w:t xml:space="preserve"> in order to operate gaming machine venues in Victoria. In addition, the VCGLR must assess and approve a range of matters related to the operation of gaming venues, including new machine types, games and linked jackpot arrangements, the suitability of new premises to be used for gaming, increases in the number of gaming machines to be operated at existing premises and training courses that relate to the responsible provision of gaming. The VCGLR also licences gaming industry employees and approves gaming machine manufacturers</w:t>
      </w:r>
      <w:r w:rsidR="003D2865" w:rsidRPr="000C3DED">
        <w:t>, gaming</w:t>
      </w:r>
      <w:r w:rsidRPr="000C3DED">
        <w:t xml:space="preserve"> machine testers and component suppliers.</w:t>
      </w:r>
    </w:p>
    <w:p w:rsidR="00906FFF" w:rsidRPr="000C3DED" w:rsidRDefault="00906FFF" w:rsidP="00906FFF">
      <w:pPr>
        <w:spacing w:before="240" w:after="240"/>
      </w:pPr>
      <w:r w:rsidRPr="000C3DED">
        <w:t xml:space="preserve">A range of other restrictions and obligations are placed on a </w:t>
      </w:r>
      <w:r w:rsidR="00B64B7F">
        <w:t>v</w:t>
      </w:r>
      <w:r w:rsidR="00472069">
        <w:t xml:space="preserve">enue </w:t>
      </w:r>
      <w:r w:rsidR="00B64B7F">
        <w:t>o</w:t>
      </w:r>
      <w:r w:rsidR="00472069">
        <w:t>perator</w:t>
      </w:r>
      <w:r w:rsidRPr="000C3DED">
        <w:t xml:space="preserve"> licensee. In general, they stipulate necessary information to be provided to players and set strict rules for venue conduct. For example, gaming machine winnings or accumulated credits in excess of $1,000 must be paid by cheque and not made out to cash.</w:t>
      </w:r>
    </w:p>
    <w:p w:rsidR="00906FFF" w:rsidRPr="00906FFF" w:rsidRDefault="00906FFF" w:rsidP="00906FFF">
      <w:pPr>
        <w:pStyle w:val="Heading2"/>
      </w:pPr>
      <w:bookmarkStart w:id="9" w:name="_Toc356830850"/>
      <w:r w:rsidRPr="00906FFF">
        <w:t>The reasons for regulation</w:t>
      </w:r>
      <w:bookmarkEnd w:id="9"/>
    </w:p>
    <w:p w:rsidR="00906FFF" w:rsidRPr="000C3DED" w:rsidRDefault="00906FFF" w:rsidP="00906FFF">
      <w:pPr>
        <w:spacing w:before="240" w:after="120"/>
        <w:rPr>
          <w:lang w:eastAsia="en-US"/>
        </w:rPr>
      </w:pPr>
      <w:r w:rsidRPr="000C3DED">
        <w:rPr>
          <w:lang w:eastAsia="en-US"/>
        </w:rPr>
        <w:t>By closely regulating the gaming machine industry, the aims</w:t>
      </w:r>
      <w:r w:rsidR="00187790">
        <w:rPr>
          <w:lang w:eastAsia="en-US"/>
        </w:rPr>
        <w:t xml:space="preserve"> of the GRA</w:t>
      </w:r>
      <w:r w:rsidRPr="000C3DED">
        <w:rPr>
          <w:lang w:eastAsia="en-US"/>
        </w:rPr>
        <w:t xml:space="preserve"> include:</w:t>
      </w:r>
    </w:p>
    <w:p w:rsidR="00906FFF" w:rsidRPr="000C3DED" w:rsidRDefault="00B64B7F" w:rsidP="003F7272">
      <w:pPr>
        <w:numPr>
          <w:ilvl w:val="0"/>
          <w:numId w:val="17"/>
        </w:numPr>
        <w:tabs>
          <w:tab w:val="left" w:pos="1418"/>
        </w:tabs>
        <w:spacing w:before="240" w:after="120"/>
        <w:ind w:left="1418" w:hanging="264"/>
        <w:rPr>
          <w:lang w:eastAsia="en-US"/>
        </w:rPr>
      </w:pPr>
      <w:r>
        <w:rPr>
          <w:lang w:eastAsia="en-US"/>
        </w:rPr>
        <w:t>m</w:t>
      </w:r>
      <w:r w:rsidR="00906FFF" w:rsidRPr="000C3DED">
        <w:rPr>
          <w:lang w:eastAsia="en-US"/>
        </w:rPr>
        <w:t>inimise harms caused by problem gambling while accommodating those who gamble without harming themselves or others;</w:t>
      </w:r>
    </w:p>
    <w:p w:rsidR="00906FFF" w:rsidRPr="000C3DED" w:rsidRDefault="00B64B7F" w:rsidP="003F7272">
      <w:pPr>
        <w:numPr>
          <w:ilvl w:val="0"/>
          <w:numId w:val="17"/>
        </w:numPr>
        <w:tabs>
          <w:tab w:val="left" w:pos="1418"/>
        </w:tabs>
        <w:spacing w:before="240" w:after="120"/>
        <w:ind w:left="1418" w:hanging="264"/>
        <w:rPr>
          <w:lang w:eastAsia="en-US"/>
        </w:rPr>
      </w:pPr>
      <w:r>
        <w:rPr>
          <w:lang w:eastAsia="en-US"/>
        </w:rPr>
        <w:t>e</w:t>
      </w:r>
      <w:r w:rsidR="00906FFF" w:rsidRPr="000C3DED">
        <w:rPr>
          <w:lang w:eastAsia="en-US"/>
        </w:rPr>
        <w:t>nsure that minors are neither encouraged to gamble nor allowed to do so;</w:t>
      </w:r>
    </w:p>
    <w:p w:rsidR="00906FFF" w:rsidRPr="000C3DED" w:rsidRDefault="00B64B7F" w:rsidP="003F7272">
      <w:pPr>
        <w:numPr>
          <w:ilvl w:val="0"/>
          <w:numId w:val="17"/>
        </w:numPr>
        <w:tabs>
          <w:tab w:val="left" w:pos="1418"/>
        </w:tabs>
        <w:spacing w:before="240" w:after="120"/>
        <w:ind w:left="1418" w:hanging="264"/>
        <w:rPr>
          <w:lang w:eastAsia="en-US"/>
        </w:rPr>
      </w:pPr>
      <w:r>
        <w:rPr>
          <w:lang w:eastAsia="en-US"/>
        </w:rPr>
        <w:t>e</w:t>
      </w:r>
      <w:r w:rsidR="00906FFF" w:rsidRPr="000C3DED">
        <w:rPr>
          <w:lang w:eastAsia="en-US"/>
        </w:rPr>
        <w:t>nsure that gaming on gaming machines is conducted honestly and is fair to consumers;</w:t>
      </w:r>
    </w:p>
    <w:p w:rsidR="00906FFF" w:rsidRPr="000C3DED" w:rsidRDefault="00B64B7F" w:rsidP="003F7272">
      <w:pPr>
        <w:numPr>
          <w:ilvl w:val="0"/>
          <w:numId w:val="17"/>
        </w:numPr>
        <w:tabs>
          <w:tab w:val="left" w:pos="1418"/>
        </w:tabs>
        <w:spacing w:before="240" w:after="120"/>
        <w:ind w:left="1418" w:hanging="264"/>
        <w:rPr>
          <w:lang w:eastAsia="en-US"/>
        </w:rPr>
      </w:pPr>
      <w:r>
        <w:rPr>
          <w:lang w:eastAsia="en-US"/>
        </w:rPr>
        <w:t>p</w:t>
      </w:r>
      <w:r w:rsidR="00906FFF" w:rsidRPr="000C3DED">
        <w:rPr>
          <w:lang w:eastAsia="en-US"/>
        </w:rPr>
        <w:t>revent the management of gaming and monitoring equipment from criminal influence and exploitation; and</w:t>
      </w:r>
    </w:p>
    <w:p w:rsidR="00906FFF" w:rsidRPr="000C3DED" w:rsidRDefault="00B64B7F" w:rsidP="003F7272">
      <w:pPr>
        <w:numPr>
          <w:ilvl w:val="0"/>
          <w:numId w:val="17"/>
        </w:numPr>
        <w:tabs>
          <w:tab w:val="left" w:pos="1418"/>
        </w:tabs>
        <w:spacing w:before="240" w:after="240"/>
        <w:ind w:left="1418" w:hanging="264"/>
        <w:rPr>
          <w:lang w:eastAsia="en-US"/>
        </w:rPr>
      </w:pPr>
      <w:r>
        <w:rPr>
          <w:lang w:eastAsia="en-US"/>
        </w:rPr>
        <w:t>p</w:t>
      </w:r>
      <w:r w:rsidR="00906FFF" w:rsidRPr="000C3DED">
        <w:rPr>
          <w:lang w:eastAsia="en-US"/>
        </w:rPr>
        <w:t>romote tourism, employment and economic development more generally.</w:t>
      </w:r>
    </w:p>
    <w:p w:rsidR="00906FFF" w:rsidRPr="000C3DED" w:rsidRDefault="00906FFF" w:rsidP="00906FFF">
      <w:pPr>
        <w:spacing w:before="240" w:after="240"/>
        <w:rPr>
          <w:lang w:eastAsia="en-US"/>
        </w:rPr>
      </w:pPr>
      <w:r w:rsidRPr="000C3DED">
        <w:rPr>
          <w:lang w:eastAsia="en-US"/>
        </w:rPr>
        <w:t xml:space="preserve">The </w:t>
      </w:r>
      <w:r w:rsidR="00B235C7">
        <w:rPr>
          <w:lang w:eastAsia="en-US"/>
        </w:rPr>
        <w:t>S</w:t>
      </w:r>
      <w:r w:rsidRPr="000C3DED">
        <w:rPr>
          <w:lang w:eastAsia="en-US"/>
        </w:rPr>
        <w:t>tate aims to achieve these objectives because the market alone would otherwise likely fail to produce socially optimal outcomes. To an extent, this is guided by the general assumption that businesses operating gaming machines in a fully unregulated market are likely to maximise profits while not bearing the costs borne by others (such as problem gamblers). Although it is important to note that some individual business</w:t>
      </w:r>
      <w:r w:rsidR="00B235C7">
        <w:rPr>
          <w:lang w:eastAsia="en-US"/>
        </w:rPr>
        <w:t>es</w:t>
      </w:r>
      <w:r w:rsidRPr="000C3DED">
        <w:rPr>
          <w:lang w:eastAsia="en-US"/>
        </w:rPr>
        <w:t xml:space="preserve"> could choose to bear some costs if it was in their commercial interests to do so (e.g. provide a level of information to players to signal the benefits (or returns) of playing a machine in their venue over others).</w:t>
      </w:r>
    </w:p>
    <w:p w:rsidR="00906FFF" w:rsidRPr="00906FFF" w:rsidRDefault="00906FFF" w:rsidP="00906FFF">
      <w:pPr>
        <w:pStyle w:val="Heading2"/>
      </w:pPr>
      <w:bookmarkStart w:id="10" w:name="_Toc356830851"/>
      <w:r w:rsidRPr="00906FFF">
        <w:t>VCGLR’s regulatory output</w:t>
      </w:r>
      <w:bookmarkEnd w:id="10"/>
    </w:p>
    <w:p w:rsidR="00906FFF" w:rsidRPr="000C3DED" w:rsidRDefault="00906FFF" w:rsidP="00906FFF">
      <w:pPr>
        <w:spacing w:before="240" w:after="240"/>
        <w:rPr>
          <w:lang w:eastAsia="en-US"/>
        </w:rPr>
      </w:pPr>
      <w:r w:rsidRPr="000C3DED">
        <w:rPr>
          <w:lang w:eastAsia="en-US"/>
        </w:rPr>
        <w:t xml:space="preserve">The VCGLR exercises its regulatory responsibilities in relation to gaming and aims to achieve the </w:t>
      </w:r>
      <w:r w:rsidR="00B235C7">
        <w:rPr>
          <w:lang w:eastAsia="en-US"/>
        </w:rPr>
        <w:t>G</w:t>
      </w:r>
      <w:r w:rsidRPr="000C3DED">
        <w:rPr>
          <w:lang w:eastAsia="en-US"/>
        </w:rPr>
        <w:t>overnment’s objectives (including the GRA’s objectives listed above) through the following core functions and processes:</w:t>
      </w:r>
    </w:p>
    <w:p w:rsidR="00906FFF" w:rsidRPr="000C3DED" w:rsidRDefault="00B64B7F" w:rsidP="003F7272">
      <w:pPr>
        <w:numPr>
          <w:ilvl w:val="0"/>
          <w:numId w:val="17"/>
        </w:numPr>
        <w:tabs>
          <w:tab w:val="left" w:pos="1418"/>
        </w:tabs>
        <w:spacing w:before="120" w:after="240"/>
        <w:ind w:hanging="357"/>
        <w:rPr>
          <w:lang w:eastAsia="en-US"/>
        </w:rPr>
      </w:pPr>
      <w:r>
        <w:rPr>
          <w:lang w:eastAsia="en-US"/>
        </w:rPr>
        <w:t>a</w:t>
      </w:r>
      <w:r w:rsidR="00906FFF" w:rsidRPr="000C3DED">
        <w:rPr>
          <w:lang w:eastAsia="en-US"/>
        </w:rPr>
        <w:t xml:space="preserve">uditing </w:t>
      </w:r>
      <w:r w:rsidR="006E25E1">
        <w:rPr>
          <w:lang w:eastAsia="en-US"/>
        </w:rPr>
        <w:t xml:space="preserve">gaming machine financial data </w:t>
      </w:r>
      <w:r w:rsidR="00906FFF" w:rsidRPr="000C3DED">
        <w:rPr>
          <w:lang w:eastAsia="en-US"/>
        </w:rPr>
        <w:t xml:space="preserve">and assessing </w:t>
      </w:r>
      <w:r w:rsidR="006E25E1">
        <w:rPr>
          <w:lang w:eastAsia="en-US"/>
        </w:rPr>
        <w:t>premises</w:t>
      </w:r>
      <w:r w:rsidR="00906FFF" w:rsidRPr="000C3DED">
        <w:rPr>
          <w:lang w:eastAsia="en-US"/>
        </w:rPr>
        <w:t xml:space="preserve"> and equipment upon application; </w:t>
      </w:r>
    </w:p>
    <w:p w:rsidR="00906FFF" w:rsidRPr="000C3DED" w:rsidRDefault="00B64B7F" w:rsidP="003F7272">
      <w:pPr>
        <w:numPr>
          <w:ilvl w:val="0"/>
          <w:numId w:val="17"/>
        </w:numPr>
        <w:tabs>
          <w:tab w:val="left" w:pos="1418"/>
        </w:tabs>
        <w:spacing w:before="120" w:after="240"/>
        <w:ind w:hanging="357"/>
        <w:rPr>
          <w:lang w:eastAsia="en-US"/>
        </w:rPr>
      </w:pPr>
      <w:r>
        <w:rPr>
          <w:lang w:eastAsia="en-US"/>
        </w:rPr>
        <w:t>c</w:t>
      </w:r>
      <w:r w:rsidR="00906FFF" w:rsidRPr="000C3DED">
        <w:rPr>
          <w:lang w:eastAsia="en-US"/>
        </w:rPr>
        <w:t>onducting investigations and field inspections to ensure compliance; and</w:t>
      </w:r>
    </w:p>
    <w:p w:rsidR="00906FFF" w:rsidRPr="000C3DED" w:rsidRDefault="00B64B7F" w:rsidP="003F7272">
      <w:pPr>
        <w:numPr>
          <w:ilvl w:val="0"/>
          <w:numId w:val="17"/>
        </w:numPr>
        <w:tabs>
          <w:tab w:val="left" w:pos="1418"/>
        </w:tabs>
        <w:spacing w:before="120" w:after="240"/>
        <w:ind w:hanging="357"/>
        <w:rPr>
          <w:lang w:eastAsia="en-US"/>
        </w:rPr>
      </w:pPr>
      <w:r>
        <w:rPr>
          <w:lang w:eastAsia="en-US"/>
        </w:rPr>
        <w:t>a</w:t>
      </w:r>
      <w:r w:rsidR="002A1B50">
        <w:rPr>
          <w:lang w:eastAsia="en-US"/>
        </w:rPr>
        <w:t xml:space="preserve">pproving and monitoring the licensing of </w:t>
      </w:r>
      <w:r>
        <w:rPr>
          <w:lang w:eastAsia="en-US"/>
        </w:rPr>
        <w:t>venue o</w:t>
      </w:r>
      <w:r w:rsidR="00472069">
        <w:rPr>
          <w:lang w:eastAsia="en-US"/>
        </w:rPr>
        <w:t>perator</w:t>
      </w:r>
      <w:r w:rsidR="002A1B50">
        <w:rPr>
          <w:lang w:eastAsia="en-US"/>
        </w:rPr>
        <w:t>s and their associates</w:t>
      </w:r>
      <w:r w:rsidR="00906FFF" w:rsidRPr="000C3DED">
        <w:rPr>
          <w:lang w:eastAsia="en-US"/>
        </w:rPr>
        <w:t>.</w:t>
      </w:r>
    </w:p>
    <w:p w:rsidR="00906FFF" w:rsidRPr="000C3DED" w:rsidRDefault="00906FFF" w:rsidP="00906FFF">
      <w:pPr>
        <w:tabs>
          <w:tab w:val="left" w:pos="1418"/>
        </w:tabs>
        <w:spacing w:before="120" w:after="240"/>
        <w:rPr>
          <w:lang w:eastAsia="en-US"/>
        </w:rPr>
      </w:pPr>
      <w:r w:rsidRPr="000C3DED">
        <w:rPr>
          <w:lang w:eastAsia="en-US"/>
        </w:rPr>
        <w:t xml:space="preserve">The VCGLR’s functions, as required under the GRA, are listed in </w:t>
      </w:r>
      <w:r w:rsidRPr="000C3DED">
        <w:rPr>
          <w:b/>
          <w:lang w:eastAsia="en-US"/>
        </w:rPr>
        <w:t>Appendix 2</w:t>
      </w:r>
      <w:r w:rsidRPr="000C3DED">
        <w:rPr>
          <w:lang w:eastAsia="en-US"/>
        </w:rPr>
        <w:t>.</w:t>
      </w:r>
      <w:r w:rsidR="000C3DED">
        <w:rPr>
          <w:lang w:eastAsia="en-US"/>
        </w:rPr>
        <w:t xml:space="preserve"> Chapter 4 outlines the </w:t>
      </w:r>
      <w:r w:rsidR="00D5476B">
        <w:rPr>
          <w:lang w:eastAsia="en-US"/>
        </w:rPr>
        <w:t xml:space="preserve">gaming regulatory related </w:t>
      </w:r>
      <w:r w:rsidR="000C3DED">
        <w:rPr>
          <w:lang w:eastAsia="en-US"/>
        </w:rPr>
        <w:t>output</w:t>
      </w:r>
      <w:r w:rsidR="00D5476B">
        <w:rPr>
          <w:lang w:eastAsia="en-US"/>
        </w:rPr>
        <w:t xml:space="preserve"> activitie</w:t>
      </w:r>
      <w:r w:rsidR="000C3DED">
        <w:rPr>
          <w:lang w:eastAsia="en-US"/>
        </w:rPr>
        <w:t xml:space="preserve">s </w:t>
      </w:r>
      <w:r w:rsidR="00903E8A">
        <w:rPr>
          <w:lang w:eastAsia="en-US"/>
        </w:rPr>
        <w:t xml:space="preserve">of </w:t>
      </w:r>
      <w:r w:rsidR="000C3DED">
        <w:rPr>
          <w:lang w:eastAsia="en-US"/>
        </w:rPr>
        <w:t xml:space="preserve">the VCGLR in more detail. </w:t>
      </w:r>
    </w:p>
    <w:p w:rsidR="000A1BEA" w:rsidRDefault="000A1BEA">
      <w:pPr>
        <w:spacing w:before="0" w:after="0"/>
        <w:ind w:left="0"/>
        <w:rPr>
          <w:color w:val="4D4D4D"/>
          <w:kern w:val="28"/>
          <w:sz w:val="30"/>
          <w:lang w:eastAsia="en-US"/>
        </w:rPr>
      </w:pPr>
      <w:r>
        <w:br w:type="page"/>
      </w:r>
    </w:p>
    <w:p w:rsidR="00906FFF" w:rsidRPr="00906FFF" w:rsidRDefault="00906FFF" w:rsidP="00906FFF">
      <w:pPr>
        <w:pStyle w:val="Heading2"/>
      </w:pPr>
      <w:bookmarkStart w:id="11" w:name="_Toc356830852"/>
      <w:r w:rsidRPr="00906FFF">
        <w:t>Recovering V</w:t>
      </w:r>
      <w:r w:rsidR="00B64B7F">
        <w:t>CGLR’s costs – W</w:t>
      </w:r>
      <w:r w:rsidRPr="00906FFF">
        <w:t>ho pays?</w:t>
      </w:r>
      <w:bookmarkEnd w:id="11"/>
    </w:p>
    <w:p w:rsidR="00906FFF" w:rsidRPr="000C3DED" w:rsidRDefault="00906FFF" w:rsidP="00906FFF">
      <w:pPr>
        <w:spacing w:before="240" w:after="240"/>
        <w:rPr>
          <w:lang w:eastAsia="en-US"/>
        </w:rPr>
      </w:pPr>
      <w:r w:rsidRPr="000C3DED">
        <w:rPr>
          <w:lang w:eastAsia="en-US"/>
        </w:rPr>
        <w:t xml:space="preserve">Inevitably, the VCGLR incurs costs as it deploys resources to fulfil its regulatory responsibilities. </w:t>
      </w:r>
    </w:p>
    <w:p w:rsidR="00906FFF" w:rsidRPr="000C3DED" w:rsidRDefault="00906FFF" w:rsidP="00906FFF">
      <w:pPr>
        <w:spacing w:before="240" w:after="240"/>
        <w:rPr>
          <w:lang w:eastAsia="en-US"/>
        </w:rPr>
      </w:pPr>
      <w:r w:rsidRPr="000C3DED">
        <w:rPr>
          <w:lang w:eastAsia="en-US"/>
        </w:rPr>
        <w:t>In practical terms, the VCGLR is funded through grants from</w:t>
      </w:r>
      <w:r w:rsidR="0072718C">
        <w:rPr>
          <w:lang w:eastAsia="en-US"/>
        </w:rPr>
        <w:t xml:space="preserve"> the Department of Justice</w:t>
      </w:r>
      <w:r w:rsidRPr="000C3DED">
        <w:rPr>
          <w:lang w:eastAsia="en-US"/>
        </w:rPr>
        <w:t xml:space="preserve"> </w:t>
      </w:r>
      <w:r w:rsidR="0072718C">
        <w:rPr>
          <w:lang w:eastAsia="en-US"/>
        </w:rPr>
        <w:t>(</w:t>
      </w:r>
      <w:r w:rsidRPr="000C3DED">
        <w:rPr>
          <w:lang w:eastAsia="en-US"/>
        </w:rPr>
        <w:t>DOJ</w:t>
      </w:r>
      <w:r w:rsidR="0072718C">
        <w:rPr>
          <w:lang w:eastAsia="en-US"/>
        </w:rPr>
        <w:t>)</w:t>
      </w:r>
      <w:r w:rsidRPr="000C3DED">
        <w:rPr>
          <w:lang w:eastAsia="en-US"/>
        </w:rPr>
        <w:t>. The VCGLR</w:t>
      </w:r>
      <w:r w:rsidR="002A1B50">
        <w:rPr>
          <w:lang w:eastAsia="en-US"/>
        </w:rPr>
        <w:t>’s</w:t>
      </w:r>
      <w:r w:rsidRPr="000C3DED">
        <w:rPr>
          <w:lang w:eastAsia="en-US"/>
        </w:rPr>
        <w:t xml:space="preserve"> activities form part of the DOJ </w:t>
      </w:r>
      <w:r w:rsidR="00B235C7" w:rsidRPr="00B235C7">
        <w:rPr>
          <w:lang w:eastAsia="en-US"/>
        </w:rPr>
        <w:t>Industry Regulation and Support</w:t>
      </w:r>
      <w:r w:rsidRPr="000C3DED">
        <w:rPr>
          <w:lang w:eastAsia="en-US"/>
        </w:rPr>
        <w:t xml:space="preserve"> output. </w:t>
      </w:r>
      <w:r w:rsidR="00B235C7">
        <w:rPr>
          <w:lang w:eastAsia="en-US"/>
        </w:rPr>
        <w:t>Gambling regulation</w:t>
      </w:r>
      <w:r w:rsidRPr="000C3DED">
        <w:rPr>
          <w:lang w:eastAsia="en-US"/>
        </w:rPr>
        <w:t xml:space="preserve"> activities undertaken to deliver this output </w:t>
      </w:r>
      <w:r w:rsidR="00B235C7">
        <w:rPr>
          <w:lang w:eastAsia="en-US"/>
        </w:rPr>
        <w:t>aim to</w:t>
      </w:r>
      <w:r w:rsidRPr="000C3DED">
        <w:rPr>
          <w:lang w:eastAsia="en-US"/>
        </w:rPr>
        <w:t xml:space="preserve"> </w:t>
      </w:r>
      <w:r w:rsidR="00B235C7">
        <w:rPr>
          <w:lang w:eastAsia="en-US"/>
        </w:rPr>
        <w:t>p</w:t>
      </w:r>
      <w:r w:rsidR="00B235C7" w:rsidRPr="00B235C7">
        <w:rPr>
          <w:lang w:eastAsia="en-US"/>
        </w:rPr>
        <w:t>romo</w:t>
      </w:r>
      <w:r w:rsidR="00B235C7">
        <w:rPr>
          <w:lang w:eastAsia="en-US"/>
        </w:rPr>
        <w:t>te</w:t>
      </w:r>
      <w:r w:rsidR="00B235C7" w:rsidRPr="00B235C7">
        <w:rPr>
          <w:lang w:eastAsia="en-US"/>
        </w:rPr>
        <w:t xml:space="preserve"> responsible industry behaviour and an informed community through effective regulation, education, monitoring and enforcement</w:t>
      </w:r>
      <w:r w:rsidR="00B235C7">
        <w:rPr>
          <w:rStyle w:val="FootnoteReference"/>
          <w:lang w:eastAsia="en-US"/>
        </w:rPr>
        <w:footnoteReference w:id="3"/>
      </w:r>
      <w:r w:rsidR="00B235C7" w:rsidRPr="00B235C7">
        <w:rPr>
          <w:lang w:eastAsia="en-US"/>
        </w:rPr>
        <w:t>.</w:t>
      </w:r>
      <w:r w:rsidRPr="000C3DED">
        <w:rPr>
          <w:lang w:eastAsia="en-US"/>
        </w:rPr>
        <w:t xml:space="preserve"> Performance targets include quantity, quality and timeliness measures.</w:t>
      </w:r>
    </w:p>
    <w:p w:rsidR="00906FFF" w:rsidRPr="000C3DED" w:rsidRDefault="00B235C7" w:rsidP="00906FFF">
      <w:pPr>
        <w:spacing w:before="240" w:after="240"/>
        <w:rPr>
          <w:lang w:eastAsia="en-US"/>
        </w:rPr>
      </w:pPr>
      <w:r>
        <w:rPr>
          <w:lang w:eastAsia="en-US"/>
        </w:rPr>
        <w:t>T</w:t>
      </w:r>
      <w:r w:rsidR="00906FFF" w:rsidRPr="000C3DED">
        <w:rPr>
          <w:lang w:eastAsia="en-US"/>
        </w:rPr>
        <w:t>he question arises as to who could and should be charged to recover the costs of VCGLR’s regulatory activities. In generic terms, the possible options vary from:</w:t>
      </w:r>
    </w:p>
    <w:p w:rsidR="00906FFF" w:rsidRPr="000C3DED" w:rsidRDefault="00906FFF" w:rsidP="00407A05">
      <w:pPr>
        <w:numPr>
          <w:ilvl w:val="0"/>
          <w:numId w:val="48"/>
        </w:numPr>
        <w:spacing w:before="240" w:after="240"/>
        <w:ind w:hanging="229"/>
        <w:rPr>
          <w:lang w:eastAsia="en-US"/>
        </w:rPr>
      </w:pPr>
      <w:r w:rsidRPr="000C3DED">
        <w:rPr>
          <w:lang w:eastAsia="en-US"/>
        </w:rPr>
        <w:t xml:space="preserve">charging direct user fees for particular services; </w:t>
      </w:r>
    </w:p>
    <w:p w:rsidR="00906FFF" w:rsidRPr="000C3DED" w:rsidRDefault="00906FFF" w:rsidP="00407A05">
      <w:pPr>
        <w:numPr>
          <w:ilvl w:val="0"/>
          <w:numId w:val="48"/>
        </w:numPr>
        <w:spacing w:before="240" w:after="240"/>
        <w:ind w:hanging="229"/>
        <w:rPr>
          <w:lang w:eastAsia="en-US"/>
        </w:rPr>
      </w:pPr>
      <w:r w:rsidRPr="000C3DED">
        <w:rPr>
          <w:lang w:eastAsia="en-US"/>
        </w:rPr>
        <w:t xml:space="preserve">levying regulatory charges on those whose actions place government/societal objectives at risk; and/or </w:t>
      </w:r>
    </w:p>
    <w:p w:rsidR="00906FFF" w:rsidRPr="000C3DED" w:rsidRDefault="00906FFF" w:rsidP="00407A05">
      <w:pPr>
        <w:numPr>
          <w:ilvl w:val="0"/>
          <w:numId w:val="48"/>
        </w:numPr>
        <w:spacing w:before="240" w:after="240"/>
        <w:ind w:hanging="229"/>
        <w:rPr>
          <w:lang w:eastAsia="en-US"/>
        </w:rPr>
      </w:pPr>
      <w:r w:rsidRPr="000C3DED">
        <w:rPr>
          <w:lang w:eastAsia="en-US"/>
        </w:rPr>
        <w:t>raising the revenue from general taxation.</w:t>
      </w:r>
    </w:p>
    <w:p w:rsidR="00906FFF" w:rsidRPr="000C3DED" w:rsidRDefault="00906FFF" w:rsidP="00906FFF">
      <w:pPr>
        <w:spacing w:before="240" w:after="240"/>
        <w:rPr>
          <w:lang w:eastAsia="en-US"/>
        </w:rPr>
      </w:pPr>
      <w:r w:rsidRPr="000C3DED">
        <w:rPr>
          <w:lang w:eastAsia="en-US"/>
        </w:rPr>
        <w:t xml:space="preserve">The government’s general policy, through the </w:t>
      </w:r>
      <w:r w:rsidR="00C46DDC">
        <w:rPr>
          <w:lang w:eastAsia="en-US"/>
        </w:rPr>
        <w:t>DTF</w:t>
      </w:r>
      <w:r w:rsidRPr="000C3DED">
        <w:rPr>
          <w:lang w:eastAsia="en-US"/>
        </w:rPr>
        <w:t xml:space="preserve"> Cost Recovery Guidelines, is for costs to be recovered directly and fully where justified and practically feasible. Taxation is only relied upon as a funding source when more direct charging options are not possible.</w:t>
      </w:r>
    </w:p>
    <w:p w:rsidR="00906FFF" w:rsidRPr="00906FFF" w:rsidRDefault="00906FFF" w:rsidP="00906FFF">
      <w:pPr>
        <w:pStyle w:val="Heading3"/>
        <w:ind w:left="792" w:hanging="792"/>
      </w:pPr>
      <w:bookmarkStart w:id="12" w:name="_Toc356830853"/>
      <w:r w:rsidRPr="00906FFF">
        <w:t>Historical collection of VCGLR’s costs</w:t>
      </w:r>
      <w:bookmarkEnd w:id="12"/>
    </w:p>
    <w:p w:rsidR="00906FFF" w:rsidRPr="000C3DED" w:rsidRDefault="00B235C7" w:rsidP="00906FFF">
      <w:pPr>
        <w:spacing w:before="240" w:after="240"/>
        <w:rPr>
          <w:lang w:eastAsia="en-US"/>
        </w:rPr>
      </w:pPr>
      <w:r>
        <w:rPr>
          <w:lang w:eastAsia="en-US"/>
        </w:rPr>
        <w:t>Since 1995-96</w:t>
      </w:r>
      <w:r w:rsidR="00906FFF" w:rsidRPr="000C3DED">
        <w:rPr>
          <w:lang w:eastAsia="en-US"/>
        </w:rPr>
        <w:t xml:space="preserve">, the </w:t>
      </w:r>
      <w:r>
        <w:rPr>
          <w:lang w:eastAsia="en-US"/>
        </w:rPr>
        <w:t>G</w:t>
      </w:r>
      <w:r w:rsidR="00906FFF" w:rsidRPr="000C3DED">
        <w:rPr>
          <w:lang w:eastAsia="en-US"/>
        </w:rPr>
        <w:t>overnment has recovered the VCGLR’s costs of regulating</w:t>
      </w:r>
      <w:r w:rsidR="00B85A54">
        <w:rPr>
          <w:lang w:eastAsia="en-US"/>
        </w:rPr>
        <w:t xml:space="preserve"> some areas of</w:t>
      </w:r>
      <w:r w:rsidR="00906FFF" w:rsidRPr="000C3DED">
        <w:rPr>
          <w:lang w:eastAsia="en-US"/>
        </w:rPr>
        <w:t xml:space="preserve"> gambling through levying a supervision charge on various gambling licensees </w:t>
      </w:r>
      <w:r w:rsidR="00B85A54">
        <w:rPr>
          <w:lang w:eastAsia="en-US"/>
        </w:rPr>
        <w:t xml:space="preserve">in those areas </w:t>
      </w:r>
      <w:r w:rsidR="00906FFF" w:rsidRPr="000C3DED">
        <w:rPr>
          <w:lang w:eastAsia="en-US"/>
        </w:rPr>
        <w:t xml:space="preserve">including those operating gaming machines, wagering, lottery and keno. </w:t>
      </w:r>
    </w:p>
    <w:p w:rsidR="00906FFF" w:rsidRPr="000C3DED" w:rsidRDefault="00906FFF" w:rsidP="00906FFF">
      <w:pPr>
        <w:spacing w:before="240" w:after="240"/>
        <w:rPr>
          <w:lang w:eastAsia="en-US"/>
        </w:rPr>
      </w:pPr>
      <w:r w:rsidRPr="000C3DED">
        <w:rPr>
          <w:lang w:eastAsia="en-US"/>
        </w:rPr>
        <w:t xml:space="preserve">In practice, the supervision charge has been calculated on the basis of fully recovering the VCGLR’s regulatory costs of all the activities listed in </w:t>
      </w:r>
      <w:r w:rsidR="002A1B50">
        <w:rPr>
          <w:lang w:eastAsia="en-US"/>
        </w:rPr>
        <w:t>Chapter 4</w:t>
      </w:r>
      <w:r w:rsidRPr="000C3DED">
        <w:rPr>
          <w:lang w:eastAsia="en-US"/>
        </w:rPr>
        <w:t>. To avoid double charging, the supervision charge amounts have netted off the revenues collected from other activity based licence fees levied on the licensee. These other fees are detailed further below.</w:t>
      </w:r>
      <w:r w:rsidR="00B235C7">
        <w:rPr>
          <w:lang w:eastAsia="en-US"/>
        </w:rPr>
        <w:t xml:space="preserve"> Licence premium payments paid for gaming machine entitlements purchased at auction are not included.</w:t>
      </w:r>
    </w:p>
    <w:p w:rsidR="00906FFF" w:rsidRPr="000C3DED" w:rsidRDefault="00906FFF" w:rsidP="00906FFF">
      <w:pPr>
        <w:spacing w:before="240" w:after="240"/>
        <w:rPr>
          <w:lang w:eastAsia="en-US"/>
        </w:rPr>
      </w:pPr>
      <w:r w:rsidRPr="000C3DED">
        <w:rPr>
          <w:lang w:eastAsia="en-US"/>
        </w:rPr>
        <w:t>The total amount of revenue raised from all supervision charge revenues has varied between $</w:t>
      </w:r>
      <w:r w:rsidR="002A1B50">
        <w:rPr>
          <w:lang w:eastAsia="en-US"/>
        </w:rPr>
        <w:t>6.65</w:t>
      </w:r>
      <w:r w:rsidR="002A1B50" w:rsidRPr="000C3DED">
        <w:rPr>
          <w:lang w:eastAsia="en-US"/>
        </w:rPr>
        <w:t xml:space="preserve"> </w:t>
      </w:r>
      <w:r w:rsidRPr="000C3DED">
        <w:rPr>
          <w:lang w:eastAsia="en-US"/>
        </w:rPr>
        <w:t>million and $9</w:t>
      </w:r>
      <w:r w:rsidR="002A1B50">
        <w:rPr>
          <w:lang w:eastAsia="en-US"/>
        </w:rPr>
        <w:t>.22</w:t>
      </w:r>
      <w:r w:rsidRPr="000C3DED">
        <w:rPr>
          <w:lang w:eastAsia="en-US"/>
        </w:rPr>
        <w:t xml:space="preserve"> million between 1999-00 and 2011-12. The majority of the VCGLR’s </w:t>
      </w:r>
      <w:r w:rsidR="00903E8A">
        <w:rPr>
          <w:lang w:eastAsia="en-US"/>
        </w:rPr>
        <w:t xml:space="preserve">reasonable </w:t>
      </w:r>
      <w:r w:rsidRPr="000C3DED">
        <w:rPr>
          <w:lang w:eastAsia="en-US"/>
        </w:rPr>
        <w:t>regulatory costs</w:t>
      </w:r>
      <w:r w:rsidR="00D82EED" w:rsidRPr="00D82EED">
        <w:rPr>
          <w:lang w:eastAsia="en-US"/>
        </w:rPr>
        <w:t xml:space="preserve"> </w:t>
      </w:r>
      <w:r w:rsidR="00D82EED">
        <w:rPr>
          <w:lang w:eastAsia="en-US"/>
        </w:rPr>
        <w:t>recovered through supervision charges</w:t>
      </w:r>
      <w:r w:rsidRPr="000C3DED">
        <w:rPr>
          <w:lang w:eastAsia="en-US"/>
        </w:rPr>
        <w:t xml:space="preserve"> have historically related to and therefore been recovered from gaming related licensees.  For example, gaming accounted for 75 per cent of supervision charge revenues collected in 2011-12. </w:t>
      </w:r>
    </w:p>
    <w:p w:rsidR="00906FFF" w:rsidRPr="00906FFF" w:rsidRDefault="00906FFF" w:rsidP="00906FFF">
      <w:pPr>
        <w:pStyle w:val="Heading5"/>
      </w:pPr>
      <w:r w:rsidRPr="00906FFF">
        <w:t>Chart 2.1: Total supervision charge revenues</w:t>
      </w:r>
      <w:r w:rsidR="00B64B7F">
        <w:t xml:space="preserve"> (n</w:t>
      </w:r>
      <w:r w:rsidR="00B235C7">
        <w:t>ominal)</w:t>
      </w:r>
      <w:r w:rsidRPr="00906FFF">
        <w:t xml:space="preserve"> (1995-96 to 2011-12)*</w:t>
      </w:r>
    </w:p>
    <w:p w:rsidR="00906FFF" w:rsidRPr="00906FFF" w:rsidRDefault="002A1B50" w:rsidP="00906FFF">
      <w:pPr>
        <w:spacing w:before="0" w:after="0"/>
        <w:rPr>
          <w:sz w:val="24"/>
          <w:szCs w:val="24"/>
          <w:lang w:eastAsia="en-US"/>
        </w:rPr>
      </w:pPr>
      <w:r>
        <w:rPr>
          <w:noProof/>
          <w:sz w:val="24"/>
          <w:szCs w:val="24"/>
        </w:rPr>
        <w:drawing>
          <wp:inline distT="0" distB="0" distL="0" distR="0" wp14:anchorId="4A081EAE" wp14:editId="348DC4AA">
            <wp:extent cx="5317067" cy="3407734"/>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18705" cy="3408784"/>
                    </a:xfrm>
                    <a:prstGeom prst="rect">
                      <a:avLst/>
                    </a:prstGeom>
                    <a:noFill/>
                  </pic:spPr>
                </pic:pic>
              </a:graphicData>
            </a:graphic>
          </wp:inline>
        </w:drawing>
      </w:r>
    </w:p>
    <w:p w:rsidR="00906FFF" w:rsidRPr="00906FFF" w:rsidRDefault="00906FFF" w:rsidP="002A1B50">
      <w:pPr>
        <w:spacing w:before="0" w:after="120"/>
        <w:rPr>
          <w:i/>
          <w:sz w:val="20"/>
          <w:szCs w:val="20"/>
          <w:lang w:eastAsia="en-US"/>
        </w:rPr>
      </w:pPr>
      <w:r w:rsidRPr="00906FFF">
        <w:rPr>
          <w:i/>
          <w:sz w:val="20"/>
          <w:szCs w:val="20"/>
          <w:lang w:eastAsia="en-US"/>
        </w:rPr>
        <w:t>Source: DTF</w:t>
      </w:r>
    </w:p>
    <w:p w:rsidR="00906FFF" w:rsidRPr="00906FFF" w:rsidRDefault="00906FFF" w:rsidP="00906FFF">
      <w:pPr>
        <w:spacing w:before="0" w:after="240"/>
        <w:rPr>
          <w:i/>
          <w:sz w:val="20"/>
          <w:szCs w:val="20"/>
          <w:lang w:eastAsia="en-US"/>
        </w:rPr>
      </w:pPr>
      <w:r w:rsidRPr="00906FFF">
        <w:rPr>
          <w:i/>
          <w:sz w:val="20"/>
          <w:szCs w:val="20"/>
          <w:lang w:eastAsia="en-US"/>
        </w:rPr>
        <w:t>*Includes supervision charges on gaming, wagering, lottery and keno licensees.</w:t>
      </w:r>
    </w:p>
    <w:p w:rsidR="00906FFF" w:rsidRPr="00D5476B" w:rsidRDefault="00906FFF" w:rsidP="00906FFF">
      <w:pPr>
        <w:spacing w:before="360" w:after="120"/>
        <w:rPr>
          <w:lang w:eastAsia="en-US"/>
        </w:rPr>
      </w:pPr>
      <w:r w:rsidRPr="00D5476B">
        <w:rPr>
          <w:lang w:eastAsia="en-US"/>
        </w:rPr>
        <w:t xml:space="preserve">As referred to earlier, the VCGLR also levies a range of gaming related activity based licence fees for specific regulatory activities. These fees are typically paid by </w:t>
      </w:r>
      <w:r w:rsidR="00F13192">
        <w:rPr>
          <w:lang w:eastAsia="en-US"/>
        </w:rPr>
        <w:t>venue o</w:t>
      </w:r>
      <w:r w:rsidR="00472069">
        <w:rPr>
          <w:lang w:eastAsia="en-US"/>
        </w:rPr>
        <w:t>perator</w:t>
      </w:r>
      <w:r w:rsidRPr="00D5476B">
        <w:rPr>
          <w:lang w:eastAsia="en-US"/>
        </w:rPr>
        <w:t xml:space="preserve"> licensees and their employees. </w:t>
      </w:r>
    </w:p>
    <w:p w:rsidR="00906FFF" w:rsidRPr="00D5476B" w:rsidRDefault="00906FFF" w:rsidP="00906FFF">
      <w:pPr>
        <w:spacing w:before="240" w:after="120"/>
        <w:rPr>
          <w:lang w:eastAsia="en-US"/>
        </w:rPr>
      </w:pPr>
      <w:r w:rsidRPr="00D5476B">
        <w:rPr>
          <w:lang w:eastAsia="en-US"/>
        </w:rPr>
        <w:t xml:space="preserve">These activity based fees only partially recover the VCGLR’s costs. This is partly due to the nature of these fees – they relate to specific regulatory applications and the fees are levied as an upfront access charge, which is payable before the VCGLR commences its assessment of the application. In most cases, the VCGLR’s level of effort and resources dedicated to assessing each application, and associated costs, are greater than the level of the fee allows for. </w:t>
      </w:r>
      <w:r w:rsidR="001D40FC" w:rsidRPr="001D40FC">
        <w:rPr>
          <w:lang w:eastAsia="en-US"/>
        </w:rPr>
        <w:t xml:space="preserve">For example, the ongoing monitoring of licensed venue operators, including assessment and approval of their new associates (entities or individuals), is not covered by the fees charged for an application for a licence. </w:t>
      </w:r>
      <w:r w:rsidRPr="00D5476B">
        <w:rPr>
          <w:lang w:eastAsia="en-US"/>
        </w:rPr>
        <w:t>This is explored further in Chapter 4.</w:t>
      </w:r>
    </w:p>
    <w:p w:rsidR="00906FFF" w:rsidRPr="00906FFF" w:rsidRDefault="00906FFF" w:rsidP="00906FFF">
      <w:pPr>
        <w:pStyle w:val="Heading5"/>
      </w:pPr>
      <w:r w:rsidRPr="00906FFF">
        <w:t>Table 2.2: Gaming related activity based licence fees</w:t>
      </w:r>
      <w:r w:rsidR="002A1B50">
        <w:t xml:space="preserve"> for 2012-13</w:t>
      </w:r>
    </w:p>
    <w:tbl>
      <w:tblPr>
        <w:tblW w:w="8376" w:type="dxa"/>
        <w:tblInd w:w="964" w:type="dxa"/>
        <w:tblBorders>
          <w:top w:val="single" w:sz="2" w:space="0" w:color="auto"/>
          <w:bottom w:val="single" w:sz="2" w:space="0" w:color="auto"/>
          <w:insideH w:val="single" w:sz="2" w:space="0" w:color="auto"/>
        </w:tblBorders>
        <w:tblCellMar>
          <w:left w:w="113" w:type="dxa"/>
          <w:right w:w="113" w:type="dxa"/>
        </w:tblCellMar>
        <w:tblLook w:val="04A0" w:firstRow="1" w:lastRow="0" w:firstColumn="1" w:lastColumn="0" w:noHBand="0" w:noVBand="1"/>
      </w:tblPr>
      <w:tblGrid>
        <w:gridCol w:w="6946"/>
        <w:gridCol w:w="1430"/>
      </w:tblGrid>
      <w:tr w:rsidR="00906FFF" w:rsidRPr="00906FFF" w:rsidTr="003854B7">
        <w:trPr>
          <w:cantSplit/>
          <w:tblHeader/>
        </w:trPr>
        <w:tc>
          <w:tcPr>
            <w:tcW w:w="6946" w:type="dxa"/>
            <w:tcBorders>
              <w:top w:val="single" w:sz="2" w:space="0" w:color="auto"/>
              <w:left w:val="nil"/>
              <w:bottom w:val="single" w:sz="2" w:space="0" w:color="auto"/>
              <w:right w:val="nil"/>
              <w:tl2br w:val="nil"/>
              <w:tr2bl w:val="nil"/>
            </w:tcBorders>
            <w:shd w:val="clear" w:color="auto" w:fill="D9D9D9"/>
          </w:tcPr>
          <w:p w:rsidR="00906FFF" w:rsidRPr="00906FFF" w:rsidRDefault="00407A05" w:rsidP="00906FFF">
            <w:pPr>
              <w:spacing w:before="60" w:after="60"/>
              <w:ind w:left="0"/>
              <w:rPr>
                <w:sz w:val="20"/>
                <w:szCs w:val="20"/>
                <w:lang w:eastAsia="en-US"/>
              </w:rPr>
            </w:pPr>
            <w:r>
              <w:rPr>
                <w:sz w:val="20"/>
                <w:szCs w:val="20"/>
                <w:lang w:eastAsia="en-US"/>
              </w:rPr>
              <w:t>Fee n</w:t>
            </w:r>
            <w:r w:rsidR="00906FFF" w:rsidRPr="00906FFF">
              <w:rPr>
                <w:sz w:val="20"/>
                <w:szCs w:val="20"/>
                <w:lang w:eastAsia="en-US"/>
              </w:rPr>
              <w:t>ame</w:t>
            </w:r>
          </w:p>
        </w:tc>
        <w:tc>
          <w:tcPr>
            <w:tcW w:w="1430" w:type="dxa"/>
            <w:tcBorders>
              <w:top w:val="single" w:sz="2" w:space="0" w:color="auto"/>
              <w:left w:val="nil"/>
              <w:bottom w:val="single" w:sz="2" w:space="0" w:color="auto"/>
              <w:right w:val="nil"/>
              <w:tl2br w:val="nil"/>
              <w:tr2bl w:val="nil"/>
            </w:tcBorders>
            <w:shd w:val="clear" w:color="auto" w:fill="D9D9D9"/>
          </w:tcPr>
          <w:p w:rsidR="00906FFF" w:rsidRPr="00906FFF" w:rsidRDefault="00906FFF" w:rsidP="00B235C7">
            <w:pPr>
              <w:spacing w:before="60" w:after="60"/>
              <w:ind w:left="0"/>
              <w:jc w:val="right"/>
              <w:rPr>
                <w:sz w:val="20"/>
                <w:szCs w:val="20"/>
                <w:lang w:eastAsia="en-US"/>
              </w:rPr>
            </w:pPr>
            <w:r w:rsidRPr="00906FFF">
              <w:rPr>
                <w:sz w:val="20"/>
                <w:szCs w:val="20"/>
                <w:lang w:eastAsia="en-US"/>
              </w:rPr>
              <w:t>Amount</w:t>
            </w:r>
          </w:p>
        </w:tc>
      </w:tr>
      <w:tr w:rsidR="00906FFF" w:rsidRPr="00906FFF" w:rsidTr="003854B7">
        <w:trPr>
          <w:cantSplit/>
        </w:trPr>
        <w:tc>
          <w:tcPr>
            <w:tcW w:w="6946" w:type="dxa"/>
            <w:shd w:val="clear" w:color="auto" w:fill="auto"/>
          </w:tcPr>
          <w:p w:rsidR="00906FFF" w:rsidRPr="00906FFF" w:rsidRDefault="00F13192" w:rsidP="00906FFF">
            <w:pPr>
              <w:spacing w:before="60" w:after="60"/>
              <w:ind w:left="0"/>
              <w:rPr>
                <w:b/>
                <w:sz w:val="20"/>
                <w:szCs w:val="20"/>
                <w:lang w:eastAsia="en-US"/>
              </w:rPr>
            </w:pPr>
            <w:r>
              <w:rPr>
                <w:b/>
                <w:sz w:val="20"/>
                <w:szCs w:val="20"/>
                <w:lang w:eastAsia="en-US"/>
              </w:rPr>
              <w:t>Venue o</w:t>
            </w:r>
            <w:r w:rsidR="00472069">
              <w:rPr>
                <w:b/>
                <w:sz w:val="20"/>
                <w:szCs w:val="20"/>
                <w:lang w:eastAsia="en-US"/>
              </w:rPr>
              <w:t>perator</w:t>
            </w:r>
            <w:r w:rsidR="00906FFF" w:rsidRPr="00906FFF">
              <w:rPr>
                <w:b/>
                <w:sz w:val="20"/>
                <w:szCs w:val="20"/>
                <w:lang w:eastAsia="en-US"/>
              </w:rPr>
              <w:t>s</w:t>
            </w:r>
          </w:p>
        </w:tc>
        <w:tc>
          <w:tcPr>
            <w:tcW w:w="1430" w:type="dxa"/>
            <w:shd w:val="clear" w:color="auto" w:fill="auto"/>
          </w:tcPr>
          <w:p w:rsidR="00906FFF" w:rsidRPr="00906FFF" w:rsidRDefault="00906FFF" w:rsidP="00B235C7">
            <w:pPr>
              <w:spacing w:before="60" w:after="60"/>
              <w:ind w:left="0"/>
              <w:jc w:val="right"/>
              <w:rPr>
                <w:b/>
                <w:sz w:val="20"/>
                <w:szCs w:val="20"/>
                <w:lang w:eastAsia="en-US"/>
              </w:rPr>
            </w:pPr>
          </w:p>
        </w:tc>
      </w:tr>
      <w:tr w:rsidR="00906FFF" w:rsidRPr="00906FFF" w:rsidTr="003854B7">
        <w:trPr>
          <w:cantSplit/>
        </w:trPr>
        <w:tc>
          <w:tcPr>
            <w:tcW w:w="6946" w:type="dxa"/>
            <w:shd w:val="clear" w:color="auto" w:fill="auto"/>
          </w:tcPr>
          <w:p w:rsidR="00906FFF" w:rsidRPr="00906FFF" w:rsidRDefault="00906FFF" w:rsidP="00906FFF">
            <w:pPr>
              <w:spacing w:before="60" w:after="60"/>
              <w:ind w:left="0"/>
              <w:rPr>
                <w:sz w:val="20"/>
                <w:szCs w:val="20"/>
                <w:lang w:eastAsia="en-US"/>
              </w:rPr>
            </w:pPr>
            <w:r w:rsidRPr="00906FFF">
              <w:rPr>
                <w:sz w:val="20"/>
                <w:szCs w:val="20"/>
                <w:lang w:eastAsia="en-US"/>
              </w:rPr>
              <w:t>Approval of premises</w:t>
            </w:r>
          </w:p>
        </w:tc>
        <w:tc>
          <w:tcPr>
            <w:tcW w:w="1430" w:type="dxa"/>
            <w:shd w:val="clear" w:color="auto" w:fill="auto"/>
          </w:tcPr>
          <w:p w:rsidR="00906FFF" w:rsidRPr="00906FFF" w:rsidRDefault="00906FFF" w:rsidP="00B235C7">
            <w:pPr>
              <w:spacing w:before="60" w:after="60"/>
              <w:ind w:left="0"/>
              <w:jc w:val="right"/>
              <w:rPr>
                <w:sz w:val="20"/>
                <w:szCs w:val="20"/>
                <w:lang w:eastAsia="en-US"/>
              </w:rPr>
            </w:pPr>
            <w:r w:rsidRPr="00906FFF">
              <w:rPr>
                <w:sz w:val="20"/>
                <w:szCs w:val="20"/>
                <w:lang w:eastAsia="en-US"/>
              </w:rPr>
              <w:t>$5,300.20</w:t>
            </w:r>
          </w:p>
        </w:tc>
      </w:tr>
      <w:tr w:rsidR="00906FFF" w:rsidRPr="00906FFF" w:rsidTr="003854B7">
        <w:trPr>
          <w:cantSplit/>
        </w:trPr>
        <w:tc>
          <w:tcPr>
            <w:tcW w:w="6946" w:type="dxa"/>
            <w:shd w:val="clear" w:color="auto" w:fill="auto"/>
          </w:tcPr>
          <w:p w:rsidR="00906FFF" w:rsidRPr="00906FFF" w:rsidRDefault="00906FFF" w:rsidP="00906FFF">
            <w:pPr>
              <w:spacing w:before="60" w:after="60"/>
              <w:ind w:left="0"/>
              <w:rPr>
                <w:sz w:val="20"/>
                <w:szCs w:val="20"/>
                <w:lang w:eastAsia="en-US"/>
              </w:rPr>
            </w:pPr>
            <w:r w:rsidRPr="00906FFF">
              <w:rPr>
                <w:sz w:val="20"/>
                <w:szCs w:val="20"/>
                <w:lang w:eastAsia="en-US"/>
              </w:rPr>
              <w:t xml:space="preserve">New </w:t>
            </w:r>
            <w:r w:rsidR="00F13192">
              <w:rPr>
                <w:sz w:val="20"/>
                <w:szCs w:val="20"/>
                <w:lang w:eastAsia="en-US"/>
              </w:rPr>
              <w:t>venue o</w:t>
            </w:r>
            <w:r w:rsidR="00472069">
              <w:rPr>
                <w:sz w:val="20"/>
                <w:szCs w:val="20"/>
                <w:lang w:eastAsia="en-US"/>
              </w:rPr>
              <w:t>perator</w:t>
            </w:r>
            <w:r w:rsidRPr="00906FFF">
              <w:rPr>
                <w:sz w:val="20"/>
                <w:szCs w:val="20"/>
                <w:lang w:eastAsia="en-US"/>
              </w:rPr>
              <w:t>’s licence</w:t>
            </w:r>
          </w:p>
        </w:tc>
        <w:tc>
          <w:tcPr>
            <w:tcW w:w="1430" w:type="dxa"/>
            <w:shd w:val="clear" w:color="auto" w:fill="auto"/>
          </w:tcPr>
          <w:p w:rsidR="00906FFF" w:rsidRPr="00906FFF" w:rsidRDefault="00906FFF" w:rsidP="00B235C7">
            <w:pPr>
              <w:spacing w:before="60" w:after="60"/>
              <w:ind w:left="0"/>
              <w:jc w:val="right"/>
              <w:rPr>
                <w:sz w:val="20"/>
                <w:szCs w:val="20"/>
                <w:lang w:eastAsia="en-US"/>
              </w:rPr>
            </w:pPr>
            <w:r w:rsidRPr="00906FFF">
              <w:rPr>
                <w:sz w:val="20"/>
                <w:szCs w:val="20"/>
                <w:lang w:eastAsia="en-US"/>
              </w:rPr>
              <w:t>$2,011.10</w:t>
            </w:r>
          </w:p>
        </w:tc>
      </w:tr>
      <w:tr w:rsidR="00906FFF" w:rsidRPr="00906FFF" w:rsidTr="003854B7">
        <w:trPr>
          <w:cantSplit/>
        </w:trPr>
        <w:tc>
          <w:tcPr>
            <w:tcW w:w="6946" w:type="dxa"/>
            <w:shd w:val="clear" w:color="auto" w:fill="auto"/>
          </w:tcPr>
          <w:p w:rsidR="00906FFF" w:rsidRPr="00906FFF" w:rsidRDefault="00906FFF" w:rsidP="00906FFF">
            <w:pPr>
              <w:spacing w:before="60" w:after="60"/>
              <w:ind w:left="0"/>
              <w:rPr>
                <w:sz w:val="20"/>
                <w:szCs w:val="20"/>
                <w:lang w:eastAsia="en-US"/>
              </w:rPr>
            </w:pPr>
            <w:r w:rsidRPr="00906FFF">
              <w:rPr>
                <w:sz w:val="20"/>
                <w:szCs w:val="20"/>
                <w:lang w:eastAsia="en-US"/>
              </w:rPr>
              <w:t xml:space="preserve">Renewal of </w:t>
            </w:r>
            <w:r w:rsidR="00F13192">
              <w:rPr>
                <w:sz w:val="20"/>
                <w:szCs w:val="20"/>
                <w:lang w:eastAsia="en-US"/>
              </w:rPr>
              <w:t>venue o</w:t>
            </w:r>
            <w:r w:rsidR="00472069">
              <w:rPr>
                <w:sz w:val="20"/>
                <w:szCs w:val="20"/>
                <w:lang w:eastAsia="en-US"/>
              </w:rPr>
              <w:t>perator</w:t>
            </w:r>
            <w:r w:rsidRPr="00906FFF">
              <w:rPr>
                <w:sz w:val="20"/>
                <w:szCs w:val="20"/>
                <w:lang w:eastAsia="en-US"/>
              </w:rPr>
              <w:t>’s licence</w:t>
            </w:r>
          </w:p>
        </w:tc>
        <w:tc>
          <w:tcPr>
            <w:tcW w:w="1430" w:type="dxa"/>
            <w:shd w:val="clear" w:color="auto" w:fill="auto"/>
          </w:tcPr>
          <w:p w:rsidR="00906FFF" w:rsidRPr="00906FFF" w:rsidRDefault="00906FFF" w:rsidP="00B235C7">
            <w:pPr>
              <w:spacing w:before="60" w:after="60"/>
              <w:ind w:left="0"/>
              <w:jc w:val="right"/>
              <w:rPr>
                <w:sz w:val="20"/>
                <w:szCs w:val="20"/>
                <w:lang w:eastAsia="en-US"/>
              </w:rPr>
            </w:pPr>
            <w:r w:rsidRPr="00906FFF">
              <w:rPr>
                <w:sz w:val="20"/>
                <w:szCs w:val="20"/>
                <w:lang w:eastAsia="en-US"/>
              </w:rPr>
              <w:t>$1,929.60</w:t>
            </w:r>
          </w:p>
        </w:tc>
      </w:tr>
      <w:tr w:rsidR="00906FFF" w:rsidRPr="00906FFF" w:rsidTr="003854B7">
        <w:trPr>
          <w:cantSplit/>
        </w:trPr>
        <w:tc>
          <w:tcPr>
            <w:tcW w:w="6946" w:type="dxa"/>
            <w:shd w:val="clear" w:color="auto" w:fill="auto"/>
          </w:tcPr>
          <w:p w:rsidR="00906FFF" w:rsidRPr="00906FFF" w:rsidRDefault="00906FFF" w:rsidP="00906FFF">
            <w:pPr>
              <w:spacing w:before="60" w:after="60"/>
              <w:ind w:left="0"/>
              <w:rPr>
                <w:sz w:val="20"/>
                <w:szCs w:val="20"/>
                <w:lang w:eastAsia="en-US"/>
              </w:rPr>
            </w:pPr>
            <w:r w:rsidRPr="00906FFF">
              <w:rPr>
                <w:sz w:val="20"/>
                <w:szCs w:val="20"/>
                <w:lang w:eastAsia="en-US"/>
              </w:rPr>
              <w:t>Amendment to add premises</w:t>
            </w:r>
          </w:p>
        </w:tc>
        <w:tc>
          <w:tcPr>
            <w:tcW w:w="1430" w:type="dxa"/>
            <w:shd w:val="clear" w:color="auto" w:fill="auto"/>
          </w:tcPr>
          <w:p w:rsidR="00906FFF" w:rsidRPr="00906FFF" w:rsidRDefault="00906FFF" w:rsidP="00B235C7">
            <w:pPr>
              <w:spacing w:before="60" w:after="60"/>
              <w:ind w:left="0"/>
              <w:jc w:val="right"/>
              <w:rPr>
                <w:sz w:val="20"/>
                <w:szCs w:val="20"/>
                <w:lang w:eastAsia="en-US"/>
              </w:rPr>
            </w:pPr>
            <w:r w:rsidRPr="00906FFF">
              <w:rPr>
                <w:sz w:val="20"/>
                <w:szCs w:val="20"/>
                <w:lang w:eastAsia="en-US"/>
              </w:rPr>
              <w:t>$388.30</w:t>
            </w:r>
          </w:p>
        </w:tc>
      </w:tr>
      <w:tr w:rsidR="00906FFF" w:rsidRPr="00906FFF" w:rsidTr="003854B7">
        <w:trPr>
          <w:cantSplit/>
        </w:trPr>
        <w:tc>
          <w:tcPr>
            <w:tcW w:w="6946" w:type="dxa"/>
            <w:shd w:val="clear" w:color="auto" w:fill="auto"/>
          </w:tcPr>
          <w:p w:rsidR="00906FFF" w:rsidRPr="00906FFF" w:rsidRDefault="00906FFF" w:rsidP="00906FFF">
            <w:pPr>
              <w:spacing w:before="60" w:after="60"/>
              <w:ind w:left="0"/>
              <w:rPr>
                <w:sz w:val="20"/>
                <w:szCs w:val="20"/>
                <w:lang w:eastAsia="en-US"/>
              </w:rPr>
            </w:pPr>
            <w:r w:rsidRPr="00906FFF">
              <w:rPr>
                <w:sz w:val="20"/>
                <w:szCs w:val="20"/>
                <w:lang w:eastAsia="en-US"/>
              </w:rPr>
              <w:t>Amendment to increase the number of electronic gaming machines</w:t>
            </w:r>
          </w:p>
        </w:tc>
        <w:tc>
          <w:tcPr>
            <w:tcW w:w="1430" w:type="dxa"/>
            <w:shd w:val="clear" w:color="auto" w:fill="auto"/>
          </w:tcPr>
          <w:p w:rsidR="00906FFF" w:rsidRPr="00906FFF" w:rsidRDefault="00906FFF" w:rsidP="00B235C7">
            <w:pPr>
              <w:spacing w:before="60" w:after="60"/>
              <w:ind w:left="0"/>
              <w:jc w:val="right"/>
              <w:rPr>
                <w:sz w:val="20"/>
                <w:szCs w:val="20"/>
                <w:lang w:eastAsia="en-US"/>
              </w:rPr>
            </w:pPr>
            <w:r w:rsidRPr="00906FFF">
              <w:rPr>
                <w:sz w:val="20"/>
                <w:szCs w:val="20"/>
                <w:lang w:eastAsia="en-US"/>
              </w:rPr>
              <w:t>$6,427.90</w:t>
            </w:r>
          </w:p>
        </w:tc>
      </w:tr>
      <w:tr w:rsidR="00906FFF" w:rsidRPr="00906FFF" w:rsidTr="003854B7">
        <w:trPr>
          <w:cantSplit/>
        </w:trPr>
        <w:tc>
          <w:tcPr>
            <w:tcW w:w="6946" w:type="dxa"/>
            <w:shd w:val="clear" w:color="auto" w:fill="auto"/>
          </w:tcPr>
          <w:p w:rsidR="00906FFF" w:rsidRPr="00906FFF" w:rsidRDefault="00906FFF" w:rsidP="00906FFF">
            <w:pPr>
              <w:spacing w:before="60" w:after="60"/>
              <w:ind w:left="0"/>
              <w:rPr>
                <w:sz w:val="20"/>
                <w:szCs w:val="20"/>
                <w:lang w:eastAsia="en-US"/>
              </w:rPr>
            </w:pPr>
            <w:r w:rsidRPr="00906FFF">
              <w:rPr>
                <w:sz w:val="20"/>
                <w:szCs w:val="20"/>
                <w:lang w:eastAsia="en-US"/>
              </w:rPr>
              <w:t>Amendment to decrease the number of electronic gaming machines</w:t>
            </w:r>
          </w:p>
        </w:tc>
        <w:tc>
          <w:tcPr>
            <w:tcW w:w="1430" w:type="dxa"/>
            <w:shd w:val="clear" w:color="auto" w:fill="auto"/>
          </w:tcPr>
          <w:p w:rsidR="00906FFF" w:rsidRPr="00906FFF" w:rsidRDefault="00906FFF" w:rsidP="00B235C7">
            <w:pPr>
              <w:spacing w:before="60" w:after="60"/>
              <w:ind w:left="0"/>
              <w:jc w:val="right"/>
              <w:rPr>
                <w:sz w:val="20"/>
                <w:szCs w:val="20"/>
                <w:lang w:eastAsia="en-US"/>
              </w:rPr>
            </w:pPr>
            <w:r w:rsidRPr="00906FFF">
              <w:rPr>
                <w:sz w:val="20"/>
                <w:szCs w:val="20"/>
                <w:lang w:eastAsia="en-US"/>
              </w:rPr>
              <w:t>$263.10</w:t>
            </w:r>
          </w:p>
        </w:tc>
      </w:tr>
      <w:tr w:rsidR="00906FFF" w:rsidRPr="00906FFF" w:rsidTr="003854B7">
        <w:trPr>
          <w:cantSplit/>
        </w:trPr>
        <w:tc>
          <w:tcPr>
            <w:tcW w:w="6946" w:type="dxa"/>
            <w:shd w:val="clear" w:color="auto" w:fill="auto"/>
          </w:tcPr>
          <w:p w:rsidR="00906FFF" w:rsidRPr="00906FFF" w:rsidRDefault="00906FFF" w:rsidP="00906FFF">
            <w:pPr>
              <w:spacing w:before="60" w:after="60"/>
              <w:ind w:left="0"/>
              <w:rPr>
                <w:sz w:val="20"/>
                <w:szCs w:val="20"/>
                <w:lang w:eastAsia="en-US"/>
              </w:rPr>
            </w:pPr>
            <w:r w:rsidRPr="00906FFF">
              <w:rPr>
                <w:sz w:val="20"/>
                <w:szCs w:val="20"/>
                <w:lang w:eastAsia="en-US"/>
              </w:rPr>
              <w:t>Amendment to vary the gaming machine areas</w:t>
            </w:r>
          </w:p>
        </w:tc>
        <w:tc>
          <w:tcPr>
            <w:tcW w:w="1430" w:type="dxa"/>
            <w:shd w:val="clear" w:color="auto" w:fill="auto"/>
          </w:tcPr>
          <w:p w:rsidR="00906FFF" w:rsidRPr="00906FFF" w:rsidRDefault="00906FFF" w:rsidP="00B235C7">
            <w:pPr>
              <w:spacing w:before="60" w:after="60"/>
              <w:ind w:left="0"/>
              <w:jc w:val="right"/>
              <w:rPr>
                <w:sz w:val="20"/>
                <w:szCs w:val="20"/>
                <w:lang w:eastAsia="en-US"/>
              </w:rPr>
            </w:pPr>
            <w:r w:rsidRPr="00906FFF">
              <w:rPr>
                <w:sz w:val="20"/>
                <w:szCs w:val="20"/>
                <w:lang w:eastAsia="en-US"/>
              </w:rPr>
              <w:t>$369.60</w:t>
            </w:r>
          </w:p>
        </w:tc>
      </w:tr>
      <w:tr w:rsidR="00906FFF" w:rsidRPr="00906FFF" w:rsidTr="003854B7">
        <w:trPr>
          <w:cantSplit/>
        </w:trPr>
        <w:tc>
          <w:tcPr>
            <w:tcW w:w="6946" w:type="dxa"/>
            <w:shd w:val="clear" w:color="auto" w:fill="auto"/>
          </w:tcPr>
          <w:p w:rsidR="00906FFF" w:rsidRPr="00906FFF" w:rsidRDefault="00906FFF" w:rsidP="00906FFF">
            <w:pPr>
              <w:spacing w:before="60" w:after="60"/>
              <w:ind w:left="0"/>
              <w:rPr>
                <w:sz w:val="20"/>
                <w:szCs w:val="20"/>
                <w:lang w:eastAsia="en-US"/>
              </w:rPr>
            </w:pPr>
            <w:r w:rsidRPr="00906FFF">
              <w:rPr>
                <w:sz w:val="20"/>
                <w:szCs w:val="20"/>
                <w:lang w:eastAsia="en-US"/>
              </w:rPr>
              <w:t>Amendment to vary the day or dates on which 24 hour gaming is permitted</w:t>
            </w:r>
          </w:p>
        </w:tc>
        <w:tc>
          <w:tcPr>
            <w:tcW w:w="1430" w:type="dxa"/>
            <w:shd w:val="clear" w:color="auto" w:fill="auto"/>
          </w:tcPr>
          <w:p w:rsidR="00906FFF" w:rsidRPr="00906FFF" w:rsidRDefault="00906FFF" w:rsidP="00B235C7">
            <w:pPr>
              <w:spacing w:before="60" w:after="60"/>
              <w:ind w:left="0"/>
              <w:jc w:val="right"/>
              <w:rPr>
                <w:sz w:val="20"/>
                <w:szCs w:val="20"/>
                <w:lang w:eastAsia="en-US"/>
              </w:rPr>
            </w:pPr>
            <w:r w:rsidRPr="00906FFF">
              <w:rPr>
                <w:sz w:val="20"/>
                <w:szCs w:val="20"/>
                <w:lang w:eastAsia="en-US"/>
              </w:rPr>
              <w:t>$4,091.00</w:t>
            </w:r>
          </w:p>
        </w:tc>
      </w:tr>
      <w:tr w:rsidR="00906FFF" w:rsidRPr="00906FFF" w:rsidTr="003854B7">
        <w:trPr>
          <w:cantSplit/>
        </w:trPr>
        <w:tc>
          <w:tcPr>
            <w:tcW w:w="6946" w:type="dxa"/>
            <w:shd w:val="clear" w:color="auto" w:fill="auto"/>
          </w:tcPr>
          <w:p w:rsidR="00906FFF" w:rsidRPr="00906FFF" w:rsidRDefault="00906FFF" w:rsidP="00906FFF">
            <w:pPr>
              <w:spacing w:before="60" w:after="60"/>
              <w:ind w:left="0"/>
              <w:rPr>
                <w:sz w:val="20"/>
                <w:szCs w:val="20"/>
                <w:lang w:eastAsia="en-US"/>
              </w:rPr>
            </w:pPr>
            <w:r w:rsidRPr="00906FFF">
              <w:rPr>
                <w:sz w:val="20"/>
                <w:szCs w:val="20"/>
                <w:lang w:eastAsia="en-US"/>
              </w:rPr>
              <w:t>Amendment to add a condition specifying days or dates on which 24 hour gaming is permitted when none currently takes place</w:t>
            </w:r>
          </w:p>
        </w:tc>
        <w:tc>
          <w:tcPr>
            <w:tcW w:w="1430" w:type="dxa"/>
            <w:shd w:val="clear" w:color="auto" w:fill="auto"/>
          </w:tcPr>
          <w:p w:rsidR="00906FFF" w:rsidRPr="00906FFF" w:rsidRDefault="00906FFF" w:rsidP="00B235C7">
            <w:pPr>
              <w:spacing w:before="60" w:after="60"/>
              <w:ind w:left="0"/>
              <w:jc w:val="right"/>
              <w:rPr>
                <w:sz w:val="20"/>
                <w:szCs w:val="20"/>
                <w:lang w:eastAsia="en-US"/>
              </w:rPr>
            </w:pPr>
            <w:r w:rsidRPr="00906FFF">
              <w:rPr>
                <w:sz w:val="20"/>
                <w:szCs w:val="20"/>
                <w:lang w:eastAsia="en-US"/>
              </w:rPr>
              <w:t>$4,091.00</w:t>
            </w:r>
          </w:p>
        </w:tc>
      </w:tr>
      <w:tr w:rsidR="00906FFF" w:rsidRPr="00906FFF" w:rsidTr="003854B7">
        <w:trPr>
          <w:cantSplit/>
        </w:trPr>
        <w:tc>
          <w:tcPr>
            <w:tcW w:w="6946" w:type="dxa"/>
            <w:shd w:val="clear" w:color="auto" w:fill="auto"/>
          </w:tcPr>
          <w:p w:rsidR="00906FFF" w:rsidRPr="00906FFF" w:rsidRDefault="00906FFF" w:rsidP="00906FFF">
            <w:pPr>
              <w:spacing w:before="60" w:after="60"/>
              <w:ind w:left="0"/>
              <w:rPr>
                <w:sz w:val="20"/>
                <w:szCs w:val="20"/>
                <w:lang w:eastAsia="en-US"/>
              </w:rPr>
            </w:pPr>
            <w:r w:rsidRPr="00906FFF">
              <w:rPr>
                <w:sz w:val="20"/>
                <w:szCs w:val="20"/>
                <w:lang w:eastAsia="en-US"/>
              </w:rPr>
              <w:t>Fee payable for transfers or sale of gaming machines entitlements</w:t>
            </w:r>
          </w:p>
        </w:tc>
        <w:tc>
          <w:tcPr>
            <w:tcW w:w="1430" w:type="dxa"/>
            <w:shd w:val="clear" w:color="auto" w:fill="auto"/>
          </w:tcPr>
          <w:p w:rsidR="00906FFF" w:rsidRPr="00906FFF" w:rsidRDefault="00906FFF" w:rsidP="00B235C7">
            <w:pPr>
              <w:spacing w:before="60" w:after="60"/>
              <w:ind w:left="0"/>
              <w:jc w:val="right"/>
              <w:rPr>
                <w:sz w:val="20"/>
                <w:szCs w:val="20"/>
                <w:lang w:eastAsia="en-US"/>
              </w:rPr>
            </w:pPr>
            <w:r w:rsidRPr="00906FFF">
              <w:rPr>
                <w:sz w:val="20"/>
                <w:szCs w:val="20"/>
                <w:lang w:eastAsia="en-US"/>
              </w:rPr>
              <w:t>$263.10*</w:t>
            </w:r>
          </w:p>
        </w:tc>
      </w:tr>
      <w:tr w:rsidR="00906FFF" w:rsidRPr="00906FFF" w:rsidTr="003854B7">
        <w:trPr>
          <w:cantSplit/>
        </w:trPr>
        <w:tc>
          <w:tcPr>
            <w:tcW w:w="6946" w:type="dxa"/>
            <w:shd w:val="clear" w:color="auto" w:fill="auto"/>
          </w:tcPr>
          <w:p w:rsidR="00906FFF" w:rsidRPr="00906FFF" w:rsidRDefault="00906FFF" w:rsidP="00906FFF">
            <w:pPr>
              <w:spacing w:before="60" w:after="60"/>
              <w:ind w:left="0"/>
              <w:rPr>
                <w:b/>
                <w:sz w:val="20"/>
                <w:szCs w:val="20"/>
                <w:lang w:eastAsia="en-US"/>
              </w:rPr>
            </w:pPr>
            <w:r w:rsidRPr="00906FFF">
              <w:rPr>
                <w:b/>
                <w:sz w:val="20"/>
                <w:szCs w:val="20"/>
                <w:lang w:eastAsia="en-US"/>
              </w:rPr>
              <w:t>Employees</w:t>
            </w:r>
          </w:p>
        </w:tc>
        <w:tc>
          <w:tcPr>
            <w:tcW w:w="1430" w:type="dxa"/>
            <w:shd w:val="clear" w:color="auto" w:fill="auto"/>
          </w:tcPr>
          <w:p w:rsidR="00906FFF" w:rsidRPr="00906FFF" w:rsidRDefault="00906FFF" w:rsidP="00B235C7">
            <w:pPr>
              <w:spacing w:before="60" w:after="60"/>
              <w:ind w:left="0"/>
              <w:jc w:val="right"/>
              <w:rPr>
                <w:b/>
                <w:sz w:val="20"/>
                <w:szCs w:val="20"/>
                <w:lang w:eastAsia="en-US"/>
              </w:rPr>
            </w:pPr>
          </w:p>
        </w:tc>
      </w:tr>
      <w:tr w:rsidR="00906FFF" w:rsidRPr="00906FFF" w:rsidTr="003854B7">
        <w:trPr>
          <w:cantSplit/>
        </w:trPr>
        <w:tc>
          <w:tcPr>
            <w:tcW w:w="6946" w:type="dxa"/>
            <w:shd w:val="clear" w:color="auto" w:fill="auto"/>
          </w:tcPr>
          <w:p w:rsidR="00906FFF" w:rsidRPr="00906FFF" w:rsidRDefault="00906FFF" w:rsidP="00906FFF">
            <w:pPr>
              <w:spacing w:before="60" w:after="60"/>
              <w:ind w:left="0"/>
              <w:rPr>
                <w:sz w:val="20"/>
                <w:szCs w:val="20"/>
                <w:lang w:eastAsia="en-US"/>
              </w:rPr>
            </w:pPr>
            <w:r w:rsidRPr="00906FFF">
              <w:rPr>
                <w:sz w:val="20"/>
                <w:szCs w:val="20"/>
                <w:lang w:eastAsia="en-US"/>
              </w:rPr>
              <w:t>New gaming industry employee’s licence</w:t>
            </w:r>
          </w:p>
        </w:tc>
        <w:tc>
          <w:tcPr>
            <w:tcW w:w="1430" w:type="dxa"/>
            <w:shd w:val="clear" w:color="auto" w:fill="auto"/>
          </w:tcPr>
          <w:p w:rsidR="00906FFF" w:rsidRPr="00906FFF" w:rsidRDefault="00906FFF" w:rsidP="00B235C7">
            <w:pPr>
              <w:spacing w:before="60" w:after="60"/>
              <w:ind w:left="0"/>
              <w:jc w:val="right"/>
              <w:rPr>
                <w:sz w:val="20"/>
                <w:szCs w:val="20"/>
                <w:lang w:eastAsia="en-US"/>
              </w:rPr>
            </w:pPr>
            <w:r w:rsidRPr="00906FFF">
              <w:rPr>
                <w:sz w:val="20"/>
                <w:szCs w:val="20"/>
                <w:lang w:eastAsia="en-US"/>
              </w:rPr>
              <w:t>$150.40</w:t>
            </w:r>
          </w:p>
        </w:tc>
      </w:tr>
      <w:tr w:rsidR="00906FFF" w:rsidRPr="00906FFF" w:rsidTr="003854B7">
        <w:trPr>
          <w:cantSplit/>
        </w:trPr>
        <w:tc>
          <w:tcPr>
            <w:tcW w:w="6946" w:type="dxa"/>
            <w:shd w:val="clear" w:color="auto" w:fill="auto"/>
          </w:tcPr>
          <w:p w:rsidR="00906FFF" w:rsidRPr="00906FFF" w:rsidRDefault="00906FFF" w:rsidP="00906FFF">
            <w:pPr>
              <w:spacing w:before="60" w:after="60"/>
              <w:ind w:left="0"/>
              <w:rPr>
                <w:sz w:val="20"/>
                <w:szCs w:val="20"/>
                <w:lang w:eastAsia="en-US"/>
              </w:rPr>
            </w:pPr>
            <w:r w:rsidRPr="00906FFF">
              <w:rPr>
                <w:sz w:val="20"/>
                <w:szCs w:val="20"/>
                <w:lang w:eastAsia="en-US"/>
              </w:rPr>
              <w:t>New gaming industry employee’s licence where the applicant holds a special employee licence</w:t>
            </w:r>
          </w:p>
        </w:tc>
        <w:tc>
          <w:tcPr>
            <w:tcW w:w="1430" w:type="dxa"/>
            <w:shd w:val="clear" w:color="auto" w:fill="auto"/>
          </w:tcPr>
          <w:p w:rsidR="00906FFF" w:rsidRPr="00906FFF" w:rsidRDefault="00906FFF" w:rsidP="00B235C7">
            <w:pPr>
              <w:spacing w:before="60" w:after="60"/>
              <w:ind w:left="0"/>
              <w:jc w:val="right"/>
              <w:rPr>
                <w:sz w:val="20"/>
                <w:szCs w:val="20"/>
                <w:lang w:eastAsia="en-US"/>
              </w:rPr>
            </w:pPr>
            <w:r w:rsidRPr="00906FFF">
              <w:rPr>
                <w:sz w:val="20"/>
                <w:szCs w:val="20"/>
                <w:lang w:eastAsia="en-US"/>
              </w:rPr>
              <w:t>$50.10</w:t>
            </w:r>
          </w:p>
        </w:tc>
      </w:tr>
      <w:tr w:rsidR="00906FFF" w:rsidRPr="00906FFF" w:rsidTr="003854B7">
        <w:trPr>
          <w:cantSplit/>
        </w:trPr>
        <w:tc>
          <w:tcPr>
            <w:tcW w:w="6946" w:type="dxa"/>
            <w:shd w:val="clear" w:color="auto" w:fill="auto"/>
          </w:tcPr>
          <w:p w:rsidR="00906FFF" w:rsidRPr="00906FFF" w:rsidRDefault="00906FFF" w:rsidP="00906FFF">
            <w:pPr>
              <w:spacing w:before="60" w:after="60"/>
              <w:ind w:left="0"/>
              <w:rPr>
                <w:sz w:val="20"/>
                <w:szCs w:val="20"/>
                <w:lang w:eastAsia="en-US"/>
              </w:rPr>
            </w:pPr>
            <w:r w:rsidRPr="00906FFF">
              <w:rPr>
                <w:sz w:val="20"/>
                <w:szCs w:val="20"/>
                <w:lang w:eastAsia="en-US"/>
              </w:rPr>
              <w:t>Renewal of gaming industry employee’s licence</w:t>
            </w:r>
          </w:p>
        </w:tc>
        <w:tc>
          <w:tcPr>
            <w:tcW w:w="1430" w:type="dxa"/>
            <w:shd w:val="clear" w:color="auto" w:fill="auto"/>
          </w:tcPr>
          <w:p w:rsidR="00906FFF" w:rsidRPr="00906FFF" w:rsidRDefault="00906FFF" w:rsidP="00B235C7">
            <w:pPr>
              <w:spacing w:before="60" w:after="60"/>
              <w:ind w:left="0"/>
              <w:jc w:val="right"/>
              <w:rPr>
                <w:sz w:val="20"/>
                <w:szCs w:val="20"/>
                <w:lang w:eastAsia="en-US"/>
              </w:rPr>
            </w:pPr>
            <w:r w:rsidRPr="00906FFF">
              <w:rPr>
                <w:sz w:val="20"/>
                <w:szCs w:val="20"/>
                <w:lang w:eastAsia="en-US"/>
              </w:rPr>
              <w:t>$62.70</w:t>
            </w:r>
          </w:p>
        </w:tc>
      </w:tr>
      <w:tr w:rsidR="00906FFF" w:rsidRPr="00906FFF" w:rsidTr="003854B7">
        <w:trPr>
          <w:cantSplit/>
        </w:trPr>
        <w:tc>
          <w:tcPr>
            <w:tcW w:w="6946" w:type="dxa"/>
            <w:shd w:val="clear" w:color="auto" w:fill="auto"/>
          </w:tcPr>
          <w:p w:rsidR="00906FFF" w:rsidRPr="00906FFF" w:rsidRDefault="00906FFF" w:rsidP="00906FFF">
            <w:pPr>
              <w:spacing w:before="60" w:after="60"/>
              <w:ind w:left="0"/>
              <w:rPr>
                <w:sz w:val="20"/>
                <w:szCs w:val="20"/>
                <w:lang w:eastAsia="en-US"/>
              </w:rPr>
            </w:pPr>
            <w:r w:rsidRPr="00906FFF">
              <w:rPr>
                <w:sz w:val="20"/>
                <w:szCs w:val="20"/>
                <w:lang w:eastAsia="en-US"/>
              </w:rPr>
              <w:t>Replacement of gaming industry employee’s licence</w:t>
            </w:r>
          </w:p>
        </w:tc>
        <w:tc>
          <w:tcPr>
            <w:tcW w:w="1430" w:type="dxa"/>
            <w:shd w:val="clear" w:color="auto" w:fill="auto"/>
          </w:tcPr>
          <w:p w:rsidR="00906FFF" w:rsidRPr="00906FFF" w:rsidRDefault="00906FFF" w:rsidP="00B235C7">
            <w:pPr>
              <w:spacing w:before="60" w:after="60"/>
              <w:ind w:left="0"/>
              <w:jc w:val="right"/>
              <w:rPr>
                <w:sz w:val="20"/>
                <w:szCs w:val="20"/>
                <w:lang w:eastAsia="en-US"/>
              </w:rPr>
            </w:pPr>
            <w:r w:rsidRPr="00906FFF">
              <w:rPr>
                <w:sz w:val="20"/>
                <w:szCs w:val="20"/>
                <w:lang w:eastAsia="en-US"/>
              </w:rPr>
              <w:t>$25.10</w:t>
            </w:r>
          </w:p>
        </w:tc>
      </w:tr>
      <w:tr w:rsidR="00906FFF" w:rsidRPr="00906FFF" w:rsidTr="003854B7">
        <w:trPr>
          <w:cantSplit/>
        </w:trPr>
        <w:tc>
          <w:tcPr>
            <w:tcW w:w="6946" w:type="dxa"/>
            <w:shd w:val="clear" w:color="auto" w:fill="auto"/>
          </w:tcPr>
          <w:p w:rsidR="00906FFF" w:rsidRPr="00906FFF" w:rsidRDefault="00906FFF" w:rsidP="00906FFF">
            <w:pPr>
              <w:spacing w:before="60" w:after="60"/>
              <w:ind w:left="0"/>
              <w:rPr>
                <w:b/>
                <w:sz w:val="20"/>
                <w:szCs w:val="20"/>
                <w:lang w:eastAsia="en-US"/>
              </w:rPr>
            </w:pPr>
            <w:r w:rsidRPr="00906FFF">
              <w:rPr>
                <w:b/>
                <w:sz w:val="20"/>
                <w:szCs w:val="20"/>
                <w:lang w:eastAsia="en-US"/>
              </w:rPr>
              <w:t>Other</w:t>
            </w:r>
          </w:p>
        </w:tc>
        <w:tc>
          <w:tcPr>
            <w:tcW w:w="1430" w:type="dxa"/>
            <w:shd w:val="clear" w:color="auto" w:fill="auto"/>
          </w:tcPr>
          <w:p w:rsidR="00906FFF" w:rsidRPr="00906FFF" w:rsidRDefault="00906FFF" w:rsidP="00B235C7">
            <w:pPr>
              <w:spacing w:before="60" w:after="60"/>
              <w:ind w:left="0"/>
              <w:jc w:val="right"/>
              <w:rPr>
                <w:b/>
                <w:sz w:val="20"/>
                <w:szCs w:val="20"/>
                <w:lang w:eastAsia="en-US"/>
              </w:rPr>
            </w:pPr>
          </w:p>
        </w:tc>
      </w:tr>
      <w:tr w:rsidR="00906FFF" w:rsidRPr="00906FFF" w:rsidTr="003854B7">
        <w:trPr>
          <w:cantSplit/>
        </w:trPr>
        <w:tc>
          <w:tcPr>
            <w:tcW w:w="6946" w:type="dxa"/>
            <w:shd w:val="clear" w:color="auto" w:fill="auto"/>
          </w:tcPr>
          <w:p w:rsidR="00906FFF" w:rsidRPr="00906FFF" w:rsidRDefault="00906FFF" w:rsidP="00906FFF">
            <w:pPr>
              <w:spacing w:before="60" w:after="60"/>
              <w:ind w:left="0"/>
              <w:rPr>
                <w:sz w:val="20"/>
                <w:szCs w:val="20"/>
                <w:lang w:eastAsia="en-US"/>
              </w:rPr>
            </w:pPr>
            <w:r w:rsidRPr="00906FFF">
              <w:rPr>
                <w:sz w:val="20"/>
                <w:szCs w:val="20"/>
                <w:lang w:eastAsia="en-US"/>
              </w:rPr>
              <w:t>Evaluation of gaming machine type or game</w:t>
            </w:r>
          </w:p>
        </w:tc>
        <w:tc>
          <w:tcPr>
            <w:tcW w:w="1430" w:type="dxa"/>
            <w:shd w:val="clear" w:color="auto" w:fill="auto"/>
          </w:tcPr>
          <w:p w:rsidR="00906FFF" w:rsidRPr="00906FFF" w:rsidRDefault="00906FFF" w:rsidP="00B235C7">
            <w:pPr>
              <w:spacing w:before="60" w:after="60"/>
              <w:ind w:left="0"/>
              <w:jc w:val="right"/>
              <w:rPr>
                <w:sz w:val="20"/>
                <w:szCs w:val="20"/>
                <w:lang w:eastAsia="en-US"/>
              </w:rPr>
            </w:pPr>
            <w:r w:rsidRPr="00906FFF">
              <w:rPr>
                <w:sz w:val="20"/>
                <w:szCs w:val="20"/>
                <w:lang w:eastAsia="en-US"/>
              </w:rPr>
              <w:t>$375.90</w:t>
            </w:r>
          </w:p>
        </w:tc>
      </w:tr>
      <w:tr w:rsidR="00906FFF" w:rsidRPr="00906FFF" w:rsidTr="003854B7">
        <w:trPr>
          <w:cantSplit/>
        </w:trPr>
        <w:tc>
          <w:tcPr>
            <w:tcW w:w="6946" w:type="dxa"/>
            <w:shd w:val="clear" w:color="auto" w:fill="auto"/>
          </w:tcPr>
          <w:p w:rsidR="00906FFF" w:rsidRPr="00906FFF" w:rsidRDefault="00906FFF" w:rsidP="00906FFF">
            <w:pPr>
              <w:spacing w:before="60" w:after="60"/>
              <w:ind w:left="0"/>
              <w:rPr>
                <w:sz w:val="20"/>
                <w:szCs w:val="20"/>
                <w:lang w:eastAsia="en-US"/>
              </w:rPr>
            </w:pPr>
            <w:r w:rsidRPr="00906FFF">
              <w:rPr>
                <w:sz w:val="20"/>
                <w:szCs w:val="20"/>
                <w:lang w:eastAsia="en-US"/>
              </w:rPr>
              <w:t>Listing on the roll of manufacturers, suppliers and testers</w:t>
            </w:r>
          </w:p>
        </w:tc>
        <w:tc>
          <w:tcPr>
            <w:tcW w:w="1430" w:type="dxa"/>
            <w:shd w:val="clear" w:color="auto" w:fill="auto"/>
          </w:tcPr>
          <w:p w:rsidR="00906FFF" w:rsidRPr="00906FFF" w:rsidRDefault="00906FFF" w:rsidP="00B235C7">
            <w:pPr>
              <w:spacing w:before="60" w:after="60"/>
              <w:ind w:left="0"/>
              <w:jc w:val="right"/>
              <w:rPr>
                <w:sz w:val="20"/>
                <w:szCs w:val="20"/>
                <w:lang w:eastAsia="en-US"/>
              </w:rPr>
            </w:pPr>
            <w:r w:rsidRPr="00906FFF">
              <w:rPr>
                <w:sz w:val="20"/>
                <w:szCs w:val="20"/>
                <w:lang w:eastAsia="en-US"/>
              </w:rPr>
              <w:t>$4,893.00</w:t>
            </w:r>
          </w:p>
        </w:tc>
      </w:tr>
    </w:tbl>
    <w:p w:rsidR="00906FFF" w:rsidRPr="00906FFF" w:rsidRDefault="00906FFF" w:rsidP="00906FFF">
      <w:pPr>
        <w:spacing w:before="120" w:after="0"/>
        <w:rPr>
          <w:i/>
          <w:sz w:val="18"/>
          <w:szCs w:val="18"/>
          <w:lang w:eastAsia="en-US"/>
        </w:rPr>
      </w:pPr>
      <w:r w:rsidRPr="00906FFF">
        <w:rPr>
          <w:i/>
          <w:sz w:val="18"/>
          <w:szCs w:val="18"/>
          <w:lang w:eastAsia="en-US"/>
        </w:rPr>
        <w:t xml:space="preserve">Source: </w:t>
      </w:r>
      <w:r w:rsidR="00C46DDC">
        <w:rPr>
          <w:i/>
          <w:sz w:val="18"/>
          <w:szCs w:val="18"/>
          <w:lang w:eastAsia="en-US"/>
        </w:rPr>
        <w:t>VCGLR</w:t>
      </w:r>
      <w:r w:rsidRPr="00906FFF">
        <w:rPr>
          <w:i/>
          <w:sz w:val="18"/>
          <w:szCs w:val="18"/>
          <w:lang w:eastAsia="en-US"/>
        </w:rPr>
        <w:t>.</w:t>
      </w:r>
    </w:p>
    <w:p w:rsidR="00906FFF" w:rsidRPr="00906FFF" w:rsidRDefault="00906FFF" w:rsidP="00906FFF">
      <w:pPr>
        <w:spacing w:before="120" w:after="240"/>
        <w:rPr>
          <w:i/>
          <w:sz w:val="18"/>
          <w:szCs w:val="18"/>
          <w:lang w:eastAsia="en-US"/>
        </w:rPr>
      </w:pPr>
      <w:r w:rsidRPr="00906FFF">
        <w:rPr>
          <w:i/>
          <w:sz w:val="18"/>
          <w:szCs w:val="18"/>
          <w:lang w:eastAsia="en-US"/>
        </w:rPr>
        <w:t>* $12.50 must be added to the base fee for each gaming machine entitlement that forms part of the transfer or, where being forfeited, the sale of gaming machine entitlements.</w:t>
      </w:r>
    </w:p>
    <w:p w:rsidR="00906FFF" w:rsidRPr="00906FFF" w:rsidRDefault="00906FFF" w:rsidP="00906FFF">
      <w:pPr>
        <w:pStyle w:val="Heading3"/>
        <w:ind w:left="792" w:hanging="792"/>
      </w:pPr>
      <w:bookmarkStart w:id="13" w:name="_Toc356830854"/>
      <w:r w:rsidRPr="00906FFF">
        <w:t>The case for full cost recovery from the gaming industry</w:t>
      </w:r>
      <w:bookmarkEnd w:id="13"/>
    </w:p>
    <w:p w:rsidR="00906FFF" w:rsidRPr="00D5476B" w:rsidRDefault="00906FFF" w:rsidP="00906FFF">
      <w:pPr>
        <w:spacing w:before="240" w:after="240"/>
        <w:rPr>
          <w:lang w:eastAsia="en-US"/>
        </w:rPr>
      </w:pPr>
      <w:r w:rsidRPr="00D5476B">
        <w:rPr>
          <w:lang w:eastAsia="en-US"/>
        </w:rPr>
        <w:t xml:space="preserve">There is a strong case for setting the supervision charge to fully recover </w:t>
      </w:r>
      <w:r w:rsidR="00240D7B">
        <w:rPr>
          <w:lang w:eastAsia="en-US"/>
        </w:rPr>
        <w:t xml:space="preserve">all reasonable regulatory </w:t>
      </w:r>
      <w:r w:rsidRPr="00D5476B">
        <w:rPr>
          <w:lang w:eastAsia="en-US"/>
        </w:rPr>
        <w:t xml:space="preserve">costs from the gaming industry. </w:t>
      </w:r>
    </w:p>
    <w:p w:rsidR="00906FFF" w:rsidRPr="00D5476B" w:rsidRDefault="00906FFF" w:rsidP="00906FFF">
      <w:pPr>
        <w:spacing w:before="240" w:after="240"/>
        <w:rPr>
          <w:lang w:eastAsia="en-US"/>
        </w:rPr>
      </w:pPr>
      <w:r w:rsidRPr="00D5476B">
        <w:rPr>
          <w:lang w:eastAsia="en-US"/>
        </w:rPr>
        <w:t xml:space="preserve">This is primarily based on the argument that the regulatory cost should be fully internalised by the industry that gives rise to the need for the regulation in the first place. Without regulation, it is more likely that problem gambling, criminal influence and player fairness issues would arise, placing the government’s outcomes at risk. It is important that the cost structures of an industry reflect all of the costs to </w:t>
      </w:r>
      <w:r w:rsidR="003D2865" w:rsidRPr="00D5476B">
        <w:rPr>
          <w:lang w:eastAsia="en-US"/>
        </w:rPr>
        <w:t>society that</w:t>
      </w:r>
      <w:r w:rsidRPr="00D5476B">
        <w:rPr>
          <w:lang w:eastAsia="en-US"/>
        </w:rPr>
        <w:t xml:space="preserve"> must be expended for that industry to continue. In this way, appropriate price signals to both consumers and producers are made about the costs of the resources involved in providing gaming machines.</w:t>
      </w:r>
    </w:p>
    <w:p w:rsidR="00906FFF" w:rsidRDefault="00906FFF" w:rsidP="00906FFF">
      <w:pPr>
        <w:shd w:val="clear" w:color="auto" w:fill="FFFFFF"/>
        <w:spacing w:before="240" w:after="240"/>
        <w:rPr>
          <w:sz w:val="24"/>
          <w:szCs w:val="24"/>
          <w:lang w:eastAsia="en-US"/>
        </w:rPr>
      </w:pPr>
      <w:r w:rsidRPr="00D5476B">
        <w:rPr>
          <w:lang w:eastAsia="en-US"/>
        </w:rPr>
        <w:t xml:space="preserve">Fully internalising </w:t>
      </w:r>
      <w:r w:rsidR="00240D7B">
        <w:rPr>
          <w:lang w:eastAsia="en-US"/>
        </w:rPr>
        <w:t xml:space="preserve">reasonable </w:t>
      </w:r>
      <w:r w:rsidRPr="00D5476B">
        <w:rPr>
          <w:lang w:eastAsia="en-US"/>
        </w:rPr>
        <w:t xml:space="preserve">costs within gaming venues is supported </w:t>
      </w:r>
      <w:r w:rsidR="00407A05">
        <w:rPr>
          <w:lang w:eastAsia="en-US"/>
        </w:rPr>
        <w:t>as</w:t>
      </w:r>
      <w:r w:rsidRPr="00D5476B">
        <w:rPr>
          <w:lang w:eastAsia="en-US"/>
        </w:rPr>
        <w:t xml:space="preserve"> </w:t>
      </w:r>
      <w:r w:rsidR="00F13192">
        <w:rPr>
          <w:lang w:eastAsia="en-US"/>
        </w:rPr>
        <w:t>venue o</w:t>
      </w:r>
      <w:r w:rsidR="00472069">
        <w:rPr>
          <w:lang w:eastAsia="en-US"/>
        </w:rPr>
        <w:t>perator</w:t>
      </w:r>
      <w:r w:rsidRPr="00D5476B">
        <w:rPr>
          <w:lang w:eastAsia="en-US"/>
        </w:rPr>
        <w:t xml:space="preserve">s benefit from the regulations administered by the VCGLR. By capping the number of gaming machine entitlements at 27,500, the regulatory environment creates substantial profits that would be otherwise unavailable in a competitive market. These regulatory arrangements ensure that the </w:t>
      </w:r>
      <w:r w:rsidR="00F13192">
        <w:rPr>
          <w:lang w:eastAsia="en-US"/>
        </w:rPr>
        <w:t>venue o</w:t>
      </w:r>
      <w:r w:rsidR="00472069">
        <w:rPr>
          <w:lang w:eastAsia="en-US"/>
        </w:rPr>
        <w:t>perator</w:t>
      </w:r>
      <w:r w:rsidRPr="00D5476B">
        <w:rPr>
          <w:lang w:eastAsia="en-US"/>
        </w:rPr>
        <w:t xml:space="preserve">s – as the main beneficiaries of the regulation – meet the costs of providing those benefits. If the VCGLR did not undertake the regulatory activities necessary, it is highly likely that the integrity of the gaming entitlement system and value of the entitlements themselves would be undermined. </w:t>
      </w:r>
    </w:p>
    <w:p w:rsidR="00906FFF" w:rsidRPr="00D5476B" w:rsidRDefault="00906FFF" w:rsidP="00906FFF">
      <w:pPr>
        <w:spacing w:before="240" w:after="240"/>
        <w:rPr>
          <w:lang w:eastAsia="en-US"/>
        </w:rPr>
      </w:pPr>
      <w:r w:rsidRPr="00D5476B">
        <w:rPr>
          <w:lang w:eastAsia="en-US"/>
        </w:rPr>
        <w:t xml:space="preserve">The industry also directly benefits from specific VCGLR regulatory activities. For example, the VCGLR’s advice and education to </w:t>
      </w:r>
      <w:r w:rsidR="00F13192">
        <w:rPr>
          <w:lang w:eastAsia="en-US"/>
        </w:rPr>
        <w:t>venue o</w:t>
      </w:r>
      <w:r w:rsidR="00472069">
        <w:rPr>
          <w:lang w:eastAsia="en-US"/>
        </w:rPr>
        <w:t>perator</w:t>
      </w:r>
      <w:r w:rsidRPr="00D5476B">
        <w:rPr>
          <w:lang w:eastAsia="en-US"/>
        </w:rPr>
        <w:t xml:space="preserve">s helps them operate more effectively. As a result, it could be argued that a full cost recovery charge is warranted on the basis of the user pays principle – the VCGLR is providing specific services that </w:t>
      </w:r>
      <w:r w:rsidR="00F13192">
        <w:rPr>
          <w:lang w:eastAsia="en-US"/>
        </w:rPr>
        <w:t>venue o</w:t>
      </w:r>
      <w:r w:rsidR="00472069">
        <w:rPr>
          <w:lang w:eastAsia="en-US"/>
        </w:rPr>
        <w:t>perator</w:t>
      </w:r>
      <w:r w:rsidRPr="00D5476B">
        <w:rPr>
          <w:lang w:eastAsia="en-US"/>
        </w:rPr>
        <w:t>s, when accessed, directly and specifically benefit from.</w:t>
      </w:r>
    </w:p>
    <w:p w:rsidR="00D5476B" w:rsidRDefault="00D5476B">
      <w:pPr>
        <w:spacing w:before="0" w:after="0"/>
        <w:ind w:left="0"/>
        <w:rPr>
          <w:sz w:val="24"/>
          <w:szCs w:val="24"/>
          <w:lang w:eastAsia="en-US"/>
        </w:rPr>
      </w:pPr>
      <w:r>
        <w:rPr>
          <w:sz w:val="24"/>
          <w:szCs w:val="24"/>
          <w:lang w:eastAsia="en-US"/>
        </w:rPr>
        <w:br w:type="page"/>
      </w:r>
    </w:p>
    <w:p w:rsidR="00906FFF" w:rsidRPr="00D5476B" w:rsidRDefault="00906FFF" w:rsidP="00906FFF">
      <w:pPr>
        <w:spacing w:before="180" w:after="180"/>
        <w:rPr>
          <w:lang w:eastAsia="en-US"/>
        </w:rPr>
      </w:pPr>
      <w:r w:rsidRPr="00D5476B">
        <w:rPr>
          <w:lang w:eastAsia="en-US"/>
        </w:rPr>
        <w:t xml:space="preserve">In addition, </w:t>
      </w:r>
      <w:r w:rsidR="00240D7B">
        <w:rPr>
          <w:lang w:eastAsia="en-US"/>
        </w:rPr>
        <w:t xml:space="preserve">a </w:t>
      </w:r>
      <w:r w:rsidRPr="00D5476B">
        <w:rPr>
          <w:lang w:eastAsia="en-US"/>
        </w:rPr>
        <w:t>supervision charge</w:t>
      </w:r>
      <w:r w:rsidR="00240D7B">
        <w:rPr>
          <w:lang w:eastAsia="en-US"/>
        </w:rPr>
        <w:t xml:space="preserve"> that fully recovers reasonable costs</w:t>
      </w:r>
      <w:r w:rsidRPr="00D5476B">
        <w:rPr>
          <w:lang w:eastAsia="en-US"/>
        </w:rPr>
        <w:t xml:space="preserve"> also has the added benefits of:</w:t>
      </w:r>
    </w:p>
    <w:p w:rsidR="00906FFF" w:rsidRPr="00D5476B" w:rsidRDefault="00906FFF" w:rsidP="00407A05">
      <w:pPr>
        <w:numPr>
          <w:ilvl w:val="0"/>
          <w:numId w:val="49"/>
        </w:numPr>
        <w:spacing w:before="180" w:after="180"/>
        <w:ind w:left="1276"/>
        <w:rPr>
          <w:lang w:eastAsia="en-US"/>
        </w:rPr>
      </w:pPr>
      <w:r w:rsidRPr="00D5476B">
        <w:rPr>
          <w:lang w:eastAsia="en-US"/>
        </w:rPr>
        <w:t xml:space="preserve">Fully recovering the costs of specific gaming licence activities that activity based licence fees (at their current levels) </w:t>
      </w:r>
      <w:r w:rsidR="00237B86" w:rsidRPr="00D5476B">
        <w:rPr>
          <w:lang w:eastAsia="en-US"/>
        </w:rPr>
        <w:t>do</w:t>
      </w:r>
      <w:r w:rsidRPr="00D5476B">
        <w:rPr>
          <w:lang w:eastAsia="en-US"/>
        </w:rPr>
        <w:t xml:space="preserve"> not fully recover from </w:t>
      </w:r>
      <w:r w:rsidR="00F13192">
        <w:rPr>
          <w:lang w:eastAsia="en-US"/>
        </w:rPr>
        <w:t>venue o</w:t>
      </w:r>
      <w:r w:rsidR="00472069">
        <w:rPr>
          <w:lang w:eastAsia="en-US"/>
        </w:rPr>
        <w:t>perator</w:t>
      </w:r>
      <w:r w:rsidRPr="00D5476B">
        <w:rPr>
          <w:lang w:eastAsia="en-US"/>
        </w:rPr>
        <w:t>s.</w:t>
      </w:r>
    </w:p>
    <w:p w:rsidR="00906FFF" w:rsidRPr="00D5476B" w:rsidRDefault="006B3E9C" w:rsidP="00407A05">
      <w:pPr>
        <w:numPr>
          <w:ilvl w:val="0"/>
          <w:numId w:val="49"/>
        </w:numPr>
        <w:spacing w:before="180" w:after="180"/>
        <w:ind w:left="1276"/>
        <w:rPr>
          <w:lang w:eastAsia="en-US"/>
        </w:rPr>
      </w:pPr>
      <w:r>
        <w:rPr>
          <w:lang w:eastAsia="en-US"/>
        </w:rPr>
        <w:t>Providing a</w:t>
      </w:r>
      <w:r w:rsidRPr="006B3E9C">
        <w:rPr>
          <w:lang w:eastAsia="en-US"/>
        </w:rPr>
        <w:t xml:space="preserve"> transparent and demonstrable basis </w:t>
      </w:r>
      <w:r>
        <w:rPr>
          <w:lang w:eastAsia="en-US"/>
        </w:rPr>
        <w:t>of</w:t>
      </w:r>
      <w:r w:rsidRPr="006B3E9C">
        <w:rPr>
          <w:lang w:eastAsia="en-US"/>
        </w:rPr>
        <w:t xml:space="preserve"> comparison </w:t>
      </w:r>
      <w:r>
        <w:rPr>
          <w:lang w:eastAsia="en-US"/>
        </w:rPr>
        <w:t>to</w:t>
      </w:r>
      <w:r w:rsidRPr="006B3E9C">
        <w:rPr>
          <w:lang w:eastAsia="en-US"/>
        </w:rPr>
        <w:t xml:space="preserve"> review </w:t>
      </w:r>
      <w:r>
        <w:rPr>
          <w:lang w:eastAsia="en-US"/>
        </w:rPr>
        <w:t xml:space="preserve">the VCGLR’s </w:t>
      </w:r>
      <w:r w:rsidRPr="006B3E9C">
        <w:rPr>
          <w:lang w:eastAsia="en-US"/>
        </w:rPr>
        <w:t xml:space="preserve">regulatory costs ensuring ongoing efficiency of the VCGLR’s regulation </w:t>
      </w:r>
      <w:r w:rsidR="00237B86" w:rsidRPr="006B3E9C">
        <w:rPr>
          <w:lang w:eastAsia="en-US"/>
        </w:rPr>
        <w:t>activities.</w:t>
      </w:r>
      <w:r w:rsidR="00237B86">
        <w:rPr>
          <w:lang w:eastAsia="en-US"/>
        </w:rPr>
        <w:t xml:space="preserve"> </w:t>
      </w:r>
    </w:p>
    <w:p w:rsidR="00906FFF" w:rsidRDefault="00906FFF" w:rsidP="00407A05">
      <w:pPr>
        <w:numPr>
          <w:ilvl w:val="0"/>
          <w:numId w:val="49"/>
        </w:numPr>
        <w:spacing w:before="240" w:after="240"/>
        <w:ind w:left="1276"/>
        <w:rPr>
          <w:lang w:eastAsia="en-US"/>
        </w:rPr>
      </w:pPr>
      <w:r w:rsidRPr="00D5476B">
        <w:rPr>
          <w:lang w:eastAsia="en-US"/>
        </w:rPr>
        <w:t>Those parties that do not benefit or take part in gaming related regulatory activity do not have to bear the associated costs.</w:t>
      </w:r>
    </w:p>
    <w:p w:rsidR="006B3E9C" w:rsidRPr="00D5476B" w:rsidRDefault="006B3E9C" w:rsidP="00407A05">
      <w:pPr>
        <w:numPr>
          <w:ilvl w:val="0"/>
          <w:numId w:val="49"/>
        </w:numPr>
        <w:spacing w:before="240" w:after="240"/>
        <w:ind w:left="1276"/>
        <w:rPr>
          <w:lang w:eastAsia="en-US"/>
        </w:rPr>
      </w:pPr>
      <w:r>
        <w:rPr>
          <w:lang w:eastAsia="en-US"/>
        </w:rPr>
        <w:t>E</w:t>
      </w:r>
      <w:r w:rsidRPr="006B3E9C">
        <w:rPr>
          <w:lang w:eastAsia="en-US"/>
        </w:rPr>
        <w:t xml:space="preserve">nsuring </w:t>
      </w:r>
      <w:r>
        <w:rPr>
          <w:lang w:eastAsia="en-US"/>
        </w:rPr>
        <w:t>funding for an effective VCGLR</w:t>
      </w:r>
      <w:r w:rsidRPr="006B3E9C">
        <w:rPr>
          <w:lang w:eastAsia="en-US"/>
        </w:rPr>
        <w:t xml:space="preserve"> -</w:t>
      </w:r>
      <w:r>
        <w:rPr>
          <w:lang w:eastAsia="en-US"/>
        </w:rPr>
        <w:t xml:space="preserve"> </w:t>
      </w:r>
      <w:r w:rsidRPr="006B3E9C">
        <w:rPr>
          <w:lang w:eastAsia="en-US"/>
        </w:rPr>
        <w:t>with its regulatory role maintaining the integrity of and therefore public confidence in the industry.</w:t>
      </w:r>
    </w:p>
    <w:p w:rsidR="00906FFF" w:rsidRPr="00D5476B" w:rsidRDefault="00906FFF" w:rsidP="00906FFF">
      <w:pPr>
        <w:spacing w:before="240" w:after="240"/>
        <w:rPr>
          <w:lang w:eastAsia="en-US"/>
        </w:rPr>
      </w:pPr>
      <w:r w:rsidRPr="00D5476B">
        <w:rPr>
          <w:lang w:eastAsia="en-US"/>
        </w:rPr>
        <w:t xml:space="preserve">The principle of fully internalising the costs of regulation is supported by the </w:t>
      </w:r>
      <w:r w:rsidRPr="00D93916">
        <w:rPr>
          <w:i/>
          <w:lang w:eastAsia="en-US"/>
        </w:rPr>
        <w:t xml:space="preserve">DTF Cost Recovery Guidelines </w:t>
      </w:r>
      <w:r w:rsidRPr="00D5476B">
        <w:rPr>
          <w:lang w:eastAsia="en-US"/>
        </w:rPr>
        <w:t xml:space="preserve">as outlined below. In addition, the Commonwealth Government’s </w:t>
      </w:r>
      <w:r w:rsidRPr="00D5476B">
        <w:rPr>
          <w:i/>
          <w:lang w:eastAsia="en-US"/>
        </w:rPr>
        <w:t>Australia’s Future Tax System Review</w:t>
      </w:r>
      <w:r w:rsidRPr="00D5476B">
        <w:rPr>
          <w:lang w:eastAsia="en-US"/>
        </w:rPr>
        <w:t xml:space="preserve"> also concluded that “regulatory costs should be recovered from those who are best able to reduce the social costs the regulation is targeting. This will often, but not always, be those who impose on others the costs that lead to the need for regulation”</w:t>
      </w:r>
      <w:r w:rsidR="00D93916">
        <w:rPr>
          <w:rStyle w:val="FootnoteReference"/>
          <w:lang w:eastAsia="en-US"/>
        </w:rPr>
        <w:footnoteReference w:id="4"/>
      </w:r>
      <w:r w:rsidRPr="00D5476B">
        <w:rPr>
          <w:lang w:eastAsia="en-US"/>
        </w:rPr>
        <w:t>.</w:t>
      </w:r>
    </w:p>
    <w:p w:rsidR="00906FFF" w:rsidRPr="00906FFF" w:rsidRDefault="00906FFF" w:rsidP="00906FFF">
      <w:pPr>
        <w:spacing w:before="240" w:after="240"/>
        <w:rPr>
          <w:sz w:val="24"/>
          <w:szCs w:val="24"/>
          <w:lang w:eastAsia="en-US"/>
        </w:rPr>
      </w:pPr>
      <w:r>
        <w:rPr>
          <w:noProof/>
          <w:sz w:val="24"/>
          <w:szCs w:val="24"/>
        </w:rPr>
        <mc:AlternateContent>
          <mc:Choice Requires="wps">
            <w:drawing>
              <wp:anchor distT="0" distB="0" distL="114300" distR="114300" simplePos="0" relativeHeight="251678720" behindDoc="0" locked="0" layoutInCell="1" allowOverlap="1" wp14:anchorId="3DBE843A" wp14:editId="50E37013">
                <wp:simplePos x="0" y="0"/>
                <wp:positionH relativeFrom="column">
                  <wp:posOffset>475615</wp:posOffset>
                </wp:positionH>
                <wp:positionV relativeFrom="paragraph">
                  <wp:posOffset>3811</wp:posOffset>
                </wp:positionV>
                <wp:extent cx="5467350" cy="163830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63830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F14D1" w:rsidRPr="00906FFF" w:rsidRDefault="004F14D1" w:rsidP="00906FFF">
                            <w:pPr>
                              <w:shd w:val="clear" w:color="auto" w:fill="D9D9D9"/>
                              <w:ind w:left="0"/>
                              <w:rPr>
                                <w:b/>
                              </w:rPr>
                            </w:pPr>
                            <w:r w:rsidRPr="00906FFF">
                              <w:rPr>
                                <w:b/>
                              </w:rPr>
                              <w:t xml:space="preserve">Text Box 2.1 - Excerpt from the </w:t>
                            </w:r>
                            <w:r w:rsidRPr="00D93916">
                              <w:rPr>
                                <w:b/>
                                <w:i/>
                              </w:rPr>
                              <w:t>DTF Cost Recovery Guidelines</w:t>
                            </w:r>
                          </w:p>
                          <w:p w:rsidR="004F14D1" w:rsidRPr="004F46A1" w:rsidRDefault="004F14D1" w:rsidP="00906FFF">
                            <w:pPr>
                              <w:pStyle w:val="BodyText"/>
                              <w:shd w:val="clear" w:color="auto" w:fill="D9D9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Pr>
                                <w:color w:val="000000"/>
                              </w:rPr>
                            </w:pPr>
                            <w:r w:rsidRPr="004F46A1">
                              <w:rPr>
                                <w:color w:val="000000"/>
                              </w:rPr>
                              <w:t>From the point of view of economic efficiency, it is important that the cost structures of an industry reflect all of the costs to society that must be expended for that industry to continue. If industry participants do not face the full costs associated with the efficient regulation of that industry, prices will tend to be too low and output too high than the best outcome for society as a whole. To address this, the costs incurred by government in administering regulation should be internalised as part of the cost of production of the good or service in question.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9" o:spid="_x0000_s1029" type="#_x0000_t202" style="position:absolute;left:0;text-align:left;margin-left:37.45pt;margin-top:.3pt;width:430.5pt;height:12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" fillcolor="#d8d8d8" stroked="f">
                <v:textbox>
                  <w:txbxContent>
                    <w:p w:rsidR="004F14D1" w:rsidRPr="00906FFF" w:rsidRDefault="004F14D1" w:rsidP="00906FFF">
                      <w:pPr>
                        <w:shd w:val="clear" w:color="auto" w:fill="D9D9D9"/>
                        <w:ind w:left="0"/>
                        <w:rPr>
                          <w:b/>
                        </w:rPr>
                      </w:pPr>
                      <w:r w:rsidRPr="00906FFF">
                        <w:rPr>
                          <w:b/>
                        </w:rPr>
                        <w:t xml:space="preserve">Text Box 2.1 - Excerpt from the </w:t>
                      </w:r>
                      <w:r w:rsidRPr="00D93916">
                        <w:rPr>
                          <w:b/>
                          <w:i/>
                        </w:rPr>
                        <w:t>DTF Cost Recovery Guidelines</w:t>
                      </w:r>
                    </w:p>
                    <w:p w:rsidR="004F14D1" w:rsidRPr="004F46A1" w:rsidRDefault="004F14D1" w:rsidP="00906FFF">
                      <w:pPr>
                        <w:pStyle w:val="BodyText"/>
                        <w:shd w:val="clear" w:color="auto" w:fill="D9D9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Pr>
                          <w:color w:val="000000"/>
                        </w:rPr>
                      </w:pPr>
                      <w:r w:rsidRPr="004F46A1">
                        <w:rPr>
                          <w:color w:val="000000"/>
                        </w:rPr>
                        <w:t>From the point of view of economic efficiency, it is important that the cost structures of an industry reflect all of the costs to society that must be expended for that industry to continue. If industry participants do not face the full costs associated with the efficient regulation of that industry, prices will tend to be too low and output too high than the best outcome for society as a whole. To address this, the costs incurred by government in administering regulation should be internalised as part of the cost of production of the good or service in question.</w:t>
                      </w:r>
                    </w:p>
                  </w:txbxContent>
                </v:textbox>
              </v:shape>
            </w:pict>
          </mc:Fallback>
        </mc:AlternateContent>
      </w:r>
    </w:p>
    <w:p w:rsidR="00906FFF" w:rsidRPr="00906FFF" w:rsidRDefault="00906FFF" w:rsidP="00906FFF">
      <w:pPr>
        <w:spacing w:before="240" w:after="240"/>
        <w:rPr>
          <w:sz w:val="24"/>
          <w:szCs w:val="24"/>
          <w:lang w:eastAsia="en-US"/>
        </w:rPr>
      </w:pPr>
    </w:p>
    <w:p w:rsidR="00906FFF" w:rsidRPr="00906FFF" w:rsidRDefault="00906FFF" w:rsidP="00906FFF">
      <w:pPr>
        <w:spacing w:before="240" w:after="240"/>
        <w:rPr>
          <w:sz w:val="24"/>
          <w:szCs w:val="24"/>
          <w:lang w:eastAsia="en-US"/>
        </w:rPr>
      </w:pPr>
    </w:p>
    <w:p w:rsidR="00906FFF" w:rsidRPr="00906FFF" w:rsidRDefault="00906FFF" w:rsidP="00906FFF">
      <w:pPr>
        <w:spacing w:before="240" w:after="240"/>
        <w:rPr>
          <w:sz w:val="24"/>
          <w:szCs w:val="24"/>
          <w:lang w:eastAsia="en-US"/>
        </w:rPr>
      </w:pPr>
    </w:p>
    <w:p w:rsidR="00906FFF" w:rsidRPr="00906FFF" w:rsidRDefault="00906FFF" w:rsidP="00906FFF">
      <w:pPr>
        <w:spacing w:before="240" w:after="240"/>
        <w:rPr>
          <w:sz w:val="24"/>
          <w:szCs w:val="24"/>
          <w:lang w:eastAsia="en-US"/>
        </w:rPr>
      </w:pPr>
    </w:p>
    <w:p w:rsidR="00C011AB" w:rsidRDefault="00C011AB" w:rsidP="00C011AB">
      <w:pPr>
        <w:pStyle w:val="Heading3"/>
        <w:numPr>
          <w:ilvl w:val="0"/>
          <w:numId w:val="0"/>
        </w:numPr>
        <w:ind w:left="792"/>
      </w:pPr>
    </w:p>
    <w:p w:rsidR="00906FFF" w:rsidRPr="00906FFF" w:rsidRDefault="00906FFF" w:rsidP="00906FFF">
      <w:pPr>
        <w:pStyle w:val="Heading3"/>
        <w:ind w:left="792" w:hanging="792"/>
      </w:pPr>
      <w:bookmarkStart w:id="14" w:name="_Toc356830855"/>
      <w:r w:rsidRPr="00906FFF">
        <w:t>Accounting for other benefits</w:t>
      </w:r>
      <w:bookmarkEnd w:id="14"/>
    </w:p>
    <w:p w:rsidR="00906FFF" w:rsidRPr="00D5476B" w:rsidRDefault="00906FFF" w:rsidP="00906FFF">
      <w:pPr>
        <w:spacing w:before="240" w:after="240"/>
        <w:rPr>
          <w:lang w:eastAsia="en-US"/>
        </w:rPr>
      </w:pPr>
      <w:r w:rsidRPr="00D5476B">
        <w:rPr>
          <w:lang w:eastAsia="en-US"/>
        </w:rPr>
        <w:t xml:space="preserve">Gaming machine players also benefit from a well-functioning regulatory system. In an ideal policy environment, the regulatory costs would be shared between venues and the players. This occurs by charging the regulated business, which then passes on some portion of costs through the prices it charges its customers. </w:t>
      </w:r>
    </w:p>
    <w:p w:rsidR="00906FFF" w:rsidRPr="00D5476B" w:rsidRDefault="00906FFF" w:rsidP="00906FFF">
      <w:pPr>
        <w:spacing w:before="240" w:after="240"/>
        <w:rPr>
          <w:lang w:eastAsia="en-US"/>
        </w:rPr>
      </w:pPr>
      <w:r w:rsidRPr="00D5476B">
        <w:rPr>
          <w:lang w:eastAsia="en-US"/>
        </w:rPr>
        <w:t xml:space="preserve">However in this context it is unclear how the state would be able to practically impose the charge on players. Venues are </w:t>
      </w:r>
      <w:r w:rsidR="00903E8A">
        <w:rPr>
          <w:lang w:eastAsia="en-US"/>
        </w:rPr>
        <w:t>restricted from</w:t>
      </w:r>
      <w:r w:rsidRPr="00D5476B">
        <w:rPr>
          <w:lang w:eastAsia="en-US"/>
        </w:rPr>
        <w:t xml:space="preserve"> directly pass</w:t>
      </w:r>
      <w:r w:rsidR="00903E8A">
        <w:rPr>
          <w:lang w:eastAsia="en-US"/>
        </w:rPr>
        <w:t>ing</w:t>
      </w:r>
      <w:r w:rsidRPr="00D5476B">
        <w:rPr>
          <w:lang w:eastAsia="en-US"/>
        </w:rPr>
        <w:t xml:space="preserve"> on the charge to players (within the gaming machine) because the GRA already fixes the price players face in playing gaming machines (by setting maximum player loss limits). </w:t>
      </w:r>
    </w:p>
    <w:p w:rsidR="00D5476B" w:rsidRDefault="00906FFF" w:rsidP="006B3E9C">
      <w:pPr>
        <w:spacing w:before="240" w:after="240"/>
        <w:rPr>
          <w:lang w:eastAsia="en-US"/>
        </w:rPr>
      </w:pPr>
      <w:r w:rsidRPr="00D5476B">
        <w:rPr>
          <w:lang w:eastAsia="en-US"/>
        </w:rPr>
        <w:t>Venues have the ability to pass on the cost through the price they charge for other goods and services they supply, e.g. meals and beverages. However it is highly uncertain the extent to which players as opposed to other non-playing visitors would bear the costs of the supervision charge.</w:t>
      </w:r>
    </w:p>
    <w:p w:rsidR="00906FFF" w:rsidRPr="00D5476B" w:rsidRDefault="00906FFF" w:rsidP="00906FFF">
      <w:pPr>
        <w:spacing w:before="240" w:after="240"/>
        <w:rPr>
          <w:lang w:eastAsia="en-US"/>
        </w:rPr>
      </w:pPr>
      <w:r w:rsidRPr="00D5476B">
        <w:rPr>
          <w:lang w:eastAsia="en-US"/>
        </w:rPr>
        <w:t>As a result, imposing a charge</w:t>
      </w:r>
      <w:r w:rsidR="00240D7B">
        <w:rPr>
          <w:lang w:eastAsia="en-US"/>
        </w:rPr>
        <w:t xml:space="preserve"> that fully recovers reasonable costs from</w:t>
      </w:r>
      <w:r w:rsidRPr="00D5476B">
        <w:rPr>
          <w:lang w:eastAsia="en-US"/>
        </w:rPr>
        <w:t xml:space="preserve"> </w:t>
      </w:r>
      <w:r w:rsidR="00F13192">
        <w:rPr>
          <w:lang w:eastAsia="en-US"/>
        </w:rPr>
        <w:t>venue o</w:t>
      </w:r>
      <w:r w:rsidR="00472069">
        <w:rPr>
          <w:lang w:eastAsia="en-US"/>
        </w:rPr>
        <w:t>perator</w:t>
      </w:r>
      <w:r w:rsidRPr="00D5476B">
        <w:rPr>
          <w:lang w:eastAsia="en-US"/>
        </w:rPr>
        <w:t xml:space="preserve">s is the most efficient and cost effective approach available. The only other viable alternatives, i) relying fully or partially on general taxation revenue or ii) imposing costs on various gaming service delivery intermediaries (e.g. manufacturers), would inappropriately shift the costs of regulation onto a number of other individuals and businesses. In addition, by increasing the level of general taxation needed to finance gaming related regulated activities, the </w:t>
      </w:r>
      <w:r w:rsidR="00D93916">
        <w:rPr>
          <w:lang w:eastAsia="en-US"/>
        </w:rPr>
        <w:t>S</w:t>
      </w:r>
      <w:r w:rsidRPr="00D5476B">
        <w:rPr>
          <w:lang w:eastAsia="en-US"/>
        </w:rPr>
        <w:t xml:space="preserve">tate unnecessarily incurs additional costs of tax administration and compliance, and the ‘deadweight loss’ of tax-related distortions to the economy more broadly. </w:t>
      </w:r>
    </w:p>
    <w:p w:rsidR="00906FFF" w:rsidRPr="00906FFF" w:rsidRDefault="00906FFF" w:rsidP="00906FFF">
      <w:pPr>
        <w:pStyle w:val="Heading3"/>
        <w:ind w:left="792" w:hanging="792"/>
      </w:pPr>
      <w:bookmarkStart w:id="15" w:name="_Toc356830856"/>
      <w:r w:rsidRPr="00906FFF">
        <w:t>Practice in other jurisdictions</w:t>
      </w:r>
      <w:bookmarkEnd w:id="15"/>
    </w:p>
    <w:p w:rsidR="00906FFF" w:rsidRPr="00D5476B" w:rsidRDefault="00906FFF" w:rsidP="00906FFF">
      <w:pPr>
        <w:spacing w:before="240" w:after="240"/>
        <w:rPr>
          <w:szCs w:val="24"/>
          <w:lang w:eastAsia="en-US"/>
        </w:rPr>
      </w:pPr>
      <w:r w:rsidRPr="00D5476B">
        <w:rPr>
          <w:szCs w:val="24"/>
          <w:lang w:eastAsia="en-US"/>
        </w:rPr>
        <w:t>Other jurisdictions in Australia and internationally also apply cost recovery charges on their gaming machine industries. In general, these charges apply to their relevant gaming machine licensees, venues or other service delivery intermediaries (e.g. venue employees, machine repairers, machine manufacturers etc).</w:t>
      </w:r>
    </w:p>
    <w:p w:rsidR="00906FFF" w:rsidRPr="00D5476B" w:rsidRDefault="00FF7C8D" w:rsidP="00906FFF">
      <w:pPr>
        <w:spacing w:before="240" w:after="240"/>
        <w:rPr>
          <w:szCs w:val="24"/>
          <w:lang w:eastAsia="en-US"/>
        </w:rPr>
      </w:pPr>
      <w:r>
        <w:rPr>
          <w:szCs w:val="24"/>
          <w:lang w:eastAsia="en-US"/>
        </w:rPr>
        <w:t>Victoria is the only s</w:t>
      </w:r>
      <w:r w:rsidR="00906FFF" w:rsidRPr="00D5476B">
        <w:rPr>
          <w:szCs w:val="24"/>
          <w:lang w:eastAsia="en-US"/>
        </w:rPr>
        <w:t xml:space="preserve">tate in Australia that levies a </w:t>
      </w:r>
      <w:r w:rsidR="00050023">
        <w:rPr>
          <w:szCs w:val="24"/>
          <w:lang w:eastAsia="en-US"/>
        </w:rPr>
        <w:t>supervision charge</w:t>
      </w:r>
      <w:r w:rsidR="00906FFF" w:rsidRPr="00D5476B">
        <w:rPr>
          <w:szCs w:val="24"/>
          <w:lang w:eastAsia="en-US"/>
        </w:rPr>
        <w:t xml:space="preserve">. Other </w:t>
      </w:r>
      <w:r>
        <w:rPr>
          <w:szCs w:val="24"/>
          <w:lang w:eastAsia="en-US"/>
        </w:rPr>
        <w:t>s</w:t>
      </w:r>
      <w:r w:rsidR="00906FFF" w:rsidRPr="00D5476B">
        <w:rPr>
          <w:szCs w:val="24"/>
          <w:lang w:eastAsia="en-US"/>
        </w:rPr>
        <w:t xml:space="preserve">tates apply specific activity based cost recovery fees on their respective gaming industries. Victoria’s </w:t>
      </w:r>
      <w:r w:rsidR="00050023">
        <w:rPr>
          <w:szCs w:val="24"/>
          <w:lang w:eastAsia="en-US"/>
        </w:rPr>
        <w:t>supervision charge</w:t>
      </w:r>
      <w:r w:rsidR="00906FFF" w:rsidRPr="00D5476B">
        <w:rPr>
          <w:szCs w:val="24"/>
          <w:lang w:eastAsia="en-US"/>
        </w:rPr>
        <w:t xml:space="preserve"> approach is balanced by levying fewer specific activity based fees than every other State. As established </w:t>
      </w:r>
      <w:r w:rsidR="00C011AB" w:rsidRPr="00D5476B">
        <w:rPr>
          <w:szCs w:val="24"/>
          <w:lang w:eastAsia="en-US"/>
        </w:rPr>
        <w:t>earlier, Victoria’s specific ac</w:t>
      </w:r>
      <w:r w:rsidR="00906FFF" w:rsidRPr="00D5476B">
        <w:rPr>
          <w:szCs w:val="24"/>
          <w:lang w:eastAsia="en-US"/>
        </w:rPr>
        <w:t>tivity based fees under</w:t>
      </w:r>
      <w:r w:rsidR="00906FFF" w:rsidRPr="00D5476B">
        <w:rPr>
          <w:szCs w:val="24"/>
          <w:lang w:eastAsia="en-US"/>
        </w:rPr>
        <w:noBreakHyphen/>
        <w:t>recover the costs associated with that specific regulatory activity.</w:t>
      </w:r>
    </w:p>
    <w:p w:rsidR="00906FFF" w:rsidRPr="00D5476B" w:rsidRDefault="00906FFF" w:rsidP="00906FFF">
      <w:pPr>
        <w:spacing w:before="240" w:after="240"/>
        <w:rPr>
          <w:szCs w:val="24"/>
          <w:lang w:eastAsia="en-US"/>
        </w:rPr>
      </w:pPr>
      <w:r w:rsidRPr="00D5476B">
        <w:rPr>
          <w:szCs w:val="24"/>
          <w:lang w:eastAsia="en-US"/>
        </w:rPr>
        <w:t>It is difficult to further a</w:t>
      </w:r>
      <w:r w:rsidR="00FF7C8D">
        <w:rPr>
          <w:szCs w:val="24"/>
          <w:lang w:eastAsia="en-US"/>
        </w:rPr>
        <w:t>nalyse the differences between s</w:t>
      </w:r>
      <w:r w:rsidRPr="00D5476B">
        <w:rPr>
          <w:szCs w:val="24"/>
          <w:lang w:eastAsia="en-US"/>
        </w:rPr>
        <w:t xml:space="preserve">tates due to different regulatory structures, licensing arrangements and a lack of available information on the relative size and efficiency of the relevant gambling regulator. Nevertheless, it is possible that other states are recovering the remaining regulatory costs of their regulator (i.e. costs other than those not recovered through specific activity based fees) through their gaming tax revenue (as highlighted in Queensland) or general tax revenues more broadly. </w:t>
      </w:r>
    </w:p>
    <w:p w:rsidR="00906FFF" w:rsidRPr="00906FFF" w:rsidRDefault="00906FFF" w:rsidP="00906FFF">
      <w:pPr>
        <w:pStyle w:val="Heading2"/>
      </w:pPr>
      <w:bookmarkStart w:id="16" w:name="_Toc356830857"/>
      <w:r w:rsidRPr="00906FFF">
        <w:t>Issues to consider in applying the charge</w:t>
      </w:r>
      <w:bookmarkEnd w:id="16"/>
    </w:p>
    <w:p w:rsidR="00906FFF" w:rsidRPr="00D5476B" w:rsidRDefault="00906FFF" w:rsidP="00906FFF">
      <w:pPr>
        <w:spacing w:before="240" w:after="240"/>
        <w:rPr>
          <w:szCs w:val="24"/>
          <w:lang w:eastAsia="en-US"/>
        </w:rPr>
      </w:pPr>
      <w:r w:rsidRPr="00D5476B">
        <w:rPr>
          <w:szCs w:val="24"/>
          <w:lang w:eastAsia="en-US"/>
        </w:rPr>
        <w:t xml:space="preserve">The supervision charge will be paid by </w:t>
      </w:r>
      <w:r w:rsidR="00F13192">
        <w:rPr>
          <w:szCs w:val="24"/>
          <w:lang w:eastAsia="en-US"/>
        </w:rPr>
        <w:t>venue o</w:t>
      </w:r>
      <w:r w:rsidR="00472069">
        <w:rPr>
          <w:szCs w:val="24"/>
          <w:lang w:eastAsia="en-US"/>
        </w:rPr>
        <w:t>perator</w:t>
      </w:r>
      <w:r w:rsidRPr="00D5476B">
        <w:rPr>
          <w:szCs w:val="24"/>
          <w:lang w:eastAsia="en-US"/>
        </w:rPr>
        <w:t xml:space="preserve">s </w:t>
      </w:r>
      <w:r w:rsidR="002A6200">
        <w:rPr>
          <w:szCs w:val="24"/>
          <w:lang w:eastAsia="en-US"/>
        </w:rPr>
        <w:t>who have held</w:t>
      </w:r>
      <w:r w:rsidRPr="00D5476B">
        <w:rPr>
          <w:szCs w:val="24"/>
          <w:lang w:eastAsia="en-US"/>
        </w:rPr>
        <w:t xml:space="preserve"> gaming entitlements</w:t>
      </w:r>
      <w:r w:rsidR="002A6200">
        <w:rPr>
          <w:szCs w:val="24"/>
          <w:lang w:eastAsia="en-US"/>
        </w:rPr>
        <w:t xml:space="preserve"> within the financial year</w:t>
      </w:r>
      <w:r w:rsidRPr="00D5476B">
        <w:rPr>
          <w:szCs w:val="24"/>
          <w:lang w:eastAsia="en-US"/>
        </w:rPr>
        <w:t>. In practice, the supervision charge determination will net off amounts already collected from activity based licence fees listed in the table above.</w:t>
      </w:r>
    </w:p>
    <w:p w:rsidR="00906FFF" w:rsidRPr="00D5476B" w:rsidRDefault="00906FFF" w:rsidP="00906FFF">
      <w:pPr>
        <w:spacing w:before="240" w:after="240"/>
        <w:rPr>
          <w:szCs w:val="24"/>
          <w:lang w:eastAsia="en-US"/>
        </w:rPr>
      </w:pPr>
      <w:r w:rsidRPr="00D5476B">
        <w:rPr>
          <w:szCs w:val="24"/>
          <w:lang w:eastAsia="en-US"/>
        </w:rPr>
        <w:t xml:space="preserve">The gaming machine industry is heterogeneous and has some unique characteristics, which will need to be considered in the design and application of the supervision charge for </w:t>
      </w:r>
      <w:r w:rsidR="00F13192">
        <w:rPr>
          <w:szCs w:val="24"/>
          <w:lang w:eastAsia="en-US"/>
        </w:rPr>
        <w:t>venue o</w:t>
      </w:r>
      <w:r w:rsidR="00472069">
        <w:rPr>
          <w:szCs w:val="24"/>
          <w:lang w:eastAsia="en-US"/>
        </w:rPr>
        <w:t>perator</w:t>
      </w:r>
      <w:r w:rsidRPr="00D5476B">
        <w:rPr>
          <w:szCs w:val="24"/>
          <w:lang w:eastAsia="en-US"/>
        </w:rPr>
        <w:t>s:</w:t>
      </w:r>
    </w:p>
    <w:p w:rsidR="000A1BEA" w:rsidRDefault="00906FFF" w:rsidP="00407A05">
      <w:pPr>
        <w:numPr>
          <w:ilvl w:val="0"/>
          <w:numId w:val="19"/>
        </w:numPr>
        <w:spacing w:before="240" w:after="240"/>
        <w:ind w:left="1276"/>
        <w:rPr>
          <w:szCs w:val="24"/>
          <w:lang w:eastAsia="en-US"/>
        </w:rPr>
      </w:pPr>
      <w:r w:rsidRPr="000A1BEA">
        <w:rPr>
          <w:b/>
          <w:szCs w:val="24"/>
          <w:lang w:eastAsia="en-US"/>
        </w:rPr>
        <w:t xml:space="preserve">The supervision charge will apply to a relatively large number of gaming machine </w:t>
      </w:r>
      <w:r w:rsidR="00F13192">
        <w:rPr>
          <w:b/>
          <w:szCs w:val="24"/>
          <w:lang w:eastAsia="en-US"/>
        </w:rPr>
        <w:t>venue o</w:t>
      </w:r>
      <w:r w:rsidR="00472069">
        <w:rPr>
          <w:b/>
          <w:szCs w:val="24"/>
          <w:lang w:eastAsia="en-US"/>
        </w:rPr>
        <w:t>perator</w:t>
      </w:r>
      <w:r w:rsidRPr="000A1BEA">
        <w:rPr>
          <w:b/>
          <w:szCs w:val="24"/>
          <w:lang w:eastAsia="en-US"/>
        </w:rPr>
        <w:t>s</w:t>
      </w:r>
      <w:r w:rsidRPr="000A1BEA">
        <w:rPr>
          <w:szCs w:val="24"/>
          <w:lang w:eastAsia="en-US"/>
        </w:rPr>
        <w:t xml:space="preserve"> (i.e. between 400 and 500) compared to its application to Victoria’s other gambling licences (where the taxpayer is effectively one or two entities). This can potentially increase administration costs and compliance activities surrounding the levying of the charge. The transferability of gaming machine entitlements at any time within a financial year also complica</w:t>
      </w:r>
      <w:r w:rsidR="000A1BEA">
        <w:rPr>
          <w:szCs w:val="24"/>
          <w:lang w:eastAsia="en-US"/>
        </w:rPr>
        <w:t>tes the levying process further.</w:t>
      </w:r>
    </w:p>
    <w:p w:rsidR="00B14372" w:rsidRDefault="00B14372" w:rsidP="00B14372">
      <w:pPr>
        <w:spacing w:before="240" w:after="240"/>
        <w:rPr>
          <w:szCs w:val="24"/>
          <w:lang w:eastAsia="en-US"/>
        </w:rPr>
      </w:pPr>
    </w:p>
    <w:p w:rsidR="00B14372" w:rsidRDefault="00B14372">
      <w:pPr>
        <w:spacing w:before="0" w:after="0"/>
        <w:ind w:left="0"/>
        <w:rPr>
          <w:szCs w:val="24"/>
          <w:lang w:eastAsia="en-US"/>
        </w:rPr>
      </w:pPr>
      <w:r>
        <w:rPr>
          <w:szCs w:val="24"/>
          <w:lang w:eastAsia="en-US"/>
        </w:rPr>
        <w:br w:type="page"/>
      </w:r>
    </w:p>
    <w:p w:rsidR="00906FFF" w:rsidRPr="000A1BEA" w:rsidRDefault="00906FFF" w:rsidP="003F7272">
      <w:pPr>
        <w:numPr>
          <w:ilvl w:val="0"/>
          <w:numId w:val="19"/>
        </w:numPr>
        <w:spacing w:before="240" w:after="240"/>
        <w:ind w:left="1418" w:hanging="425"/>
        <w:rPr>
          <w:szCs w:val="24"/>
          <w:lang w:eastAsia="en-US"/>
        </w:rPr>
      </w:pPr>
      <w:r w:rsidRPr="000A1BEA">
        <w:rPr>
          <w:b/>
          <w:szCs w:val="24"/>
          <w:lang w:eastAsia="en-US"/>
        </w:rPr>
        <w:t xml:space="preserve">The nature of </w:t>
      </w:r>
      <w:r w:rsidR="00F13192">
        <w:rPr>
          <w:b/>
          <w:szCs w:val="24"/>
          <w:lang w:eastAsia="en-US"/>
        </w:rPr>
        <w:t>venue o</w:t>
      </w:r>
      <w:r w:rsidR="00472069">
        <w:rPr>
          <w:b/>
          <w:szCs w:val="24"/>
          <w:lang w:eastAsia="en-US"/>
        </w:rPr>
        <w:t>perator</w:t>
      </w:r>
      <w:r w:rsidRPr="000A1BEA">
        <w:rPr>
          <w:b/>
          <w:szCs w:val="24"/>
          <w:lang w:eastAsia="en-US"/>
        </w:rPr>
        <w:t>s differs markedly across Victoria.</w:t>
      </w:r>
      <w:r w:rsidRPr="000A1BEA">
        <w:rPr>
          <w:szCs w:val="24"/>
          <w:lang w:eastAsia="en-US"/>
        </w:rPr>
        <w:t xml:space="preserve"> At a simplistic level, venues differ by whether they are a hotel or club. Hotels are largely run as a business, while clubs run for not-for-profit/community benefit purposes. Some venues operate a larger number of gaming machines than others, and some are collectively owned </w:t>
      </w:r>
      <w:r w:rsidR="00756CB0">
        <w:rPr>
          <w:szCs w:val="24"/>
          <w:lang w:eastAsia="en-US"/>
        </w:rPr>
        <w:t>by the same entity</w:t>
      </w:r>
      <w:r w:rsidRPr="000A1BEA">
        <w:rPr>
          <w:szCs w:val="24"/>
          <w:lang w:eastAsia="en-US"/>
        </w:rPr>
        <w:t xml:space="preserve">. The estimated risk or observed prevalence of problem gambling is higher in some venues over others. These differences can lead to cross subsidisation between </w:t>
      </w:r>
      <w:r w:rsidR="00F13192">
        <w:rPr>
          <w:szCs w:val="24"/>
          <w:lang w:eastAsia="en-US"/>
        </w:rPr>
        <w:t>venue o</w:t>
      </w:r>
      <w:r w:rsidR="00472069">
        <w:rPr>
          <w:szCs w:val="24"/>
          <w:lang w:eastAsia="en-US"/>
        </w:rPr>
        <w:t>perator</w:t>
      </w:r>
      <w:r w:rsidRPr="000A1BEA">
        <w:rPr>
          <w:szCs w:val="24"/>
          <w:lang w:eastAsia="en-US"/>
        </w:rPr>
        <w:t>s if a flat charge per venue (or equivalent) was determined.</w:t>
      </w:r>
    </w:p>
    <w:p w:rsidR="00906FFF" w:rsidRPr="00D5476B" w:rsidRDefault="00906FFF" w:rsidP="00D82EED">
      <w:pPr>
        <w:numPr>
          <w:ilvl w:val="0"/>
          <w:numId w:val="19"/>
        </w:numPr>
        <w:spacing w:before="360" w:after="240"/>
        <w:ind w:left="1418"/>
        <w:rPr>
          <w:szCs w:val="24"/>
          <w:lang w:eastAsia="en-US"/>
        </w:rPr>
      </w:pPr>
      <w:r w:rsidRPr="00D5476B">
        <w:rPr>
          <w:b/>
          <w:szCs w:val="24"/>
          <w:lang w:eastAsia="en-US"/>
        </w:rPr>
        <w:t xml:space="preserve">The amount of effort VCGLR applies in undertaking its regulatory activities can potentially vary by </w:t>
      </w:r>
      <w:r w:rsidR="00F13192">
        <w:rPr>
          <w:b/>
          <w:szCs w:val="24"/>
          <w:lang w:eastAsia="en-US"/>
        </w:rPr>
        <w:t>venue o</w:t>
      </w:r>
      <w:r w:rsidR="00472069">
        <w:rPr>
          <w:b/>
          <w:szCs w:val="24"/>
          <w:lang w:eastAsia="en-US"/>
        </w:rPr>
        <w:t>perator</w:t>
      </w:r>
      <w:r w:rsidRPr="00D5476B">
        <w:rPr>
          <w:szCs w:val="24"/>
          <w:lang w:eastAsia="en-US"/>
        </w:rPr>
        <w:t xml:space="preserve">. Some </w:t>
      </w:r>
      <w:r w:rsidR="00F13192">
        <w:rPr>
          <w:szCs w:val="24"/>
          <w:lang w:eastAsia="en-US"/>
        </w:rPr>
        <w:t>venue o</w:t>
      </w:r>
      <w:r w:rsidR="00472069">
        <w:rPr>
          <w:szCs w:val="24"/>
          <w:lang w:eastAsia="en-US"/>
        </w:rPr>
        <w:t>perator</w:t>
      </w:r>
      <w:r w:rsidRPr="00D5476B">
        <w:rPr>
          <w:szCs w:val="24"/>
          <w:lang w:eastAsia="en-US"/>
        </w:rPr>
        <w:t>s comply with regulations relatively easily. Others</w:t>
      </w:r>
      <w:r w:rsidR="00187790">
        <w:rPr>
          <w:szCs w:val="24"/>
          <w:lang w:eastAsia="en-US"/>
        </w:rPr>
        <w:t>,</w:t>
      </w:r>
      <w:r w:rsidRPr="00D5476B">
        <w:rPr>
          <w:szCs w:val="24"/>
          <w:lang w:eastAsia="en-US"/>
        </w:rPr>
        <w:t xml:space="preserve"> such as new </w:t>
      </w:r>
      <w:r w:rsidR="00F13192">
        <w:rPr>
          <w:szCs w:val="24"/>
          <w:lang w:eastAsia="en-US"/>
        </w:rPr>
        <w:t>venue o</w:t>
      </w:r>
      <w:r w:rsidR="00472069">
        <w:rPr>
          <w:szCs w:val="24"/>
          <w:lang w:eastAsia="en-US"/>
        </w:rPr>
        <w:t>perator</w:t>
      </w:r>
      <w:r w:rsidRPr="00D5476B">
        <w:rPr>
          <w:szCs w:val="24"/>
          <w:lang w:eastAsia="en-US"/>
        </w:rPr>
        <w:t>s</w:t>
      </w:r>
      <w:r w:rsidR="00187790">
        <w:rPr>
          <w:szCs w:val="24"/>
          <w:lang w:eastAsia="en-US"/>
        </w:rPr>
        <w:t>,</w:t>
      </w:r>
      <w:r w:rsidRPr="00D5476B">
        <w:rPr>
          <w:szCs w:val="24"/>
          <w:lang w:eastAsia="en-US"/>
        </w:rPr>
        <w:t xml:space="preserve"> require the VCGLR’s attention more frequently or to a greater degree of intensity as they set up their gaming venue. Cross subsidisation between </w:t>
      </w:r>
      <w:r w:rsidR="00F13192">
        <w:rPr>
          <w:szCs w:val="24"/>
          <w:lang w:eastAsia="en-US"/>
        </w:rPr>
        <w:t>venue o</w:t>
      </w:r>
      <w:r w:rsidR="00472069">
        <w:rPr>
          <w:szCs w:val="24"/>
          <w:lang w:eastAsia="en-US"/>
        </w:rPr>
        <w:t>perator</w:t>
      </w:r>
      <w:r w:rsidRPr="00D5476B">
        <w:rPr>
          <w:szCs w:val="24"/>
          <w:lang w:eastAsia="en-US"/>
        </w:rPr>
        <w:t xml:space="preserve">s will occur unless the charge </w:t>
      </w:r>
      <w:r w:rsidR="00D82EED" w:rsidRPr="00D82EED">
        <w:rPr>
          <w:szCs w:val="24"/>
          <w:lang w:eastAsia="en-US"/>
        </w:rPr>
        <w:t xml:space="preserve">has a means of differentiating </w:t>
      </w:r>
      <w:r w:rsidRPr="00D5476B">
        <w:rPr>
          <w:szCs w:val="24"/>
          <w:lang w:eastAsia="en-US"/>
        </w:rPr>
        <w:t xml:space="preserve">regulatory effort per venue. </w:t>
      </w:r>
    </w:p>
    <w:p w:rsidR="00F54DC2" w:rsidRPr="00D5476B" w:rsidRDefault="00906FFF" w:rsidP="003F7272">
      <w:pPr>
        <w:numPr>
          <w:ilvl w:val="0"/>
          <w:numId w:val="19"/>
        </w:numPr>
        <w:spacing w:before="360" w:after="240"/>
        <w:ind w:left="1417" w:hanging="425"/>
        <w:rPr>
          <w:szCs w:val="24"/>
          <w:lang w:eastAsia="en-US"/>
        </w:rPr>
      </w:pPr>
      <w:r w:rsidRPr="00D5476B">
        <w:rPr>
          <w:b/>
          <w:szCs w:val="24"/>
          <w:lang w:eastAsia="en-US"/>
        </w:rPr>
        <w:t>The use of gaming machine entitlements can vary betw</w:t>
      </w:r>
      <w:r w:rsidR="00187790">
        <w:rPr>
          <w:b/>
          <w:szCs w:val="24"/>
          <w:lang w:eastAsia="en-US"/>
        </w:rPr>
        <w:t xml:space="preserve">een and within </w:t>
      </w:r>
      <w:r w:rsidR="00F13192">
        <w:rPr>
          <w:b/>
          <w:szCs w:val="24"/>
          <w:lang w:eastAsia="en-US"/>
        </w:rPr>
        <w:t>v</w:t>
      </w:r>
      <w:r w:rsidR="00187790">
        <w:rPr>
          <w:b/>
          <w:szCs w:val="24"/>
          <w:lang w:eastAsia="en-US"/>
        </w:rPr>
        <w:t xml:space="preserve">enues </w:t>
      </w:r>
      <w:r w:rsidR="00F13192">
        <w:rPr>
          <w:b/>
          <w:szCs w:val="24"/>
          <w:lang w:eastAsia="en-US"/>
        </w:rPr>
        <w:t>o</w:t>
      </w:r>
      <w:r w:rsidR="00187790">
        <w:rPr>
          <w:b/>
          <w:szCs w:val="24"/>
          <w:lang w:eastAsia="en-US"/>
        </w:rPr>
        <w:t>perators</w:t>
      </w:r>
      <w:r w:rsidRPr="00D5476B">
        <w:rPr>
          <w:b/>
          <w:szCs w:val="24"/>
          <w:lang w:eastAsia="en-US"/>
        </w:rPr>
        <w:t>.</w:t>
      </w:r>
      <w:r w:rsidRPr="00D5476B">
        <w:rPr>
          <w:szCs w:val="24"/>
          <w:lang w:eastAsia="en-US"/>
        </w:rPr>
        <w:t xml:space="preserve"> Some </w:t>
      </w:r>
      <w:r w:rsidR="00F13192">
        <w:rPr>
          <w:szCs w:val="24"/>
          <w:lang w:eastAsia="en-US"/>
        </w:rPr>
        <w:t>v</w:t>
      </w:r>
      <w:r w:rsidR="00472069">
        <w:rPr>
          <w:szCs w:val="24"/>
          <w:lang w:eastAsia="en-US"/>
        </w:rPr>
        <w:t xml:space="preserve">enue </w:t>
      </w:r>
      <w:r w:rsidR="00F13192">
        <w:rPr>
          <w:szCs w:val="24"/>
          <w:lang w:eastAsia="en-US"/>
        </w:rPr>
        <w:t>o</w:t>
      </w:r>
      <w:r w:rsidR="00472069">
        <w:rPr>
          <w:szCs w:val="24"/>
          <w:lang w:eastAsia="en-US"/>
        </w:rPr>
        <w:t>perator</w:t>
      </w:r>
      <w:r w:rsidRPr="00D5476B">
        <w:rPr>
          <w:szCs w:val="24"/>
          <w:lang w:eastAsia="en-US"/>
        </w:rPr>
        <w:t xml:space="preserve">s use all their entitlements (by attaching them to their, or one or more of their, approved venues to operate the equivalent number of gaming machines) at any point in time, while others do not use a portion of their entitlements. The non-use of entitlements can be complicated further by GRA provisions that apply a </w:t>
      </w:r>
      <w:r w:rsidR="00CE62C8">
        <w:rPr>
          <w:szCs w:val="24"/>
          <w:lang w:eastAsia="en-US"/>
        </w:rPr>
        <w:t>‘</w:t>
      </w:r>
      <w:r w:rsidRPr="00D5476B">
        <w:rPr>
          <w:szCs w:val="24"/>
          <w:lang w:eastAsia="en-US"/>
        </w:rPr>
        <w:t>use it or lose it</w:t>
      </w:r>
      <w:r w:rsidR="00CE62C8">
        <w:rPr>
          <w:szCs w:val="24"/>
          <w:lang w:eastAsia="en-US"/>
        </w:rPr>
        <w:t>’</w:t>
      </w:r>
      <w:r w:rsidRPr="00D5476B">
        <w:rPr>
          <w:szCs w:val="24"/>
          <w:lang w:eastAsia="en-US"/>
        </w:rPr>
        <w:t xml:space="preserve"> requirement. Under the </w:t>
      </w:r>
      <w:r w:rsidR="00CE62C8">
        <w:rPr>
          <w:szCs w:val="24"/>
          <w:lang w:eastAsia="en-US"/>
        </w:rPr>
        <w:t>‘</w:t>
      </w:r>
      <w:r w:rsidRPr="00D5476B">
        <w:rPr>
          <w:szCs w:val="24"/>
          <w:lang w:eastAsia="en-US"/>
        </w:rPr>
        <w:t>use it or lose it</w:t>
      </w:r>
      <w:r w:rsidR="00CE62C8">
        <w:rPr>
          <w:szCs w:val="24"/>
          <w:lang w:eastAsia="en-US"/>
        </w:rPr>
        <w:t>’</w:t>
      </w:r>
      <w:r w:rsidRPr="00D5476B">
        <w:rPr>
          <w:szCs w:val="24"/>
          <w:lang w:eastAsia="en-US"/>
        </w:rPr>
        <w:t xml:space="preserve"> requirement, entitlements must be used within six mon</w:t>
      </w:r>
      <w:r w:rsidR="00187790">
        <w:rPr>
          <w:szCs w:val="24"/>
          <w:lang w:eastAsia="en-US"/>
        </w:rPr>
        <w:t>ths or they will revert to the S</w:t>
      </w:r>
      <w:r w:rsidRPr="00D5476B">
        <w:rPr>
          <w:szCs w:val="24"/>
          <w:lang w:eastAsia="en-US"/>
        </w:rPr>
        <w:t>tate unless entitlement holders apply for an extension. These issues complicate the administrative process of determining and issuing the charge.</w:t>
      </w:r>
    </w:p>
    <w:p w:rsidR="00F54DC2" w:rsidRDefault="00F54DC2" w:rsidP="00F54DC2">
      <w:pPr>
        <w:rPr>
          <w:lang w:eastAsia="en-US"/>
        </w:rPr>
      </w:pPr>
      <w:r>
        <w:rPr>
          <w:lang w:eastAsia="en-US"/>
        </w:rPr>
        <w:br w:type="page"/>
      </w:r>
    </w:p>
    <w:p w:rsidR="00C011AB" w:rsidRDefault="00C011AB" w:rsidP="00F54DC2">
      <w:pPr>
        <w:pStyle w:val="Heading1"/>
      </w:pPr>
      <w:bookmarkStart w:id="17" w:name="_Toc356830858"/>
      <w:r>
        <w:t xml:space="preserve">Objectives of the </w:t>
      </w:r>
      <w:r w:rsidR="00C27A13">
        <w:t>s</w:t>
      </w:r>
      <w:r>
        <w:t xml:space="preserve">upervision </w:t>
      </w:r>
      <w:r w:rsidR="00C27A13">
        <w:t>charge</w:t>
      </w:r>
      <w:bookmarkEnd w:id="17"/>
    </w:p>
    <w:p w:rsidR="00C011AB" w:rsidRPr="00D5476B" w:rsidRDefault="00C011AB" w:rsidP="00C011AB">
      <w:pPr>
        <w:spacing w:before="240" w:after="240"/>
        <w:rPr>
          <w:lang w:eastAsia="en-US"/>
        </w:rPr>
      </w:pPr>
      <w:r w:rsidRPr="00D5476B">
        <w:rPr>
          <w:lang w:eastAsia="en-US"/>
        </w:rPr>
        <w:t xml:space="preserve">Pursuant to sections 10(1)(a) and 12H(1)(a) of the </w:t>
      </w:r>
      <w:r w:rsidR="00C46DDC" w:rsidRPr="00407A05">
        <w:rPr>
          <w:lang w:eastAsia="en-US"/>
        </w:rPr>
        <w:t>SLA</w:t>
      </w:r>
      <w:r w:rsidRPr="00D5476B">
        <w:rPr>
          <w:lang w:eastAsia="en-US"/>
        </w:rPr>
        <w:t xml:space="preserve"> a RIS must include a statement outlining the objectives of the supervision charge.</w:t>
      </w:r>
      <w:r w:rsidRPr="00D5476B">
        <w:rPr>
          <w:rStyle w:val="CommentReference"/>
          <w:sz w:val="22"/>
        </w:rPr>
        <w:t xml:space="preserve"> T</w:t>
      </w:r>
      <w:r w:rsidRPr="00D5476B">
        <w:rPr>
          <w:lang w:eastAsia="en-US"/>
        </w:rPr>
        <w:t>he objectives of cost recovery charges are general</w:t>
      </w:r>
      <w:r w:rsidR="00A807E1">
        <w:rPr>
          <w:lang w:eastAsia="en-US"/>
        </w:rPr>
        <w:t>ly shaped by the nature of the issue</w:t>
      </w:r>
      <w:r w:rsidRPr="00D5476B">
        <w:rPr>
          <w:lang w:eastAsia="en-US"/>
        </w:rPr>
        <w:t>, existing government policy and other specific considerations unique to the charge.</w:t>
      </w:r>
    </w:p>
    <w:p w:rsidR="00C011AB" w:rsidRPr="00D5476B" w:rsidRDefault="00C011AB" w:rsidP="00C011AB">
      <w:pPr>
        <w:spacing w:before="240" w:after="240"/>
        <w:rPr>
          <w:lang w:eastAsia="en-US"/>
        </w:rPr>
      </w:pPr>
      <w:r w:rsidRPr="00D5476B">
        <w:rPr>
          <w:lang w:eastAsia="en-US"/>
        </w:rPr>
        <w:t>In the context of this RIS, the objective of the supervision charge is to fully recover the</w:t>
      </w:r>
      <w:r w:rsidR="00240D7B">
        <w:rPr>
          <w:lang w:eastAsia="en-US"/>
        </w:rPr>
        <w:t xml:space="preserve"> reasonable</w:t>
      </w:r>
      <w:r w:rsidRPr="00D5476B">
        <w:rPr>
          <w:lang w:eastAsia="en-US"/>
        </w:rPr>
        <w:t xml:space="preserve"> costs incurred by the VCGLR from </w:t>
      </w:r>
      <w:r w:rsidR="00F13192">
        <w:rPr>
          <w:lang w:eastAsia="en-US"/>
        </w:rPr>
        <w:t>venue o</w:t>
      </w:r>
      <w:r w:rsidR="00472069">
        <w:rPr>
          <w:lang w:eastAsia="en-US"/>
        </w:rPr>
        <w:t>perator</w:t>
      </w:r>
      <w:r w:rsidRPr="00D5476B">
        <w:rPr>
          <w:lang w:eastAsia="en-US"/>
        </w:rPr>
        <w:t xml:space="preserve">s in performing its gaming related regulatory activities. The charge will net off amounts already collected from specific gaming related licence fees paid by </w:t>
      </w:r>
      <w:r w:rsidR="00F13192">
        <w:rPr>
          <w:lang w:eastAsia="en-US"/>
        </w:rPr>
        <w:t>venue o</w:t>
      </w:r>
      <w:r w:rsidR="00472069">
        <w:rPr>
          <w:lang w:eastAsia="en-US"/>
        </w:rPr>
        <w:t>perator</w:t>
      </w:r>
      <w:r w:rsidRPr="00D5476B">
        <w:rPr>
          <w:lang w:eastAsia="en-US"/>
        </w:rPr>
        <w:t>s to avoid double charging.</w:t>
      </w:r>
    </w:p>
    <w:p w:rsidR="00C011AB" w:rsidRPr="00D5476B" w:rsidRDefault="00C011AB" w:rsidP="00C011AB">
      <w:pPr>
        <w:spacing w:before="240" w:after="240"/>
        <w:rPr>
          <w:lang w:eastAsia="en-US"/>
        </w:rPr>
      </w:pPr>
      <w:r w:rsidRPr="00D5476B">
        <w:rPr>
          <w:lang w:eastAsia="en-US"/>
        </w:rPr>
        <w:t>The design of the charge will also meet the following principles:</w:t>
      </w:r>
    </w:p>
    <w:p w:rsidR="00C011AB" w:rsidRPr="00D5476B" w:rsidRDefault="00C011AB" w:rsidP="003F7272">
      <w:pPr>
        <w:numPr>
          <w:ilvl w:val="0"/>
          <w:numId w:val="23"/>
        </w:numPr>
        <w:spacing w:before="240" w:after="240"/>
        <w:rPr>
          <w:color w:val="000000"/>
        </w:rPr>
      </w:pPr>
      <w:r w:rsidRPr="00D5476B">
        <w:rPr>
          <w:b/>
          <w:color w:val="000000"/>
        </w:rPr>
        <w:t>Efficiency</w:t>
      </w:r>
      <w:r w:rsidRPr="00D5476B">
        <w:rPr>
          <w:color w:val="000000"/>
        </w:rPr>
        <w:t xml:space="preserve"> – This is generally enhanced if regulatory costs are recovered from the regulated industry (particularly where the link between costs and benefits is direct). This reflects a view that the cost of regulation can appropriately be considered a part of the cost of producing the industry's outputs. It also ensures that the gaming industry’s production decisions are not distorted by effective subsidies and cross subsidies.</w:t>
      </w:r>
    </w:p>
    <w:p w:rsidR="00C011AB" w:rsidRPr="00D5476B" w:rsidRDefault="00C011AB" w:rsidP="003F7272">
      <w:pPr>
        <w:numPr>
          <w:ilvl w:val="0"/>
          <w:numId w:val="23"/>
        </w:numPr>
        <w:spacing w:before="240" w:after="240"/>
        <w:rPr>
          <w:color w:val="000000"/>
        </w:rPr>
      </w:pPr>
      <w:r w:rsidRPr="00D5476B">
        <w:rPr>
          <w:b/>
          <w:iCs/>
          <w:color w:val="000000"/>
        </w:rPr>
        <w:t xml:space="preserve">Equity </w:t>
      </w:r>
      <w:r w:rsidRPr="00D5476B">
        <w:rPr>
          <w:iCs/>
          <w:color w:val="000000"/>
        </w:rPr>
        <w:t>- This</w:t>
      </w:r>
      <w:r w:rsidRPr="00D5476B">
        <w:rPr>
          <w:i/>
          <w:iCs/>
          <w:color w:val="000000"/>
        </w:rPr>
        <w:t xml:space="preserve"> </w:t>
      </w:r>
      <w:r w:rsidRPr="00D5476B">
        <w:rPr>
          <w:color w:val="000000"/>
        </w:rPr>
        <w:t xml:space="preserve">refers to treating people in similar situations in similar ways. In the case of cost recovery, equity refers to those who benefit from government activities, or those that contribute to the need for government regulation (i.e. </w:t>
      </w:r>
      <w:r w:rsidR="00F13192">
        <w:rPr>
          <w:color w:val="000000"/>
        </w:rPr>
        <w:t>venue o</w:t>
      </w:r>
      <w:r w:rsidR="00472069">
        <w:rPr>
          <w:color w:val="000000"/>
        </w:rPr>
        <w:t>perator</w:t>
      </w:r>
      <w:r w:rsidRPr="00D5476B">
        <w:rPr>
          <w:color w:val="000000"/>
        </w:rPr>
        <w:t xml:space="preserve">s and players), having to pay the associated costs. </w:t>
      </w:r>
    </w:p>
    <w:p w:rsidR="00C011AB" w:rsidRPr="00D5476B" w:rsidRDefault="00C011AB" w:rsidP="003F7272">
      <w:pPr>
        <w:numPr>
          <w:ilvl w:val="0"/>
          <w:numId w:val="23"/>
        </w:numPr>
        <w:spacing w:before="240" w:after="240"/>
        <w:rPr>
          <w:color w:val="000000"/>
        </w:rPr>
      </w:pPr>
      <w:r w:rsidRPr="00D5476B">
        <w:rPr>
          <w:b/>
          <w:iCs/>
          <w:color w:val="000000"/>
        </w:rPr>
        <w:t xml:space="preserve">Cost effectiveness </w:t>
      </w:r>
      <w:r w:rsidRPr="00D5476B">
        <w:t xml:space="preserve">- The cost of administering cost recovery arrangements should be less than the value of the costs recovered. Potential levels of evasion should not be unacceptably high. </w:t>
      </w:r>
    </w:p>
    <w:p w:rsidR="00F54DC2" w:rsidRPr="00D5476B" w:rsidRDefault="00C011AB" w:rsidP="003F7272">
      <w:pPr>
        <w:numPr>
          <w:ilvl w:val="0"/>
          <w:numId w:val="23"/>
        </w:numPr>
        <w:spacing w:before="240" w:after="240"/>
      </w:pPr>
      <w:r w:rsidRPr="00D5476B">
        <w:rPr>
          <w:b/>
          <w:iCs/>
          <w:color w:val="000000"/>
        </w:rPr>
        <w:t xml:space="preserve">Transparent - </w:t>
      </w:r>
      <w:r w:rsidRPr="00D5476B">
        <w:t>This means that the underlying purpose and principles behind the design of the charge are clearly identified. It should be clear what is being charged, who is liable, and how their liability is calculated.</w:t>
      </w:r>
    </w:p>
    <w:p w:rsidR="00F54DC2" w:rsidRDefault="00F54DC2" w:rsidP="00F54DC2">
      <w:r>
        <w:br w:type="page"/>
      </w:r>
    </w:p>
    <w:bookmarkStart w:id="18" w:name="_Toc356830859"/>
    <w:p w:rsidR="003854B7" w:rsidRDefault="00130AEA" w:rsidP="006E302D">
      <w:pPr>
        <w:pStyle w:val="Heading1"/>
      </w:pPr>
      <w:r>
        <w:rPr>
          <w:noProof/>
          <w:sz w:val="24"/>
          <w:szCs w:val="24"/>
          <w:lang w:eastAsia="en-AU"/>
        </w:rPr>
        <mc:AlternateContent>
          <mc:Choice Requires="wps">
            <w:drawing>
              <wp:anchor distT="0" distB="0" distL="114300" distR="114300" simplePos="0" relativeHeight="251682816" behindDoc="0" locked="0" layoutInCell="1" allowOverlap="1" wp14:anchorId="404F5BEC" wp14:editId="3F865077">
                <wp:simplePos x="0" y="0"/>
                <wp:positionH relativeFrom="column">
                  <wp:posOffset>-6985</wp:posOffset>
                </wp:positionH>
                <wp:positionV relativeFrom="paragraph">
                  <wp:posOffset>873760</wp:posOffset>
                </wp:positionV>
                <wp:extent cx="5884545" cy="3022600"/>
                <wp:effectExtent l="0" t="0" r="1905" b="635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4545" cy="3022600"/>
                        </a:xfrm>
                        <a:prstGeom prst="rect">
                          <a:avLst/>
                        </a:prstGeom>
                        <a:solidFill>
                          <a:srgbClr val="DBE5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F14D1" w:rsidRPr="00BF0BF3" w:rsidRDefault="004F14D1" w:rsidP="000057D0">
                            <w:pPr>
                              <w:spacing w:before="120" w:after="160"/>
                              <w:ind w:left="0"/>
                              <w:rPr>
                                <w:sz w:val="26"/>
                                <w:szCs w:val="26"/>
                              </w:rPr>
                            </w:pPr>
                            <w:r>
                              <w:rPr>
                                <w:sz w:val="26"/>
                                <w:szCs w:val="26"/>
                              </w:rPr>
                              <w:t>Key p</w:t>
                            </w:r>
                            <w:r w:rsidRPr="00BF0BF3">
                              <w:rPr>
                                <w:sz w:val="26"/>
                                <w:szCs w:val="26"/>
                              </w:rPr>
                              <w:t>oints</w:t>
                            </w:r>
                          </w:p>
                          <w:p w:rsidR="004F14D1" w:rsidRPr="00130AEA" w:rsidRDefault="004F14D1" w:rsidP="003F7272">
                            <w:pPr>
                              <w:numPr>
                                <w:ilvl w:val="0"/>
                                <w:numId w:val="18"/>
                              </w:numPr>
                              <w:spacing w:before="160" w:after="160"/>
                            </w:pPr>
                            <w:r w:rsidRPr="00130AEA">
                              <w:t>The VCGLR’s total net gaming related regulatory costs for 2012-13 are expected to be $5.3</w:t>
                            </w:r>
                            <w:r>
                              <w:t> </w:t>
                            </w:r>
                            <w:r w:rsidRPr="00130AEA">
                              <w:t xml:space="preserve">million. </w:t>
                            </w:r>
                            <w:r>
                              <w:t>T</w:t>
                            </w:r>
                            <w:r w:rsidRPr="00130AEA">
                              <w:t xml:space="preserve">he estimates cover 10.5 months of 2012-13 because they only include regulatory costs incurred since </w:t>
                            </w:r>
                            <w:r>
                              <w:t>V</w:t>
                            </w:r>
                            <w:r w:rsidRPr="00130AEA">
                              <w:t xml:space="preserve">enue </w:t>
                            </w:r>
                            <w:r>
                              <w:t>O</w:t>
                            </w:r>
                            <w:r w:rsidRPr="00130AEA">
                              <w:t xml:space="preserve">perator licences commenced </w:t>
                            </w:r>
                            <w:r>
                              <w:t xml:space="preserve">on </w:t>
                            </w:r>
                            <w:r w:rsidRPr="00130AEA">
                              <w:t xml:space="preserve">16 August 2012. </w:t>
                            </w:r>
                          </w:p>
                          <w:p w:rsidR="004F14D1" w:rsidRPr="00130AEA" w:rsidRDefault="004F14D1" w:rsidP="003F7272">
                            <w:pPr>
                              <w:numPr>
                                <w:ilvl w:val="0"/>
                                <w:numId w:val="18"/>
                              </w:numPr>
                              <w:spacing w:before="160" w:after="160"/>
                            </w:pPr>
                            <w:r w:rsidRPr="00130AEA">
                              <w:t xml:space="preserve">Historically, fluctuations in gaming related regulatory costs are due to certain regulatory activities being more cyclical in nature, while some </w:t>
                            </w:r>
                            <w:r>
                              <w:t>costs are driven by</w:t>
                            </w:r>
                            <w:r w:rsidRPr="00130AEA">
                              <w:t xml:space="preserve"> the actual demand for VCGLR’s regulatory functions.</w:t>
                            </w:r>
                          </w:p>
                          <w:p w:rsidR="004F14D1" w:rsidRPr="00130AEA" w:rsidRDefault="004F14D1" w:rsidP="002A1B50">
                            <w:pPr>
                              <w:numPr>
                                <w:ilvl w:val="0"/>
                                <w:numId w:val="18"/>
                              </w:numPr>
                              <w:spacing w:before="160" w:after="160"/>
                            </w:pPr>
                            <w:r w:rsidRPr="00130AEA">
                              <w:t>In real terms, the VCGLR’s gaming related regulatory costs have declined by</w:t>
                            </w:r>
                            <w:r>
                              <w:t xml:space="preserve"> an annual average rate of</w:t>
                            </w:r>
                            <w:r w:rsidRPr="00130AEA">
                              <w:t xml:space="preserve"> 3.</w:t>
                            </w:r>
                            <w:r>
                              <w:t>5</w:t>
                            </w:r>
                            <w:r w:rsidRPr="00130AEA">
                              <w:t> per cent o</w:t>
                            </w:r>
                            <w:r>
                              <w:t>ver the last 13 years; from $331</w:t>
                            </w:r>
                            <w:r w:rsidRPr="00130AEA">
                              <w:t xml:space="preserve"> per machine in 2000-01 to $216 per gaming entitlement in 2012</w:t>
                            </w:r>
                            <w:r w:rsidRPr="00130AEA">
                              <w:noBreakHyphen/>
                              <w:t>13 (</w:t>
                            </w:r>
                            <w:r>
                              <w:t>2013 prices)</w:t>
                            </w:r>
                            <w:r w:rsidRPr="00130AEA">
                              <w:t xml:space="preserve">. </w:t>
                            </w:r>
                          </w:p>
                          <w:p w:rsidR="004F14D1" w:rsidRPr="00130AEA" w:rsidRDefault="004F14D1" w:rsidP="003F7272">
                            <w:pPr>
                              <w:numPr>
                                <w:ilvl w:val="0"/>
                                <w:numId w:val="18"/>
                              </w:numPr>
                            </w:pPr>
                            <w:r w:rsidRPr="00130AEA">
                              <w:t xml:space="preserve">The reduction in the VCGLR’s real costs has occurred while the </w:t>
                            </w:r>
                            <w:r>
                              <w:t>scope</w:t>
                            </w:r>
                            <w:r w:rsidRPr="00130AEA">
                              <w:t xml:space="preserve"> for VCGLR gaming regulatory functions has increased due</w:t>
                            </w:r>
                            <w:r>
                              <w:t xml:space="preserve"> to</w:t>
                            </w:r>
                            <w:r w:rsidRPr="00130AEA">
                              <w:t xml:space="preserve"> the Government introducing new regulatory requirements since 2000.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0" type="#_x0000_t202" style="position:absolute;left:0;text-align:left;margin-left:-.55pt;margin-top:68.8pt;width:463.35pt;height:23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" fillcolor="#dbe5f1" stroked="f">
                <v:textbox>
                  <w:txbxContent>
                    <w:p w:rsidR="004F14D1" w:rsidRPr="00BF0BF3" w:rsidRDefault="004F14D1" w:rsidP="000057D0">
                      <w:pPr>
                        <w:spacing w:before="120" w:after="160"/>
                        <w:ind w:left="0"/>
                        <w:rPr>
                          <w:sz w:val="26"/>
                          <w:szCs w:val="26"/>
                        </w:rPr>
                      </w:pPr>
                      <w:r>
                        <w:rPr>
                          <w:sz w:val="26"/>
                          <w:szCs w:val="26"/>
                        </w:rPr>
                        <w:t>Key p</w:t>
                      </w:r>
                      <w:r w:rsidRPr="00BF0BF3">
                        <w:rPr>
                          <w:sz w:val="26"/>
                          <w:szCs w:val="26"/>
                        </w:rPr>
                        <w:t>oints</w:t>
                      </w:r>
                    </w:p>
                    <w:p w:rsidR="004F14D1" w:rsidRPr="00130AEA" w:rsidRDefault="004F14D1" w:rsidP="003F7272">
                      <w:pPr>
                        <w:numPr>
                          <w:ilvl w:val="0"/>
                          <w:numId w:val="18"/>
                        </w:numPr>
                        <w:spacing w:before="160" w:after="160"/>
                      </w:pPr>
                      <w:r w:rsidRPr="00130AEA">
                        <w:t>The VCGLR’s total net gaming related regulatory costs for 2012-13 are expected to be $5.3</w:t>
                      </w:r>
                      <w:r>
                        <w:t> </w:t>
                      </w:r>
                      <w:r w:rsidRPr="00130AEA">
                        <w:t xml:space="preserve">million. </w:t>
                      </w:r>
                      <w:r>
                        <w:t>T</w:t>
                      </w:r>
                      <w:r w:rsidRPr="00130AEA">
                        <w:t xml:space="preserve">he estimates cover 10.5 months of 2012-13 because they only include regulatory costs incurred since </w:t>
                      </w:r>
                      <w:r>
                        <w:t>V</w:t>
                      </w:r>
                      <w:r w:rsidRPr="00130AEA">
                        <w:t xml:space="preserve">enue </w:t>
                      </w:r>
                      <w:r>
                        <w:t>O</w:t>
                      </w:r>
                      <w:r w:rsidRPr="00130AEA">
                        <w:t xml:space="preserve">perator licences commenced </w:t>
                      </w:r>
                      <w:r>
                        <w:t xml:space="preserve">on </w:t>
                      </w:r>
                      <w:r w:rsidRPr="00130AEA">
                        <w:t xml:space="preserve">16 August 2012. </w:t>
                      </w:r>
                    </w:p>
                    <w:p w:rsidR="004F14D1" w:rsidRPr="00130AEA" w:rsidRDefault="004F14D1" w:rsidP="003F7272">
                      <w:pPr>
                        <w:numPr>
                          <w:ilvl w:val="0"/>
                          <w:numId w:val="18"/>
                        </w:numPr>
                        <w:spacing w:before="160" w:after="160"/>
                      </w:pPr>
                      <w:r w:rsidRPr="00130AEA">
                        <w:t xml:space="preserve">Historically, fluctuations in gaming related regulatory costs are due to certain regulatory activities being more cyclical in nature, while some </w:t>
                      </w:r>
                      <w:r>
                        <w:t>costs are driven by</w:t>
                      </w:r>
                      <w:r w:rsidRPr="00130AEA">
                        <w:t xml:space="preserve"> the actual demand for VCGLR’s regulatory functions.</w:t>
                      </w:r>
                    </w:p>
                    <w:p w:rsidR="004F14D1" w:rsidRPr="00130AEA" w:rsidRDefault="004F14D1" w:rsidP="002A1B50">
                      <w:pPr>
                        <w:numPr>
                          <w:ilvl w:val="0"/>
                          <w:numId w:val="18"/>
                        </w:numPr>
                        <w:spacing w:before="160" w:after="160"/>
                      </w:pPr>
                      <w:r w:rsidRPr="00130AEA">
                        <w:t>In real terms, the VCGLR’s gaming related regulatory costs have declined by</w:t>
                      </w:r>
                      <w:r>
                        <w:t xml:space="preserve"> an annual average rate of</w:t>
                      </w:r>
                      <w:r w:rsidRPr="00130AEA">
                        <w:t xml:space="preserve"> 3.</w:t>
                      </w:r>
                      <w:r>
                        <w:t>5</w:t>
                      </w:r>
                      <w:r w:rsidRPr="00130AEA">
                        <w:t> per cent o</w:t>
                      </w:r>
                      <w:r>
                        <w:t>ver the last 13 years; from $331</w:t>
                      </w:r>
                      <w:r w:rsidRPr="00130AEA">
                        <w:t xml:space="preserve"> per machine in 2000-01 to $216 per gaming entitlement in 2012</w:t>
                      </w:r>
                      <w:r w:rsidRPr="00130AEA">
                        <w:noBreakHyphen/>
                        <w:t>13 (</w:t>
                      </w:r>
                      <w:r>
                        <w:t>2013 prices)</w:t>
                      </w:r>
                      <w:r w:rsidRPr="00130AEA">
                        <w:t xml:space="preserve">. </w:t>
                      </w:r>
                    </w:p>
                    <w:p w:rsidR="004F14D1" w:rsidRPr="00130AEA" w:rsidRDefault="004F14D1" w:rsidP="003F7272">
                      <w:pPr>
                        <w:numPr>
                          <w:ilvl w:val="0"/>
                          <w:numId w:val="18"/>
                        </w:numPr>
                      </w:pPr>
                      <w:r w:rsidRPr="00130AEA">
                        <w:t xml:space="preserve">The reduction in the VCGLR’s real costs has occurred while the </w:t>
                      </w:r>
                      <w:r>
                        <w:t>scope</w:t>
                      </w:r>
                      <w:r w:rsidRPr="00130AEA">
                        <w:t xml:space="preserve"> for VCGLR gaming regulatory functions has increased due</w:t>
                      </w:r>
                      <w:r>
                        <w:t xml:space="preserve"> to</w:t>
                      </w:r>
                      <w:r w:rsidRPr="00130AEA">
                        <w:t xml:space="preserve"> the Government introducing new regulatory requirements since 2000.</w:t>
                      </w:r>
                    </w:p>
                  </w:txbxContent>
                </v:textbox>
              </v:shape>
            </w:pict>
          </mc:Fallback>
        </mc:AlternateContent>
      </w:r>
      <w:r w:rsidR="00F54DC2">
        <w:t>V</w:t>
      </w:r>
      <w:r w:rsidR="003854B7">
        <w:t xml:space="preserve">CGLR’s </w:t>
      </w:r>
      <w:r w:rsidR="004375EA">
        <w:t>2012-13</w:t>
      </w:r>
      <w:r w:rsidR="00C27A13">
        <w:t xml:space="preserve"> g</w:t>
      </w:r>
      <w:r w:rsidR="003854B7">
        <w:t xml:space="preserve">aming </w:t>
      </w:r>
      <w:r w:rsidR="00C27A13">
        <w:t>r</w:t>
      </w:r>
      <w:r w:rsidR="003854B7">
        <w:t xml:space="preserve">elated </w:t>
      </w:r>
      <w:r w:rsidR="00C27A13">
        <w:t>r</w:t>
      </w:r>
      <w:r w:rsidR="003F7DB5">
        <w:t>egulatory c</w:t>
      </w:r>
      <w:r w:rsidR="003854B7">
        <w:t>osts</w:t>
      </w:r>
      <w:bookmarkEnd w:id="18"/>
    </w:p>
    <w:p w:rsidR="00130AEA" w:rsidRDefault="00130AEA" w:rsidP="00130AEA">
      <w:pPr>
        <w:rPr>
          <w:lang w:eastAsia="en-US"/>
        </w:rPr>
      </w:pPr>
    </w:p>
    <w:p w:rsidR="00130AEA" w:rsidRDefault="00130AEA" w:rsidP="00130AEA">
      <w:pPr>
        <w:rPr>
          <w:lang w:eastAsia="en-US"/>
        </w:rPr>
      </w:pPr>
    </w:p>
    <w:p w:rsidR="00130AEA" w:rsidRDefault="00130AEA" w:rsidP="00130AEA">
      <w:pPr>
        <w:rPr>
          <w:lang w:eastAsia="en-US"/>
        </w:rPr>
      </w:pPr>
    </w:p>
    <w:p w:rsidR="00130AEA" w:rsidRDefault="00130AEA" w:rsidP="00130AEA">
      <w:pPr>
        <w:rPr>
          <w:lang w:eastAsia="en-US"/>
        </w:rPr>
      </w:pPr>
    </w:p>
    <w:p w:rsidR="00130AEA" w:rsidRDefault="00130AEA" w:rsidP="00130AEA">
      <w:pPr>
        <w:rPr>
          <w:lang w:eastAsia="en-US"/>
        </w:rPr>
      </w:pPr>
    </w:p>
    <w:p w:rsidR="00130AEA" w:rsidRDefault="00130AEA" w:rsidP="00130AEA">
      <w:pPr>
        <w:rPr>
          <w:lang w:eastAsia="en-US"/>
        </w:rPr>
      </w:pPr>
    </w:p>
    <w:p w:rsidR="00130AEA" w:rsidRDefault="00130AEA" w:rsidP="00130AEA">
      <w:pPr>
        <w:rPr>
          <w:lang w:eastAsia="en-US"/>
        </w:rPr>
      </w:pPr>
    </w:p>
    <w:p w:rsidR="00130AEA" w:rsidRDefault="00130AEA" w:rsidP="00130AEA">
      <w:pPr>
        <w:rPr>
          <w:lang w:eastAsia="en-US"/>
        </w:rPr>
      </w:pPr>
    </w:p>
    <w:p w:rsidR="00130AEA" w:rsidRDefault="00130AEA" w:rsidP="00130AEA">
      <w:pPr>
        <w:rPr>
          <w:lang w:eastAsia="en-US"/>
        </w:rPr>
      </w:pPr>
    </w:p>
    <w:p w:rsidR="00130AEA" w:rsidRDefault="00130AEA" w:rsidP="00130AEA">
      <w:pPr>
        <w:rPr>
          <w:lang w:eastAsia="en-US"/>
        </w:rPr>
      </w:pPr>
    </w:p>
    <w:p w:rsidR="00130AEA" w:rsidRDefault="00130AEA" w:rsidP="00130AEA">
      <w:pPr>
        <w:rPr>
          <w:lang w:eastAsia="en-US"/>
        </w:rPr>
      </w:pPr>
    </w:p>
    <w:p w:rsidR="00130AEA" w:rsidRDefault="00130AEA" w:rsidP="00130AEA">
      <w:pPr>
        <w:rPr>
          <w:lang w:eastAsia="en-US"/>
        </w:rPr>
      </w:pPr>
    </w:p>
    <w:p w:rsidR="003854B7" w:rsidRDefault="003854B7" w:rsidP="002A1B50">
      <w:pPr>
        <w:pStyle w:val="Heading2"/>
        <w:spacing w:before="600"/>
      </w:pPr>
      <w:bookmarkStart w:id="19" w:name="_Toc356830860"/>
      <w:r w:rsidRPr="003B1BB2">
        <w:t>Overview of the VCGLR’s costing framework</w:t>
      </w:r>
      <w:bookmarkEnd w:id="19"/>
    </w:p>
    <w:p w:rsidR="003854B7" w:rsidRPr="000A1BEA" w:rsidRDefault="003854B7" w:rsidP="00F50D14">
      <w:pPr>
        <w:spacing w:before="240" w:after="240"/>
      </w:pPr>
      <w:r w:rsidRPr="000A1BEA">
        <w:t>The VCGLR’</w:t>
      </w:r>
      <w:r w:rsidR="002A6200">
        <w:t>s</w:t>
      </w:r>
      <w:r w:rsidRPr="000A1BEA">
        <w:t xml:space="preserve"> costing framework was established in 1994. It was independently reviewed by Coopers &amp; Lybrand in 1997, which included confirming a set of overarching principles for recovering VCGLR’s gambling related regulatory costs through the supervision charge.</w:t>
      </w:r>
    </w:p>
    <w:p w:rsidR="003854B7" w:rsidRPr="000A1BEA" w:rsidRDefault="003854B7" w:rsidP="00F50D14">
      <w:pPr>
        <w:spacing w:before="240" w:after="240"/>
      </w:pPr>
      <w:r w:rsidRPr="000A1BEA">
        <w:t>The VCGLR follows the ‘fully distributed cost method’ in calculating the costs it incurs through regulating the gaming industry. The method is the most comprehensive costing approach outlined in the DTF Cost Recovery Guidelines. It allocates all costs (including direct, indirect and capital cost components) to the output. This method is generally recommended where the cost recovered activities account for a large proportion of the agency’s activities.</w:t>
      </w:r>
    </w:p>
    <w:p w:rsidR="00130AEA" w:rsidRDefault="003854B7" w:rsidP="00F54DC2">
      <w:pPr>
        <w:spacing w:before="240" w:after="240"/>
      </w:pPr>
      <w:r w:rsidRPr="000A1BEA">
        <w:t xml:space="preserve">The VCGLR uses a Time Costing System (TCS) to calculate its costs of regulating the gambling industry. The TCS is used by VCGLR staff whose workload includes a significant proportion of time on </w:t>
      </w:r>
      <w:r w:rsidR="001D40FC">
        <w:t>one or more of the</w:t>
      </w:r>
      <w:r w:rsidRPr="000A1BEA">
        <w:t xml:space="preserve"> respe</w:t>
      </w:r>
      <w:r w:rsidR="00187790">
        <w:t>ctive gambling licence/activity</w:t>
      </w:r>
      <w:r w:rsidRPr="000A1BEA">
        <w:t xml:space="preserve"> (i.e. more than 40 per cent). </w:t>
      </w:r>
    </w:p>
    <w:p w:rsidR="003854B7" w:rsidRDefault="003854B7" w:rsidP="00F54DC2">
      <w:pPr>
        <w:spacing w:before="240" w:after="240"/>
      </w:pPr>
      <w:r w:rsidRPr="000A1BEA">
        <w:t>Staff enter data into the TCS on a weekly basis, which is approved by their team leader or manager to ensure an accurate and robust dataset. The cos</w:t>
      </w:r>
      <w:r w:rsidR="00F54DC2" w:rsidRPr="000A1BEA">
        <w:t>t of staff time involved in non-</w:t>
      </w:r>
      <w:r w:rsidRPr="000A1BEA">
        <w:t>gaming related supervision activities is excluded from the TCS for the purposes of estimating the VCGLR’s financial cost base of regulating gaming</w:t>
      </w:r>
      <w:r w:rsidR="002A1B50">
        <w:t xml:space="preserve"> (e.g. such as time spent on other licenced gambling activities such as wagering, lotteries, casino and keno)</w:t>
      </w:r>
      <w:r w:rsidRPr="000A1BEA">
        <w:t>.</w:t>
      </w:r>
    </w:p>
    <w:p w:rsidR="00F50D14" w:rsidRDefault="00F50D14">
      <w:pPr>
        <w:spacing w:before="0" w:after="0"/>
        <w:ind w:left="0"/>
      </w:pPr>
      <w:r>
        <w:br w:type="page"/>
      </w:r>
    </w:p>
    <w:p w:rsidR="003854B7" w:rsidRPr="000A1BEA" w:rsidRDefault="003854B7" w:rsidP="00F54DC2">
      <w:pPr>
        <w:spacing w:before="240" w:after="240"/>
      </w:pPr>
      <w:r w:rsidRPr="000A1BEA">
        <w:t>The data collected in the TCS is used in conjunction with other data in allocating the VCGLR’s costs of regulating gaming into three categories:</w:t>
      </w:r>
    </w:p>
    <w:p w:rsidR="003854B7" w:rsidRPr="000A1BEA" w:rsidRDefault="003854B7" w:rsidP="00E9392E">
      <w:pPr>
        <w:numPr>
          <w:ilvl w:val="0"/>
          <w:numId w:val="24"/>
        </w:numPr>
        <w:spacing w:before="240" w:after="240"/>
        <w:ind w:left="1276"/>
        <w:rPr>
          <w:szCs w:val="24"/>
        </w:rPr>
      </w:pPr>
      <w:r w:rsidRPr="000A1BEA">
        <w:rPr>
          <w:b/>
          <w:szCs w:val="24"/>
        </w:rPr>
        <w:t xml:space="preserve">Primary </w:t>
      </w:r>
      <w:r w:rsidR="00FF7C8D">
        <w:rPr>
          <w:b/>
          <w:szCs w:val="24"/>
        </w:rPr>
        <w:t>c</w:t>
      </w:r>
      <w:r w:rsidRPr="000A1BEA">
        <w:rPr>
          <w:b/>
          <w:szCs w:val="24"/>
        </w:rPr>
        <w:t>osts</w:t>
      </w:r>
      <w:r w:rsidR="002A6200">
        <w:rPr>
          <w:szCs w:val="24"/>
        </w:rPr>
        <w:t xml:space="preserve"> – </w:t>
      </w:r>
      <w:r w:rsidRPr="000A1BEA">
        <w:rPr>
          <w:szCs w:val="24"/>
        </w:rPr>
        <w:t xml:space="preserve">This measures VCGLR labour related costs and is calculated by taking the total staff hours entered into the TCS </w:t>
      </w:r>
      <w:r w:rsidRPr="000A1BEA">
        <w:rPr>
          <w:szCs w:val="24"/>
          <w:u w:val="single"/>
        </w:rPr>
        <w:t>only</w:t>
      </w:r>
      <w:r w:rsidRPr="000A1BEA">
        <w:rPr>
          <w:szCs w:val="24"/>
        </w:rPr>
        <w:t xml:space="preserve"> with respect to gaming related regulation, which is then used to calculate the equivalent salaries and related costs and other general expenses.</w:t>
      </w:r>
    </w:p>
    <w:p w:rsidR="003854B7" w:rsidRPr="000A1BEA" w:rsidRDefault="00FF7C8D" w:rsidP="00E9392E">
      <w:pPr>
        <w:numPr>
          <w:ilvl w:val="0"/>
          <w:numId w:val="24"/>
        </w:numPr>
        <w:spacing w:before="240" w:after="240"/>
        <w:ind w:left="1276"/>
        <w:rPr>
          <w:szCs w:val="24"/>
        </w:rPr>
      </w:pPr>
      <w:r>
        <w:rPr>
          <w:b/>
          <w:szCs w:val="24"/>
        </w:rPr>
        <w:t>Specific c</w:t>
      </w:r>
      <w:r w:rsidR="003854B7" w:rsidRPr="000A1BEA">
        <w:rPr>
          <w:b/>
          <w:szCs w:val="24"/>
        </w:rPr>
        <w:t xml:space="preserve">osts </w:t>
      </w:r>
      <w:r w:rsidR="003854B7" w:rsidRPr="000A1BEA">
        <w:rPr>
          <w:szCs w:val="24"/>
        </w:rPr>
        <w:t>– This measures VCGLR non-staff related costs directly incurred in regulating gaming such as travel and subsistence, professional services, vehicle rental and other operating costs.</w:t>
      </w:r>
    </w:p>
    <w:p w:rsidR="003854B7" w:rsidRPr="000A1BEA" w:rsidRDefault="00FF7C8D" w:rsidP="00E9392E">
      <w:pPr>
        <w:numPr>
          <w:ilvl w:val="0"/>
          <w:numId w:val="24"/>
        </w:numPr>
        <w:spacing w:before="240" w:after="240"/>
        <w:ind w:left="1276"/>
        <w:rPr>
          <w:szCs w:val="24"/>
        </w:rPr>
      </w:pPr>
      <w:r>
        <w:rPr>
          <w:b/>
          <w:szCs w:val="24"/>
        </w:rPr>
        <w:t>Secondary c</w:t>
      </w:r>
      <w:r w:rsidR="003854B7" w:rsidRPr="000A1BEA">
        <w:rPr>
          <w:b/>
          <w:szCs w:val="24"/>
        </w:rPr>
        <w:t xml:space="preserve">osts </w:t>
      </w:r>
      <w:r w:rsidR="003854B7" w:rsidRPr="000A1BEA">
        <w:rPr>
          <w:szCs w:val="24"/>
        </w:rPr>
        <w:t xml:space="preserve">– This measures VCGLR’s total indirect costs incurred in gambling regulation. It is calculated by estimating a </w:t>
      </w:r>
      <w:r w:rsidR="00187790">
        <w:rPr>
          <w:szCs w:val="24"/>
        </w:rPr>
        <w:t>“</w:t>
      </w:r>
      <w:r w:rsidR="003854B7" w:rsidRPr="000A1BEA">
        <w:rPr>
          <w:szCs w:val="24"/>
        </w:rPr>
        <w:t>gaming equivalent indirect cost amount</w:t>
      </w:r>
      <w:r w:rsidR="00187790">
        <w:rPr>
          <w:szCs w:val="24"/>
        </w:rPr>
        <w:t>”</w:t>
      </w:r>
      <w:r w:rsidR="003854B7" w:rsidRPr="000A1BEA">
        <w:rPr>
          <w:szCs w:val="24"/>
        </w:rPr>
        <w:t xml:space="preserve"> by using the ratio of staff related gaming regulation costs compared to staff related total gambling regulatory costs. Indirect costs include corporate and support units, finance, human resources, information and communication technology, legal services, corporate information management services, Office of the Chief Executive Officer, information and publications, and the Commission Secretariat and Registry.</w:t>
      </w:r>
    </w:p>
    <w:p w:rsidR="00826067" w:rsidRDefault="00826067" w:rsidP="00F54DC2">
      <w:pPr>
        <w:spacing w:before="240" w:after="240"/>
        <w:rPr>
          <w:szCs w:val="24"/>
        </w:rPr>
      </w:pPr>
      <w:r>
        <w:rPr>
          <w:szCs w:val="24"/>
        </w:rPr>
        <w:t>C</w:t>
      </w:r>
      <w:r w:rsidRPr="00826067">
        <w:rPr>
          <w:szCs w:val="24"/>
        </w:rPr>
        <w:t>apital cost</w:t>
      </w:r>
      <w:r>
        <w:rPr>
          <w:szCs w:val="24"/>
        </w:rPr>
        <w:t>s</w:t>
      </w:r>
      <w:r w:rsidRPr="00826067">
        <w:rPr>
          <w:szCs w:val="24"/>
        </w:rPr>
        <w:t xml:space="preserve"> </w:t>
      </w:r>
      <w:r>
        <w:rPr>
          <w:szCs w:val="24"/>
        </w:rPr>
        <w:t xml:space="preserve">are </w:t>
      </w:r>
      <w:r w:rsidRPr="00826067">
        <w:rPr>
          <w:szCs w:val="24"/>
        </w:rPr>
        <w:t xml:space="preserve">applied each year </w:t>
      </w:r>
      <w:r>
        <w:rPr>
          <w:szCs w:val="24"/>
        </w:rPr>
        <w:t xml:space="preserve">and </w:t>
      </w:r>
      <w:r w:rsidRPr="00826067">
        <w:rPr>
          <w:szCs w:val="24"/>
        </w:rPr>
        <w:t>are reflected in the depreciation amount for that year. This amount is included in the cost pool and is allocated across the regulatory activities.</w:t>
      </w:r>
    </w:p>
    <w:p w:rsidR="003854B7" w:rsidRPr="000A1BEA" w:rsidRDefault="003854B7" w:rsidP="00F54DC2">
      <w:pPr>
        <w:spacing w:before="240" w:after="240"/>
        <w:rPr>
          <w:szCs w:val="24"/>
        </w:rPr>
      </w:pPr>
      <w:r w:rsidRPr="000A1BEA">
        <w:rPr>
          <w:szCs w:val="24"/>
        </w:rPr>
        <w:t>In determining VCGLR’s total cost base for regulating gaming, the following costs are excluded as they are considered non-supervisory in nature and/or unrelated to gaming:</w:t>
      </w:r>
    </w:p>
    <w:p w:rsidR="003854B7" w:rsidRPr="000A1BEA" w:rsidRDefault="00FF7C8D" w:rsidP="003F7272">
      <w:pPr>
        <w:numPr>
          <w:ilvl w:val="0"/>
          <w:numId w:val="25"/>
        </w:numPr>
        <w:spacing w:before="240" w:after="240"/>
        <w:rPr>
          <w:szCs w:val="24"/>
        </w:rPr>
      </w:pPr>
      <w:r>
        <w:rPr>
          <w:szCs w:val="24"/>
        </w:rPr>
        <w:t>s</w:t>
      </w:r>
      <w:r w:rsidR="003854B7" w:rsidRPr="000A1BEA">
        <w:rPr>
          <w:szCs w:val="24"/>
        </w:rPr>
        <w:t>pecial projects or activities undertaken in the VCGLR. In previous years this has included the Gambling Licences Review Project, the Gambling Licences Transition Project, the relocation of the VCGLR to its current North Richmond office, transition and integration of liquor reg</w:t>
      </w:r>
      <w:r>
        <w:rPr>
          <w:szCs w:val="24"/>
        </w:rPr>
        <w:t>ulation within the organisation;</w:t>
      </w:r>
    </w:p>
    <w:p w:rsidR="003854B7" w:rsidRPr="000A1BEA" w:rsidRDefault="00FF7C8D" w:rsidP="003F7272">
      <w:pPr>
        <w:numPr>
          <w:ilvl w:val="0"/>
          <w:numId w:val="25"/>
        </w:numPr>
        <w:spacing w:before="240" w:after="240"/>
        <w:rPr>
          <w:szCs w:val="24"/>
        </w:rPr>
      </w:pPr>
      <w:r>
        <w:rPr>
          <w:szCs w:val="24"/>
        </w:rPr>
        <w:t>m</w:t>
      </w:r>
      <w:r w:rsidR="003854B7" w:rsidRPr="000A1BEA">
        <w:rPr>
          <w:szCs w:val="24"/>
        </w:rPr>
        <w:t>inor gaming, which includes activities (such as raffles, bingo, lucky envelopes etc) run by declared community and charitable organisat</w:t>
      </w:r>
      <w:r>
        <w:rPr>
          <w:szCs w:val="24"/>
        </w:rPr>
        <w:t>ions;</w:t>
      </w:r>
    </w:p>
    <w:p w:rsidR="003854B7" w:rsidRPr="000A1BEA" w:rsidRDefault="00FF7C8D" w:rsidP="000B6AD5">
      <w:pPr>
        <w:numPr>
          <w:ilvl w:val="0"/>
          <w:numId w:val="25"/>
        </w:numPr>
        <w:spacing w:before="240" w:after="240"/>
        <w:rPr>
          <w:szCs w:val="24"/>
        </w:rPr>
      </w:pPr>
      <w:r>
        <w:rPr>
          <w:szCs w:val="24"/>
        </w:rPr>
        <w:t>f</w:t>
      </w:r>
      <w:r w:rsidR="003854B7" w:rsidRPr="000A1BEA">
        <w:rPr>
          <w:szCs w:val="24"/>
        </w:rPr>
        <w:t xml:space="preserve">reedom of information (FOI) as activities in response to FOIs are undertaken </w:t>
      </w:r>
      <w:r w:rsidR="000B6AD5" w:rsidRPr="000B6AD5">
        <w:rPr>
          <w:szCs w:val="24"/>
        </w:rPr>
        <w:t xml:space="preserve">under the </w:t>
      </w:r>
      <w:r w:rsidR="003854B7" w:rsidRPr="000A1BEA">
        <w:rPr>
          <w:i/>
          <w:szCs w:val="24"/>
        </w:rPr>
        <w:t>Freedom of Information Act 1982</w:t>
      </w:r>
      <w:r>
        <w:rPr>
          <w:szCs w:val="24"/>
        </w:rPr>
        <w:t>;</w:t>
      </w:r>
    </w:p>
    <w:p w:rsidR="003854B7" w:rsidRPr="000A1BEA" w:rsidRDefault="00FF7C8D" w:rsidP="003F7272">
      <w:pPr>
        <w:numPr>
          <w:ilvl w:val="0"/>
          <w:numId w:val="25"/>
        </w:numPr>
        <w:spacing w:before="240" w:after="240"/>
        <w:rPr>
          <w:szCs w:val="24"/>
        </w:rPr>
      </w:pPr>
      <w:r>
        <w:rPr>
          <w:szCs w:val="24"/>
        </w:rPr>
        <w:t>liquor regulation activities; and</w:t>
      </w:r>
    </w:p>
    <w:p w:rsidR="003854B7" w:rsidRDefault="00FF7C8D" w:rsidP="003F7272">
      <w:pPr>
        <w:numPr>
          <w:ilvl w:val="0"/>
          <w:numId w:val="25"/>
        </w:numPr>
        <w:spacing w:before="240" w:after="240"/>
        <w:rPr>
          <w:szCs w:val="24"/>
        </w:rPr>
      </w:pPr>
      <w:r>
        <w:rPr>
          <w:szCs w:val="24"/>
        </w:rPr>
        <w:t>co</w:t>
      </w:r>
      <w:r w:rsidR="003854B7" w:rsidRPr="000A1BEA">
        <w:rPr>
          <w:szCs w:val="24"/>
        </w:rPr>
        <w:t xml:space="preserve">sts partially recovered from gaming related </w:t>
      </w:r>
      <w:r w:rsidR="003854B7" w:rsidRPr="000A1BEA">
        <w:rPr>
          <w:szCs w:val="24"/>
          <w:lang w:eastAsia="en-US"/>
        </w:rPr>
        <w:t>activity based licence fees to avoid double charging (as explained further in Chapter 2).</w:t>
      </w:r>
    </w:p>
    <w:p w:rsidR="000A1BEA" w:rsidRDefault="000A1BEA">
      <w:pPr>
        <w:spacing w:before="0" w:after="0"/>
        <w:ind w:left="0"/>
        <w:rPr>
          <w:szCs w:val="24"/>
          <w:lang w:eastAsia="en-US"/>
        </w:rPr>
      </w:pPr>
      <w:r>
        <w:rPr>
          <w:szCs w:val="24"/>
          <w:lang w:eastAsia="en-US"/>
        </w:rPr>
        <w:br w:type="page"/>
      </w:r>
    </w:p>
    <w:p w:rsidR="003854B7" w:rsidRPr="00670CBC" w:rsidRDefault="003854B7" w:rsidP="00670CBC">
      <w:pPr>
        <w:pStyle w:val="Heading2"/>
        <w:spacing w:before="600"/>
      </w:pPr>
      <w:bookmarkStart w:id="20" w:name="_Toc356830861"/>
      <w:r w:rsidRPr="00670CBC">
        <w:t>Estimating VCGLR’s costs in 2012-13</w:t>
      </w:r>
      <w:bookmarkEnd w:id="20"/>
    </w:p>
    <w:p w:rsidR="00D5476B" w:rsidRPr="000C3DED" w:rsidRDefault="00D5476B" w:rsidP="00D5476B">
      <w:pPr>
        <w:spacing w:before="240" w:after="240"/>
        <w:rPr>
          <w:lang w:eastAsia="en-US"/>
        </w:rPr>
      </w:pPr>
      <w:r w:rsidRPr="000C3DED">
        <w:rPr>
          <w:lang w:eastAsia="en-US"/>
        </w:rPr>
        <w:t>The table below lists the output</w:t>
      </w:r>
      <w:r>
        <w:rPr>
          <w:lang w:eastAsia="en-US"/>
        </w:rPr>
        <w:t xml:space="preserve"> activities </w:t>
      </w:r>
      <w:r w:rsidR="00187790">
        <w:rPr>
          <w:lang w:eastAsia="en-US"/>
        </w:rPr>
        <w:t>for which</w:t>
      </w:r>
      <w:r>
        <w:rPr>
          <w:lang w:eastAsia="en-US"/>
        </w:rPr>
        <w:t xml:space="preserve"> the</w:t>
      </w:r>
      <w:r w:rsidRPr="000C3DED">
        <w:rPr>
          <w:lang w:eastAsia="en-US"/>
        </w:rPr>
        <w:t xml:space="preserve"> VCGLR </w:t>
      </w:r>
      <w:r>
        <w:rPr>
          <w:lang w:eastAsia="en-US"/>
        </w:rPr>
        <w:t>incurs costs</w:t>
      </w:r>
      <w:r w:rsidRPr="000C3DED">
        <w:rPr>
          <w:lang w:eastAsia="en-US"/>
        </w:rPr>
        <w:t xml:space="preserve"> in relation to </w:t>
      </w:r>
      <w:r w:rsidR="00F13192">
        <w:rPr>
          <w:lang w:eastAsia="en-US"/>
        </w:rPr>
        <w:t>venue o</w:t>
      </w:r>
      <w:r w:rsidR="00472069">
        <w:rPr>
          <w:lang w:eastAsia="en-US"/>
        </w:rPr>
        <w:t>perator</w:t>
      </w:r>
      <w:r w:rsidR="00F13192">
        <w:rPr>
          <w:lang w:eastAsia="en-US"/>
        </w:rPr>
        <w:t xml:space="preserve"> l</w:t>
      </w:r>
      <w:r w:rsidRPr="000C3DED">
        <w:rPr>
          <w:lang w:eastAsia="en-US"/>
        </w:rPr>
        <w:t>icensees holding gaming machine entitlements and the gaming machine entitlement system more broadly</w:t>
      </w:r>
      <w:r w:rsidRPr="000C3DED">
        <w:rPr>
          <w:vertAlign w:val="superscript"/>
          <w:lang w:eastAsia="en-US"/>
        </w:rPr>
        <w:footnoteReference w:id="5"/>
      </w:r>
      <w:r w:rsidRPr="000C3DED">
        <w:rPr>
          <w:lang w:eastAsia="en-US"/>
        </w:rPr>
        <w:t>.</w:t>
      </w:r>
    </w:p>
    <w:p w:rsidR="00D5476B" w:rsidRPr="00906FFF" w:rsidRDefault="00D5476B" w:rsidP="00D5476B">
      <w:pPr>
        <w:pStyle w:val="Heading5"/>
      </w:pPr>
      <w:r w:rsidRPr="00906FFF">
        <w:t xml:space="preserve">Table </w:t>
      </w:r>
      <w:r>
        <w:t>4</w:t>
      </w:r>
      <w:r w:rsidRPr="00906FFF">
        <w:t xml:space="preserve">.1: List of VCGLR output activities relating to </w:t>
      </w:r>
      <w:r w:rsidR="00670CBC">
        <w:t xml:space="preserve">the </w:t>
      </w:r>
      <w:r w:rsidRPr="00906FFF">
        <w:t xml:space="preserve">gaming machine </w:t>
      </w:r>
      <w:r w:rsidR="00670CBC">
        <w:t>industry</w:t>
      </w:r>
    </w:p>
    <w:tbl>
      <w:tblPr>
        <w:tblW w:w="8505" w:type="dxa"/>
        <w:tblInd w:w="964" w:type="dxa"/>
        <w:tblBorders>
          <w:top w:val="single" w:sz="2" w:space="0" w:color="auto"/>
          <w:bottom w:val="single" w:sz="2" w:space="0" w:color="auto"/>
          <w:insideH w:val="single" w:sz="2" w:space="0" w:color="auto"/>
        </w:tblBorders>
        <w:tblCellMar>
          <w:left w:w="113" w:type="dxa"/>
          <w:right w:w="113" w:type="dxa"/>
        </w:tblCellMar>
        <w:tblLook w:val="00A0" w:firstRow="1" w:lastRow="0" w:firstColumn="1" w:lastColumn="0" w:noHBand="0" w:noVBand="0"/>
      </w:tblPr>
      <w:tblGrid>
        <w:gridCol w:w="8505"/>
      </w:tblGrid>
      <w:tr w:rsidR="00B45961" w:rsidTr="00B45961">
        <w:trPr>
          <w:cantSplit/>
          <w:tblHeader/>
        </w:trPr>
        <w:tc>
          <w:tcPr>
            <w:tcW w:w="8505" w:type="dxa"/>
            <w:tcBorders>
              <w:left w:val="nil"/>
              <w:right w:val="nil"/>
            </w:tcBorders>
            <w:shd w:val="clear" w:color="auto" w:fill="D9D9D9"/>
          </w:tcPr>
          <w:p w:rsidR="00B45961" w:rsidRDefault="00B45961" w:rsidP="00B45961">
            <w:pPr>
              <w:spacing w:before="60" w:after="60"/>
              <w:ind w:left="0"/>
              <w:rPr>
                <w:sz w:val="20"/>
                <w:szCs w:val="20"/>
                <w:lang w:eastAsia="en-US"/>
              </w:rPr>
            </w:pPr>
            <w:r>
              <w:rPr>
                <w:sz w:val="20"/>
                <w:szCs w:val="20"/>
                <w:lang w:eastAsia="en-US"/>
              </w:rPr>
              <w:t>Output Activity</w:t>
            </w:r>
          </w:p>
        </w:tc>
      </w:tr>
      <w:tr w:rsidR="00B45961" w:rsidTr="00B45961">
        <w:trPr>
          <w:cantSplit/>
        </w:trPr>
        <w:tc>
          <w:tcPr>
            <w:tcW w:w="8505" w:type="dxa"/>
          </w:tcPr>
          <w:p w:rsidR="00B45961" w:rsidRDefault="00B45961" w:rsidP="00B45961">
            <w:pPr>
              <w:spacing w:before="60" w:after="60"/>
              <w:ind w:left="0"/>
              <w:rPr>
                <w:b/>
                <w:sz w:val="20"/>
                <w:szCs w:val="20"/>
                <w:lang w:eastAsia="en-US"/>
              </w:rPr>
            </w:pPr>
            <w:r>
              <w:rPr>
                <w:b/>
                <w:sz w:val="20"/>
                <w:szCs w:val="20"/>
                <w:lang w:eastAsia="en-US"/>
              </w:rPr>
              <w:t>Venue operator licensees – Operating gaming machines</w:t>
            </w:r>
          </w:p>
        </w:tc>
      </w:tr>
      <w:tr w:rsidR="00B45961" w:rsidTr="00B45961">
        <w:trPr>
          <w:cantSplit/>
        </w:trPr>
        <w:tc>
          <w:tcPr>
            <w:tcW w:w="8505" w:type="dxa"/>
          </w:tcPr>
          <w:p w:rsidR="00B45961" w:rsidRPr="009A472F" w:rsidRDefault="00B45961" w:rsidP="00B45961">
            <w:pPr>
              <w:spacing w:before="60" w:after="60"/>
              <w:ind w:left="312"/>
              <w:rPr>
                <w:i/>
                <w:sz w:val="20"/>
                <w:szCs w:val="20"/>
                <w:lang w:eastAsia="en-US"/>
              </w:rPr>
            </w:pPr>
            <w:r>
              <w:rPr>
                <w:i/>
                <w:sz w:val="20"/>
                <w:szCs w:val="20"/>
                <w:lang w:eastAsia="en-US"/>
              </w:rPr>
              <w:t>Financial and g</w:t>
            </w:r>
            <w:r w:rsidRPr="009A472F">
              <w:rPr>
                <w:i/>
                <w:sz w:val="20"/>
                <w:szCs w:val="20"/>
                <w:lang w:eastAsia="en-US"/>
              </w:rPr>
              <w:t xml:space="preserve">eneral </w:t>
            </w:r>
            <w:r>
              <w:rPr>
                <w:i/>
                <w:sz w:val="20"/>
                <w:szCs w:val="20"/>
                <w:lang w:eastAsia="en-US"/>
              </w:rPr>
              <w:t>a</w:t>
            </w:r>
            <w:r w:rsidRPr="009A472F">
              <w:rPr>
                <w:i/>
                <w:sz w:val="20"/>
                <w:szCs w:val="20"/>
                <w:lang w:eastAsia="en-US"/>
              </w:rPr>
              <w:t xml:space="preserve">udits / </w:t>
            </w:r>
            <w:r>
              <w:rPr>
                <w:i/>
                <w:sz w:val="20"/>
                <w:szCs w:val="20"/>
                <w:lang w:eastAsia="en-US"/>
              </w:rPr>
              <w:t>a</w:t>
            </w:r>
            <w:r w:rsidRPr="009A472F">
              <w:rPr>
                <w:i/>
                <w:sz w:val="20"/>
                <w:szCs w:val="20"/>
                <w:lang w:eastAsia="en-US"/>
              </w:rPr>
              <w:t xml:space="preserve">ssessment of </w:t>
            </w:r>
            <w:r>
              <w:rPr>
                <w:i/>
                <w:sz w:val="20"/>
                <w:szCs w:val="20"/>
                <w:lang w:eastAsia="en-US"/>
              </w:rPr>
              <w:t>s</w:t>
            </w:r>
            <w:r w:rsidRPr="009A472F">
              <w:rPr>
                <w:i/>
                <w:sz w:val="20"/>
                <w:szCs w:val="20"/>
                <w:lang w:eastAsia="en-US"/>
              </w:rPr>
              <w:t xml:space="preserve">ystems </w:t>
            </w:r>
            <w:r>
              <w:rPr>
                <w:i/>
                <w:sz w:val="20"/>
                <w:szCs w:val="20"/>
                <w:lang w:eastAsia="en-US"/>
              </w:rPr>
              <w:t>and</w:t>
            </w:r>
            <w:r w:rsidRPr="009A472F">
              <w:rPr>
                <w:i/>
                <w:sz w:val="20"/>
                <w:szCs w:val="20"/>
                <w:lang w:eastAsia="en-US"/>
              </w:rPr>
              <w:t xml:space="preserve"> rules</w:t>
            </w:r>
          </w:p>
        </w:tc>
      </w:tr>
      <w:tr w:rsidR="00B45961" w:rsidTr="00B45961">
        <w:trPr>
          <w:cantSplit/>
        </w:trPr>
        <w:tc>
          <w:tcPr>
            <w:tcW w:w="8505" w:type="dxa"/>
          </w:tcPr>
          <w:p w:rsidR="00B45961" w:rsidRDefault="00B45961" w:rsidP="00B45961">
            <w:pPr>
              <w:numPr>
                <w:ilvl w:val="0"/>
                <w:numId w:val="50"/>
              </w:numPr>
              <w:tabs>
                <w:tab w:val="clear" w:pos="360"/>
                <w:tab w:val="num" w:pos="879"/>
              </w:tabs>
              <w:spacing w:before="60" w:after="60"/>
              <w:ind w:left="879"/>
              <w:rPr>
                <w:sz w:val="20"/>
                <w:szCs w:val="20"/>
                <w:lang w:eastAsia="en-US"/>
              </w:rPr>
            </w:pPr>
            <w:r>
              <w:rPr>
                <w:sz w:val="20"/>
                <w:szCs w:val="20"/>
                <w:lang w:eastAsia="en-US"/>
              </w:rPr>
              <w:t>Financial analysis, taxation and data reporting</w:t>
            </w:r>
          </w:p>
        </w:tc>
      </w:tr>
      <w:tr w:rsidR="00B45961" w:rsidTr="00B45961">
        <w:trPr>
          <w:cantSplit/>
        </w:trPr>
        <w:tc>
          <w:tcPr>
            <w:tcW w:w="8505" w:type="dxa"/>
          </w:tcPr>
          <w:p w:rsidR="00B45961" w:rsidRDefault="00B45961" w:rsidP="00B45961">
            <w:pPr>
              <w:numPr>
                <w:ilvl w:val="0"/>
                <w:numId w:val="50"/>
              </w:numPr>
              <w:tabs>
                <w:tab w:val="clear" w:pos="360"/>
                <w:tab w:val="num" w:pos="879"/>
              </w:tabs>
              <w:spacing w:before="60" w:after="60"/>
              <w:ind w:left="879"/>
              <w:rPr>
                <w:sz w:val="20"/>
                <w:szCs w:val="20"/>
                <w:lang w:eastAsia="en-US"/>
              </w:rPr>
            </w:pPr>
            <w:r>
              <w:rPr>
                <w:sz w:val="20"/>
                <w:szCs w:val="20"/>
                <w:lang w:eastAsia="en-US"/>
              </w:rPr>
              <w:t>Approval and testing of gaming machine games, software, hardware and jackpots</w:t>
            </w:r>
          </w:p>
        </w:tc>
      </w:tr>
      <w:tr w:rsidR="00B45961" w:rsidTr="00B45961">
        <w:trPr>
          <w:cantSplit/>
        </w:trPr>
        <w:tc>
          <w:tcPr>
            <w:tcW w:w="8505" w:type="dxa"/>
          </w:tcPr>
          <w:p w:rsidR="00B45961" w:rsidRDefault="00B45961" w:rsidP="00B45961">
            <w:pPr>
              <w:numPr>
                <w:ilvl w:val="0"/>
                <w:numId w:val="50"/>
              </w:numPr>
              <w:tabs>
                <w:tab w:val="clear" w:pos="360"/>
                <w:tab w:val="num" w:pos="879"/>
              </w:tabs>
              <w:spacing w:before="60" w:after="60"/>
              <w:ind w:left="879"/>
              <w:rPr>
                <w:sz w:val="20"/>
                <w:szCs w:val="20"/>
                <w:lang w:eastAsia="en-US"/>
              </w:rPr>
            </w:pPr>
            <w:r>
              <w:rPr>
                <w:sz w:val="20"/>
                <w:szCs w:val="20"/>
                <w:lang w:eastAsia="en-US"/>
              </w:rPr>
              <w:t>Application for linked jackpot arrangements</w:t>
            </w:r>
          </w:p>
        </w:tc>
      </w:tr>
      <w:tr w:rsidR="00B45961" w:rsidTr="00B45961">
        <w:trPr>
          <w:cantSplit/>
        </w:trPr>
        <w:tc>
          <w:tcPr>
            <w:tcW w:w="8505" w:type="dxa"/>
          </w:tcPr>
          <w:p w:rsidR="00B45961" w:rsidRPr="009A472F" w:rsidRDefault="00B45961" w:rsidP="00B45961">
            <w:pPr>
              <w:numPr>
                <w:ilvl w:val="0"/>
                <w:numId w:val="50"/>
              </w:numPr>
              <w:tabs>
                <w:tab w:val="clear" w:pos="360"/>
                <w:tab w:val="num" w:pos="879"/>
              </w:tabs>
              <w:spacing w:before="60" w:after="60"/>
              <w:ind w:left="879"/>
              <w:rPr>
                <w:sz w:val="20"/>
                <w:szCs w:val="20"/>
                <w:lang w:eastAsia="en-US"/>
              </w:rPr>
            </w:pPr>
            <w:r w:rsidRPr="009A472F">
              <w:rPr>
                <w:sz w:val="20"/>
                <w:szCs w:val="20"/>
                <w:lang w:eastAsia="en-US"/>
              </w:rPr>
              <w:t>Provide authority to possess gaming equipment by manufacturers and suppliers</w:t>
            </w:r>
          </w:p>
        </w:tc>
      </w:tr>
      <w:tr w:rsidR="00B45961" w:rsidTr="00B45961">
        <w:trPr>
          <w:cantSplit/>
        </w:trPr>
        <w:tc>
          <w:tcPr>
            <w:tcW w:w="8505" w:type="dxa"/>
          </w:tcPr>
          <w:p w:rsidR="00B45961" w:rsidRDefault="00B45961" w:rsidP="00B45961">
            <w:pPr>
              <w:numPr>
                <w:ilvl w:val="0"/>
                <w:numId w:val="50"/>
              </w:numPr>
              <w:tabs>
                <w:tab w:val="clear" w:pos="360"/>
                <w:tab w:val="num" w:pos="879"/>
              </w:tabs>
              <w:spacing w:before="60" w:after="60"/>
              <w:ind w:left="879"/>
              <w:rPr>
                <w:sz w:val="20"/>
                <w:szCs w:val="20"/>
                <w:lang w:eastAsia="en-US"/>
              </w:rPr>
            </w:pPr>
            <w:r>
              <w:rPr>
                <w:sz w:val="20"/>
                <w:szCs w:val="20"/>
                <w:lang w:eastAsia="en-US"/>
              </w:rPr>
              <w:t>Approval of Codes of Conduct</w:t>
            </w:r>
          </w:p>
        </w:tc>
      </w:tr>
      <w:tr w:rsidR="00B45961" w:rsidTr="00B45961">
        <w:trPr>
          <w:cantSplit/>
        </w:trPr>
        <w:tc>
          <w:tcPr>
            <w:tcW w:w="8505" w:type="dxa"/>
          </w:tcPr>
          <w:p w:rsidR="00B45961" w:rsidRDefault="00B45961" w:rsidP="00B45961">
            <w:pPr>
              <w:numPr>
                <w:ilvl w:val="0"/>
                <w:numId w:val="50"/>
              </w:numPr>
              <w:tabs>
                <w:tab w:val="clear" w:pos="360"/>
                <w:tab w:val="num" w:pos="879"/>
              </w:tabs>
              <w:spacing w:before="60" w:after="60"/>
              <w:ind w:left="879"/>
              <w:rPr>
                <w:sz w:val="20"/>
                <w:szCs w:val="20"/>
                <w:lang w:eastAsia="en-US"/>
              </w:rPr>
            </w:pPr>
            <w:r>
              <w:rPr>
                <w:sz w:val="20"/>
                <w:szCs w:val="20"/>
                <w:lang w:eastAsia="en-US"/>
              </w:rPr>
              <w:t>Approval of Self Exclusion Programs</w:t>
            </w:r>
          </w:p>
        </w:tc>
      </w:tr>
      <w:tr w:rsidR="00B45961" w:rsidTr="00B45961">
        <w:trPr>
          <w:cantSplit/>
        </w:trPr>
        <w:tc>
          <w:tcPr>
            <w:tcW w:w="8505" w:type="dxa"/>
          </w:tcPr>
          <w:p w:rsidR="00B45961" w:rsidRDefault="00B45961" w:rsidP="00B45961">
            <w:pPr>
              <w:numPr>
                <w:ilvl w:val="0"/>
                <w:numId w:val="50"/>
              </w:numPr>
              <w:tabs>
                <w:tab w:val="clear" w:pos="360"/>
                <w:tab w:val="num" w:pos="879"/>
              </w:tabs>
              <w:spacing w:before="60" w:after="60"/>
              <w:ind w:left="879"/>
              <w:rPr>
                <w:sz w:val="20"/>
                <w:szCs w:val="20"/>
                <w:lang w:eastAsia="en-US"/>
              </w:rPr>
            </w:pPr>
            <w:r w:rsidRPr="00A11E16">
              <w:rPr>
                <w:sz w:val="20"/>
                <w:szCs w:val="20"/>
              </w:rPr>
              <w:t>Approval of Responsible Service of Gaming training courses</w:t>
            </w:r>
          </w:p>
        </w:tc>
      </w:tr>
      <w:tr w:rsidR="00B45961" w:rsidTr="00B45961">
        <w:trPr>
          <w:cantSplit/>
        </w:trPr>
        <w:tc>
          <w:tcPr>
            <w:tcW w:w="8505" w:type="dxa"/>
          </w:tcPr>
          <w:p w:rsidR="00B45961" w:rsidRDefault="00B45961" w:rsidP="00B45961">
            <w:pPr>
              <w:numPr>
                <w:ilvl w:val="0"/>
                <w:numId w:val="50"/>
              </w:numPr>
              <w:tabs>
                <w:tab w:val="clear" w:pos="360"/>
                <w:tab w:val="num" w:pos="879"/>
              </w:tabs>
              <w:spacing w:before="60" w:after="60"/>
              <w:ind w:left="879"/>
              <w:rPr>
                <w:sz w:val="20"/>
                <w:szCs w:val="20"/>
                <w:lang w:eastAsia="en-US"/>
              </w:rPr>
            </w:pPr>
            <w:r>
              <w:rPr>
                <w:sz w:val="20"/>
                <w:szCs w:val="20"/>
                <w:lang w:eastAsia="en-US"/>
              </w:rPr>
              <w:t>Advice and education to venue operators</w:t>
            </w:r>
          </w:p>
        </w:tc>
      </w:tr>
      <w:tr w:rsidR="00B45961" w:rsidTr="00B45961">
        <w:trPr>
          <w:cantSplit/>
        </w:trPr>
        <w:tc>
          <w:tcPr>
            <w:tcW w:w="8505" w:type="dxa"/>
          </w:tcPr>
          <w:p w:rsidR="00B45961" w:rsidRDefault="00B45961" w:rsidP="00B45961">
            <w:pPr>
              <w:numPr>
                <w:ilvl w:val="0"/>
                <w:numId w:val="50"/>
              </w:numPr>
              <w:tabs>
                <w:tab w:val="clear" w:pos="360"/>
                <w:tab w:val="num" w:pos="879"/>
              </w:tabs>
              <w:spacing w:before="60" w:after="60"/>
              <w:ind w:left="879"/>
              <w:rPr>
                <w:sz w:val="20"/>
                <w:szCs w:val="20"/>
                <w:lang w:eastAsia="en-US"/>
              </w:rPr>
            </w:pPr>
            <w:r>
              <w:rPr>
                <w:sz w:val="20"/>
                <w:szCs w:val="20"/>
                <w:lang w:eastAsia="en-US"/>
              </w:rPr>
              <w:t>Legislation advice and development, and operational policy and legal advice</w:t>
            </w:r>
          </w:p>
        </w:tc>
      </w:tr>
      <w:tr w:rsidR="00B45961" w:rsidTr="00B45961">
        <w:trPr>
          <w:cantSplit/>
        </w:trPr>
        <w:tc>
          <w:tcPr>
            <w:tcW w:w="8505" w:type="dxa"/>
          </w:tcPr>
          <w:p w:rsidR="00B45961" w:rsidRDefault="00B45961" w:rsidP="00B45961">
            <w:pPr>
              <w:spacing w:before="60" w:after="60"/>
              <w:ind w:left="312"/>
              <w:rPr>
                <w:b/>
                <w:sz w:val="20"/>
                <w:szCs w:val="20"/>
                <w:u w:val="single"/>
                <w:lang w:eastAsia="en-US"/>
              </w:rPr>
            </w:pPr>
            <w:r w:rsidRPr="009A472F">
              <w:rPr>
                <w:i/>
                <w:sz w:val="20"/>
                <w:szCs w:val="20"/>
                <w:lang w:eastAsia="en-US"/>
              </w:rPr>
              <w:t>Investigations &amp; compliance</w:t>
            </w:r>
          </w:p>
        </w:tc>
      </w:tr>
      <w:tr w:rsidR="00B45961" w:rsidTr="00B45961">
        <w:trPr>
          <w:cantSplit/>
        </w:trPr>
        <w:tc>
          <w:tcPr>
            <w:tcW w:w="8505" w:type="dxa"/>
          </w:tcPr>
          <w:p w:rsidR="00B45961" w:rsidRDefault="00B45961" w:rsidP="00B45961">
            <w:pPr>
              <w:numPr>
                <w:ilvl w:val="0"/>
                <w:numId w:val="50"/>
              </w:numPr>
              <w:tabs>
                <w:tab w:val="clear" w:pos="360"/>
                <w:tab w:val="num" w:pos="879"/>
              </w:tabs>
              <w:spacing w:before="60" w:after="60"/>
              <w:ind w:left="879"/>
              <w:rPr>
                <w:sz w:val="20"/>
                <w:szCs w:val="20"/>
                <w:lang w:eastAsia="en-US"/>
              </w:rPr>
            </w:pPr>
            <w:r>
              <w:rPr>
                <w:sz w:val="20"/>
                <w:szCs w:val="20"/>
                <w:lang w:eastAsia="en-US"/>
              </w:rPr>
              <w:t>Compliance audits of venues</w:t>
            </w:r>
          </w:p>
        </w:tc>
      </w:tr>
      <w:tr w:rsidR="00B45961" w:rsidTr="00B45961">
        <w:trPr>
          <w:cantSplit/>
        </w:trPr>
        <w:tc>
          <w:tcPr>
            <w:tcW w:w="8505" w:type="dxa"/>
          </w:tcPr>
          <w:p w:rsidR="00B45961" w:rsidRDefault="00B45961" w:rsidP="00B45961">
            <w:pPr>
              <w:numPr>
                <w:ilvl w:val="0"/>
                <w:numId w:val="50"/>
              </w:numPr>
              <w:tabs>
                <w:tab w:val="clear" w:pos="360"/>
                <w:tab w:val="num" w:pos="879"/>
              </w:tabs>
              <w:spacing w:before="60" w:after="60"/>
              <w:ind w:left="879"/>
              <w:rPr>
                <w:sz w:val="20"/>
                <w:szCs w:val="20"/>
                <w:lang w:eastAsia="en-US"/>
              </w:rPr>
            </w:pPr>
            <w:r>
              <w:rPr>
                <w:sz w:val="20"/>
                <w:szCs w:val="20"/>
                <w:lang w:eastAsia="en-US"/>
              </w:rPr>
              <w:t>Complaints investigation</w:t>
            </w:r>
          </w:p>
        </w:tc>
      </w:tr>
      <w:tr w:rsidR="00B45961" w:rsidTr="00B45961">
        <w:trPr>
          <w:cantSplit/>
        </w:trPr>
        <w:tc>
          <w:tcPr>
            <w:tcW w:w="8505" w:type="dxa"/>
          </w:tcPr>
          <w:p w:rsidR="00B45961" w:rsidRDefault="00B45961" w:rsidP="00B45961">
            <w:pPr>
              <w:numPr>
                <w:ilvl w:val="0"/>
                <w:numId w:val="50"/>
              </w:numPr>
              <w:tabs>
                <w:tab w:val="clear" w:pos="360"/>
                <w:tab w:val="num" w:pos="879"/>
              </w:tabs>
              <w:spacing w:before="60" w:after="60"/>
              <w:ind w:left="879"/>
              <w:rPr>
                <w:sz w:val="20"/>
                <w:szCs w:val="20"/>
                <w:lang w:eastAsia="en-US"/>
              </w:rPr>
            </w:pPr>
            <w:r>
              <w:rPr>
                <w:sz w:val="20"/>
                <w:szCs w:val="20"/>
                <w:lang w:eastAsia="en-US"/>
              </w:rPr>
              <w:t>Probity investigations- including for licensing and for disciplinary actions</w:t>
            </w:r>
          </w:p>
        </w:tc>
      </w:tr>
      <w:tr w:rsidR="00B45961" w:rsidTr="00B45961">
        <w:trPr>
          <w:cantSplit/>
        </w:trPr>
        <w:tc>
          <w:tcPr>
            <w:tcW w:w="8505" w:type="dxa"/>
          </w:tcPr>
          <w:p w:rsidR="00B45961" w:rsidRDefault="00B45961" w:rsidP="00B45961">
            <w:pPr>
              <w:numPr>
                <w:ilvl w:val="0"/>
                <w:numId w:val="50"/>
              </w:numPr>
              <w:tabs>
                <w:tab w:val="clear" w:pos="360"/>
                <w:tab w:val="num" w:pos="879"/>
              </w:tabs>
              <w:spacing w:before="60" w:after="60"/>
              <w:ind w:left="879"/>
              <w:rPr>
                <w:sz w:val="20"/>
                <w:szCs w:val="20"/>
                <w:lang w:eastAsia="en-US"/>
              </w:rPr>
            </w:pPr>
            <w:r>
              <w:rPr>
                <w:sz w:val="20"/>
                <w:szCs w:val="20"/>
                <w:lang w:eastAsia="en-US"/>
              </w:rPr>
              <w:t>Advice and education to venue operators</w:t>
            </w:r>
          </w:p>
        </w:tc>
      </w:tr>
      <w:tr w:rsidR="00B45961" w:rsidTr="00B45961">
        <w:trPr>
          <w:cantSplit/>
        </w:trPr>
        <w:tc>
          <w:tcPr>
            <w:tcW w:w="8505" w:type="dxa"/>
          </w:tcPr>
          <w:p w:rsidR="00B45961" w:rsidRDefault="00B45961" w:rsidP="00B45961">
            <w:pPr>
              <w:numPr>
                <w:ilvl w:val="0"/>
                <w:numId w:val="50"/>
              </w:numPr>
              <w:tabs>
                <w:tab w:val="clear" w:pos="360"/>
                <w:tab w:val="num" w:pos="879"/>
              </w:tabs>
              <w:spacing w:before="60" w:after="60"/>
              <w:ind w:left="879"/>
              <w:rPr>
                <w:sz w:val="20"/>
                <w:szCs w:val="20"/>
                <w:lang w:eastAsia="en-US"/>
              </w:rPr>
            </w:pPr>
            <w:r>
              <w:rPr>
                <w:sz w:val="20"/>
                <w:szCs w:val="20"/>
                <w:lang w:eastAsia="en-US"/>
              </w:rPr>
              <w:t>Legislation advice and development, and operational policy and legal advice</w:t>
            </w:r>
          </w:p>
        </w:tc>
      </w:tr>
      <w:tr w:rsidR="00B45961" w:rsidTr="00B45961">
        <w:trPr>
          <w:cantSplit/>
        </w:trPr>
        <w:tc>
          <w:tcPr>
            <w:tcW w:w="8505" w:type="dxa"/>
          </w:tcPr>
          <w:p w:rsidR="00B45961" w:rsidRDefault="00B45961" w:rsidP="00B45961">
            <w:pPr>
              <w:spacing w:before="60" w:after="60"/>
              <w:ind w:left="312"/>
              <w:rPr>
                <w:b/>
                <w:sz w:val="20"/>
                <w:szCs w:val="20"/>
                <w:u w:val="single"/>
                <w:lang w:eastAsia="en-US"/>
              </w:rPr>
            </w:pPr>
            <w:r w:rsidRPr="009A472F">
              <w:rPr>
                <w:i/>
                <w:sz w:val="20"/>
                <w:szCs w:val="20"/>
                <w:lang w:eastAsia="en-US"/>
              </w:rPr>
              <w:t>Licensing &amp; associates monitoring</w:t>
            </w:r>
          </w:p>
        </w:tc>
      </w:tr>
      <w:tr w:rsidR="00B45961" w:rsidTr="00B45961">
        <w:trPr>
          <w:cantSplit/>
        </w:trPr>
        <w:tc>
          <w:tcPr>
            <w:tcW w:w="8505" w:type="dxa"/>
          </w:tcPr>
          <w:p w:rsidR="00B45961" w:rsidRDefault="00B45961" w:rsidP="00B45961">
            <w:pPr>
              <w:numPr>
                <w:ilvl w:val="0"/>
                <w:numId w:val="50"/>
              </w:numPr>
              <w:tabs>
                <w:tab w:val="clear" w:pos="360"/>
                <w:tab w:val="num" w:pos="879"/>
              </w:tabs>
              <w:spacing w:before="60" w:after="60"/>
              <w:ind w:left="879"/>
              <w:rPr>
                <w:sz w:val="20"/>
                <w:szCs w:val="20"/>
                <w:lang w:eastAsia="en-US"/>
              </w:rPr>
            </w:pPr>
            <w:r>
              <w:rPr>
                <w:sz w:val="20"/>
                <w:szCs w:val="20"/>
                <w:lang w:eastAsia="en-US"/>
              </w:rPr>
              <w:t xml:space="preserve">Applications for new or renewal of venue operator licence </w:t>
            </w:r>
          </w:p>
        </w:tc>
      </w:tr>
      <w:tr w:rsidR="00B45961" w:rsidTr="00B45961">
        <w:trPr>
          <w:cantSplit/>
        </w:trPr>
        <w:tc>
          <w:tcPr>
            <w:tcW w:w="8505" w:type="dxa"/>
          </w:tcPr>
          <w:p w:rsidR="00B45961" w:rsidRDefault="00B45961" w:rsidP="00B45961">
            <w:pPr>
              <w:numPr>
                <w:ilvl w:val="0"/>
                <w:numId w:val="50"/>
              </w:numPr>
              <w:tabs>
                <w:tab w:val="clear" w:pos="360"/>
                <w:tab w:val="num" w:pos="879"/>
              </w:tabs>
              <w:spacing w:before="60" w:after="60"/>
              <w:ind w:left="879"/>
              <w:rPr>
                <w:sz w:val="20"/>
                <w:szCs w:val="20"/>
                <w:lang w:eastAsia="en-US"/>
              </w:rPr>
            </w:pPr>
            <w:r>
              <w:rPr>
                <w:sz w:val="20"/>
                <w:szCs w:val="20"/>
                <w:lang w:eastAsia="en-US"/>
              </w:rPr>
              <w:t>Applications, to include or remove approved premises</w:t>
            </w:r>
          </w:p>
        </w:tc>
      </w:tr>
      <w:tr w:rsidR="00B45961" w:rsidTr="00B45961">
        <w:trPr>
          <w:cantSplit/>
        </w:trPr>
        <w:tc>
          <w:tcPr>
            <w:tcW w:w="8505" w:type="dxa"/>
          </w:tcPr>
          <w:p w:rsidR="00B45961" w:rsidRDefault="00B45961" w:rsidP="00B45961">
            <w:pPr>
              <w:numPr>
                <w:ilvl w:val="0"/>
                <w:numId w:val="50"/>
              </w:numPr>
              <w:tabs>
                <w:tab w:val="clear" w:pos="360"/>
                <w:tab w:val="num" w:pos="879"/>
              </w:tabs>
              <w:spacing w:before="60" w:after="60"/>
              <w:ind w:left="879"/>
              <w:rPr>
                <w:sz w:val="20"/>
                <w:szCs w:val="20"/>
                <w:lang w:eastAsia="en-US"/>
              </w:rPr>
            </w:pPr>
            <w:r>
              <w:rPr>
                <w:sz w:val="20"/>
                <w:szCs w:val="20"/>
                <w:lang w:eastAsia="en-US"/>
              </w:rPr>
              <w:t>Applications to vary number of gaming machines at a venue, which in the case of a proposed increase in gaming machines includes submission of an economic &amp; social impact assessment</w:t>
            </w:r>
          </w:p>
        </w:tc>
      </w:tr>
      <w:tr w:rsidR="00B45961" w:rsidTr="00B45961">
        <w:trPr>
          <w:cantSplit/>
        </w:trPr>
        <w:tc>
          <w:tcPr>
            <w:tcW w:w="8505" w:type="dxa"/>
          </w:tcPr>
          <w:p w:rsidR="00B45961" w:rsidRDefault="00B45961" w:rsidP="00B45961">
            <w:pPr>
              <w:numPr>
                <w:ilvl w:val="0"/>
                <w:numId w:val="50"/>
              </w:numPr>
              <w:tabs>
                <w:tab w:val="clear" w:pos="360"/>
                <w:tab w:val="num" w:pos="879"/>
              </w:tabs>
              <w:spacing w:before="60" w:after="60"/>
              <w:ind w:left="879"/>
              <w:rPr>
                <w:sz w:val="20"/>
                <w:szCs w:val="20"/>
                <w:lang w:eastAsia="en-US"/>
              </w:rPr>
            </w:pPr>
            <w:r>
              <w:rPr>
                <w:sz w:val="20"/>
                <w:szCs w:val="20"/>
                <w:lang w:eastAsia="en-US"/>
              </w:rPr>
              <w:t>Assessment/approval of new associates (including nominee) of a venue operator licence- individuals and entities</w:t>
            </w:r>
          </w:p>
        </w:tc>
      </w:tr>
      <w:tr w:rsidR="00B45961" w:rsidTr="00B45961">
        <w:trPr>
          <w:cantSplit/>
        </w:trPr>
        <w:tc>
          <w:tcPr>
            <w:tcW w:w="8505" w:type="dxa"/>
          </w:tcPr>
          <w:p w:rsidR="00B45961" w:rsidRDefault="00B45961" w:rsidP="00B45961">
            <w:pPr>
              <w:numPr>
                <w:ilvl w:val="0"/>
                <w:numId w:val="50"/>
              </w:numPr>
              <w:tabs>
                <w:tab w:val="clear" w:pos="360"/>
                <w:tab w:val="num" w:pos="879"/>
              </w:tabs>
              <w:spacing w:before="60" w:after="60"/>
              <w:ind w:left="879"/>
              <w:rPr>
                <w:sz w:val="20"/>
                <w:szCs w:val="20"/>
                <w:lang w:eastAsia="en-US"/>
              </w:rPr>
            </w:pPr>
            <w:r>
              <w:rPr>
                <w:sz w:val="20"/>
                <w:szCs w:val="20"/>
                <w:lang w:eastAsia="en-US"/>
              </w:rPr>
              <w:t>New premises approvals, premises modifications or removals</w:t>
            </w:r>
          </w:p>
        </w:tc>
      </w:tr>
      <w:tr w:rsidR="00B45961" w:rsidTr="00B45961">
        <w:trPr>
          <w:cantSplit/>
        </w:trPr>
        <w:tc>
          <w:tcPr>
            <w:tcW w:w="8505" w:type="dxa"/>
          </w:tcPr>
          <w:p w:rsidR="00B45961" w:rsidRDefault="00B45961" w:rsidP="00B45961">
            <w:pPr>
              <w:numPr>
                <w:ilvl w:val="0"/>
                <w:numId w:val="50"/>
              </w:numPr>
              <w:tabs>
                <w:tab w:val="clear" w:pos="360"/>
                <w:tab w:val="num" w:pos="879"/>
              </w:tabs>
              <w:spacing w:before="60" w:after="60"/>
              <w:ind w:left="879"/>
              <w:rPr>
                <w:sz w:val="20"/>
                <w:szCs w:val="20"/>
                <w:lang w:eastAsia="en-US"/>
              </w:rPr>
            </w:pPr>
            <w:r>
              <w:rPr>
                <w:sz w:val="20"/>
                <w:szCs w:val="20"/>
                <w:lang w:eastAsia="en-US"/>
              </w:rPr>
              <w:t>Licence applications for gaming industry employees</w:t>
            </w:r>
          </w:p>
        </w:tc>
      </w:tr>
      <w:tr w:rsidR="00B45961" w:rsidTr="00B45961">
        <w:trPr>
          <w:cantSplit/>
        </w:trPr>
        <w:tc>
          <w:tcPr>
            <w:tcW w:w="8505" w:type="dxa"/>
          </w:tcPr>
          <w:p w:rsidR="00B45961" w:rsidRDefault="00B45961" w:rsidP="00B45961">
            <w:pPr>
              <w:numPr>
                <w:ilvl w:val="0"/>
                <w:numId w:val="50"/>
              </w:numPr>
              <w:tabs>
                <w:tab w:val="clear" w:pos="360"/>
                <w:tab w:val="num" w:pos="879"/>
              </w:tabs>
              <w:spacing w:before="60" w:after="60"/>
              <w:ind w:left="879"/>
              <w:rPr>
                <w:sz w:val="20"/>
                <w:szCs w:val="20"/>
                <w:lang w:eastAsia="en-US"/>
              </w:rPr>
            </w:pPr>
            <w:r>
              <w:rPr>
                <w:sz w:val="20"/>
                <w:szCs w:val="20"/>
                <w:lang w:eastAsia="en-US"/>
              </w:rPr>
              <w:t>Disciplinary actions of venue operators licensees and gaming industry employees</w:t>
            </w:r>
          </w:p>
        </w:tc>
      </w:tr>
      <w:tr w:rsidR="00B45961" w:rsidTr="00B45961">
        <w:trPr>
          <w:cantSplit/>
        </w:trPr>
        <w:tc>
          <w:tcPr>
            <w:tcW w:w="8505" w:type="dxa"/>
          </w:tcPr>
          <w:p w:rsidR="00B45961" w:rsidRDefault="00B45961" w:rsidP="00B45961">
            <w:pPr>
              <w:numPr>
                <w:ilvl w:val="0"/>
                <w:numId w:val="50"/>
              </w:numPr>
              <w:tabs>
                <w:tab w:val="clear" w:pos="360"/>
                <w:tab w:val="num" w:pos="879"/>
              </w:tabs>
              <w:spacing w:before="60" w:after="60"/>
              <w:ind w:left="879"/>
              <w:rPr>
                <w:sz w:val="20"/>
                <w:szCs w:val="20"/>
                <w:lang w:eastAsia="en-US"/>
              </w:rPr>
            </w:pPr>
            <w:r>
              <w:rPr>
                <w:sz w:val="20"/>
                <w:szCs w:val="20"/>
                <w:lang w:eastAsia="en-US"/>
              </w:rPr>
              <w:t>Technical investigation  and compliance monitoring of gaming and other venue equipment</w:t>
            </w:r>
          </w:p>
        </w:tc>
      </w:tr>
      <w:tr w:rsidR="00B45961" w:rsidTr="00B45961">
        <w:trPr>
          <w:cantSplit/>
        </w:trPr>
        <w:tc>
          <w:tcPr>
            <w:tcW w:w="8505" w:type="dxa"/>
          </w:tcPr>
          <w:p w:rsidR="00B45961" w:rsidRDefault="00B45961" w:rsidP="00B45961">
            <w:pPr>
              <w:numPr>
                <w:ilvl w:val="0"/>
                <w:numId w:val="50"/>
              </w:numPr>
              <w:tabs>
                <w:tab w:val="clear" w:pos="360"/>
                <w:tab w:val="num" w:pos="879"/>
              </w:tabs>
              <w:spacing w:before="60" w:after="60"/>
              <w:ind w:left="879"/>
              <w:rPr>
                <w:sz w:val="20"/>
                <w:szCs w:val="20"/>
                <w:lang w:eastAsia="en-US"/>
              </w:rPr>
            </w:pPr>
            <w:r>
              <w:rPr>
                <w:sz w:val="20"/>
                <w:szCs w:val="20"/>
                <w:lang w:eastAsia="en-US"/>
              </w:rPr>
              <w:t>Conduct of public hearings; e.g. for venue operator licence applications or increase in gaming machines</w:t>
            </w:r>
          </w:p>
        </w:tc>
      </w:tr>
      <w:tr w:rsidR="00B45961" w:rsidTr="00B45961">
        <w:trPr>
          <w:cantSplit/>
        </w:trPr>
        <w:tc>
          <w:tcPr>
            <w:tcW w:w="8505" w:type="dxa"/>
          </w:tcPr>
          <w:p w:rsidR="00B45961" w:rsidRDefault="00B45961" w:rsidP="00B45961">
            <w:pPr>
              <w:numPr>
                <w:ilvl w:val="0"/>
                <w:numId w:val="50"/>
              </w:numPr>
              <w:tabs>
                <w:tab w:val="clear" w:pos="360"/>
                <w:tab w:val="num" w:pos="879"/>
              </w:tabs>
              <w:spacing w:before="60" w:after="60"/>
              <w:ind w:left="879"/>
              <w:rPr>
                <w:sz w:val="20"/>
                <w:szCs w:val="20"/>
                <w:lang w:eastAsia="en-US"/>
              </w:rPr>
            </w:pPr>
            <w:r>
              <w:rPr>
                <w:sz w:val="20"/>
                <w:szCs w:val="20"/>
                <w:lang w:eastAsia="en-US"/>
              </w:rPr>
              <w:t>Advice and education to venue operators</w:t>
            </w:r>
          </w:p>
        </w:tc>
      </w:tr>
      <w:tr w:rsidR="00B45961" w:rsidTr="00B45961">
        <w:trPr>
          <w:cantSplit/>
        </w:trPr>
        <w:tc>
          <w:tcPr>
            <w:tcW w:w="8505" w:type="dxa"/>
          </w:tcPr>
          <w:p w:rsidR="00B45961" w:rsidRDefault="00B45961" w:rsidP="00B45961">
            <w:pPr>
              <w:numPr>
                <w:ilvl w:val="0"/>
                <w:numId w:val="50"/>
              </w:numPr>
              <w:tabs>
                <w:tab w:val="clear" w:pos="360"/>
                <w:tab w:val="num" w:pos="879"/>
              </w:tabs>
              <w:spacing w:before="60" w:after="60"/>
              <w:ind w:left="879"/>
              <w:rPr>
                <w:sz w:val="20"/>
                <w:szCs w:val="20"/>
                <w:lang w:eastAsia="en-US"/>
              </w:rPr>
            </w:pPr>
            <w:r>
              <w:rPr>
                <w:sz w:val="20"/>
                <w:szCs w:val="20"/>
                <w:lang w:eastAsia="en-US"/>
              </w:rPr>
              <w:t>Legislation advice and development, and operational policy and legal advice</w:t>
            </w:r>
          </w:p>
        </w:tc>
      </w:tr>
      <w:tr w:rsidR="00B45961" w:rsidRPr="009A472F" w:rsidTr="00B45961">
        <w:trPr>
          <w:cantSplit/>
        </w:trPr>
        <w:tc>
          <w:tcPr>
            <w:tcW w:w="8505" w:type="dxa"/>
          </w:tcPr>
          <w:p w:rsidR="00B45961" w:rsidRPr="009A472F" w:rsidRDefault="00B45961" w:rsidP="00B45961">
            <w:pPr>
              <w:spacing w:before="60" w:after="60"/>
              <w:ind w:left="0"/>
              <w:rPr>
                <w:b/>
                <w:sz w:val="20"/>
                <w:szCs w:val="20"/>
                <w:lang w:eastAsia="en-US"/>
              </w:rPr>
            </w:pPr>
            <w:r w:rsidRPr="009A472F">
              <w:rPr>
                <w:b/>
                <w:sz w:val="20"/>
                <w:szCs w:val="20"/>
                <w:lang w:eastAsia="en-US"/>
              </w:rPr>
              <w:t>Gaming machine entitlements system</w:t>
            </w:r>
          </w:p>
        </w:tc>
      </w:tr>
      <w:tr w:rsidR="00B45961" w:rsidTr="00B45961">
        <w:trPr>
          <w:cantSplit/>
        </w:trPr>
        <w:tc>
          <w:tcPr>
            <w:tcW w:w="8505" w:type="dxa"/>
          </w:tcPr>
          <w:p w:rsidR="00B45961" w:rsidRDefault="00B45961" w:rsidP="00B45961">
            <w:pPr>
              <w:numPr>
                <w:ilvl w:val="0"/>
                <w:numId w:val="20"/>
              </w:numPr>
              <w:spacing w:before="60" w:after="60"/>
              <w:ind w:left="454"/>
              <w:rPr>
                <w:sz w:val="20"/>
                <w:szCs w:val="20"/>
                <w:lang w:eastAsia="en-US"/>
              </w:rPr>
            </w:pPr>
            <w:r>
              <w:rPr>
                <w:sz w:val="20"/>
                <w:szCs w:val="20"/>
                <w:lang w:eastAsia="en-US"/>
              </w:rPr>
              <w:t>Establishment and maintenance of the entitlements register and transfer market on VCGLR website</w:t>
            </w:r>
          </w:p>
        </w:tc>
      </w:tr>
      <w:tr w:rsidR="00B45961" w:rsidTr="00B45961">
        <w:trPr>
          <w:cantSplit/>
        </w:trPr>
        <w:tc>
          <w:tcPr>
            <w:tcW w:w="8505" w:type="dxa"/>
          </w:tcPr>
          <w:p w:rsidR="00B45961" w:rsidRDefault="00B45961" w:rsidP="00B45961">
            <w:pPr>
              <w:numPr>
                <w:ilvl w:val="0"/>
                <w:numId w:val="20"/>
              </w:numPr>
              <w:spacing w:before="60" w:after="60"/>
              <w:ind w:left="454"/>
              <w:rPr>
                <w:sz w:val="20"/>
                <w:szCs w:val="20"/>
                <w:lang w:eastAsia="en-US"/>
              </w:rPr>
            </w:pPr>
            <w:r>
              <w:rPr>
                <w:sz w:val="20"/>
                <w:szCs w:val="20"/>
                <w:lang w:eastAsia="en-US"/>
              </w:rPr>
              <w:t>Managing deferred entitlement premium payment arrangements</w:t>
            </w:r>
          </w:p>
        </w:tc>
      </w:tr>
      <w:tr w:rsidR="00B45961" w:rsidTr="00B45961">
        <w:trPr>
          <w:cantSplit/>
        </w:trPr>
        <w:tc>
          <w:tcPr>
            <w:tcW w:w="8505" w:type="dxa"/>
          </w:tcPr>
          <w:p w:rsidR="00B45961" w:rsidRDefault="00B45961" w:rsidP="00B45961">
            <w:pPr>
              <w:numPr>
                <w:ilvl w:val="0"/>
                <w:numId w:val="20"/>
              </w:numPr>
              <w:spacing w:before="60" w:after="60"/>
              <w:ind w:left="454"/>
              <w:rPr>
                <w:sz w:val="20"/>
                <w:szCs w:val="20"/>
                <w:lang w:eastAsia="en-US"/>
              </w:rPr>
            </w:pPr>
            <w:r>
              <w:rPr>
                <w:sz w:val="20"/>
                <w:szCs w:val="20"/>
                <w:lang w:eastAsia="en-US"/>
              </w:rPr>
              <w:t>Transfer of entitlement ownership and other instances where entitlements are attached or detached</w:t>
            </w:r>
          </w:p>
        </w:tc>
      </w:tr>
      <w:tr w:rsidR="00B45961" w:rsidTr="00B45961">
        <w:trPr>
          <w:cantSplit/>
        </w:trPr>
        <w:tc>
          <w:tcPr>
            <w:tcW w:w="8505" w:type="dxa"/>
          </w:tcPr>
          <w:p w:rsidR="00B45961" w:rsidRDefault="00B45961" w:rsidP="00B45961">
            <w:pPr>
              <w:numPr>
                <w:ilvl w:val="0"/>
                <w:numId w:val="20"/>
              </w:numPr>
              <w:spacing w:before="60" w:after="60"/>
              <w:ind w:left="454"/>
              <w:rPr>
                <w:sz w:val="20"/>
                <w:szCs w:val="20"/>
                <w:lang w:eastAsia="en-US"/>
              </w:rPr>
            </w:pPr>
            <w:r>
              <w:rPr>
                <w:sz w:val="20"/>
                <w:szCs w:val="20"/>
                <w:lang w:eastAsia="en-US"/>
              </w:rPr>
              <w:t>Amendments to gaming machine entitlement conditions</w:t>
            </w:r>
          </w:p>
        </w:tc>
      </w:tr>
      <w:tr w:rsidR="00B45961" w:rsidTr="00B45961">
        <w:trPr>
          <w:cantSplit/>
        </w:trPr>
        <w:tc>
          <w:tcPr>
            <w:tcW w:w="8505" w:type="dxa"/>
          </w:tcPr>
          <w:p w:rsidR="00B45961" w:rsidRDefault="00B45961" w:rsidP="00B45961">
            <w:pPr>
              <w:numPr>
                <w:ilvl w:val="0"/>
                <w:numId w:val="20"/>
              </w:numPr>
              <w:spacing w:before="60" w:after="60"/>
              <w:ind w:left="454"/>
              <w:rPr>
                <w:sz w:val="20"/>
                <w:szCs w:val="20"/>
                <w:lang w:eastAsia="en-US"/>
              </w:rPr>
            </w:pPr>
            <w:r>
              <w:rPr>
                <w:sz w:val="20"/>
                <w:szCs w:val="20"/>
                <w:lang w:eastAsia="en-US"/>
              </w:rPr>
              <w:t>Application of legislative requirements such as the 35 per cent ownership rule and the 6 month use it or lose it provision</w:t>
            </w:r>
          </w:p>
        </w:tc>
      </w:tr>
      <w:tr w:rsidR="00B45961" w:rsidTr="00B45961">
        <w:trPr>
          <w:cantSplit/>
        </w:trPr>
        <w:tc>
          <w:tcPr>
            <w:tcW w:w="8505" w:type="dxa"/>
          </w:tcPr>
          <w:p w:rsidR="00B45961" w:rsidRDefault="00B45961" w:rsidP="00B45961">
            <w:pPr>
              <w:numPr>
                <w:ilvl w:val="0"/>
                <w:numId w:val="20"/>
              </w:numPr>
              <w:spacing w:before="60" w:after="60"/>
              <w:ind w:left="454"/>
              <w:rPr>
                <w:sz w:val="20"/>
                <w:szCs w:val="20"/>
                <w:lang w:eastAsia="en-US"/>
              </w:rPr>
            </w:pPr>
            <w:r>
              <w:rPr>
                <w:sz w:val="20"/>
                <w:szCs w:val="20"/>
                <w:lang w:eastAsia="en-US"/>
              </w:rPr>
              <w:t>Advice and education to venue operators</w:t>
            </w:r>
          </w:p>
        </w:tc>
      </w:tr>
      <w:tr w:rsidR="00B45961" w:rsidTr="00B45961">
        <w:trPr>
          <w:cantSplit/>
        </w:trPr>
        <w:tc>
          <w:tcPr>
            <w:tcW w:w="8505" w:type="dxa"/>
          </w:tcPr>
          <w:p w:rsidR="00B45961" w:rsidRDefault="00B45961" w:rsidP="00B45961">
            <w:pPr>
              <w:numPr>
                <w:ilvl w:val="0"/>
                <w:numId w:val="20"/>
              </w:numPr>
              <w:spacing w:before="60" w:after="60"/>
              <w:ind w:left="454"/>
              <w:rPr>
                <w:sz w:val="20"/>
                <w:szCs w:val="20"/>
                <w:lang w:eastAsia="en-US"/>
              </w:rPr>
            </w:pPr>
            <w:r>
              <w:rPr>
                <w:sz w:val="20"/>
                <w:szCs w:val="20"/>
                <w:lang w:eastAsia="en-US"/>
              </w:rPr>
              <w:t>Legislation advice and development, and operational policy and legal advice</w:t>
            </w:r>
          </w:p>
        </w:tc>
      </w:tr>
    </w:tbl>
    <w:p w:rsidR="00D5476B" w:rsidRPr="00906FFF" w:rsidRDefault="00D5476B" w:rsidP="00D5476B">
      <w:pPr>
        <w:spacing w:before="120" w:after="0"/>
        <w:rPr>
          <w:i/>
          <w:sz w:val="18"/>
          <w:szCs w:val="18"/>
          <w:lang w:eastAsia="en-US"/>
        </w:rPr>
      </w:pPr>
      <w:r w:rsidRPr="00906FFF">
        <w:rPr>
          <w:i/>
          <w:sz w:val="18"/>
          <w:szCs w:val="18"/>
          <w:lang w:eastAsia="en-US"/>
        </w:rPr>
        <w:t xml:space="preserve">Source: </w:t>
      </w:r>
      <w:r w:rsidR="00C46DDC">
        <w:rPr>
          <w:i/>
          <w:sz w:val="18"/>
          <w:szCs w:val="18"/>
          <w:lang w:eastAsia="en-US"/>
        </w:rPr>
        <w:t>VCGLR</w:t>
      </w:r>
      <w:r w:rsidRPr="00906FFF">
        <w:rPr>
          <w:i/>
          <w:sz w:val="18"/>
          <w:szCs w:val="18"/>
          <w:lang w:eastAsia="en-US"/>
        </w:rPr>
        <w:t>.</w:t>
      </w:r>
    </w:p>
    <w:p w:rsidR="003854B7" w:rsidRPr="000A1BEA" w:rsidRDefault="003854B7" w:rsidP="00F738AD">
      <w:pPr>
        <w:spacing w:before="240" w:after="240"/>
        <w:rPr>
          <w:szCs w:val="24"/>
        </w:rPr>
      </w:pPr>
      <w:r w:rsidRPr="0037281D">
        <w:rPr>
          <w:szCs w:val="24"/>
        </w:rPr>
        <w:t>Table 4.</w:t>
      </w:r>
      <w:r w:rsidR="00D5476B" w:rsidRPr="0037281D">
        <w:rPr>
          <w:szCs w:val="24"/>
        </w:rPr>
        <w:t xml:space="preserve">2 </w:t>
      </w:r>
      <w:r w:rsidRPr="0037281D">
        <w:rPr>
          <w:szCs w:val="24"/>
        </w:rPr>
        <w:t xml:space="preserve">summarises the estimated cost to VCGLR of its gaming related regulatory activities at an aggregate level for 2012-13. </w:t>
      </w:r>
      <w:r w:rsidRPr="000A1BEA">
        <w:rPr>
          <w:szCs w:val="24"/>
        </w:rPr>
        <w:t xml:space="preserve">It is important to note that these are estimates of the VCGLR costs and provide an indication of what the total supervision charge for </w:t>
      </w:r>
      <w:r w:rsidR="00F13192">
        <w:rPr>
          <w:szCs w:val="24"/>
        </w:rPr>
        <w:t>venue o</w:t>
      </w:r>
      <w:r w:rsidR="00472069">
        <w:rPr>
          <w:szCs w:val="24"/>
        </w:rPr>
        <w:t>perator</w:t>
      </w:r>
      <w:r w:rsidRPr="000A1BEA">
        <w:rPr>
          <w:szCs w:val="24"/>
        </w:rPr>
        <w:t>s in 2012-13 may be. The final costs and applicable charge will be calculated and invoiced after the end of the 2012</w:t>
      </w:r>
      <w:r w:rsidRPr="000A1BEA">
        <w:rPr>
          <w:szCs w:val="24"/>
        </w:rPr>
        <w:noBreakHyphen/>
        <w:t xml:space="preserve">13 financial year. </w:t>
      </w:r>
    </w:p>
    <w:p w:rsidR="003854B7" w:rsidRPr="00F54DC2" w:rsidRDefault="003854B7" w:rsidP="00F54DC2">
      <w:pPr>
        <w:pStyle w:val="Heading5"/>
      </w:pPr>
      <w:r w:rsidRPr="00F54DC2">
        <w:t>Table 4.</w:t>
      </w:r>
      <w:r w:rsidR="00D5476B">
        <w:t>2</w:t>
      </w:r>
      <w:r w:rsidR="00D5476B" w:rsidRPr="00F54DC2">
        <w:t xml:space="preserve"> </w:t>
      </w:r>
      <w:r w:rsidRPr="00F54DC2">
        <w:t>– Estimated VCGLR Gaming Related Regulatory Costs in 2012-13*</w:t>
      </w:r>
    </w:p>
    <w:tbl>
      <w:tblPr>
        <w:tblW w:w="8420" w:type="dxa"/>
        <w:tblInd w:w="907" w:type="dxa"/>
        <w:tblBorders>
          <w:top w:val="single" w:sz="2" w:space="0" w:color="000000"/>
          <w:bottom w:val="single" w:sz="2" w:space="0" w:color="000000"/>
          <w:insideH w:val="single" w:sz="2" w:space="0" w:color="000000"/>
        </w:tblBorders>
        <w:tblCellMar>
          <w:left w:w="113" w:type="dxa"/>
          <w:right w:w="113" w:type="dxa"/>
        </w:tblCellMar>
        <w:tblLook w:val="04A0" w:firstRow="1" w:lastRow="0" w:firstColumn="1" w:lastColumn="0" w:noHBand="0" w:noVBand="1"/>
      </w:tblPr>
      <w:tblGrid>
        <w:gridCol w:w="3884"/>
        <w:gridCol w:w="1212"/>
        <w:gridCol w:w="1056"/>
        <w:gridCol w:w="1134"/>
        <w:gridCol w:w="1134"/>
      </w:tblGrid>
      <w:tr w:rsidR="000057D0" w:rsidRPr="000057D0" w:rsidTr="006E25E1">
        <w:trPr>
          <w:cantSplit/>
          <w:trHeight w:val="499"/>
        </w:trPr>
        <w:tc>
          <w:tcPr>
            <w:tcW w:w="3884" w:type="dxa"/>
            <w:tcBorders>
              <w:top w:val="single" w:sz="2" w:space="0" w:color="auto"/>
              <w:left w:val="nil"/>
              <w:bottom w:val="single" w:sz="2" w:space="0" w:color="auto"/>
              <w:right w:val="nil"/>
              <w:tl2br w:val="nil"/>
              <w:tr2bl w:val="nil"/>
            </w:tcBorders>
            <w:shd w:val="clear" w:color="auto" w:fill="D9D9D9"/>
            <w:vAlign w:val="center"/>
          </w:tcPr>
          <w:p w:rsidR="003854B7" w:rsidRPr="000057D0" w:rsidRDefault="003854B7" w:rsidP="003854B7">
            <w:pPr>
              <w:spacing w:before="40" w:after="40"/>
              <w:ind w:left="0"/>
              <w:rPr>
                <w:b/>
                <w:color w:val="404040" w:themeColor="text1" w:themeTint="BF"/>
                <w:sz w:val="20"/>
                <w:szCs w:val="20"/>
              </w:rPr>
            </w:pPr>
            <w:r w:rsidRPr="000057D0">
              <w:rPr>
                <w:b/>
                <w:color w:val="404040" w:themeColor="text1" w:themeTint="BF"/>
                <w:sz w:val="20"/>
                <w:szCs w:val="20"/>
              </w:rPr>
              <w:t>2012-13 ($'000s)</w:t>
            </w:r>
          </w:p>
        </w:tc>
        <w:tc>
          <w:tcPr>
            <w:tcW w:w="1212" w:type="dxa"/>
            <w:tcBorders>
              <w:top w:val="single" w:sz="2" w:space="0" w:color="auto"/>
              <w:left w:val="nil"/>
              <w:bottom w:val="single" w:sz="2" w:space="0" w:color="auto"/>
              <w:right w:val="nil"/>
              <w:tl2br w:val="nil"/>
              <w:tr2bl w:val="nil"/>
            </w:tcBorders>
            <w:shd w:val="clear" w:color="auto" w:fill="D9D9D9"/>
            <w:vAlign w:val="center"/>
          </w:tcPr>
          <w:p w:rsidR="003854B7" w:rsidRPr="000057D0" w:rsidRDefault="003854B7" w:rsidP="003854B7">
            <w:pPr>
              <w:spacing w:before="40" w:after="40"/>
              <w:ind w:left="0"/>
              <w:jc w:val="center"/>
              <w:rPr>
                <w:b/>
                <w:color w:val="404040" w:themeColor="text1" w:themeTint="BF"/>
                <w:sz w:val="20"/>
                <w:szCs w:val="20"/>
              </w:rPr>
            </w:pPr>
            <w:r w:rsidRPr="000057D0">
              <w:rPr>
                <w:b/>
                <w:color w:val="404040" w:themeColor="text1" w:themeTint="BF"/>
                <w:sz w:val="20"/>
                <w:szCs w:val="20"/>
              </w:rPr>
              <w:t>Primary Costs</w:t>
            </w:r>
          </w:p>
        </w:tc>
        <w:tc>
          <w:tcPr>
            <w:tcW w:w="1056" w:type="dxa"/>
            <w:tcBorders>
              <w:top w:val="single" w:sz="2" w:space="0" w:color="auto"/>
              <w:left w:val="nil"/>
              <w:bottom w:val="single" w:sz="2" w:space="0" w:color="auto"/>
              <w:right w:val="nil"/>
              <w:tl2br w:val="nil"/>
              <w:tr2bl w:val="nil"/>
            </w:tcBorders>
            <w:shd w:val="clear" w:color="auto" w:fill="D9D9D9"/>
            <w:vAlign w:val="center"/>
          </w:tcPr>
          <w:p w:rsidR="003854B7" w:rsidRPr="000057D0" w:rsidRDefault="003854B7" w:rsidP="003854B7">
            <w:pPr>
              <w:spacing w:before="40" w:after="40"/>
              <w:ind w:left="0"/>
              <w:jc w:val="center"/>
              <w:rPr>
                <w:b/>
                <w:color w:val="404040" w:themeColor="text1" w:themeTint="BF"/>
                <w:sz w:val="20"/>
                <w:szCs w:val="20"/>
              </w:rPr>
            </w:pPr>
            <w:r w:rsidRPr="000057D0">
              <w:rPr>
                <w:b/>
                <w:color w:val="404040" w:themeColor="text1" w:themeTint="BF"/>
                <w:sz w:val="20"/>
                <w:szCs w:val="20"/>
              </w:rPr>
              <w:t>Specific Costs</w:t>
            </w:r>
          </w:p>
        </w:tc>
        <w:tc>
          <w:tcPr>
            <w:tcW w:w="1134" w:type="dxa"/>
            <w:tcBorders>
              <w:top w:val="single" w:sz="2" w:space="0" w:color="auto"/>
              <w:left w:val="nil"/>
              <w:bottom w:val="single" w:sz="2" w:space="0" w:color="auto"/>
              <w:right w:val="nil"/>
              <w:tl2br w:val="nil"/>
              <w:tr2bl w:val="nil"/>
            </w:tcBorders>
            <w:shd w:val="clear" w:color="auto" w:fill="D9D9D9"/>
            <w:vAlign w:val="center"/>
          </w:tcPr>
          <w:p w:rsidR="003854B7" w:rsidRPr="000057D0" w:rsidRDefault="003854B7" w:rsidP="003854B7">
            <w:pPr>
              <w:spacing w:before="40" w:after="40"/>
              <w:ind w:left="0"/>
              <w:jc w:val="center"/>
              <w:rPr>
                <w:b/>
                <w:color w:val="404040" w:themeColor="text1" w:themeTint="BF"/>
                <w:sz w:val="20"/>
                <w:szCs w:val="20"/>
              </w:rPr>
            </w:pPr>
            <w:r w:rsidRPr="000057D0">
              <w:rPr>
                <w:b/>
                <w:color w:val="404040" w:themeColor="text1" w:themeTint="BF"/>
                <w:sz w:val="20"/>
                <w:szCs w:val="20"/>
              </w:rPr>
              <w:t>Secondary Costs</w:t>
            </w:r>
          </w:p>
        </w:tc>
        <w:tc>
          <w:tcPr>
            <w:tcW w:w="1134" w:type="dxa"/>
            <w:tcBorders>
              <w:top w:val="single" w:sz="2" w:space="0" w:color="auto"/>
              <w:left w:val="nil"/>
              <w:bottom w:val="single" w:sz="2" w:space="0" w:color="auto"/>
              <w:right w:val="nil"/>
              <w:tl2br w:val="nil"/>
              <w:tr2bl w:val="nil"/>
            </w:tcBorders>
            <w:shd w:val="clear" w:color="auto" w:fill="D9D9D9"/>
            <w:vAlign w:val="center"/>
          </w:tcPr>
          <w:p w:rsidR="003854B7" w:rsidRPr="000057D0" w:rsidRDefault="003854B7" w:rsidP="003854B7">
            <w:pPr>
              <w:spacing w:before="40" w:after="40"/>
              <w:ind w:left="0"/>
              <w:jc w:val="center"/>
              <w:rPr>
                <w:b/>
                <w:color w:val="404040" w:themeColor="text1" w:themeTint="BF"/>
                <w:sz w:val="20"/>
                <w:szCs w:val="20"/>
              </w:rPr>
            </w:pPr>
            <w:r w:rsidRPr="000057D0">
              <w:rPr>
                <w:b/>
                <w:color w:val="404040" w:themeColor="text1" w:themeTint="BF"/>
                <w:sz w:val="20"/>
                <w:szCs w:val="20"/>
              </w:rPr>
              <w:t>Total Costs</w:t>
            </w:r>
          </w:p>
        </w:tc>
      </w:tr>
      <w:tr w:rsidR="000057D0" w:rsidRPr="000057D0" w:rsidTr="006E25E1">
        <w:trPr>
          <w:cantSplit/>
        </w:trPr>
        <w:tc>
          <w:tcPr>
            <w:tcW w:w="3884" w:type="dxa"/>
            <w:shd w:val="clear" w:color="auto" w:fill="E6E6E6"/>
            <w:vAlign w:val="center"/>
          </w:tcPr>
          <w:p w:rsidR="003854B7" w:rsidRPr="000057D0" w:rsidRDefault="003854B7" w:rsidP="00456141">
            <w:pPr>
              <w:spacing w:before="40" w:after="40"/>
              <w:ind w:left="0"/>
              <w:rPr>
                <w:b/>
                <w:color w:val="404040" w:themeColor="text1" w:themeTint="BF"/>
                <w:sz w:val="20"/>
                <w:szCs w:val="20"/>
              </w:rPr>
            </w:pPr>
            <w:r w:rsidRPr="000057D0">
              <w:rPr>
                <w:b/>
                <w:color w:val="404040" w:themeColor="text1" w:themeTint="BF"/>
                <w:sz w:val="20"/>
                <w:szCs w:val="20"/>
              </w:rPr>
              <w:t xml:space="preserve">Regulating operating </w:t>
            </w:r>
            <w:r w:rsidR="00456141">
              <w:rPr>
                <w:b/>
                <w:color w:val="404040" w:themeColor="text1" w:themeTint="BF"/>
                <w:sz w:val="20"/>
                <w:szCs w:val="20"/>
              </w:rPr>
              <w:t>gaming machines</w:t>
            </w:r>
          </w:p>
        </w:tc>
        <w:tc>
          <w:tcPr>
            <w:tcW w:w="1212" w:type="dxa"/>
            <w:shd w:val="clear" w:color="auto" w:fill="auto"/>
          </w:tcPr>
          <w:p w:rsidR="003854B7" w:rsidRPr="000057D0" w:rsidRDefault="003854B7" w:rsidP="003854B7">
            <w:pPr>
              <w:spacing w:before="40" w:after="40"/>
              <w:ind w:left="0"/>
              <w:jc w:val="right"/>
              <w:rPr>
                <w:color w:val="404040" w:themeColor="text1" w:themeTint="BF"/>
                <w:sz w:val="20"/>
                <w:szCs w:val="20"/>
              </w:rPr>
            </w:pPr>
          </w:p>
        </w:tc>
        <w:tc>
          <w:tcPr>
            <w:tcW w:w="1056" w:type="dxa"/>
            <w:shd w:val="clear" w:color="auto" w:fill="auto"/>
          </w:tcPr>
          <w:p w:rsidR="003854B7" w:rsidRPr="000057D0" w:rsidRDefault="003854B7" w:rsidP="003854B7">
            <w:pPr>
              <w:spacing w:before="40" w:after="40"/>
              <w:ind w:left="0"/>
              <w:jc w:val="right"/>
              <w:rPr>
                <w:color w:val="404040" w:themeColor="text1" w:themeTint="BF"/>
                <w:sz w:val="20"/>
                <w:szCs w:val="20"/>
              </w:rPr>
            </w:pPr>
          </w:p>
        </w:tc>
        <w:tc>
          <w:tcPr>
            <w:tcW w:w="1134" w:type="dxa"/>
            <w:shd w:val="clear" w:color="auto" w:fill="auto"/>
          </w:tcPr>
          <w:p w:rsidR="003854B7" w:rsidRPr="000057D0" w:rsidRDefault="003854B7" w:rsidP="003854B7">
            <w:pPr>
              <w:spacing w:before="40" w:after="40"/>
              <w:ind w:left="0"/>
              <w:jc w:val="right"/>
              <w:rPr>
                <w:color w:val="404040" w:themeColor="text1" w:themeTint="BF"/>
                <w:sz w:val="20"/>
                <w:szCs w:val="20"/>
              </w:rPr>
            </w:pPr>
          </w:p>
        </w:tc>
        <w:tc>
          <w:tcPr>
            <w:tcW w:w="1134" w:type="dxa"/>
            <w:shd w:val="clear" w:color="auto" w:fill="auto"/>
          </w:tcPr>
          <w:p w:rsidR="003854B7" w:rsidRPr="000057D0" w:rsidRDefault="003854B7" w:rsidP="003854B7">
            <w:pPr>
              <w:spacing w:before="40" w:after="40"/>
              <w:ind w:left="0"/>
              <w:jc w:val="right"/>
              <w:rPr>
                <w:color w:val="404040" w:themeColor="text1" w:themeTint="BF"/>
                <w:sz w:val="20"/>
                <w:szCs w:val="20"/>
              </w:rPr>
            </w:pPr>
          </w:p>
        </w:tc>
      </w:tr>
      <w:tr w:rsidR="000057D0" w:rsidRPr="000057D0" w:rsidTr="006E25E1">
        <w:trPr>
          <w:cantSplit/>
        </w:trPr>
        <w:tc>
          <w:tcPr>
            <w:tcW w:w="3884" w:type="dxa"/>
            <w:shd w:val="clear" w:color="auto" w:fill="E6E6E6"/>
            <w:vAlign w:val="center"/>
          </w:tcPr>
          <w:p w:rsidR="003854B7" w:rsidRPr="00F738AD" w:rsidRDefault="003854B7" w:rsidP="003854B7">
            <w:pPr>
              <w:spacing w:before="40" w:after="40"/>
              <w:ind w:left="227"/>
              <w:rPr>
                <w:color w:val="404040" w:themeColor="text1" w:themeTint="BF"/>
                <w:sz w:val="20"/>
                <w:szCs w:val="20"/>
              </w:rPr>
            </w:pPr>
            <w:r w:rsidRPr="00F738AD">
              <w:rPr>
                <w:color w:val="404040" w:themeColor="text1" w:themeTint="BF"/>
                <w:sz w:val="20"/>
                <w:szCs w:val="20"/>
              </w:rPr>
              <w:t>F</w:t>
            </w:r>
            <w:r w:rsidR="00FF7C8D">
              <w:rPr>
                <w:color w:val="404040" w:themeColor="text1" w:themeTint="BF"/>
                <w:sz w:val="20"/>
                <w:szCs w:val="20"/>
              </w:rPr>
              <w:t>inancial and</w:t>
            </w:r>
            <w:r w:rsidRPr="00F738AD">
              <w:rPr>
                <w:color w:val="404040" w:themeColor="text1" w:themeTint="BF"/>
                <w:sz w:val="20"/>
                <w:szCs w:val="20"/>
              </w:rPr>
              <w:t xml:space="preserve"> general audits / Assessment of </w:t>
            </w:r>
            <w:r w:rsidR="006E25E1">
              <w:rPr>
                <w:color w:val="404040" w:themeColor="text1" w:themeTint="BF"/>
                <w:sz w:val="20"/>
                <w:szCs w:val="20"/>
              </w:rPr>
              <w:t xml:space="preserve">premises, </w:t>
            </w:r>
            <w:r w:rsidRPr="00F738AD">
              <w:rPr>
                <w:color w:val="404040" w:themeColor="text1" w:themeTint="BF"/>
                <w:sz w:val="20"/>
                <w:szCs w:val="20"/>
              </w:rPr>
              <w:t>systems &amp; rules</w:t>
            </w:r>
          </w:p>
        </w:tc>
        <w:tc>
          <w:tcPr>
            <w:tcW w:w="1212" w:type="dxa"/>
            <w:shd w:val="clear" w:color="auto" w:fill="auto"/>
            <w:vAlign w:val="center"/>
          </w:tcPr>
          <w:p w:rsidR="003854B7" w:rsidRPr="000057D0" w:rsidRDefault="003854B7" w:rsidP="003854B7">
            <w:pPr>
              <w:spacing w:before="40" w:after="40"/>
              <w:ind w:left="0"/>
              <w:jc w:val="right"/>
              <w:rPr>
                <w:color w:val="404040" w:themeColor="text1" w:themeTint="BF"/>
                <w:sz w:val="20"/>
                <w:szCs w:val="20"/>
              </w:rPr>
            </w:pPr>
            <w:r w:rsidRPr="000057D0">
              <w:rPr>
                <w:color w:val="404040" w:themeColor="text1" w:themeTint="BF"/>
                <w:sz w:val="20"/>
                <w:szCs w:val="20"/>
              </w:rPr>
              <w:t>243.0</w:t>
            </w:r>
          </w:p>
        </w:tc>
        <w:tc>
          <w:tcPr>
            <w:tcW w:w="1056" w:type="dxa"/>
            <w:shd w:val="clear" w:color="auto" w:fill="auto"/>
            <w:vAlign w:val="center"/>
          </w:tcPr>
          <w:p w:rsidR="003854B7" w:rsidRPr="000057D0" w:rsidRDefault="003854B7" w:rsidP="003854B7">
            <w:pPr>
              <w:spacing w:before="40" w:after="40"/>
              <w:ind w:left="0"/>
              <w:jc w:val="right"/>
              <w:rPr>
                <w:color w:val="404040" w:themeColor="text1" w:themeTint="BF"/>
                <w:sz w:val="20"/>
                <w:szCs w:val="20"/>
              </w:rPr>
            </w:pPr>
            <w:r w:rsidRPr="000057D0">
              <w:rPr>
                <w:color w:val="404040" w:themeColor="text1" w:themeTint="BF"/>
                <w:sz w:val="20"/>
                <w:szCs w:val="20"/>
              </w:rPr>
              <w:t>0.0</w:t>
            </w:r>
          </w:p>
        </w:tc>
        <w:tc>
          <w:tcPr>
            <w:tcW w:w="1134" w:type="dxa"/>
            <w:shd w:val="clear" w:color="auto" w:fill="auto"/>
            <w:vAlign w:val="center"/>
          </w:tcPr>
          <w:p w:rsidR="003854B7" w:rsidRPr="000057D0" w:rsidRDefault="003854B7" w:rsidP="003854B7">
            <w:pPr>
              <w:spacing w:before="40" w:after="40"/>
              <w:ind w:left="0"/>
              <w:jc w:val="right"/>
              <w:rPr>
                <w:color w:val="404040" w:themeColor="text1" w:themeTint="BF"/>
                <w:sz w:val="20"/>
                <w:szCs w:val="20"/>
              </w:rPr>
            </w:pPr>
            <w:r w:rsidRPr="000057D0">
              <w:rPr>
                <w:color w:val="404040" w:themeColor="text1" w:themeTint="BF"/>
                <w:sz w:val="20"/>
                <w:szCs w:val="20"/>
              </w:rPr>
              <w:t>112.3</w:t>
            </w:r>
          </w:p>
        </w:tc>
        <w:tc>
          <w:tcPr>
            <w:tcW w:w="1134" w:type="dxa"/>
            <w:shd w:val="clear" w:color="auto" w:fill="auto"/>
            <w:vAlign w:val="center"/>
          </w:tcPr>
          <w:p w:rsidR="003854B7" w:rsidRPr="000057D0" w:rsidRDefault="003854B7" w:rsidP="003854B7">
            <w:pPr>
              <w:spacing w:before="40" w:after="40"/>
              <w:ind w:left="0"/>
              <w:jc w:val="right"/>
              <w:rPr>
                <w:color w:val="404040" w:themeColor="text1" w:themeTint="BF"/>
                <w:sz w:val="20"/>
                <w:szCs w:val="20"/>
              </w:rPr>
            </w:pPr>
            <w:r w:rsidRPr="000057D0">
              <w:rPr>
                <w:color w:val="404040" w:themeColor="text1" w:themeTint="BF"/>
                <w:sz w:val="20"/>
                <w:szCs w:val="20"/>
              </w:rPr>
              <w:t>355.3</w:t>
            </w:r>
          </w:p>
        </w:tc>
      </w:tr>
      <w:tr w:rsidR="000057D0" w:rsidRPr="000057D0" w:rsidTr="006E25E1">
        <w:trPr>
          <w:cantSplit/>
        </w:trPr>
        <w:tc>
          <w:tcPr>
            <w:tcW w:w="3884" w:type="dxa"/>
            <w:shd w:val="clear" w:color="auto" w:fill="E6E6E6"/>
            <w:vAlign w:val="center"/>
          </w:tcPr>
          <w:p w:rsidR="003854B7" w:rsidRPr="00F738AD" w:rsidRDefault="00FF7C8D" w:rsidP="003854B7">
            <w:pPr>
              <w:spacing w:before="40" w:after="40"/>
              <w:ind w:left="227"/>
              <w:rPr>
                <w:color w:val="404040" w:themeColor="text1" w:themeTint="BF"/>
                <w:sz w:val="20"/>
                <w:szCs w:val="20"/>
              </w:rPr>
            </w:pPr>
            <w:r>
              <w:rPr>
                <w:color w:val="404040" w:themeColor="text1" w:themeTint="BF"/>
                <w:sz w:val="20"/>
                <w:szCs w:val="20"/>
              </w:rPr>
              <w:t xml:space="preserve">Investigation and </w:t>
            </w:r>
            <w:r w:rsidR="003854B7" w:rsidRPr="00F738AD">
              <w:rPr>
                <w:color w:val="404040" w:themeColor="text1" w:themeTint="BF"/>
                <w:sz w:val="20"/>
                <w:szCs w:val="20"/>
              </w:rPr>
              <w:t>compliance</w:t>
            </w:r>
          </w:p>
        </w:tc>
        <w:tc>
          <w:tcPr>
            <w:tcW w:w="1212" w:type="dxa"/>
            <w:shd w:val="clear" w:color="auto" w:fill="auto"/>
            <w:vAlign w:val="center"/>
          </w:tcPr>
          <w:p w:rsidR="003854B7" w:rsidRPr="000057D0" w:rsidRDefault="003854B7" w:rsidP="003854B7">
            <w:pPr>
              <w:spacing w:before="40" w:after="40"/>
              <w:ind w:left="0"/>
              <w:jc w:val="right"/>
              <w:rPr>
                <w:color w:val="404040" w:themeColor="text1" w:themeTint="BF"/>
                <w:sz w:val="20"/>
                <w:szCs w:val="20"/>
              </w:rPr>
            </w:pPr>
            <w:r w:rsidRPr="000057D0">
              <w:rPr>
                <w:color w:val="404040" w:themeColor="text1" w:themeTint="BF"/>
                <w:sz w:val="20"/>
                <w:szCs w:val="20"/>
              </w:rPr>
              <w:t>695.8</w:t>
            </w:r>
          </w:p>
        </w:tc>
        <w:tc>
          <w:tcPr>
            <w:tcW w:w="1056" w:type="dxa"/>
            <w:shd w:val="clear" w:color="auto" w:fill="auto"/>
            <w:vAlign w:val="center"/>
          </w:tcPr>
          <w:p w:rsidR="003854B7" w:rsidRPr="000057D0" w:rsidRDefault="003854B7" w:rsidP="003854B7">
            <w:pPr>
              <w:spacing w:before="40" w:after="40"/>
              <w:ind w:left="0"/>
              <w:jc w:val="right"/>
              <w:rPr>
                <w:color w:val="404040" w:themeColor="text1" w:themeTint="BF"/>
                <w:sz w:val="20"/>
                <w:szCs w:val="20"/>
              </w:rPr>
            </w:pPr>
            <w:r w:rsidRPr="000057D0">
              <w:rPr>
                <w:color w:val="404040" w:themeColor="text1" w:themeTint="BF"/>
                <w:sz w:val="20"/>
                <w:szCs w:val="20"/>
              </w:rPr>
              <w:t>48.2</w:t>
            </w:r>
          </w:p>
        </w:tc>
        <w:tc>
          <w:tcPr>
            <w:tcW w:w="1134" w:type="dxa"/>
            <w:shd w:val="clear" w:color="auto" w:fill="auto"/>
            <w:vAlign w:val="center"/>
          </w:tcPr>
          <w:p w:rsidR="003854B7" w:rsidRPr="000057D0" w:rsidRDefault="003854B7" w:rsidP="003854B7">
            <w:pPr>
              <w:spacing w:before="40" w:after="40"/>
              <w:ind w:left="0"/>
              <w:jc w:val="right"/>
              <w:rPr>
                <w:color w:val="404040" w:themeColor="text1" w:themeTint="BF"/>
                <w:sz w:val="20"/>
                <w:szCs w:val="20"/>
              </w:rPr>
            </w:pPr>
            <w:r w:rsidRPr="000057D0">
              <w:rPr>
                <w:color w:val="404040" w:themeColor="text1" w:themeTint="BF"/>
                <w:sz w:val="20"/>
                <w:szCs w:val="20"/>
              </w:rPr>
              <w:t>409.2</w:t>
            </w:r>
          </w:p>
        </w:tc>
        <w:tc>
          <w:tcPr>
            <w:tcW w:w="1134" w:type="dxa"/>
            <w:shd w:val="clear" w:color="auto" w:fill="auto"/>
            <w:vAlign w:val="center"/>
          </w:tcPr>
          <w:p w:rsidR="003854B7" w:rsidRPr="000057D0" w:rsidRDefault="00FF7C8D" w:rsidP="003854B7">
            <w:pPr>
              <w:spacing w:before="40" w:after="40"/>
              <w:ind w:left="0"/>
              <w:jc w:val="right"/>
              <w:rPr>
                <w:color w:val="404040" w:themeColor="text1" w:themeTint="BF"/>
                <w:sz w:val="20"/>
                <w:szCs w:val="20"/>
              </w:rPr>
            </w:pPr>
            <w:r>
              <w:rPr>
                <w:color w:val="404040" w:themeColor="text1" w:themeTint="BF"/>
                <w:sz w:val="20"/>
                <w:szCs w:val="20"/>
              </w:rPr>
              <w:t>1 </w:t>
            </w:r>
            <w:r w:rsidR="003854B7" w:rsidRPr="000057D0">
              <w:rPr>
                <w:color w:val="404040" w:themeColor="text1" w:themeTint="BF"/>
                <w:sz w:val="20"/>
                <w:szCs w:val="20"/>
              </w:rPr>
              <w:t>153.2</w:t>
            </w:r>
          </w:p>
        </w:tc>
      </w:tr>
      <w:tr w:rsidR="000057D0" w:rsidRPr="000057D0" w:rsidTr="006E25E1">
        <w:trPr>
          <w:cantSplit/>
        </w:trPr>
        <w:tc>
          <w:tcPr>
            <w:tcW w:w="3884" w:type="dxa"/>
            <w:shd w:val="clear" w:color="auto" w:fill="E6E6E6"/>
            <w:vAlign w:val="center"/>
          </w:tcPr>
          <w:p w:rsidR="003854B7" w:rsidRPr="00F738AD" w:rsidRDefault="00701CC4" w:rsidP="00701CC4">
            <w:pPr>
              <w:spacing w:before="40" w:after="40"/>
              <w:ind w:left="227"/>
              <w:rPr>
                <w:color w:val="404040" w:themeColor="text1" w:themeTint="BF"/>
                <w:sz w:val="20"/>
                <w:szCs w:val="20"/>
              </w:rPr>
            </w:pPr>
            <w:r>
              <w:rPr>
                <w:color w:val="404040" w:themeColor="text1" w:themeTint="BF"/>
                <w:sz w:val="20"/>
                <w:szCs w:val="20"/>
              </w:rPr>
              <w:t>Approving and monitoring the l</w:t>
            </w:r>
            <w:r w:rsidR="003854B7" w:rsidRPr="00F738AD">
              <w:rPr>
                <w:color w:val="404040" w:themeColor="text1" w:themeTint="BF"/>
                <w:sz w:val="20"/>
                <w:szCs w:val="20"/>
              </w:rPr>
              <w:t xml:space="preserve">icensing </w:t>
            </w:r>
            <w:r w:rsidR="00F13192">
              <w:rPr>
                <w:color w:val="404040" w:themeColor="text1" w:themeTint="BF"/>
                <w:sz w:val="20"/>
                <w:szCs w:val="20"/>
              </w:rPr>
              <w:t>of venue o</w:t>
            </w:r>
            <w:r w:rsidR="00FF7C8D">
              <w:rPr>
                <w:color w:val="404040" w:themeColor="text1" w:themeTint="BF"/>
                <w:sz w:val="20"/>
                <w:szCs w:val="20"/>
              </w:rPr>
              <w:t>perators and</w:t>
            </w:r>
            <w:r w:rsidR="003854B7" w:rsidRPr="00F738AD">
              <w:rPr>
                <w:color w:val="404040" w:themeColor="text1" w:themeTint="BF"/>
                <w:sz w:val="20"/>
                <w:szCs w:val="20"/>
              </w:rPr>
              <w:t xml:space="preserve"> </w:t>
            </w:r>
            <w:r w:rsidR="00F13192">
              <w:rPr>
                <w:color w:val="404040" w:themeColor="text1" w:themeTint="BF"/>
                <w:sz w:val="20"/>
                <w:szCs w:val="20"/>
              </w:rPr>
              <w:t>a</w:t>
            </w:r>
            <w:r w:rsidRPr="00F738AD">
              <w:rPr>
                <w:color w:val="404040" w:themeColor="text1" w:themeTint="BF"/>
                <w:sz w:val="20"/>
                <w:szCs w:val="20"/>
              </w:rPr>
              <w:t xml:space="preserve">ssociates </w:t>
            </w:r>
          </w:p>
        </w:tc>
        <w:tc>
          <w:tcPr>
            <w:tcW w:w="1212" w:type="dxa"/>
            <w:shd w:val="clear" w:color="auto" w:fill="auto"/>
            <w:vAlign w:val="center"/>
          </w:tcPr>
          <w:p w:rsidR="003854B7" w:rsidRPr="000057D0" w:rsidRDefault="00FF7C8D" w:rsidP="003854B7">
            <w:pPr>
              <w:spacing w:before="40" w:after="40"/>
              <w:ind w:left="0"/>
              <w:jc w:val="right"/>
              <w:rPr>
                <w:color w:val="404040" w:themeColor="text1" w:themeTint="BF"/>
                <w:sz w:val="20"/>
                <w:szCs w:val="20"/>
              </w:rPr>
            </w:pPr>
            <w:r>
              <w:rPr>
                <w:color w:val="404040" w:themeColor="text1" w:themeTint="BF"/>
                <w:sz w:val="20"/>
                <w:szCs w:val="20"/>
              </w:rPr>
              <w:t>2 </w:t>
            </w:r>
            <w:r w:rsidR="003854B7" w:rsidRPr="000057D0">
              <w:rPr>
                <w:color w:val="404040" w:themeColor="text1" w:themeTint="BF"/>
                <w:sz w:val="20"/>
                <w:szCs w:val="20"/>
              </w:rPr>
              <w:t>602.0</w:t>
            </w:r>
          </w:p>
        </w:tc>
        <w:tc>
          <w:tcPr>
            <w:tcW w:w="1056" w:type="dxa"/>
            <w:shd w:val="clear" w:color="auto" w:fill="auto"/>
            <w:vAlign w:val="center"/>
          </w:tcPr>
          <w:p w:rsidR="003854B7" w:rsidRPr="000057D0" w:rsidRDefault="003854B7" w:rsidP="003854B7">
            <w:pPr>
              <w:spacing w:before="40" w:after="40"/>
              <w:ind w:left="0"/>
              <w:jc w:val="right"/>
              <w:rPr>
                <w:color w:val="404040" w:themeColor="text1" w:themeTint="BF"/>
                <w:sz w:val="20"/>
                <w:szCs w:val="20"/>
              </w:rPr>
            </w:pPr>
            <w:r w:rsidRPr="000057D0">
              <w:rPr>
                <w:color w:val="404040" w:themeColor="text1" w:themeTint="BF"/>
                <w:sz w:val="20"/>
                <w:szCs w:val="20"/>
              </w:rPr>
              <w:t>8.2</w:t>
            </w:r>
          </w:p>
        </w:tc>
        <w:tc>
          <w:tcPr>
            <w:tcW w:w="1134" w:type="dxa"/>
            <w:shd w:val="clear" w:color="auto" w:fill="auto"/>
            <w:vAlign w:val="center"/>
          </w:tcPr>
          <w:p w:rsidR="003854B7" w:rsidRPr="000057D0" w:rsidRDefault="00FF7C8D" w:rsidP="003854B7">
            <w:pPr>
              <w:spacing w:before="40" w:after="40"/>
              <w:ind w:left="0"/>
              <w:jc w:val="right"/>
              <w:rPr>
                <w:color w:val="404040" w:themeColor="text1" w:themeTint="BF"/>
                <w:sz w:val="20"/>
                <w:szCs w:val="20"/>
              </w:rPr>
            </w:pPr>
            <w:r>
              <w:rPr>
                <w:color w:val="404040" w:themeColor="text1" w:themeTint="BF"/>
                <w:sz w:val="20"/>
                <w:szCs w:val="20"/>
              </w:rPr>
              <w:t>1 </w:t>
            </w:r>
            <w:r w:rsidR="003854B7" w:rsidRPr="000057D0">
              <w:rPr>
                <w:color w:val="404040" w:themeColor="text1" w:themeTint="BF"/>
                <w:sz w:val="20"/>
                <w:szCs w:val="20"/>
              </w:rPr>
              <w:t>394.5</w:t>
            </w:r>
          </w:p>
        </w:tc>
        <w:tc>
          <w:tcPr>
            <w:tcW w:w="1134" w:type="dxa"/>
            <w:shd w:val="clear" w:color="auto" w:fill="auto"/>
            <w:vAlign w:val="center"/>
          </w:tcPr>
          <w:p w:rsidR="003854B7" w:rsidRPr="000057D0" w:rsidRDefault="00FF7C8D" w:rsidP="003854B7">
            <w:pPr>
              <w:spacing w:before="40" w:after="40"/>
              <w:ind w:left="0"/>
              <w:jc w:val="right"/>
              <w:rPr>
                <w:color w:val="404040" w:themeColor="text1" w:themeTint="BF"/>
                <w:sz w:val="20"/>
                <w:szCs w:val="20"/>
              </w:rPr>
            </w:pPr>
            <w:r>
              <w:rPr>
                <w:color w:val="404040" w:themeColor="text1" w:themeTint="BF"/>
                <w:sz w:val="20"/>
                <w:szCs w:val="20"/>
              </w:rPr>
              <w:t>4 </w:t>
            </w:r>
            <w:r w:rsidR="003854B7" w:rsidRPr="000057D0">
              <w:rPr>
                <w:color w:val="404040" w:themeColor="text1" w:themeTint="BF"/>
                <w:sz w:val="20"/>
                <w:szCs w:val="20"/>
              </w:rPr>
              <w:t>004.7</w:t>
            </w:r>
          </w:p>
        </w:tc>
      </w:tr>
      <w:tr w:rsidR="000057D0" w:rsidRPr="000057D0" w:rsidTr="006E25E1">
        <w:trPr>
          <w:cantSplit/>
        </w:trPr>
        <w:tc>
          <w:tcPr>
            <w:tcW w:w="3884" w:type="dxa"/>
            <w:shd w:val="clear" w:color="auto" w:fill="E6E6E6"/>
            <w:vAlign w:val="center"/>
          </w:tcPr>
          <w:p w:rsidR="003854B7" w:rsidRPr="000057D0" w:rsidRDefault="003854B7" w:rsidP="00C55E58">
            <w:pPr>
              <w:spacing w:before="40" w:after="40"/>
              <w:ind w:left="0"/>
              <w:rPr>
                <w:b/>
                <w:color w:val="404040" w:themeColor="text1" w:themeTint="BF"/>
                <w:sz w:val="20"/>
                <w:szCs w:val="20"/>
              </w:rPr>
            </w:pPr>
            <w:r w:rsidRPr="000057D0">
              <w:rPr>
                <w:b/>
                <w:color w:val="404040" w:themeColor="text1" w:themeTint="BF"/>
                <w:sz w:val="20"/>
                <w:szCs w:val="20"/>
              </w:rPr>
              <w:t xml:space="preserve">Sub Total - Operating </w:t>
            </w:r>
            <w:r w:rsidR="00C55E58">
              <w:rPr>
                <w:b/>
                <w:color w:val="404040" w:themeColor="text1" w:themeTint="BF"/>
                <w:sz w:val="20"/>
                <w:szCs w:val="20"/>
              </w:rPr>
              <w:t>gaming machine</w:t>
            </w:r>
            <w:r w:rsidRPr="000057D0">
              <w:rPr>
                <w:b/>
                <w:color w:val="404040" w:themeColor="text1" w:themeTint="BF"/>
                <w:sz w:val="20"/>
                <w:szCs w:val="20"/>
              </w:rPr>
              <w:t xml:space="preserve"> component</w:t>
            </w:r>
          </w:p>
        </w:tc>
        <w:tc>
          <w:tcPr>
            <w:tcW w:w="1212" w:type="dxa"/>
            <w:shd w:val="clear" w:color="auto" w:fill="auto"/>
            <w:vAlign w:val="center"/>
          </w:tcPr>
          <w:p w:rsidR="003854B7" w:rsidRPr="000057D0" w:rsidRDefault="00FF7C8D" w:rsidP="003854B7">
            <w:pPr>
              <w:spacing w:before="40" w:after="40"/>
              <w:ind w:left="0"/>
              <w:jc w:val="right"/>
              <w:rPr>
                <w:b/>
                <w:color w:val="404040" w:themeColor="text1" w:themeTint="BF"/>
                <w:sz w:val="20"/>
                <w:szCs w:val="20"/>
              </w:rPr>
            </w:pPr>
            <w:r>
              <w:rPr>
                <w:b/>
                <w:color w:val="404040" w:themeColor="text1" w:themeTint="BF"/>
                <w:sz w:val="20"/>
                <w:szCs w:val="20"/>
              </w:rPr>
              <w:t>3 </w:t>
            </w:r>
            <w:r w:rsidR="003854B7" w:rsidRPr="000057D0">
              <w:rPr>
                <w:b/>
                <w:color w:val="404040" w:themeColor="text1" w:themeTint="BF"/>
                <w:sz w:val="20"/>
                <w:szCs w:val="20"/>
              </w:rPr>
              <w:t>540.8</w:t>
            </w:r>
          </w:p>
        </w:tc>
        <w:tc>
          <w:tcPr>
            <w:tcW w:w="1056" w:type="dxa"/>
            <w:shd w:val="clear" w:color="auto" w:fill="auto"/>
            <w:vAlign w:val="center"/>
          </w:tcPr>
          <w:p w:rsidR="003854B7" w:rsidRPr="000057D0" w:rsidRDefault="003854B7" w:rsidP="003854B7">
            <w:pPr>
              <w:spacing w:before="40" w:after="40"/>
              <w:ind w:left="0"/>
              <w:jc w:val="right"/>
              <w:rPr>
                <w:b/>
                <w:color w:val="404040" w:themeColor="text1" w:themeTint="BF"/>
                <w:sz w:val="20"/>
                <w:szCs w:val="20"/>
              </w:rPr>
            </w:pPr>
            <w:r w:rsidRPr="000057D0">
              <w:rPr>
                <w:b/>
                <w:color w:val="404040" w:themeColor="text1" w:themeTint="BF"/>
                <w:sz w:val="20"/>
                <w:szCs w:val="20"/>
              </w:rPr>
              <w:t>56.4</w:t>
            </w:r>
          </w:p>
        </w:tc>
        <w:tc>
          <w:tcPr>
            <w:tcW w:w="1134" w:type="dxa"/>
            <w:shd w:val="clear" w:color="auto" w:fill="auto"/>
            <w:vAlign w:val="center"/>
          </w:tcPr>
          <w:p w:rsidR="003854B7" w:rsidRPr="000057D0" w:rsidRDefault="003854B7" w:rsidP="00FF7C8D">
            <w:pPr>
              <w:spacing w:before="40" w:after="40"/>
              <w:ind w:left="0"/>
              <w:jc w:val="right"/>
              <w:rPr>
                <w:b/>
                <w:color w:val="404040" w:themeColor="text1" w:themeTint="BF"/>
                <w:sz w:val="20"/>
                <w:szCs w:val="20"/>
              </w:rPr>
            </w:pPr>
            <w:r w:rsidRPr="000057D0">
              <w:rPr>
                <w:b/>
                <w:color w:val="404040" w:themeColor="text1" w:themeTint="BF"/>
                <w:sz w:val="20"/>
                <w:szCs w:val="20"/>
              </w:rPr>
              <w:t>1</w:t>
            </w:r>
            <w:r w:rsidR="00FF7C8D">
              <w:rPr>
                <w:b/>
                <w:color w:val="404040" w:themeColor="text1" w:themeTint="BF"/>
                <w:sz w:val="20"/>
                <w:szCs w:val="20"/>
              </w:rPr>
              <w:t> </w:t>
            </w:r>
            <w:r w:rsidRPr="000057D0">
              <w:rPr>
                <w:b/>
                <w:color w:val="404040" w:themeColor="text1" w:themeTint="BF"/>
                <w:sz w:val="20"/>
                <w:szCs w:val="20"/>
              </w:rPr>
              <w:t>916.1</w:t>
            </w:r>
          </w:p>
        </w:tc>
        <w:tc>
          <w:tcPr>
            <w:tcW w:w="1134" w:type="dxa"/>
            <w:shd w:val="clear" w:color="auto" w:fill="auto"/>
            <w:vAlign w:val="center"/>
          </w:tcPr>
          <w:p w:rsidR="003854B7" w:rsidRPr="000057D0" w:rsidRDefault="003854B7" w:rsidP="00FF7C8D">
            <w:pPr>
              <w:spacing w:before="40" w:after="40"/>
              <w:ind w:left="0"/>
              <w:jc w:val="right"/>
              <w:rPr>
                <w:b/>
                <w:color w:val="404040" w:themeColor="text1" w:themeTint="BF"/>
                <w:sz w:val="20"/>
                <w:szCs w:val="20"/>
              </w:rPr>
            </w:pPr>
            <w:r w:rsidRPr="000057D0">
              <w:rPr>
                <w:b/>
                <w:color w:val="404040" w:themeColor="text1" w:themeTint="BF"/>
                <w:sz w:val="20"/>
                <w:szCs w:val="20"/>
              </w:rPr>
              <w:t>5</w:t>
            </w:r>
            <w:r w:rsidR="00FF7C8D">
              <w:rPr>
                <w:b/>
                <w:color w:val="404040" w:themeColor="text1" w:themeTint="BF"/>
                <w:sz w:val="20"/>
                <w:szCs w:val="20"/>
              </w:rPr>
              <w:t> </w:t>
            </w:r>
            <w:r w:rsidRPr="000057D0">
              <w:rPr>
                <w:b/>
                <w:color w:val="404040" w:themeColor="text1" w:themeTint="BF"/>
                <w:sz w:val="20"/>
                <w:szCs w:val="20"/>
              </w:rPr>
              <w:t>513.3</w:t>
            </w:r>
          </w:p>
        </w:tc>
      </w:tr>
      <w:tr w:rsidR="000057D0" w:rsidRPr="000057D0" w:rsidTr="006E25E1">
        <w:trPr>
          <w:cantSplit/>
        </w:trPr>
        <w:tc>
          <w:tcPr>
            <w:tcW w:w="3884" w:type="dxa"/>
            <w:shd w:val="clear" w:color="auto" w:fill="E6E6E6"/>
            <w:vAlign w:val="center"/>
          </w:tcPr>
          <w:p w:rsidR="003854B7" w:rsidRPr="000057D0" w:rsidRDefault="003854B7" w:rsidP="00456141">
            <w:pPr>
              <w:spacing w:before="40" w:after="40"/>
              <w:ind w:left="0"/>
              <w:rPr>
                <w:b/>
                <w:color w:val="404040" w:themeColor="text1" w:themeTint="BF"/>
                <w:sz w:val="20"/>
                <w:szCs w:val="20"/>
              </w:rPr>
            </w:pPr>
            <w:r w:rsidRPr="000057D0">
              <w:rPr>
                <w:b/>
                <w:color w:val="404040" w:themeColor="text1" w:themeTint="BF"/>
                <w:sz w:val="20"/>
                <w:szCs w:val="20"/>
              </w:rPr>
              <w:t xml:space="preserve">Administering the </w:t>
            </w:r>
            <w:r w:rsidR="000A1BEA">
              <w:rPr>
                <w:b/>
                <w:color w:val="404040" w:themeColor="text1" w:themeTint="BF"/>
                <w:sz w:val="20"/>
                <w:szCs w:val="20"/>
              </w:rPr>
              <w:t xml:space="preserve">gaming </w:t>
            </w:r>
            <w:r w:rsidR="00456141">
              <w:rPr>
                <w:b/>
                <w:color w:val="404040" w:themeColor="text1" w:themeTint="BF"/>
                <w:sz w:val="20"/>
                <w:szCs w:val="20"/>
              </w:rPr>
              <w:t>entitlement</w:t>
            </w:r>
            <w:r w:rsidRPr="000057D0">
              <w:rPr>
                <w:b/>
                <w:color w:val="404040" w:themeColor="text1" w:themeTint="BF"/>
                <w:sz w:val="20"/>
                <w:szCs w:val="20"/>
              </w:rPr>
              <w:t xml:space="preserve"> system</w:t>
            </w:r>
          </w:p>
        </w:tc>
        <w:tc>
          <w:tcPr>
            <w:tcW w:w="1212" w:type="dxa"/>
            <w:shd w:val="clear" w:color="auto" w:fill="auto"/>
            <w:vAlign w:val="center"/>
          </w:tcPr>
          <w:p w:rsidR="003854B7" w:rsidRPr="000057D0" w:rsidRDefault="003854B7" w:rsidP="003854B7">
            <w:pPr>
              <w:spacing w:before="40" w:after="40"/>
              <w:ind w:left="0"/>
              <w:jc w:val="right"/>
              <w:rPr>
                <w:color w:val="404040" w:themeColor="text1" w:themeTint="BF"/>
                <w:sz w:val="20"/>
                <w:szCs w:val="20"/>
              </w:rPr>
            </w:pPr>
            <w:r w:rsidRPr="000057D0">
              <w:rPr>
                <w:color w:val="404040" w:themeColor="text1" w:themeTint="BF"/>
                <w:sz w:val="20"/>
                <w:szCs w:val="20"/>
              </w:rPr>
              <w:t>316.9</w:t>
            </w:r>
          </w:p>
        </w:tc>
        <w:tc>
          <w:tcPr>
            <w:tcW w:w="1056" w:type="dxa"/>
            <w:shd w:val="clear" w:color="auto" w:fill="auto"/>
            <w:vAlign w:val="center"/>
          </w:tcPr>
          <w:p w:rsidR="003854B7" w:rsidRPr="000057D0" w:rsidRDefault="003854B7" w:rsidP="003854B7">
            <w:pPr>
              <w:spacing w:before="40" w:after="40"/>
              <w:ind w:left="0"/>
              <w:jc w:val="right"/>
              <w:rPr>
                <w:color w:val="404040" w:themeColor="text1" w:themeTint="BF"/>
                <w:sz w:val="20"/>
                <w:szCs w:val="20"/>
              </w:rPr>
            </w:pPr>
            <w:r w:rsidRPr="000057D0">
              <w:rPr>
                <w:color w:val="404040" w:themeColor="text1" w:themeTint="BF"/>
                <w:sz w:val="20"/>
                <w:szCs w:val="20"/>
              </w:rPr>
              <w:t>0.0</w:t>
            </w:r>
          </w:p>
        </w:tc>
        <w:tc>
          <w:tcPr>
            <w:tcW w:w="1134" w:type="dxa"/>
            <w:shd w:val="clear" w:color="auto" w:fill="auto"/>
            <w:vAlign w:val="center"/>
          </w:tcPr>
          <w:p w:rsidR="003854B7" w:rsidRPr="000057D0" w:rsidRDefault="003854B7" w:rsidP="003854B7">
            <w:pPr>
              <w:spacing w:before="40" w:after="40"/>
              <w:ind w:left="0"/>
              <w:jc w:val="right"/>
              <w:rPr>
                <w:color w:val="404040" w:themeColor="text1" w:themeTint="BF"/>
                <w:sz w:val="20"/>
                <w:szCs w:val="20"/>
              </w:rPr>
            </w:pPr>
            <w:r w:rsidRPr="000057D0">
              <w:rPr>
                <w:color w:val="404040" w:themeColor="text1" w:themeTint="BF"/>
                <w:sz w:val="20"/>
                <w:szCs w:val="20"/>
              </w:rPr>
              <w:t>128.2</w:t>
            </w:r>
          </w:p>
        </w:tc>
        <w:tc>
          <w:tcPr>
            <w:tcW w:w="1134" w:type="dxa"/>
            <w:shd w:val="clear" w:color="auto" w:fill="auto"/>
            <w:vAlign w:val="center"/>
          </w:tcPr>
          <w:p w:rsidR="003854B7" w:rsidRPr="000057D0" w:rsidRDefault="003854B7" w:rsidP="003854B7">
            <w:pPr>
              <w:spacing w:before="40" w:after="40"/>
              <w:ind w:left="0"/>
              <w:jc w:val="right"/>
              <w:rPr>
                <w:color w:val="404040" w:themeColor="text1" w:themeTint="BF"/>
                <w:sz w:val="20"/>
                <w:szCs w:val="20"/>
              </w:rPr>
            </w:pPr>
            <w:r w:rsidRPr="000057D0">
              <w:rPr>
                <w:color w:val="404040" w:themeColor="text1" w:themeTint="BF"/>
                <w:sz w:val="20"/>
                <w:szCs w:val="20"/>
              </w:rPr>
              <w:t>445.1</w:t>
            </w:r>
          </w:p>
        </w:tc>
      </w:tr>
      <w:tr w:rsidR="000057D0" w:rsidRPr="000057D0" w:rsidTr="006E25E1">
        <w:trPr>
          <w:cantSplit/>
        </w:trPr>
        <w:tc>
          <w:tcPr>
            <w:tcW w:w="3884" w:type="dxa"/>
            <w:shd w:val="clear" w:color="auto" w:fill="E6E6E6"/>
            <w:vAlign w:val="center"/>
          </w:tcPr>
          <w:p w:rsidR="003854B7" w:rsidRPr="000057D0" w:rsidRDefault="003854B7" w:rsidP="003854B7">
            <w:pPr>
              <w:spacing w:before="40" w:after="40"/>
              <w:ind w:left="0"/>
              <w:rPr>
                <w:b/>
                <w:color w:val="404040" w:themeColor="text1" w:themeTint="BF"/>
                <w:sz w:val="20"/>
                <w:szCs w:val="20"/>
              </w:rPr>
            </w:pPr>
            <w:r w:rsidRPr="000057D0">
              <w:rPr>
                <w:b/>
                <w:color w:val="404040" w:themeColor="text1" w:themeTint="BF"/>
                <w:sz w:val="20"/>
                <w:szCs w:val="20"/>
              </w:rPr>
              <w:t>Total gross estimated regulatory costs</w:t>
            </w:r>
          </w:p>
        </w:tc>
        <w:tc>
          <w:tcPr>
            <w:tcW w:w="1212" w:type="dxa"/>
            <w:shd w:val="clear" w:color="auto" w:fill="auto"/>
            <w:vAlign w:val="center"/>
          </w:tcPr>
          <w:p w:rsidR="003854B7" w:rsidRPr="000057D0" w:rsidRDefault="00FF7C8D" w:rsidP="003854B7">
            <w:pPr>
              <w:spacing w:before="40" w:after="40"/>
              <w:ind w:left="0"/>
              <w:jc w:val="right"/>
              <w:rPr>
                <w:b/>
                <w:color w:val="404040" w:themeColor="text1" w:themeTint="BF"/>
                <w:sz w:val="20"/>
                <w:szCs w:val="20"/>
              </w:rPr>
            </w:pPr>
            <w:r>
              <w:rPr>
                <w:b/>
                <w:color w:val="404040" w:themeColor="text1" w:themeTint="BF"/>
                <w:sz w:val="20"/>
                <w:szCs w:val="20"/>
              </w:rPr>
              <w:t>3 </w:t>
            </w:r>
            <w:r w:rsidR="003854B7" w:rsidRPr="000057D0">
              <w:rPr>
                <w:b/>
                <w:color w:val="404040" w:themeColor="text1" w:themeTint="BF"/>
                <w:sz w:val="20"/>
                <w:szCs w:val="20"/>
              </w:rPr>
              <w:t>857.7</w:t>
            </w:r>
          </w:p>
        </w:tc>
        <w:tc>
          <w:tcPr>
            <w:tcW w:w="1056" w:type="dxa"/>
            <w:shd w:val="clear" w:color="auto" w:fill="auto"/>
            <w:vAlign w:val="center"/>
          </w:tcPr>
          <w:p w:rsidR="003854B7" w:rsidRPr="000057D0" w:rsidRDefault="003854B7" w:rsidP="003854B7">
            <w:pPr>
              <w:spacing w:before="40" w:after="40"/>
              <w:ind w:left="0"/>
              <w:jc w:val="right"/>
              <w:rPr>
                <w:b/>
                <w:color w:val="404040" w:themeColor="text1" w:themeTint="BF"/>
                <w:sz w:val="20"/>
                <w:szCs w:val="20"/>
              </w:rPr>
            </w:pPr>
            <w:r w:rsidRPr="000057D0">
              <w:rPr>
                <w:b/>
                <w:color w:val="404040" w:themeColor="text1" w:themeTint="BF"/>
                <w:sz w:val="20"/>
                <w:szCs w:val="20"/>
              </w:rPr>
              <w:t>56.4</w:t>
            </w:r>
          </w:p>
        </w:tc>
        <w:tc>
          <w:tcPr>
            <w:tcW w:w="1134" w:type="dxa"/>
            <w:shd w:val="clear" w:color="auto" w:fill="auto"/>
            <w:vAlign w:val="center"/>
          </w:tcPr>
          <w:p w:rsidR="003854B7" w:rsidRPr="000057D0" w:rsidRDefault="00FF7C8D" w:rsidP="003854B7">
            <w:pPr>
              <w:spacing w:before="40" w:after="40"/>
              <w:ind w:left="0"/>
              <w:jc w:val="right"/>
              <w:rPr>
                <w:b/>
                <w:color w:val="404040" w:themeColor="text1" w:themeTint="BF"/>
                <w:sz w:val="20"/>
                <w:szCs w:val="20"/>
              </w:rPr>
            </w:pPr>
            <w:r>
              <w:rPr>
                <w:b/>
                <w:color w:val="404040" w:themeColor="text1" w:themeTint="BF"/>
                <w:sz w:val="20"/>
                <w:szCs w:val="20"/>
              </w:rPr>
              <w:t>2 </w:t>
            </w:r>
            <w:r w:rsidR="003854B7" w:rsidRPr="000057D0">
              <w:rPr>
                <w:b/>
                <w:color w:val="404040" w:themeColor="text1" w:themeTint="BF"/>
                <w:sz w:val="20"/>
                <w:szCs w:val="20"/>
              </w:rPr>
              <w:t>044.3</w:t>
            </w:r>
          </w:p>
        </w:tc>
        <w:tc>
          <w:tcPr>
            <w:tcW w:w="1134" w:type="dxa"/>
            <w:shd w:val="clear" w:color="auto" w:fill="auto"/>
            <w:vAlign w:val="center"/>
          </w:tcPr>
          <w:p w:rsidR="003854B7" w:rsidRPr="000057D0" w:rsidRDefault="00FF7C8D" w:rsidP="003854B7">
            <w:pPr>
              <w:spacing w:before="40" w:after="40"/>
              <w:ind w:left="0"/>
              <w:jc w:val="right"/>
              <w:rPr>
                <w:b/>
                <w:color w:val="404040" w:themeColor="text1" w:themeTint="BF"/>
                <w:sz w:val="20"/>
                <w:szCs w:val="20"/>
              </w:rPr>
            </w:pPr>
            <w:r>
              <w:rPr>
                <w:b/>
                <w:color w:val="404040" w:themeColor="text1" w:themeTint="BF"/>
                <w:sz w:val="20"/>
                <w:szCs w:val="20"/>
              </w:rPr>
              <w:t>5 </w:t>
            </w:r>
            <w:r w:rsidR="003854B7" w:rsidRPr="000057D0">
              <w:rPr>
                <w:b/>
                <w:color w:val="404040" w:themeColor="text1" w:themeTint="BF"/>
                <w:sz w:val="20"/>
                <w:szCs w:val="20"/>
              </w:rPr>
              <w:t>958.4</w:t>
            </w:r>
          </w:p>
        </w:tc>
      </w:tr>
      <w:tr w:rsidR="000057D0" w:rsidRPr="000057D0" w:rsidTr="006E25E1">
        <w:trPr>
          <w:cantSplit/>
        </w:trPr>
        <w:tc>
          <w:tcPr>
            <w:tcW w:w="3884" w:type="dxa"/>
            <w:shd w:val="clear" w:color="auto" w:fill="E6E6E6"/>
            <w:vAlign w:val="center"/>
          </w:tcPr>
          <w:p w:rsidR="003854B7" w:rsidRPr="00F738AD" w:rsidRDefault="003854B7" w:rsidP="003854B7">
            <w:pPr>
              <w:spacing w:before="40" w:after="40"/>
              <w:ind w:left="0"/>
              <w:rPr>
                <w:color w:val="404040" w:themeColor="text1" w:themeTint="BF"/>
                <w:sz w:val="20"/>
                <w:szCs w:val="20"/>
              </w:rPr>
            </w:pPr>
            <w:r w:rsidRPr="00F738AD">
              <w:rPr>
                <w:color w:val="404040" w:themeColor="text1" w:themeTint="BF"/>
                <w:sz w:val="20"/>
                <w:szCs w:val="20"/>
                <w:u w:val="single"/>
              </w:rPr>
              <w:t>Less</w:t>
            </w:r>
            <w:r w:rsidRPr="00F738AD">
              <w:rPr>
                <w:color w:val="404040" w:themeColor="text1" w:themeTint="BF"/>
                <w:sz w:val="20"/>
                <w:szCs w:val="20"/>
              </w:rPr>
              <w:t xml:space="preserve"> costs recovered through VCGLR activity based licence fees</w:t>
            </w:r>
            <w:r w:rsidR="00A100F3">
              <w:rPr>
                <w:color w:val="404040" w:themeColor="text1" w:themeTint="BF"/>
                <w:sz w:val="20"/>
                <w:szCs w:val="20"/>
              </w:rPr>
              <w:t>**</w:t>
            </w:r>
          </w:p>
        </w:tc>
        <w:tc>
          <w:tcPr>
            <w:tcW w:w="1212" w:type="dxa"/>
            <w:shd w:val="clear" w:color="auto" w:fill="auto"/>
            <w:vAlign w:val="center"/>
          </w:tcPr>
          <w:p w:rsidR="003854B7" w:rsidRPr="000057D0" w:rsidRDefault="00F76CB3" w:rsidP="003854B7">
            <w:pPr>
              <w:spacing w:before="40" w:after="40"/>
              <w:ind w:left="0"/>
              <w:jc w:val="right"/>
              <w:rPr>
                <w:color w:val="404040" w:themeColor="text1" w:themeTint="BF"/>
                <w:sz w:val="20"/>
                <w:szCs w:val="20"/>
              </w:rPr>
            </w:pPr>
            <w:r>
              <w:rPr>
                <w:color w:val="404040" w:themeColor="text1" w:themeTint="BF"/>
                <w:sz w:val="20"/>
                <w:szCs w:val="20"/>
              </w:rPr>
              <w:t>(</w:t>
            </w:r>
            <w:r w:rsidR="003854B7" w:rsidRPr="000057D0">
              <w:rPr>
                <w:color w:val="404040" w:themeColor="text1" w:themeTint="BF"/>
                <w:sz w:val="20"/>
                <w:szCs w:val="20"/>
              </w:rPr>
              <w:t>632.7</w:t>
            </w:r>
            <w:r>
              <w:rPr>
                <w:color w:val="404040" w:themeColor="text1" w:themeTint="BF"/>
                <w:sz w:val="20"/>
                <w:szCs w:val="20"/>
              </w:rPr>
              <w:t>)</w:t>
            </w:r>
          </w:p>
        </w:tc>
        <w:tc>
          <w:tcPr>
            <w:tcW w:w="1056" w:type="dxa"/>
            <w:shd w:val="clear" w:color="auto" w:fill="auto"/>
            <w:vAlign w:val="center"/>
          </w:tcPr>
          <w:p w:rsidR="003854B7" w:rsidRPr="000057D0" w:rsidRDefault="003854B7" w:rsidP="003854B7">
            <w:pPr>
              <w:spacing w:before="40" w:after="40"/>
              <w:ind w:left="0"/>
              <w:jc w:val="right"/>
              <w:rPr>
                <w:color w:val="404040" w:themeColor="text1" w:themeTint="BF"/>
                <w:sz w:val="20"/>
                <w:szCs w:val="20"/>
              </w:rPr>
            </w:pPr>
            <w:r w:rsidRPr="000057D0">
              <w:rPr>
                <w:color w:val="404040" w:themeColor="text1" w:themeTint="BF"/>
                <w:sz w:val="20"/>
                <w:szCs w:val="20"/>
              </w:rPr>
              <w:t>0.0</w:t>
            </w:r>
          </w:p>
        </w:tc>
        <w:tc>
          <w:tcPr>
            <w:tcW w:w="1134" w:type="dxa"/>
            <w:shd w:val="clear" w:color="auto" w:fill="auto"/>
            <w:vAlign w:val="center"/>
          </w:tcPr>
          <w:p w:rsidR="003854B7" w:rsidRPr="000057D0" w:rsidRDefault="003854B7" w:rsidP="003854B7">
            <w:pPr>
              <w:spacing w:before="40" w:after="40"/>
              <w:ind w:left="0"/>
              <w:jc w:val="right"/>
              <w:rPr>
                <w:color w:val="404040" w:themeColor="text1" w:themeTint="BF"/>
                <w:sz w:val="20"/>
                <w:szCs w:val="20"/>
              </w:rPr>
            </w:pPr>
            <w:r w:rsidRPr="000057D0">
              <w:rPr>
                <w:color w:val="404040" w:themeColor="text1" w:themeTint="BF"/>
                <w:sz w:val="20"/>
                <w:szCs w:val="20"/>
              </w:rPr>
              <w:t>0.0</w:t>
            </w:r>
          </w:p>
        </w:tc>
        <w:tc>
          <w:tcPr>
            <w:tcW w:w="1134" w:type="dxa"/>
            <w:shd w:val="clear" w:color="auto" w:fill="auto"/>
            <w:vAlign w:val="center"/>
          </w:tcPr>
          <w:p w:rsidR="003854B7" w:rsidRPr="000057D0" w:rsidRDefault="00F76CB3" w:rsidP="003854B7">
            <w:pPr>
              <w:spacing w:before="40" w:after="40"/>
              <w:ind w:left="0"/>
              <w:jc w:val="right"/>
              <w:rPr>
                <w:color w:val="404040" w:themeColor="text1" w:themeTint="BF"/>
                <w:sz w:val="20"/>
                <w:szCs w:val="20"/>
              </w:rPr>
            </w:pPr>
            <w:r>
              <w:rPr>
                <w:color w:val="404040" w:themeColor="text1" w:themeTint="BF"/>
                <w:sz w:val="20"/>
                <w:szCs w:val="20"/>
              </w:rPr>
              <w:t>(</w:t>
            </w:r>
            <w:r w:rsidR="003854B7" w:rsidRPr="000057D0">
              <w:rPr>
                <w:color w:val="404040" w:themeColor="text1" w:themeTint="BF"/>
                <w:sz w:val="20"/>
                <w:szCs w:val="20"/>
              </w:rPr>
              <w:t>632.7</w:t>
            </w:r>
            <w:r>
              <w:rPr>
                <w:color w:val="404040" w:themeColor="text1" w:themeTint="BF"/>
                <w:sz w:val="20"/>
                <w:szCs w:val="20"/>
              </w:rPr>
              <w:t>)</w:t>
            </w:r>
          </w:p>
        </w:tc>
      </w:tr>
      <w:tr w:rsidR="000057D0" w:rsidRPr="000057D0" w:rsidTr="006E25E1">
        <w:trPr>
          <w:cantSplit/>
        </w:trPr>
        <w:tc>
          <w:tcPr>
            <w:tcW w:w="3884" w:type="dxa"/>
            <w:shd w:val="clear" w:color="auto" w:fill="E6E6E6"/>
            <w:vAlign w:val="center"/>
          </w:tcPr>
          <w:p w:rsidR="003854B7" w:rsidRPr="000057D0" w:rsidRDefault="003854B7" w:rsidP="003854B7">
            <w:pPr>
              <w:spacing w:before="40" w:after="40"/>
              <w:ind w:left="0"/>
              <w:rPr>
                <w:b/>
                <w:color w:val="404040" w:themeColor="text1" w:themeTint="BF"/>
                <w:sz w:val="20"/>
                <w:szCs w:val="20"/>
              </w:rPr>
            </w:pPr>
            <w:r w:rsidRPr="000057D0">
              <w:rPr>
                <w:b/>
                <w:color w:val="404040" w:themeColor="text1" w:themeTint="BF"/>
                <w:sz w:val="20"/>
                <w:szCs w:val="20"/>
              </w:rPr>
              <w:t xml:space="preserve">Total net estimated regulatory costs </w:t>
            </w:r>
          </w:p>
        </w:tc>
        <w:tc>
          <w:tcPr>
            <w:tcW w:w="1212" w:type="dxa"/>
            <w:shd w:val="clear" w:color="auto" w:fill="auto"/>
            <w:vAlign w:val="center"/>
          </w:tcPr>
          <w:p w:rsidR="003854B7" w:rsidRPr="000057D0" w:rsidRDefault="00FF7C8D" w:rsidP="003854B7">
            <w:pPr>
              <w:spacing w:before="40" w:after="40"/>
              <w:ind w:left="0"/>
              <w:jc w:val="right"/>
              <w:rPr>
                <w:b/>
                <w:color w:val="404040" w:themeColor="text1" w:themeTint="BF"/>
                <w:sz w:val="20"/>
                <w:szCs w:val="20"/>
              </w:rPr>
            </w:pPr>
            <w:r>
              <w:rPr>
                <w:b/>
                <w:color w:val="404040" w:themeColor="text1" w:themeTint="BF"/>
                <w:sz w:val="20"/>
                <w:szCs w:val="20"/>
              </w:rPr>
              <w:t>3 </w:t>
            </w:r>
            <w:r w:rsidR="003854B7" w:rsidRPr="000057D0">
              <w:rPr>
                <w:b/>
                <w:color w:val="404040" w:themeColor="text1" w:themeTint="BF"/>
                <w:sz w:val="20"/>
                <w:szCs w:val="20"/>
              </w:rPr>
              <w:t>225.0</w:t>
            </w:r>
          </w:p>
        </w:tc>
        <w:tc>
          <w:tcPr>
            <w:tcW w:w="1056" w:type="dxa"/>
            <w:shd w:val="clear" w:color="auto" w:fill="auto"/>
            <w:vAlign w:val="center"/>
          </w:tcPr>
          <w:p w:rsidR="003854B7" w:rsidRPr="000057D0" w:rsidRDefault="003854B7" w:rsidP="003854B7">
            <w:pPr>
              <w:spacing w:before="40" w:after="40"/>
              <w:ind w:left="0"/>
              <w:jc w:val="right"/>
              <w:rPr>
                <w:b/>
                <w:color w:val="404040" w:themeColor="text1" w:themeTint="BF"/>
                <w:sz w:val="20"/>
                <w:szCs w:val="20"/>
              </w:rPr>
            </w:pPr>
            <w:r w:rsidRPr="000057D0">
              <w:rPr>
                <w:b/>
                <w:color w:val="404040" w:themeColor="text1" w:themeTint="BF"/>
                <w:sz w:val="20"/>
                <w:szCs w:val="20"/>
              </w:rPr>
              <w:t>56.4</w:t>
            </w:r>
          </w:p>
        </w:tc>
        <w:tc>
          <w:tcPr>
            <w:tcW w:w="1134" w:type="dxa"/>
            <w:shd w:val="clear" w:color="auto" w:fill="auto"/>
            <w:vAlign w:val="center"/>
          </w:tcPr>
          <w:p w:rsidR="003854B7" w:rsidRPr="000057D0" w:rsidRDefault="00FF7C8D" w:rsidP="003854B7">
            <w:pPr>
              <w:spacing w:before="40" w:after="40"/>
              <w:ind w:left="0"/>
              <w:jc w:val="right"/>
              <w:rPr>
                <w:b/>
                <w:color w:val="404040" w:themeColor="text1" w:themeTint="BF"/>
                <w:sz w:val="20"/>
                <w:szCs w:val="20"/>
              </w:rPr>
            </w:pPr>
            <w:r>
              <w:rPr>
                <w:b/>
                <w:color w:val="404040" w:themeColor="text1" w:themeTint="BF"/>
                <w:sz w:val="20"/>
                <w:szCs w:val="20"/>
              </w:rPr>
              <w:t>2 </w:t>
            </w:r>
            <w:r w:rsidR="003854B7" w:rsidRPr="000057D0">
              <w:rPr>
                <w:b/>
                <w:color w:val="404040" w:themeColor="text1" w:themeTint="BF"/>
                <w:sz w:val="20"/>
                <w:szCs w:val="20"/>
              </w:rPr>
              <w:t>044.3</w:t>
            </w:r>
          </w:p>
        </w:tc>
        <w:tc>
          <w:tcPr>
            <w:tcW w:w="1134" w:type="dxa"/>
            <w:shd w:val="clear" w:color="auto" w:fill="auto"/>
            <w:vAlign w:val="center"/>
          </w:tcPr>
          <w:p w:rsidR="003854B7" w:rsidRPr="000057D0" w:rsidRDefault="00FF7C8D" w:rsidP="003854B7">
            <w:pPr>
              <w:spacing w:before="40" w:after="40"/>
              <w:ind w:left="0"/>
              <w:jc w:val="right"/>
              <w:rPr>
                <w:b/>
                <w:color w:val="404040" w:themeColor="text1" w:themeTint="BF"/>
                <w:sz w:val="20"/>
                <w:szCs w:val="20"/>
              </w:rPr>
            </w:pPr>
            <w:r>
              <w:rPr>
                <w:b/>
                <w:color w:val="404040" w:themeColor="text1" w:themeTint="BF"/>
                <w:sz w:val="20"/>
                <w:szCs w:val="20"/>
              </w:rPr>
              <w:t>5 </w:t>
            </w:r>
            <w:r w:rsidR="00453A1B">
              <w:rPr>
                <w:b/>
                <w:color w:val="404040" w:themeColor="text1" w:themeTint="BF"/>
                <w:sz w:val="20"/>
                <w:szCs w:val="20"/>
              </w:rPr>
              <w:t>325.7</w:t>
            </w:r>
          </w:p>
        </w:tc>
      </w:tr>
    </w:tbl>
    <w:p w:rsidR="004C07A0" w:rsidRDefault="004C07A0" w:rsidP="004C07A0">
      <w:pPr>
        <w:spacing w:before="0" w:after="0"/>
        <w:rPr>
          <w:i/>
          <w:sz w:val="18"/>
          <w:szCs w:val="20"/>
        </w:rPr>
      </w:pPr>
      <w:r>
        <w:rPr>
          <w:i/>
          <w:sz w:val="18"/>
          <w:szCs w:val="20"/>
        </w:rPr>
        <w:t>Source: VCGLR</w:t>
      </w:r>
    </w:p>
    <w:p w:rsidR="003854B7" w:rsidRDefault="004C07A0" w:rsidP="00A100F3">
      <w:pPr>
        <w:spacing w:before="0" w:after="0"/>
        <w:rPr>
          <w:i/>
          <w:sz w:val="20"/>
          <w:szCs w:val="20"/>
        </w:rPr>
      </w:pPr>
      <w:r>
        <w:rPr>
          <w:i/>
          <w:sz w:val="20"/>
          <w:szCs w:val="20"/>
        </w:rPr>
        <w:t>*</w:t>
      </w:r>
      <w:r w:rsidR="003854B7" w:rsidRPr="003854B7">
        <w:rPr>
          <w:i/>
          <w:sz w:val="20"/>
          <w:szCs w:val="20"/>
        </w:rPr>
        <w:t xml:space="preserve"> 2012-13 denotes costs incurred since </w:t>
      </w:r>
      <w:r w:rsidR="00F13192">
        <w:rPr>
          <w:i/>
          <w:sz w:val="20"/>
          <w:szCs w:val="20"/>
        </w:rPr>
        <w:t>venue o</w:t>
      </w:r>
      <w:r w:rsidR="00472069">
        <w:rPr>
          <w:i/>
          <w:sz w:val="20"/>
          <w:szCs w:val="20"/>
        </w:rPr>
        <w:t>perator</w:t>
      </w:r>
      <w:r w:rsidR="003854B7" w:rsidRPr="003854B7">
        <w:rPr>
          <w:i/>
          <w:sz w:val="20"/>
          <w:szCs w:val="20"/>
        </w:rPr>
        <w:t xml:space="preserve"> licences commenced on 16 August 2012</w:t>
      </w:r>
      <w:r w:rsidR="00A100F3">
        <w:rPr>
          <w:i/>
          <w:sz w:val="20"/>
          <w:szCs w:val="20"/>
        </w:rPr>
        <w:t xml:space="preserve"> and estimated up to 30 June 2013</w:t>
      </w:r>
      <w:r w:rsidR="003854B7" w:rsidRPr="003854B7">
        <w:rPr>
          <w:i/>
          <w:sz w:val="20"/>
          <w:szCs w:val="20"/>
        </w:rPr>
        <w:t>.</w:t>
      </w:r>
    </w:p>
    <w:p w:rsidR="00A100F3" w:rsidRPr="003854B7" w:rsidRDefault="00A100F3" w:rsidP="004C07A0">
      <w:pPr>
        <w:spacing w:before="0" w:after="240"/>
        <w:rPr>
          <w:i/>
          <w:sz w:val="20"/>
          <w:szCs w:val="20"/>
        </w:rPr>
      </w:pPr>
      <w:r>
        <w:rPr>
          <w:i/>
          <w:sz w:val="20"/>
          <w:szCs w:val="20"/>
        </w:rPr>
        <w:t xml:space="preserve">** These fees only relate to the regulation of operating </w:t>
      </w:r>
      <w:r w:rsidR="00C55E58">
        <w:rPr>
          <w:i/>
          <w:sz w:val="20"/>
          <w:szCs w:val="20"/>
        </w:rPr>
        <w:t>gaming machines</w:t>
      </w:r>
      <w:r>
        <w:rPr>
          <w:i/>
          <w:sz w:val="20"/>
          <w:szCs w:val="20"/>
        </w:rPr>
        <w:t>.</w:t>
      </w:r>
    </w:p>
    <w:p w:rsidR="003854B7" w:rsidRPr="000A1BEA" w:rsidRDefault="003854B7" w:rsidP="00F54DC2">
      <w:pPr>
        <w:spacing w:before="240" w:after="240"/>
        <w:rPr>
          <w:szCs w:val="24"/>
        </w:rPr>
      </w:pPr>
      <w:r w:rsidRPr="000A1BEA">
        <w:rPr>
          <w:szCs w:val="24"/>
        </w:rPr>
        <w:t>VCGLR’s total net gaming related regulatory costs for 2012-13 are expected to be $5.3</w:t>
      </w:r>
      <w:r w:rsidR="00F76CB3">
        <w:rPr>
          <w:szCs w:val="24"/>
        </w:rPr>
        <w:t> </w:t>
      </w:r>
      <w:r w:rsidRPr="000A1BEA">
        <w:rPr>
          <w:szCs w:val="24"/>
        </w:rPr>
        <w:t>million. The estimates in the table</w:t>
      </w:r>
      <w:r w:rsidR="000A1BEA">
        <w:rPr>
          <w:szCs w:val="24"/>
        </w:rPr>
        <w:t xml:space="preserve"> above</w:t>
      </w:r>
      <w:r w:rsidRPr="000A1BEA">
        <w:rPr>
          <w:szCs w:val="24"/>
        </w:rPr>
        <w:t xml:space="preserve"> show that a large proportion of the VCGLR costs (64 per cent) arise from labour related costs (i.e. primary cost category). The majority of the remainder of costs arise from secondary/indirect costs incurred.</w:t>
      </w:r>
    </w:p>
    <w:p w:rsidR="003854B7" w:rsidRDefault="003854B7" w:rsidP="00F54DC2">
      <w:pPr>
        <w:spacing w:before="240" w:after="240"/>
        <w:rPr>
          <w:szCs w:val="24"/>
        </w:rPr>
      </w:pPr>
      <w:r w:rsidRPr="000A1BEA">
        <w:rPr>
          <w:szCs w:val="24"/>
        </w:rPr>
        <w:t xml:space="preserve">Activity based licence fee revenue collected in 2012-13, and deducted from gaming related regulatory costs in table 4.1, relates mostly to </w:t>
      </w:r>
      <w:r w:rsidR="00701CC4">
        <w:rPr>
          <w:szCs w:val="24"/>
        </w:rPr>
        <w:t>a</w:t>
      </w:r>
      <w:r w:rsidR="00701CC4" w:rsidRPr="00701CC4">
        <w:rPr>
          <w:szCs w:val="24"/>
        </w:rPr>
        <w:t xml:space="preserve">pproving and monitoring the licensing of </w:t>
      </w:r>
      <w:r w:rsidR="00F13192">
        <w:rPr>
          <w:szCs w:val="24"/>
        </w:rPr>
        <w:t>v</w:t>
      </w:r>
      <w:r w:rsidR="00701CC4" w:rsidRPr="00701CC4">
        <w:rPr>
          <w:szCs w:val="24"/>
        </w:rPr>
        <w:t>en</w:t>
      </w:r>
      <w:r w:rsidR="00F13192">
        <w:rPr>
          <w:szCs w:val="24"/>
        </w:rPr>
        <w:t>ue o</w:t>
      </w:r>
      <w:r w:rsidR="00701CC4" w:rsidRPr="00701CC4">
        <w:rPr>
          <w:szCs w:val="24"/>
        </w:rPr>
        <w:t>perators and their associates</w:t>
      </w:r>
      <w:r w:rsidRPr="000A1BEA">
        <w:rPr>
          <w:szCs w:val="24"/>
        </w:rPr>
        <w:t xml:space="preserve">. As mentioned in Chapter 2, activity based licence fees are levied on application for licences and approvals of </w:t>
      </w:r>
      <w:r w:rsidR="00F13192">
        <w:rPr>
          <w:szCs w:val="24"/>
        </w:rPr>
        <w:t>venue o</w:t>
      </w:r>
      <w:r w:rsidR="00472069">
        <w:rPr>
          <w:szCs w:val="24"/>
        </w:rPr>
        <w:t>perator</w:t>
      </w:r>
      <w:r w:rsidRPr="000A1BEA">
        <w:rPr>
          <w:szCs w:val="24"/>
        </w:rPr>
        <w:t>s (including associates and nominees), gaming industry employee licences and other relevant key industry participants such as manufacturers, suppliers and testers. These fees are expected to collect around 10 per cent of gross estimated gaming related regulatory costs for 2012-13.</w:t>
      </w:r>
    </w:p>
    <w:p w:rsidR="000A1BEA" w:rsidRPr="00B14372" w:rsidRDefault="000A1BEA" w:rsidP="000A1BEA">
      <w:pPr>
        <w:keepNext/>
        <w:keepLines/>
        <w:widowControl w:val="0"/>
        <w:numPr>
          <w:ilvl w:val="1"/>
          <w:numId w:val="7"/>
        </w:numPr>
        <w:tabs>
          <w:tab w:val="num" w:pos="360"/>
        </w:tabs>
        <w:spacing w:before="240" w:after="240" w:line="216" w:lineRule="auto"/>
        <w:outlineLvl w:val="1"/>
        <w:rPr>
          <w:color w:val="4D4D4D"/>
          <w:kern w:val="28"/>
          <w:sz w:val="30"/>
          <w:szCs w:val="30"/>
          <w:lang w:eastAsia="en-US"/>
        </w:rPr>
      </w:pPr>
      <w:r w:rsidRPr="00B14372">
        <w:rPr>
          <w:color w:val="4D4D4D"/>
          <w:kern w:val="28"/>
          <w:sz w:val="30"/>
          <w:szCs w:val="30"/>
          <w:lang w:eastAsia="en-US"/>
        </w:rPr>
        <w:t>Trends in VCGLR’s costs</w:t>
      </w:r>
    </w:p>
    <w:p w:rsidR="001D40FC" w:rsidRDefault="001D40FC" w:rsidP="001D40FC">
      <w:pPr>
        <w:spacing w:before="240" w:after="240"/>
        <w:rPr>
          <w:szCs w:val="24"/>
        </w:rPr>
      </w:pPr>
      <w:r w:rsidRPr="000A1BEA">
        <w:rPr>
          <w:szCs w:val="24"/>
        </w:rPr>
        <w:t>In the last two years, fewer VCGLR resources have been required on activities related to supervision charge related costs, which is partly due to</w:t>
      </w:r>
      <w:r>
        <w:rPr>
          <w:szCs w:val="24"/>
        </w:rPr>
        <w:t>:</w:t>
      </w:r>
    </w:p>
    <w:p w:rsidR="001D40FC" w:rsidRDefault="001D40FC" w:rsidP="001D40FC">
      <w:pPr>
        <w:pStyle w:val="ListParagraph"/>
        <w:numPr>
          <w:ilvl w:val="1"/>
          <w:numId w:val="53"/>
        </w:numPr>
        <w:spacing w:before="240" w:after="240"/>
        <w:ind w:left="1078" w:hanging="227"/>
        <w:contextualSpacing w:val="0"/>
        <w:rPr>
          <w:szCs w:val="24"/>
        </w:rPr>
      </w:pPr>
      <w:r w:rsidRPr="001D40FC">
        <w:rPr>
          <w:szCs w:val="24"/>
        </w:rPr>
        <w:t xml:space="preserve">the decline in demand for a number of gaming regulatory activities as the former gaming operator’s licences approached expiry and they reduced their activity ; </w:t>
      </w:r>
    </w:p>
    <w:p w:rsidR="001D40FC" w:rsidRDefault="001D40FC" w:rsidP="001D40FC">
      <w:pPr>
        <w:pStyle w:val="ListParagraph"/>
        <w:numPr>
          <w:ilvl w:val="1"/>
          <w:numId w:val="53"/>
        </w:numPr>
        <w:spacing w:before="240" w:after="240"/>
        <w:ind w:left="1078" w:hanging="227"/>
        <w:contextualSpacing w:val="0"/>
        <w:rPr>
          <w:szCs w:val="24"/>
        </w:rPr>
      </w:pPr>
      <w:r w:rsidRPr="001D40FC">
        <w:rPr>
          <w:szCs w:val="24"/>
        </w:rPr>
        <w:t xml:space="preserve">the lead up to the new gaming arrangements; and </w:t>
      </w:r>
    </w:p>
    <w:p w:rsidR="001D40FC" w:rsidRPr="001D40FC" w:rsidRDefault="001D40FC" w:rsidP="001D40FC">
      <w:pPr>
        <w:pStyle w:val="ListParagraph"/>
        <w:numPr>
          <w:ilvl w:val="1"/>
          <w:numId w:val="53"/>
        </w:numPr>
        <w:spacing w:before="240" w:after="240"/>
        <w:ind w:left="1078" w:hanging="227"/>
        <w:contextualSpacing w:val="0"/>
        <w:rPr>
          <w:szCs w:val="24"/>
        </w:rPr>
      </w:pPr>
      <w:r w:rsidRPr="001D40FC">
        <w:rPr>
          <w:szCs w:val="24"/>
        </w:rPr>
        <w:t>the integration of gambling and liquor regulation in the VCGLR</w:t>
      </w:r>
    </w:p>
    <w:p w:rsidR="000A1BEA" w:rsidRPr="00701CC4" w:rsidRDefault="000A1BEA" w:rsidP="00701CC4">
      <w:pPr>
        <w:spacing w:before="240" w:after="240"/>
      </w:pPr>
      <w:r>
        <w:rPr>
          <w:szCs w:val="24"/>
        </w:rPr>
        <w:t>Chart 4.2</w:t>
      </w:r>
      <w:r w:rsidRPr="000A1BEA">
        <w:rPr>
          <w:szCs w:val="24"/>
        </w:rPr>
        <w:t xml:space="preserve"> below shows that the VCGLR’s gaming related regulatory costs have declined</w:t>
      </w:r>
      <w:r w:rsidR="006A655B">
        <w:rPr>
          <w:szCs w:val="24"/>
        </w:rPr>
        <w:t xml:space="preserve"> by an average annual rate of 3.5</w:t>
      </w:r>
      <w:r w:rsidR="0075295F">
        <w:rPr>
          <w:szCs w:val="24"/>
        </w:rPr>
        <w:t xml:space="preserve"> per cent</w:t>
      </w:r>
      <w:r w:rsidRPr="000A1BEA">
        <w:rPr>
          <w:szCs w:val="24"/>
        </w:rPr>
        <w:t xml:space="preserve"> in real terms over the last 13 years</w:t>
      </w:r>
      <w:r w:rsidRPr="000A1BEA">
        <w:rPr>
          <w:szCs w:val="24"/>
          <w:vertAlign w:val="superscript"/>
        </w:rPr>
        <w:footnoteReference w:id="6"/>
      </w:r>
      <w:r w:rsidRPr="000A1BEA">
        <w:rPr>
          <w:szCs w:val="24"/>
        </w:rPr>
        <w:t>, from $33</w:t>
      </w:r>
      <w:r w:rsidR="006A655B">
        <w:rPr>
          <w:szCs w:val="24"/>
        </w:rPr>
        <w:t>1 per machine in 2000-01 to $216</w:t>
      </w:r>
      <w:r w:rsidRPr="000A1BEA">
        <w:rPr>
          <w:szCs w:val="24"/>
        </w:rPr>
        <w:t xml:space="preserve"> per gaming entitlement in 2012</w:t>
      </w:r>
      <w:r w:rsidRPr="000A1BEA">
        <w:rPr>
          <w:szCs w:val="24"/>
        </w:rPr>
        <w:noBreakHyphen/>
        <w:t xml:space="preserve">13. </w:t>
      </w:r>
      <w:r w:rsidR="00E37B3B" w:rsidRPr="000A1BEA">
        <w:t>A lack of comparable publicly available data makes it difficult to reliably benchmark the VCGLR’s regulatory costs with other comparable regulators in Australia and internationally. In addition, there are significant differences in the level, scope and nature of gaming regulation across jurisdictions that make such comparisons problematic and more complex.</w:t>
      </w:r>
    </w:p>
    <w:p w:rsidR="000A1BEA" w:rsidRPr="00F54DC2" w:rsidRDefault="000A1BEA" w:rsidP="000A1BEA">
      <w:pPr>
        <w:pStyle w:val="Heading5"/>
      </w:pPr>
      <w:r w:rsidRPr="00F54DC2">
        <w:t>Chart 4.2 – Real gaming related regulatory costs per machine/entitleme</w:t>
      </w:r>
      <w:r w:rsidR="00EF60D3">
        <w:t>nt from 2000-01 to 2012-13* (</w:t>
      </w:r>
      <w:r w:rsidRPr="00F54DC2">
        <w:t>2013 prices)</w:t>
      </w:r>
    </w:p>
    <w:p w:rsidR="000A1BEA" w:rsidRPr="003854B7" w:rsidRDefault="006A655B" w:rsidP="000A1BEA">
      <w:pPr>
        <w:spacing w:before="0" w:after="0"/>
        <w:rPr>
          <w:sz w:val="24"/>
          <w:szCs w:val="24"/>
        </w:rPr>
      </w:pPr>
      <w:r>
        <w:rPr>
          <w:noProof/>
          <w:sz w:val="24"/>
          <w:szCs w:val="24"/>
        </w:rPr>
        <w:drawing>
          <wp:inline distT="0" distB="0" distL="0" distR="0" wp14:anchorId="08E35473">
            <wp:extent cx="5257800" cy="342455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4227" cy="3428745"/>
                    </a:xfrm>
                    <a:prstGeom prst="rect">
                      <a:avLst/>
                    </a:prstGeom>
                    <a:noFill/>
                  </pic:spPr>
                </pic:pic>
              </a:graphicData>
            </a:graphic>
          </wp:inline>
        </w:drawing>
      </w:r>
    </w:p>
    <w:p w:rsidR="004C07A0" w:rsidRDefault="004C07A0" w:rsidP="004C07A0">
      <w:pPr>
        <w:spacing w:before="0" w:after="0"/>
        <w:rPr>
          <w:i/>
          <w:sz w:val="18"/>
          <w:szCs w:val="20"/>
        </w:rPr>
      </w:pPr>
      <w:r>
        <w:rPr>
          <w:i/>
          <w:sz w:val="18"/>
          <w:szCs w:val="20"/>
        </w:rPr>
        <w:t xml:space="preserve">Source: </w:t>
      </w:r>
      <w:r w:rsidR="00C46DDC">
        <w:rPr>
          <w:i/>
          <w:sz w:val="18"/>
          <w:szCs w:val="20"/>
        </w:rPr>
        <w:t>DTF</w:t>
      </w:r>
      <w:r w:rsidR="006A655B">
        <w:rPr>
          <w:i/>
          <w:sz w:val="18"/>
          <w:szCs w:val="20"/>
        </w:rPr>
        <w:t xml:space="preserve">. </w:t>
      </w:r>
      <w:r w:rsidR="006A655B" w:rsidRPr="006A655B">
        <w:rPr>
          <w:i/>
          <w:sz w:val="18"/>
          <w:szCs w:val="20"/>
        </w:rPr>
        <w:t>ABS Cat No 6345.0 - Wage Price Index, Australia, Mar 2013</w:t>
      </w:r>
      <w:r w:rsidR="006A655B">
        <w:rPr>
          <w:i/>
          <w:sz w:val="18"/>
          <w:szCs w:val="20"/>
        </w:rPr>
        <w:t>.</w:t>
      </w:r>
    </w:p>
    <w:p w:rsidR="000A1BEA" w:rsidRPr="000A1BEA" w:rsidRDefault="000A1BEA" w:rsidP="000A1BEA">
      <w:pPr>
        <w:spacing w:before="0" w:after="0"/>
        <w:rPr>
          <w:i/>
          <w:sz w:val="18"/>
          <w:szCs w:val="18"/>
        </w:rPr>
      </w:pPr>
      <w:r w:rsidRPr="000A1BEA">
        <w:rPr>
          <w:i/>
          <w:sz w:val="18"/>
          <w:szCs w:val="18"/>
        </w:rPr>
        <w:t>Notes: Growth rate cited in the chart is a compounded annual growth rate.</w:t>
      </w:r>
    </w:p>
    <w:p w:rsidR="000A1BEA" w:rsidRPr="000A1BEA" w:rsidRDefault="000A1BEA" w:rsidP="000A1BEA">
      <w:pPr>
        <w:spacing w:before="0" w:after="240"/>
        <w:rPr>
          <w:i/>
          <w:sz w:val="18"/>
          <w:szCs w:val="18"/>
        </w:rPr>
      </w:pPr>
      <w:r w:rsidRPr="000A1BEA">
        <w:rPr>
          <w:i/>
          <w:sz w:val="18"/>
          <w:szCs w:val="18"/>
        </w:rPr>
        <w:t>* VCGR/VCGLR nominal gaming related regulatory costs were converted into real costs using the Victorian Public Sector Wage Price Index. Real costs were then divided by the maximum number of: gaming machines (pre 16 August 2012) and gaming entitlements (for 2012-13 only, post 16 August 2012). From 2000-01 to 2011-13, the maximum number of gaming machines was 27,500. In 2012-13, a total of 27,207 gaming entitlements w</w:t>
      </w:r>
      <w:r w:rsidR="006B3E9C">
        <w:rPr>
          <w:i/>
          <w:sz w:val="18"/>
          <w:szCs w:val="18"/>
        </w:rPr>
        <w:t xml:space="preserve">ere held by </w:t>
      </w:r>
      <w:r w:rsidR="00F13192">
        <w:rPr>
          <w:i/>
          <w:sz w:val="18"/>
          <w:szCs w:val="18"/>
        </w:rPr>
        <w:t>venue o</w:t>
      </w:r>
      <w:r w:rsidR="00472069">
        <w:rPr>
          <w:i/>
          <w:sz w:val="18"/>
          <w:szCs w:val="18"/>
        </w:rPr>
        <w:t>perator</w:t>
      </w:r>
      <w:r w:rsidR="006B3E9C">
        <w:rPr>
          <w:i/>
          <w:sz w:val="18"/>
          <w:szCs w:val="18"/>
        </w:rPr>
        <w:t>s</w:t>
      </w:r>
      <w:r w:rsidR="00237B86">
        <w:rPr>
          <w:i/>
          <w:sz w:val="18"/>
          <w:szCs w:val="18"/>
        </w:rPr>
        <w:t xml:space="preserve"> </w:t>
      </w:r>
      <w:r w:rsidRPr="000A1BEA">
        <w:rPr>
          <w:i/>
          <w:sz w:val="18"/>
          <w:szCs w:val="18"/>
        </w:rPr>
        <w:t xml:space="preserve">as of </w:t>
      </w:r>
      <w:r w:rsidR="006B3E9C">
        <w:rPr>
          <w:i/>
          <w:sz w:val="18"/>
          <w:szCs w:val="18"/>
        </w:rPr>
        <w:t>9 May</w:t>
      </w:r>
      <w:r w:rsidRPr="000A1BEA">
        <w:rPr>
          <w:i/>
          <w:sz w:val="18"/>
          <w:szCs w:val="18"/>
        </w:rPr>
        <w:t xml:space="preserve"> 2013.</w:t>
      </w:r>
    </w:p>
    <w:p w:rsidR="000A1BEA" w:rsidRDefault="00701CC4" w:rsidP="00B45961">
      <w:pPr>
        <w:spacing w:before="480" w:after="240"/>
        <w:rPr>
          <w:szCs w:val="24"/>
        </w:rPr>
      </w:pPr>
      <w:r>
        <w:rPr>
          <w:szCs w:val="24"/>
        </w:rPr>
        <w:t xml:space="preserve">The reduction in the VCGLR’s real costs over the last 13 years has occurred while the </w:t>
      </w:r>
      <w:r w:rsidR="0047054C">
        <w:rPr>
          <w:szCs w:val="24"/>
        </w:rPr>
        <w:t xml:space="preserve">scope of the </w:t>
      </w:r>
      <w:r>
        <w:rPr>
          <w:szCs w:val="24"/>
        </w:rPr>
        <w:t>VCGLR’</w:t>
      </w:r>
      <w:r w:rsidR="0047054C">
        <w:rPr>
          <w:szCs w:val="24"/>
        </w:rPr>
        <w:t>s gaming regulatory functions has been increasing.</w:t>
      </w:r>
      <w:r>
        <w:rPr>
          <w:szCs w:val="24"/>
        </w:rPr>
        <w:t xml:space="preserve"> T</w:t>
      </w:r>
      <w:r w:rsidR="000A1BEA" w:rsidRPr="000A1BEA">
        <w:rPr>
          <w:szCs w:val="24"/>
        </w:rPr>
        <w:t xml:space="preserve">he VCGLR has adopted other efficiencies in its operations such as shared arrangements with the </w:t>
      </w:r>
      <w:r w:rsidR="0072718C">
        <w:rPr>
          <w:szCs w:val="24"/>
        </w:rPr>
        <w:t>DOJ</w:t>
      </w:r>
      <w:r w:rsidR="000A1BEA" w:rsidRPr="000A1BEA">
        <w:rPr>
          <w:szCs w:val="24"/>
        </w:rPr>
        <w:t xml:space="preserve"> for some corporate services.</w:t>
      </w:r>
    </w:p>
    <w:p w:rsidR="001D40FC" w:rsidRDefault="001D40FC" w:rsidP="00F4021E">
      <w:pPr>
        <w:spacing w:before="240" w:after="120"/>
        <w:rPr>
          <w:szCs w:val="24"/>
        </w:rPr>
      </w:pPr>
      <w:r>
        <w:rPr>
          <w:szCs w:val="24"/>
        </w:rPr>
        <w:t>F</w:t>
      </w:r>
      <w:r w:rsidRPr="000A1BEA">
        <w:rPr>
          <w:szCs w:val="24"/>
        </w:rPr>
        <w:t xml:space="preserve">luctuations in </w:t>
      </w:r>
      <w:r>
        <w:rPr>
          <w:szCs w:val="24"/>
        </w:rPr>
        <w:t>gaming-related</w:t>
      </w:r>
      <w:r w:rsidRPr="000A1BEA">
        <w:rPr>
          <w:szCs w:val="24"/>
        </w:rPr>
        <w:t xml:space="preserve"> regulatory costs are </w:t>
      </w:r>
      <w:r>
        <w:rPr>
          <w:szCs w:val="24"/>
        </w:rPr>
        <w:t>primarily driven by</w:t>
      </w:r>
      <w:r w:rsidRPr="000A1BEA">
        <w:rPr>
          <w:szCs w:val="24"/>
        </w:rPr>
        <w:t xml:space="preserve"> the actual demand for VCGLR’s regulatory functions (e.g., premises approvals, new gaming products and rules changes, </w:t>
      </w:r>
      <w:r>
        <w:rPr>
          <w:szCs w:val="24"/>
        </w:rPr>
        <w:t xml:space="preserve">monitoring and </w:t>
      </w:r>
      <w:r w:rsidRPr="000A1BEA">
        <w:rPr>
          <w:szCs w:val="24"/>
        </w:rPr>
        <w:t>investigations</w:t>
      </w:r>
      <w:r>
        <w:rPr>
          <w:szCs w:val="24"/>
        </w:rPr>
        <w:t xml:space="preserve"> required, and </w:t>
      </w:r>
      <w:r w:rsidRPr="000A1BEA">
        <w:rPr>
          <w:szCs w:val="24"/>
        </w:rPr>
        <w:t>employee licensing</w:t>
      </w:r>
      <w:r>
        <w:rPr>
          <w:szCs w:val="24"/>
        </w:rPr>
        <w:t xml:space="preserve"> volumes</w:t>
      </w:r>
      <w:r w:rsidRPr="000A1BEA">
        <w:rPr>
          <w:szCs w:val="24"/>
        </w:rPr>
        <w:t>). The table below expands on the various cost drivers that influence VCGLR’s costs of administering gaming regulation.</w:t>
      </w:r>
    </w:p>
    <w:p w:rsidR="00AF698A" w:rsidRDefault="00AF698A">
      <w:pPr>
        <w:spacing w:before="0" w:after="0"/>
        <w:ind w:left="0"/>
        <w:rPr>
          <w:szCs w:val="24"/>
        </w:rPr>
      </w:pPr>
      <w:r>
        <w:rPr>
          <w:szCs w:val="24"/>
        </w:rPr>
        <w:br w:type="page"/>
      </w:r>
    </w:p>
    <w:p w:rsidR="003854B7" w:rsidRPr="00F54DC2" w:rsidRDefault="008004D4" w:rsidP="00F54DC2">
      <w:pPr>
        <w:pStyle w:val="Heading5"/>
      </w:pPr>
      <w:r>
        <w:t>Table 4.3</w:t>
      </w:r>
      <w:r w:rsidR="003854B7" w:rsidRPr="00F54DC2">
        <w:t xml:space="preserve">  – Cost drivers of VCGLR gaming related regulatory activities </w:t>
      </w:r>
    </w:p>
    <w:tbl>
      <w:tblPr>
        <w:tblW w:w="8221"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985"/>
        <w:gridCol w:w="4251"/>
      </w:tblGrid>
      <w:tr w:rsidR="003854B7" w:rsidRPr="000A1BEA" w:rsidTr="00E37B3B">
        <w:trPr>
          <w:trHeight w:val="438"/>
          <w:tblHeader/>
        </w:trPr>
        <w:tc>
          <w:tcPr>
            <w:tcW w:w="1985" w:type="dxa"/>
            <w:shd w:val="clear" w:color="auto" w:fill="C6D9F1"/>
            <w:vAlign w:val="center"/>
          </w:tcPr>
          <w:p w:rsidR="003854B7" w:rsidRPr="000A1BEA" w:rsidRDefault="003854B7" w:rsidP="001D40FC">
            <w:pPr>
              <w:tabs>
                <w:tab w:val="left" w:pos="709"/>
                <w:tab w:val="left" w:pos="2977"/>
              </w:tabs>
              <w:overflowPunct w:val="0"/>
              <w:autoSpaceDE w:val="0"/>
              <w:autoSpaceDN w:val="0"/>
              <w:adjustRightInd w:val="0"/>
              <w:spacing w:before="120" w:after="120"/>
              <w:ind w:left="0"/>
              <w:jc w:val="center"/>
              <w:textAlignment w:val="baseline"/>
              <w:rPr>
                <w:b/>
                <w:caps/>
                <w:color w:val="404040" w:themeColor="text1" w:themeTint="BF"/>
                <w:sz w:val="18"/>
                <w:szCs w:val="20"/>
                <w:lang w:val="en-US" w:eastAsia="en-US"/>
              </w:rPr>
            </w:pPr>
            <w:r w:rsidRPr="000A1BEA">
              <w:rPr>
                <w:b/>
                <w:caps/>
                <w:color w:val="404040" w:themeColor="text1" w:themeTint="BF"/>
                <w:sz w:val="18"/>
                <w:szCs w:val="20"/>
                <w:lang w:val="en-US" w:eastAsia="en-US"/>
              </w:rPr>
              <w:t>Activity</w:t>
            </w:r>
          </w:p>
        </w:tc>
        <w:tc>
          <w:tcPr>
            <w:tcW w:w="1985" w:type="dxa"/>
            <w:shd w:val="clear" w:color="auto" w:fill="C6D9F1"/>
            <w:vAlign w:val="center"/>
          </w:tcPr>
          <w:p w:rsidR="003854B7" w:rsidRPr="000A1BEA" w:rsidRDefault="003854B7" w:rsidP="001D40FC">
            <w:pPr>
              <w:tabs>
                <w:tab w:val="left" w:pos="709"/>
                <w:tab w:val="left" w:pos="2977"/>
              </w:tabs>
              <w:spacing w:before="120" w:after="120"/>
              <w:ind w:left="0"/>
              <w:jc w:val="center"/>
              <w:rPr>
                <w:b/>
                <w:caps/>
                <w:color w:val="404040" w:themeColor="text1" w:themeTint="BF"/>
                <w:sz w:val="18"/>
                <w:szCs w:val="20"/>
                <w:lang w:val="en-US" w:eastAsia="en-US"/>
              </w:rPr>
            </w:pPr>
            <w:r w:rsidRPr="000A1BEA">
              <w:rPr>
                <w:b/>
                <w:caps/>
                <w:color w:val="404040" w:themeColor="text1" w:themeTint="BF"/>
                <w:sz w:val="18"/>
                <w:szCs w:val="20"/>
                <w:lang w:val="en-US" w:eastAsia="en-US"/>
              </w:rPr>
              <w:t>Cost Driver</w:t>
            </w:r>
          </w:p>
        </w:tc>
        <w:tc>
          <w:tcPr>
            <w:tcW w:w="4251" w:type="dxa"/>
            <w:shd w:val="clear" w:color="auto" w:fill="C6D9F1"/>
            <w:vAlign w:val="center"/>
          </w:tcPr>
          <w:p w:rsidR="003854B7" w:rsidRPr="000A1BEA" w:rsidRDefault="003854B7" w:rsidP="001D40FC">
            <w:pPr>
              <w:tabs>
                <w:tab w:val="left" w:pos="709"/>
                <w:tab w:val="left" w:pos="2977"/>
              </w:tabs>
              <w:spacing w:before="120" w:after="120"/>
              <w:ind w:left="0"/>
              <w:jc w:val="center"/>
              <w:rPr>
                <w:b/>
                <w:caps/>
                <w:color w:val="404040" w:themeColor="text1" w:themeTint="BF"/>
                <w:sz w:val="18"/>
                <w:szCs w:val="20"/>
                <w:lang w:val="en-US" w:eastAsia="en-US"/>
              </w:rPr>
            </w:pPr>
            <w:r w:rsidRPr="000A1BEA">
              <w:rPr>
                <w:b/>
                <w:caps/>
                <w:color w:val="404040" w:themeColor="text1" w:themeTint="BF"/>
                <w:sz w:val="18"/>
                <w:szCs w:val="20"/>
                <w:lang w:val="en-US" w:eastAsia="en-US"/>
              </w:rPr>
              <w:t>additional factors</w:t>
            </w:r>
          </w:p>
        </w:tc>
      </w:tr>
      <w:tr w:rsidR="003854B7" w:rsidRPr="003854B7" w:rsidTr="00E37B3B">
        <w:trPr>
          <w:trHeight w:val="859"/>
        </w:trPr>
        <w:tc>
          <w:tcPr>
            <w:tcW w:w="1985" w:type="dxa"/>
            <w:vAlign w:val="center"/>
          </w:tcPr>
          <w:p w:rsidR="003854B7" w:rsidRPr="000A1BEA" w:rsidRDefault="003854B7" w:rsidP="001D40FC">
            <w:pPr>
              <w:tabs>
                <w:tab w:val="left" w:pos="709"/>
                <w:tab w:val="left" w:pos="2977"/>
              </w:tabs>
              <w:overflowPunct w:val="0"/>
              <w:autoSpaceDE w:val="0"/>
              <w:autoSpaceDN w:val="0"/>
              <w:adjustRightInd w:val="0"/>
              <w:spacing w:before="120" w:after="120"/>
              <w:ind w:left="176"/>
              <w:textAlignment w:val="baseline"/>
              <w:rPr>
                <w:b/>
                <w:color w:val="404040" w:themeColor="text1" w:themeTint="BF"/>
                <w:sz w:val="18"/>
                <w:szCs w:val="20"/>
                <w:lang w:val="en-US" w:eastAsia="en-US"/>
              </w:rPr>
            </w:pPr>
            <w:r w:rsidRPr="000A1BEA">
              <w:rPr>
                <w:b/>
                <w:color w:val="404040" w:themeColor="text1" w:themeTint="BF"/>
                <w:sz w:val="18"/>
                <w:szCs w:val="20"/>
                <w:lang w:val="en-US" w:eastAsia="en-US"/>
              </w:rPr>
              <w:t>Processing licence and permit applications</w:t>
            </w:r>
          </w:p>
        </w:tc>
        <w:tc>
          <w:tcPr>
            <w:tcW w:w="1985" w:type="dxa"/>
            <w:vAlign w:val="center"/>
          </w:tcPr>
          <w:p w:rsidR="003854B7" w:rsidRPr="000A1BEA" w:rsidRDefault="003854B7" w:rsidP="001D40FC">
            <w:pPr>
              <w:tabs>
                <w:tab w:val="left" w:pos="709"/>
                <w:tab w:val="left" w:pos="2977"/>
              </w:tabs>
              <w:spacing w:before="120" w:after="120"/>
              <w:ind w:left="175"/>
              <w:rPr>
                <w:color w:val="404040" w:themeColor="text1" w:themeTint="BF"/>
                <w:sz w:val="18"/>
                <w:szCs w:val="20"/>
                <w:lang w:val="en-US" w:eastAsia="en-US"/>
              </w:rPr>
            </w:pPr>
            <w:r w:rsidRPr="000A1BEA">
              <w:rPr>
                <w:color w:val="404040" w:themeColor="text1" w:themeTint="BF"/>
                <w:sz w:val="18"/>
                <w:szCs w:val="20"/>
                <w:lang w:val="en-US" w:eastAsia="en-US"/>
              </w:rPr>
              <w:t>Number</w:t>
            </w:r>
            <w:r w:rsidR="001D40FC">
              <w:rPr>
                <w:color w:val="404040" w:themeColor="text1" w:themeTint="BF"/>
                <w:sz w:val="18"/>
                <w:szCs w:val="20"/>
                <w:lang w:val="en-US" w:eastAsia="en-US"/>
              </w:rPr>
              <w:t xml:space="preserve"> and complexity</w:t>
            </w:r>
            <w:r w:rsidRPr="000A1BEA">
              <w:rPr>
                <w:color w:val="404040" w:themeColor="text1" w:themeTint="BF"/>
                <w:sz w:val="18"/>
                <w:szCs w:val="20"/>
                <w:lang w:val="en-US" w:eastAsia="en-US"/>
              </w:rPr>
              <w:t xml:space="preserve"> of applications for licences or permits</w:t>
            </w:r>
          </w:p>
        </w:tc>
        <w:tc>
          <w:tcPr>
            <w:tcW w:w="4251" w:type="dxa"/>
            <w:vAlign w:val="center"/>
          </w:tcPr>
          <w:p w:rsidR="003854B7" w:rsidRPr="000A1BEA" w:rsidRDefault="003854B7" w:rsidP="001D40FC">
            <w:pPr>
              <w:numPr>
                <w:ilvl w:val="0"/>
                <w:numId w:val="26"/>
              </w:numPr>
              <w:tabs>
                <w:tab w:val="left" w:pos="317"/>
                <w:tab w:val="left" w:pos="2977"/>
              </w:tabs>
              <w:spacing w:before="120" w:after="120"/>
              <w:ind w:left="317" w:hanging="283"/>
              <w:rPr>
                <w:color w:val="404040" w:themeColor="text1" w:themeTint="BF"/>
                <w:sz w:val="18"/>
                <w:szCs w:val="20"/>
                <w:lang w:val="en-US" w:eastAsia="en-US"/>
              </w:rPr>
            </w:pPr>
            <w:r w:rsidRPr="000A1BEA">
              <w:rPr>
                <w:color w:val="404040" w:themeColor="text1" w:themeTint="BF"/>
                <w:sz w:val="18"/>
                <w:szCs w:val="20"/>
                <w:lang w:val="en-US" w:eastAsia="en-US"/>
              </w:rPr>
              <w:t xml:space="preserve">Complexity of applicant/s, including number and </w:t>
            </w:r>
            <w:r w:rsidR="00EF60D3">
              <w:rPr>
                <w:color w:val="404040" w:themeColor="text1" w:themeTint="BF"/>
                <w:sz w:val="18"/>
                <w:szCs w:val="20"/>
                <w:lang w:val="en-US" w:eastAsia="en-US"/>
              </w:rPr>
              <w:t>types of associates, entities, and</w:t>
            </w:r>
            <w:r w:rsidRPr="000A1BEA">
              <w:rPr>
                <w:color w:val="404040" w:themeColor="text1" w:themeTint="BF"/>
                <w:sz w:val="18"/>
                <w:szCs w:val="20"/>
                <w:lang w:val="en-US" w:eastAsia="en-US"/>
              </w:rPr>
              <w:t xml:space="preserve"> other related issues involved.</w:t>
            </w:r>
          </w:p>
        </w:tc>
      </w:tr>
      <w:tr w:rsidR="003854B7" w:rsidRPr="003854B7" w:rsidTr="00E37B3B">
        <w:trPr>
          <w:trHeight w:val="2119"/>
        </w:trPr>
        <w:tc>
          <w:tcPr>
            <w:tcW w:w="1985" w:type="dxa"/>
            <w:vAlign w:val="center"/>
          </w:tcPr>
          <w:p w:rsidR="003854B7" w:rsidRPr="000A1BEA" w:rsidRDefault="003854B7" w:rsidP="001D40FC">
            <w:pPr>
              <w:tabs>
                <w:tab w:val="left" w:pos="709"/>
                <w:tab w:val="left" w:pos="2977"/>
              </w:tabs>
              <w:overflowPunct w:val="0"/>
              <w:autoSpaceDE w:val="0"/>
              <w:autoSpaceDN w:val="0"/>
              <w:adjustRightInd w:val="0"/>
              <w:spacing w:before="120" w:after="120"/>
              <w:ind w:left="176"/>
              <w:textAlignment w:val="baseline"/>
              <w:rPr>
                <w:b/>
                <w:color w:val="404040" w:themeColor="text1" w:themeTint="BF"/>
                <w:sz w:val="18"/>
                <w:szCs w:val="20"/>
                <w:lang w:val="en-US" w:eastAsia="en-US"/>
              </w:rPr>
            </w:pPr>
            <w:r w:rsidRPr="000A1BEA">
              <w:rPr>
                <w:b/>
                <w:color w:val="404040" w:themeColor="text1" w:themeTint="BF"/>
                <w:sz w:val="18"/>
                <w:szCs w:val="20"/>
                <w:lang w:val="en-US" w:eastAsia="en-US"/>
              </w:rPr>
              <w:t>Conducting investigations</w:t>
            </w:r>
          </w:p>
        </w:tc>
        <w:tc>
          <w:tcPr>
            <w:tcW w:w="1985" w:type="dxa"/>
            <w:vAlign w:val="center"/>
          </w:tcPr>
          <w:p w:rsidR="003854B7" w:rsidRPr="000A1BEA" w:rsidRDefault="003854B7" w:rsidP="001D40FC">
            <w:pPr>
              <w:tabs>
                <w:tab w:val="left" w:pos="709"/>
                <w:tab w:val="left" w:pos="2977"/>
              </w:tabs>
              <w:spacing w:before="120" w:after="120"/>
              <w:ind w:left="175"/>
              <w:rPr>
                <w:color w:val="404040" w:themeColor="text1" w:themeTint="BF"/>
                <w:sz w:val="18"/>
                <w:szCs w:val="20"/>
                <w:lang w:val="en-US" w:eastAsia="en-US"/>
              </w:rPr>
            </w:pPr>
            <w:r w:rsidRPr="000A1BEA">
              <w:rPr>
                <w:color w:val="404040" w:themeColor="text1" w:themeTint="BF"/>
                <w:sz w:val="18"/>
                <w:szCs w:val="20"/>
                <w:lang w:val="en-US" w:eastAsia="en-US"/>
              </w:rPr>
              <w:t>Number of investigations</w:t>
            </w:r>
          </w:p>
        </w:tc>
        <w:tc>
          <w:tcPr>
            <w:tcW w:w="4251" w:type="dxa"/>
            <w:vAlign w:val="center"/>
          </w:tcPr>
          <w:p w:rsidR="003854B7" w:rsidRPr="000A1BEA" w:rsidRDefault="003854B7" w:rsidP="001D40FC">
            <w:pPr>
              <w:numPr>
                <w:ilvl w:val="0"/>
                <w:numId w:val="26"/>
              </w:numPr>
              <w:tabs>
                <w:tab w:val="left" w:pos="317"/>
                <w:tab w:val="left" w:pos="2977"/>
              </w:tabs>
              <w:spacing w:before="120" w:after="120"/>
              <w:ind w:left="317" w:hanging="283"/>
              <w:rPr>
                <w:color w:val="404040" w:themeColor="text1" w:themeTint="BF"/>
                <w:sz w:val="18"/>
                <w:szCs w:val="20"/>
                <w:lang w:val="en-US" w:eastAsia="en-US"/>
              </w:rPr>
            </w:pPr>
            <w:r w:rsidRPr="000A1BEA">
              <w:rPr>
                <w:color w:val="404040" w:themeColor="text1" w:themeTint="BF"/>
                <w:sz w:val="18"/>
                <w:szCs w:val="20"/>
                <w:lang w:val="en-US" w:eastAsia="en-US"/>
              </w:rPr>
              <w:t>Number of complaints or issues raised.</w:t>
            </w:r>
          </w:p>
          <w:p w:rsidR="003854B7" w:rsidRPr="000A1BEA" w:rsidRDefault="003854B7" w:rsidP="001D40FC">
            <w:pPr>
              <w:numPr>
                <w:ilvl w:val="0"/>
                <w:numId w:val="26"/>
              </w:numPr>
              <w:tabs>
                <w:tab w:val="left" w:pos="317"/>
                <w:tab w:val="left" w:pos="2977"/>
              </w:tabs>
              <w:spacing w:before="120" w:after="120"/>
              <w:ind w:left="317" w:hanging="283"/>
              <w:rPr>
                <w:color w:val="404040" w:themeColor="text1" w:themeTint="BF"/>
                <w:sz w:val="18"/>
                <w:szCs w:val="20"/>
                <w:lang w:val="en-US" w:eastAsia="en-US"/>
              </w:rPr>
            </w:pPr>
            <w:r w:rsidRPr="000A1BEA">
              <w:rPr>
                <w:color w:val="404040" w:themeColor="text1" w:themeTint="BF"/>
                <w:sz w:val="18"/>
                <w:szCs w:val="20"/>
                <w:lang w:val="en-US" w:eastAsia="en-US"/>
              </w:rPr>
              <w:t xml:space="preserve">Corporate activity of the </w:t>
            </w:r>
            <w:r w:rsidR="00EF60D3">
              <w:rPr>
                <w:color w:val="404040" w:themeColor="text1" w:themeTint="BF"/>
                <w:sz w:val="18"/>
                <w:szCs w:val="20"/>
                <w:lang w:val="en-US" w:eastAsia="en-US"/>
              </w:rPr>
              <w:t>licensed or approved entities; e</w:t>
            </w:r>
            <w:r w:rsidRPr="000A1BEA">
              <w:rPr>
                <w:color w:val="404040" w:themeColor="text1" w:themeTint="BF"/>
                <w:sz w:val="18"/>
                <w:szCs w:val="20"/>
                <w:lang w:val="en-US" w:eastAsia="en-US"/>
              </w:rPr>
              <w:t>.g. mergers, takeovers, new joint ventures, and any significant litigation.</w:t>
            </w:r>
          </w:p>
          <w:p w:rsidR="003854B7" w:rsidRPr="000A1BEA" w:rsidRDefault="003854B7" w:rsidP="001D40FC">
            <w:pPr>
              <w:numPr>
                <w:ilvl w:val="0"/>
                <w:numId w:val="26"/>
              </w:numPr>
              <w:tabs>
                <w:tab w:val="left" w:pos="317"/>
                <w:tab w:val="left" w:pos="2977"/>
              </w:tabs>
              <w:spacing w:before="120" w:after="120"/>
              <w:ind w:left="317" w:hanging="283"/>
              <w:rPr>
                <w:color w:val="404040" w:themeColor="text1" w:themeTint="BF"/>
                <w:sz w:val="18"/>
                <w:szCs w:val="20"/>
                <w:lang w:val="en-US" w:eastAsia="en-US"/>
              </w:rPr>
            </w:pPr>
            <w:r w:rsidRPr="000A1BEA">
              <w:rPr>
                <w:color w:val="404040" w:themeColor="text1" w:themeTint="BF"/>
                <w:sz w:val="18"/>
                <w:szCs w:val="20"/>
                <w:lang w:val="en-US" w:eastAsia="en-US"/>
              </w:rPr>
              <w:t>Volume of work involving industry employees, including complaints, disciplinary actions, and prosecutions.</w:t>
            </w:r>
          </w:p>
          <w:p w:rsidR="003854B7" w:rsidRPr="000A1BEA" w:rsidRDefault="003854B7" w:rsidP="001D40FC">
            <w:pPr>
              <w:numPr>
                <w:ilvl w:val="0"/>
                <w:numId w:val="26"/>
              </w:numPr>
              <w:tabs>
                <w:tab w:val="left" w:pos="317"/>
                <w:tab w:val="left" w:pos="2977"/>
              </w:tabs>
              <w:spacing w:before="120" w:after="120"/>
              <w:ind w:left="317" w:hanging="283"/>
              <w:rPr>
                <w:color w:val="404040" w:themeColor="text1" w:themeTint="BF"/>
                <w:sz w:val="18"/>
                <w:szCs w:val="20"/>
                <w:lang w:val="en-US" w:eastAsia="en-US"/>
              </w:rPr>
            </w:pPr>
            <w:r w:rsidRPr="000A1BEA">
              <w:rPr>
                <w:color w:val="404040" w:themeColor="text1" w:themeTint="BF"/>
                <w:sz w:val="18"/>
                <w:szCs w:val="20"/>
                <w:lang w:val="en-US" w:eastAsia="en-US"/>
              </w:rPr>
              <w:t>Probity investigations regarding licence/approval applications</w:t>
            </w:r>
            <w:r w:rsidR="001D40FC">
              <w:t xml:space="preserve"> </w:t>
            </w:r>
            <w:r w:rsidR="001D40FC" w:rsidRPr="001D40FC">
              <w:rPr>
                <w:color w:val="404040" w:themeColor="text1" w:themeTint="BF"/>
                <w:sz w:val="18"/>
                <w:szCs w:val="20"/>
                <w:lang w:val="en-US" w:eastAsia="en-US"/>
              </w:rPr>
              <w:t>and arising from monitoring of gaming industry participants</w:t>
            </w:r>
            <w:r w:rsidRPr="000A1BEA">
              <w:rPr>
                <w:color w:val="404040" w:themeColor="text1" w:themeTint="BF"/>
                <w:sz w:val="18"/>
                <w:szCs w:val="20"/>
                <w:lang w:val="en-US" w:eastAsia="en-US"/>
              </w:rPr>
              <w:t>.</w:t>
            </w:r>
          </w:p>
        </w:tc>
      </w:tr>
      <w:tr w:rsidR="003854B7" w:rsidRPr="003854B7" w:rsidTr="00E37B3B">
        <w:tc>
          <w:tcPr>
            <w:tcW w:w="1985" w:type="dxa"/>
            <w:vAlign w:val="center"/>
          </w:tcPr>
          <w:p w:rsidR="003854B7" w:rsidRPr="000A1BEA" w:rsidRDefault="003854B7" w:rsidP="001D40FC">
            <w:pPr>
              <w:tabs>
                <w:tab w:val="left" w:pos="709"/>
                <w:tab w:val="left" w:pos="2977"/>
              </w:tabs>
              <w:overflowPunct w:val="0"/>
              <w:autoSpaceDE w:val="0"/>
              <w:autoSpaceDN w:val="0"/>
              <w:adjustRightInd w:val="0"/>
              <w:spacing w:before="120" w:after="120"/>
              <w:ind w:left="176"/>
              <w:textAlignment w:val="baseline"/>
              <w:rPr>
                <w:b/>
                <w:color w:val="404040" w:themeColor="text1" w:themeTint="BF"/>
                <w:sz w:val="18"/>
                <w:szCs w:val="20"/>
                <w:lang w:val="en-US" w:eastAsia="en-US"/>
              </w:rPr>
            </w:pPr>
            <w:r w:rsidRPr="000A1BEA">
              <w:rPr>
                <w:b/>
                <w:color w:val="404040" w:themeColor="text1" w:themeTint="BF"/>
                <w:sz w:val="18"/>
                <w:szCs w:val="20"/>
                <w:lang w:val="en-US" w:eastAsia="en-US"/>
              </w:rPr>
              <w:t xml:space="preserve">Conducting technical </w:t>
            </w:r>
            <w:r w:rsidR="00EF60D3">
              <w:rPr>
                <w:b/>
                <w:color w:val="404040" w:themeColor="text1" w:themeTint="BF"/>
                <w:sz w:val="18"/>
                <w:szCs w:val="20"/>
                <w:lang w:val="en-US" w:eastAsia="en-US"/>
              </w:rPr>
              <w:t xml:space="preserve">and premises inspections, and assessments and </w:t>
            </w:r>
            <w:r w:rsidRPr="000A1BEA">
              <w:rPr>
                <w:b/>
                <w:color w:val="404040" w:themeColor="text1" w:themeTint="BF"/>
                <w:sz w:val="18"/>
                <w:szCs w:val="20"/>
                <w:lang w:val="en-US" w:eastAsia="en-US"/>
              </w:rPr>
              <w:t>investigations</w:t>
            </w:r>
          </w:p>
        </w:tc>
        <w:tc>
          <w:tcPr>
            <w:tcW w:w="6236" w:type="dxa"/>
            <w:gridSpan w:val="2"/>
            <w:vAlign w:val="center"/>
          </w:tcPr>
          <w:p w:rsidR="003854B7" w:rsidRPr="000A1BEA" w:rsidRDefault="003854B7" w:rsidP="001D40FC">
            <w:pPr>
              <w:tabs>
                <w:tab w:val="left" w:pos="709"/>
                <w:tab w:val="left" w:pos="2977"/>
              </w:tabs>
              <w:spacing w:before="120" w:after="120"/>
              <w:ind w:left="175"/>
              <w:rPr>
                <w:color w:val="404040" w:themeColor="text1" w:themeTint="BF"/>
                <w:sz w:val="18"/>
                <w:szCs w:val="20"/>
                <w:lang w:val="en-US" w:eastAsia="en-US"/>
              </w:rPr>
            </w:pPr>
            <w:r w:rsidRPr="000A1BEA">
              <w:rPr>
                <w:color w:val="404040" w:themeColor="text1" w:themeTint="BF"/>
                <w:sz w:val="18"/>
                <w:szCs w:val="20"/>
                <w:lang w:val="en-US" w:eastAsia="en-US"/>
              </w:rPr>
              <w:t>Number of installations of gaming equipment, modifications to gaming premises, new premises,</w:t>
            </w:r>
            <w:r w:rsidR="00A100F3">
              <w:rPr>
                <w:color w:val="404040" w:themeColor="text1" w:themeTint="BF"/>
                <w:sz w:val="18"/>
                <w:szCs w:val="20"/>
                <w:lang w:val="en-US" w:eastAsia="en-US"/>
              </w:rPr>
              <w:t xml:space="preserve"> number of </w:t>
            </w:r>
            <w:r w:rsidRPr="000A1BEA">
              <w:rPr>
                <w:color w:val="404040" w:themeColor="text1" w:themeTint="BF"/>
                <w:sz w:val="18"/>
                <w:szCs w:val="20"/>
                <w:lang w:val="en-US" w:eastAsia="en-US"/>
              </w:rPr>
              <w:t>issues with conduct of gaming and gaming machine</w:t>
            </w:r>
            <w:r w:rsidR="00A100F3">
              <w:rPr>
                <w:color w:val="404040" w:themeColor="text1" w:themeTint="BF"/>
                <w:sz w:val="18"/>
                <w:szCs w:val="20"/>
                <w:lang w:val="en-US" w:eastAsia="en-US"/>
              </w:rPr>
              <w:t xml:space="preserve"> operations</w:t>
            </w:r>
            <w:r w:rsidR="00237B86">
              <w:rPr>
                <w:color w:val="404040" w:themeColor="text1" w:themeTint="BF"/>
                <w:sz w:val="18"/>
                <w:szCs w:val="20"/>
                <w:lang w:val="en-US" w:eastAsia="en-US"/>
              </w:rPr>
              <w:t>.</w:t>
            </w:r>
          </w:p>
        </w:tc>
      </w:tr>
      <w:tr w:rsidR="003854B7" w:rsidRPr="003854B7" w:rsidTr="00E37B3B">
        <w:tc>
          <w:tcPr>
            <w:tcW w:w="1985" w:type="dxa"/>
            <w:vAlign w:val="center"/>
          </w:tcPr>
          <w:p w:rsidR="003854B7" w:rsidRPr="000A1BEA" w:rsidRDefault="003854B7" w:rsidP="001D40FC">
            <w:pPr>
              <w:tabs>
                <w:tab w:val="left" w:pos="709"/>
                <w:tab w:val="left" w:pos="2977"/>
              </w:tabs>
              <w:overflowPunct w:val="0"/>
              <w:autoSpaceDE w:val="0"/>
              <w:autoSpaceDN w:val="0"/>
              <w:adjustRightInd w:val="0"/>
              <w:spacing w:before="120" w:after="120"/>
              <w:ind w:left="176"/>
              <w:textAlignment w:val="baseline"/>
              <w:rPr>
                <w:b/>
                <w:color w:val="404040" w:themeColor="text1" w:themeTint="BF"/>
                <w:sz w:val="18"/>
                <w:szCs w:val="20"/>
                <w:lang w:val="en-US" w:eastAsia="en-US"/>
              </w:rPr>
            </w:pPr>
            <w:r w:rsidRPr="000A1BEA">
              <w:rPr>
                <w:b/>
                <w:color w:val="404040" w:themeColor="text1" w:themeTint="BF"/>
                <w:sz w:val="18"/>
                <w:szCs w:val="20"/>
                <w:lang w:val="en-US" w:eastAsia="en-US"/>
              </w:rPr>
              <w:t>Undertaking analysis of gambling financial data</w:t>
            </w:r>
          </w:p>
        </w:tc>
        <w:tc>
          <w:tcPr>
            <w:tcW w:w="6236" w:type="dxa"/>
            <w:gridSpan w:val="2"/>
            <w:vAlign w:val="center"/>
          </w:tcPr>
          <w:p w:rsidR="003854B7" w:rsidRPr="000A1BEA" w:rsidRDefault="003854B7" w:rsidP="001D40FC">
            <w:pPr>
              <w:tabs>
                <w:tab w:val="left" w:pos="709"/>
                <w:tab w:val="left" w:pos="2977"/>
              </w:tabs>
              <w:spacing w:before="120" w:after="120"/>
              <w:ind w:left="175"/>
              <w:rPr>
                <w:color w:val="404040" w:themeColor="text1" w:themeTint="BF"/>
                <w:sz w:val="18"/>
                <w:szCs w:val="20"/>
                <w:lang w:val="en-US" w:eastAsia="en-US"/>
              </w:rPr>
            </w:pPr>
            <w:r w:rsidRPr="000A1BEA">
              <w:rPr>
                <w:color w:val="404040" w:themeColor="text1" w:themeTint="BF"/>
                <w:sz w:val="18"/>
                <w:szCs w:val="20"/>
                <w:lang w:val="en-US" w:eastAsia="en-US"/>
              </w:rPr>
              <w:t>Number of audit reports.</w:t>
            </w:r>
          </w:p>
          <w:p w:rsidR="003854B7" w:rsidRPr="000A1BEA" w:rsidRDefault="003854B7" w:rsidP="001D40FC">
            <w:pPr>
              <w:numPr>
                <w:ilvl w:val="0"/>
                <w:numId w:val="27"/>
              </w:numPr>
              <w:tabs>
                <w:tab w:val="left" w:pos="601"/>
                <w:tab w:val="left" w:pos="2977"/>
              </w:tabs>
              <w:spacing w:before="120" w:after="120"/>
              <w:ind w:left="601"/>
              <w:rPr>
                <w:color w:val="404040" w:themeColor="text1" w:themeTint="BF"/>
                <w:sz w:val="18"/>
                <w:szCs w:val="20"/>
                <w:lang w:val="en-US" w:eastAsia="en-US"/>
              </w:rPr>
            </w:pPr>
            <w:r w:rsidRPr="000A1BEA">
              <w:rPr>
                <w:color w:val="404040" w:themeColor="text1" w:themeTint="BF"/>
                <w:sz w:val="18"/>
                <w:szCs w:val="20"/>
                <w:lang w:val="en-US" w:eastAsia="en-US"/>
              </w:rPr>
              <w:t xml:space="preserve">Financial analysis and audit includes analysing </w:t>
            </w:r>
            <w:r w:rsidR="00F13192">
              <w:rPr>
                <w:color w:val="404040" w:themeColor="text1" w:themeTint="BF"/>
                <w:sz w:val="18"/>
                <w:szCs w:val="20"/>
                <w:lang w:val="en-US" w:eastAsia="en-US"/>
              </w:rPr>
              <w:t>venue op</w:t>
            </w:r>
            <w:r w:rsidR="00472069">
              <w:rPr>
                <w:color w:val="404040" w:themeColor="text1" w:themeTint="BF"/>
                <w:sz w:val="18"/>
                <w:szCs w:val="20"/>
                <w:lang w:val="en-US" w:eastAsia="en-US"/>
              </w:rPr>
              <w:t>erator</w:t>
            </w:r>
            <w:r w:rsidRPr="000A1BEA">
              <w:rPr>
                <w:color w:val="404040" w:themeColor="text1" w:themeTint="BF"/>
                <w:sz w:val="18"/>
                <w:szCs w:val="20"/>
                <w:lang w:val="en-US" w:eastAsia="en-US"/>
              </w:rPr>
              <w:t xml:space="preserve"> gaming machine financial data to assess any variations and anomalies, and ensuring venues apply correct return to player and government tax revenue ratios.</w:t>
            </w:r>
          </w:p>
        </w:tc>
      </w:tr>
      <w:tr w:rsidR="003854B7" w:rsidRPr="003854B7" w:rsidTr="00E37B3B">
        <w:tc>
          <w:tcPr>
            <w:tcW w:w="1985" w:type="dxa"/>
            <w:vAlign w:val="center"/>
          </w:tcPr>
          <w:p w:rsidR="003854B7" w:rsidRPr="000A1BEA" w:rsidRDefault="00EF60D3" w:rsidP="001D40FC">
            <w:pPr>
              <w:tabs>
                <w:tab w:val="left" w:pos="709"/>
                <w:tab w:val="left" w:pos="2977"/>
              </w:tabs>
              <w:overflowPunct w:val="0"/>
              <w:autoSpaceDE w:val="0"/>
              <w:autoSpaceDN w:val="0"/>
              <w:adjustRightInd w:val="0"/>
              <w:spacing w:before="120" w:after="120"/>
              <w:ind w:left="176"/>
              <w:textAlignment w:val="baseline"/>
              <w:rPr>
                <w:b/>
                <w:color w:val="404040" w:themeColor="text1" w:themeTint="BF"/>
                <w:sz w:val="18"/>
                <w:szCs w:val="20"/>
                <w:lang w:val="en-US" w:eastAsia="en-US"/>
              </w:rPr>
            </w:pPr>
            <w:r>
              <w:rPr>
                <w:b/>
                <w:color w:val="404040" w:themeColor="text1" w:themeTint="BF"/>
                <w:sz w:val="18"/>
                <w:szCs w:val="20"/>
                <w:lang w:val="en-US" w:eastAsia="en-US"/>
              </w:rPr>
              <w:t>Testing and</w:t>
            </w:r>
            <w:r w:rsidR="003854B7" w:rsidRPr="000A1BEA">
              <w:rPr>
                <w:b/>
                <w:color w:val="404040" w:themeColor="text1" w:themeTint="BF"/>
                <w:sz w:val="18"/>
                <w:szCs w:val="20"/>
                <w:lang w:val="en-US" w:eastAsia="en-US"/>
              </w:rPr>
              <w:t xml:space="preserve"> evaluating gaming machine equipment</w:t>
            </w:r>
          </w:p>
        </w:tc>
        <w:tc>
          <w:tcPr>
            <w:tcW w:w="1985" w:type="dxa"/>
            <w:vAlign w:val="center"/>
          </w:tcPr>
          <w:p w:rsidR="003854B7" w:rsidRPr="000A1BEA" w:rsidRDefault="003854B7" w:rsidP="001D40FC">
            <w:pPr>
              <w:tabs>
                <w:tab w:val="left" w:pos="709"/>
                <w:tab w:val="left" w:pos="2977"/>
              </w:tabs>
              <w:spacing w:before="120" w:after="120"/>
              <w:ind w:left="175"/>
              <w:rPr>
                <w:color w:val="404040" w:themeColor="text1" w:themeTint="BF"/>
                <w:sz w:val="18"/>
                <w:szCs w:val="20"/>
                <w:lang w:val="en-US" w:eastAsia="en-US"/>
              </w:rPr>
            </w:pPr>
            <w:r w:rsidRPr="000A1BEA">
              <w:rPr>
                <w:color w:val="404040" w:themeColor="text1" w:themeTint="BF"/>
                <w:sz w:val="18"/>
                <w:szCs w:val="20"/>
                <w:lang w:val="en-US" w:eastAsia="en-US"/>
              </w:rPr>
              <w:t>Number of applications for approval</w:t>
            </w:r>
          </w:p>
        </w:tc>
        <w:tc>
          <w:tcPr>
            <w:tcW w:w="4251" w:type="dxa"/>
            <w:vAlign w:val="center"/>
          </w:tcPr>
          <w:p w:rsidR="003854B7" w:rsidRPr="000A1BEA" w:rsidRDefault="003854B7" w:rsidP="001D40FC">
            <w:pPr>
              <w:numPr>
                <w:ilvl w:val="0"/>
                <w:numId w:val="26"/>
              </w:numPr>
              <w:tabs>
                <w:tab w:val="left" w:pos="317"/>
                <w:tab w:val="left" w:pos="2977"/>
              </w:tabs>
              <w:spacing w:before="120" w:after="120"/>
              <w:ind w:left="317" w:hanging="283"/>
              <w:rPr>
                <w:color w:val="404040" w:themeColor="text1" w:themeTint="BF"/>
                <w:sz w:val="18"/>
                <w:szCs w:val="20"/>
                <w:lang w:val="en-US" w:eastAsia="en-US"/>
              </w:rPr>
            </w:pPr>
            <w:r w:rsidRPr="000A1BEA">
              <w:rPr>
                <w:color w:val="404040" w:themeColor="text1" w:themeTint="BF"/>
                <w:sz w:val="18"/>
                <w:szCs w:val="20"/>
                <w:lang w:val="en-US" w:eastAsia="en-US"/>
              </w:rPr>
              <w:t>Volume of new games, updated games and products applications, new rules, companies implementing requirements arising from new legislation or legislative change.</w:t>
            </w:r>
          </w:p>
        </w:tc>
      </w:tr>
      <w:tr w:rsidR="003854B7" w:rsidRPr="003854B7" w:rsidTr="00E37B3B">
        <w:tc>
          <w:tcPr>
            <w:tcW w:w="1985" w:type="dxa"/>
            <w:vAlign w:val="center"/>
          </w:tcPr>
          <w:p w:rsidR="003854B7" w:rsidRPr="000A1BEA" w:rsidRDefault="003854B7" w:rsidP="001D40FC">
            <w:pPr>
              <w:tabs>
                <w:tab w:val="left" w:pos="709"/>
                <w:tab w:val="left" w:pos="2977"/>
              </w:tabs>
              <w:overflowPunct w:val="0"/>
              <w:autoSpaceDE w:val="0"/>
              <w:autoSpaceDN w:val="0"/>
              <w:adjustRightInd w:val="0"/>
              <w:spacing w:before="120" w:after="120"/>
              <w:ind w:left="176"/>
              <w:textAlignment w:val="baseline"/>
              <w:rPr>
                <w:b/>
                <w:color w:val="404040" w:themeColor="text1" w:themeTint="BF"/>
                <w:sz w:val="18"/>
                <w:szCs w:val="20"/>
                <w:lang w:val="en-US" w:eastAsia="en-US"/>
              </w:rPr>
            </w:pPr>
            <w:r w:rsidRPr="000A1BEA">
              <w:rPr>
                <w:b/>
                <w:color w:val="404040" w:themeColor="text1" w:themeTint="BF"/>
                <w:sz w:val="18"/>
                <w:szCs w:val="20"/>
                <w:lang w:val="en-US" w:eastAsia="en-US"/>
              </w:rPr>
              <w:t xml:space="preserve">Supervising </w:t>
            </w:r>
            <w:r w:rsidR="00F13192">
              <w:rPr>
                <w:b/>
                <w:color w:val="404040" w:themeColor="text1" w:themeTint="BF"/>
                <w:sz w:val="18"/>
                <w:szCs w:val="20"/>
                <w:lang w:val="en-US" w:eastAsia="en-US"/>
              </w:rPr>
              <w:t>venue o</w:t>
            </w:r>
            <w:r w:rsidR="00472069">
              <w:rPr>
                <w:b/>
                <w:color w:val="404040" w:themeColor="text1" w:themeTint="BF"/>
                <w:sz w:val="18"/>
                <w:szCs w:val="20"/>
                <w:lang w:val="en-US" w:eastAsia="en-US"/>
              </w:rPr>
              <w:t>perator</w:t>
            </w:r>
            <w:r w:rsidRPr="000A1BEA">
              <w:rPr>
                <w:b/>
                <w:color w:val="404040" w:themeColor="text1" w:themeTint="BF"/>
                <w:sz w:val="18"/>
                <w:szCs w:val="20"/>
                <w:lang w:val="en-US" w:eastAsia="en-US"/>
              </w:rPr>
              <w:t xml:space="preserve"> licensees</w:t>
            </w:r>
          </w:p>
        </w:tc>
        <w:tc>
          <w:tcPr>
            <w:tcW w:w="1985" w:type="dxa"/>
            <w:vAlign w:val="center"/>
          </w:tcPr>
          <w:p w:rsidR="001D40FC" w:rsidRPr="001D40FC" w:rsidRDefault="001D40FC" w:rsidP="001D40FC">
            <w:pPr>
              <w:tabs>
                <w:tab w:val="left" w:pos="709"/>
                <w:tab w:val="left" w:pos="2977"/>
              </w:tabs>
              <w:spacing w:before="120" w:after="120"/>
              <w:ind w:left="175"/>
              <w:rPr>
                <w:color w:val="404040" w:themeColor="text1" w:themeTint="BF"/>
                <w:sz w:val="18"/>
                <w:szCs w:val="20"/>
                <w:lang w:val="en-US" w:eastAsia="en-US"/>
              </w:rPr>
            </w:pPr>
            <w:r w:rsidRPr="001D40FC">
              <w:rPr>
                <w:color w:val="404040" w:themeColor="text1" w:themeTint="BF"/>
                <w:sz w:val="18"/>
                <w:szCs w:val="20"/>
                <w:lang w:val="en-US" w:eastAsia="en-US"/>
              </w:rPr>
              <w:t>Number and location of field inspections</w:t>
            </w:r>
          </w:p>
          <w:p w:rsidR="001D40FC" w:rsidRPr="001D40FC" w:rsidRDefault="001D40FC" w:rsidP="001D40FC">
            <w:pPr>
              <w:tabs>
                <w:tab w:val="left" w:pos="709"/>
                <w:tab w:val="left" w:pos="2977"/>
              </w:tabs>
              <w:spacing w:before="120" w:after="120"/>
              <w:ind w:left="175"/>
              <w:rPr>
                <w:color w:val="404040" w:themeColor="text1" w:themeTint="BF"/>
                <w:sz w:val="18"/>
                <w:szCs w:val="20"/>
                <w:lang w:val="en-US" w:eastAsia="en-US"/>
              </w:rPr>
            </w:pPr>
          </w:p>
          <w:p w:rsidR="001D40FC" w:rsidRDefault="001D40FC" w:rsidP="001D40FC">
            <w:pPr>
              <w:tabs>
                <w:tab w:val="left" w:pos="709"/>
                <w:tab w:val="left" w:pos="2977"/>
              </w:tabs>
              <w:spacing w:before="120" w:after="120"/>
              <w:ind w:left="175"/>
              <w:rPr>
                <w:color w:val="404040" w:themeColor="text1" w:themeTint="BF"/>
                <w:sz w:val="18"/>
                <w:szCs w:val="20"/>
                <w:lang w:val="en-US" w:eastAsia="en-US"/>
              </w:rPr>
            </w:pPr>
            <w:r w:rsidRPr="001D40FC">
              <w:rPr>
                <w:color w:val="404040" w:themeColor="text1" w:themeTint="BF"/>
                <w:sz w:val="18"/>
                <w:szCs w:val="20"/>
                <w:lang w:val="en-US" w:eastAsia="en-US"/>
              </w:rPr>
              <w:t>Volume of educative activities</w:t>
            </w:r>
          </w:p>
          <w:p w:rsidR="001D40FC" w:rsidRPr="001D40FC" w:rsidRDefault="001D40FC" w:rsidP="001D40FC">
            <w:pPr>
              <w:tabs>
                <w:tab w:val="left" w:pos="709"/>
                <w:tab w:val="left" w:pos="2977"/>
              </w:tabs>
              <w:spacing w:before="120" w:after="120"/>
              <w:ind w:left="175"/>
              <w:rPr>
                <w:color w:val="404040" w:themeColor="text1" w:themeTint="BF"/>
                <w:sz w:val="18"/>
                <w:szCs w:val="20"/>
                <w:lang w:val="en-US" w:eastAsia="en-US"/>
              </w:rPr>
            </w:pPr>
          </w:p>
          <w:p w:rsidR="003854B7" w:rsidRPr="000A1BEA" w:rsidRDefault="001D40FC" w:rsidP="001D40FC">
            <w:pPr>
              <w:tabs>
                <w:tab w:val="left" w:pos="709"/>
                <w:tab w:val="left" w:pos="2977"/>
              </w:tabs>
              <w:spacing w:before="120" w:after="120"/>
              <w:ind w:left="175"/>
              <w:rPr>
                <w:color w:val="404040" w:themeColor="text1" w:themeTint="BF"/>
                <w:sz w:val="18"/>
                <w:szCs w:val="20"/>
                <w:lang w:val="en-US" w:eastAsia="en-US"/>
              </w:rPr>
            </w:pPr>
            <w:r w:rsidRPr="001D40FC">
              <w:rPr>
                <w:color w:val="404040" w:themeColor="text1" w:themeTint="BF"/>
                <w:sz w:val="18"/>
                <w:szCs w:val="20"/>
                <w:lang w:val="en-US" w:eastAsia="en-US"/>
              </w:rPr>
              <w:t>Volume of monitoring activities required</w:t>
            </w:r>
          </w:p>
        </w:tc>
        <w:tc>
          <w:tcPr>
            <w:tcW w:w="4251" w:type="dxa"/>
            <w:vAlign w:val="center"/>
          </w:tcPr>
          <w:p w:rsidR="003854B7" w:rsidRPr="000A1BEA" w:rsidRDefault="003854B7" w:rsidP="001D40FC">
            <w:pPr>
              <w:numPr>
                <w:ilvl w:val="0"/>
                <w:numId w:val="26"/>
              </w:numPr>
              <w:tabs>
                <w:tab w:val="left" w:pos="317"/>
                <w:tab w:val="left" w:pos="2977"/>
              </w:tabs>
              <w:spacing w:before="120" w:after="120"/>
              <w:ind w:left="317" w:hanging="283"/>
              <w:rPr>
                <w:color w:val="404040" w:themeColor="text1" w:themeTint="BF"/>
                <w:sz w:val="18"/>
                <w:szCs w:val="20"/>
                <w:lang w:val="en-US" w:eastAsia="en-US"/>
              </w:rPr>
            </w:pPr>
            <w:r w:rsidRPr="000A1BEA">
              <w:rPr>
                <w:color w:val="404040" w:themeColor="text1" w:themeTint="BF"/>
                <w:sz w:val="18"/>
                <w:szCs w:val="20"/>
                <w:lang w:val="en-US" w:eastAsia="en-US"/>
              </w:rPr>
              <w:t>Volume of corporate activity such as mergers, takeovers, new joint ventures, chang</w:t>
            </w:r>
            <w:r w:rsidR="001D40FC">
              <w:rPr>
                <w:color w:val="404040" w:themeColor="text1" w:themeTint="BF"/>
                <w:sz w:val="18"/>
                <w:szCs w:val="20"/>
                <w:lang w:val="en-US" w:eastAsia="en-US"/>
              </w:rPr>
              <w:t>es to corporate structure</w:t>
            </w:r>
            <w:r w:rsidRPr="000A1BEA">
              <w:rPr>
                <w:color w:val="404040" w:themeColor="text1" w:themeTint="BF"/>
                <w:sz w:val="18"/>
                <w:szCs w:val="20"/>
                <w:lang w:val="en-US" w:eastAsia="en-US"/>
              </w:rPr>
              <w:t>, thereby creating new associates or associated entities to be evaluated.</w:t>
            </w:r>
          </w:p>
          <w:p w:rsidR="003854B7" w:rsidRPr="000A1BEA" w:rsidRDefault="003854B7" w:rsidP="001D40FC">
            <w:pPr>
              <w:numPr>
                <w:ilvl w:val="0"/>
                <w:numId w:val="26"/>
              </w:numPr>
              <w:tabs>
                <w:tab w:val="left" w:pos="317"/>
                <w:tab w:val="left" w:pos="2977"/>
              </w:tabs>
              <w:spacing w:before="120" w:after="120"/>
              <w:ind w:left="317" w:hanging="283"/>
              <w:rPr>
                <w:color w:val="404040" w:themeColor="text1" w:themeTint="BF"/>
                <w:sz w:val="18"/>
                <w:szCs w:val="20"/>
                <w:lang w:val="en-US" w:eastAsia="en-US"/>
              </w:rPr>
            </w:pPr>
            <w:r w:rsidRPr="000A1BEA">
              <w:rPr>
                <w:color w:val="404040" w:themeColor="text1" w:themeTint="BF"/>
                <w:sz w:val="18"/>
                <w:szCs w:val="20"/>
                <w:lang w:val="en-US" w:eastAsia="en-US"/>
              </w:rPr>
              <w:t>Monitoring progress and outcomes of significant litigation, other jurisdiction activity of the licensee.</w:t>
            </w:r>
          </w:p>
          <w:p w:rsidR="003854B7" w:rsidRPr="000A1BEA" w:rsidRDefault="001D40FC" w:rsidP="001D40FC">
            <w:pPr>
              <w:numPr>
                <w:ilvl w:val="0"/>
                <w:numId w:val="26"/>
              </w:numPr>
              <w:tabs>
                <w:tab w:val="left" w:pos="317"/>
                <w:tab w:val="left" w:pos="2977"/>
              </w:tabs>
              <w:spacing w:before="120" w:after="120"/>
              <w:ind w:left="317" w:hanging="283"/>
              <w:rPr>
                <w:color w:val="404040" w:themeColor="text1" w:themeTint="BF"/>
                <w:sz w:val="18"/>
                <w:szCs w:val="20"/>
                <w:lang w:val="en-US" w:eastAsia="en-US"/>
              </w:rPr>
            </w:pPr>
            <w:r>
              <w:rPr>
                <w:color w:val="404040" w:themeColor="text1" w:themeTint="BF"/>
                <w:sz w:val="18"/>
                <w:szCs w:val="20"/>
                <w:lang w:val="en-US" w:eastAsia="en-US"/>
              </w:rPr>
              <w:t>Volume of c</w:t>
            </w:r>
            <w:r w:rsidR="003854B7" w:rsidRPr="000A1BEA">
              <w:rPr>
                <w:color w:val="404040" w:themeColor="text1" w:themeTint="BF"/>
                <w:sz w:val="18"/>
                <w:szCs w:val="20"/>
                <w:lang w:val="en-US" w:eastAsia="en-US"/>
              </w:rPr>
              <w:t xml:space="preserve">omplaints, </w:t>
            </w:r>
            <w:r w:rsidR="00237B86" w:rsidRPr="000A1BEA">
              <w:rPr>
                <w:color w:val="404040" w:themeColor="text1" w:themeTint="BF"/>
                <w:sz w:val="18"/>
                <w:szCs w:val="20"/>
                <w:lang w:val="en-US" w:eastAsia="en-US"/>
              </w:rPr>
              <w:t>issues,</w:t>
            </w:r>
            <w:r w:rsidR="003854B7" w:rsidRPr="000A1BEA">
              <w:rPr>
                <w:color w:val="404040" w:themeColor="text1" w:themeTint="BF"/>
                <w:sz w:val="18"/>
                <w:szCs w:val="20"/>
                <w:lang w:val="en-US" w:eastAsia="en-US"/>
              </w:rPr>
              <w:t xml:space="preserve"> disciplinary actions and prosecutions.</w:t>
            </w:r>
            <w:r w:rsidR="00F4021E" w:rsidRPr="000A1BEA">
              <w:rPr>
                <w:color w:val="404040" w:themeColor="text1" w:themeTint="BF"/>
                <w:sz w:val="18"/>
                <w:szCs w:val="20"/>
                <w:lang w:val="en-US" w:eastAsia="en-US"/>
              </w:rPr>
              <w:t xml:space="preserve"> Location of licensees (venues).</w:t>
            </w:r>
          </w:p>
          <w:p w:rsidR="003854B7" w:rsidRPr="000A1BEA" w:rsidRDefault="003854B7" w:rsidP="001D40FC">
            <w:pPr>
              <w:numPr>
                <w:ilvl w:val="0"/>
                <w:numId w:val="26"/>
              </w:numPr>
              <w:tabs>
                <w:tab w:val="left" w:pos="317"/>
                <w:tab w:val="left" w:pos="2977"/>
              </w:tabs>
              <w:spacing w:before="120" w:after="120"/>
              <w:ind w:left="317" w:hanging="283"/>
              <w:rPr>
                <w:color w:val="404040" w:themeColor="text1" w:themeTint="BF"/>
                <w:sz w:val="18"/>
                <w:szCs w:val="20"/>
                <w:lang w:val="en-US" w:eastAsia="en-US"/>
              </w:rPr>
            </w:pPr>
            <w:r w:rsidRPr="000A1BEA">
              <w:rPr>
                <w:color w:val="404040" w:themeColor="text1" w:themeTint="BF"/>
                <w:sz w:val="18"/>
                <w:szCs w:val="20"/>
                <w:lang w:val="en-US" w:eastAsia="en-US"/>
              </w:rPr>
              <w:t>Educative activities – regular provision of information – meetings, website, correspondence.</w:t>
            </w:r>
          </w:p>
          <w:p w:rsidR="003854B7" w:rsidRPr="00F4021E" w:rsidRDefault="003854B7" w:rsidP="001D40FC">
            <w:pPr>
              <w:numPr>
                <w:ilvl w:val="0"/>
                <w:numId w:val="26"/>
              </w:numPr>
              <w:tabs>
                <w:tab w:val="left" w:pos="317"/>
                <w:tab w:val="left" w:pos="2977"/>
              </w:tabs>
              <w:spacing w:before="120" w:after="120"/>
              <w:ind w:left="317" w:hanging="283"/>
              <w:rPr>
                <w:color w:val="404040" w:themeColor="text1" w:themeTint="BF"/>
                <w:sz w:val="18"/>
                <w:szCs w:val="20"/>
                <w:lang w:val="en-US" w:eastAsia="en-US"/>
              </w:rPr>
            </w:pPr>
            <w:r w:rsidRPr="000A1BEA">
              <w:rPr>
                <w:color w:val="404040" w:themeColor="text1" w:themeTint="BF"/>
                <w:sz w:val="18"/>
                <w:szCs w:val="20"/>
                <w:lang w:val="en-US" w:eastAsia="en-US"/>
              </w:rPr>
              <w:t>Information sessions.</w:t>
            </w:r>
          </w:p>
        </w:tc>
      </w:tr>
    </w:tbl>
    <w:p w:rsidR="004C07A0" w:rsidRDefault="004C07A0" w:rsidP="004C07A0">
      <w:pPr>
        <w:spacing w:before="0" w:after="0"/>
        <w:rPr>
          <w:i/>
          <w:sz w:val="18"/>
          <w:szCs w:val="20"/>
        </w:rPr>
      </w:pPr>
      <w:r>
        <w:rPr>
          <w:i/>
          <w:sz w:val="18"/>
          <w:szCs w:val="20"/>
        </w:rPr>
        <w:t>Source: VCGLR</w:t>
      </w:r>
    </w:p>
    <w:p w:rsidR="00130AEA" w:rsidRDefault="00130AEA">
      <w:pPr>
        <w:spacing w:before="0" w:after="0"/>
        <w:ind w:left="0"/>
        <w:rPr>
          <w:lang w:eastAsia="en-US"/>
        </w:rPr>
      </w:pPr>
      <w:r>
        <w:rPr>
          <w:lang w:eastAsia="en-US"/>
        </w:rPr>
        <w:br w:type="page"/>
      </w:r>
    </w:p>
    <w:p w:rsidR="00F54DC2" w:rsidRDefault="00130AEA" w:rsidP="006E302D">
      <w:pPr>
        <w:pStyle w:val="Heading1"/>
      </w:pPr>
      <w:bookmarkStart w:id="21" w:name="_Toc356830862"/>
      <w:r>
        <w:t xml:space="preserve">Identification of </w:t>
      </w:r>
      <w:r w:rsidR="00C27A13">
        <w:t>c</w:t>
      </w:r>
      <w:r>
        <w:t xml:space="preserve">ost </w:t>
      </w:r>
      <w:r w:rsidR="00C27A13">
        <w:t>r</w:t>
      </w:r>
      <w:r>
        <w:t xml:space="preserve">ecovery </w:t>
      </w:r>
      <w:r w:rsidR="00C27A13">
        <w:t>o</w:t>
      </w:r>
      <w:r>
        <w:t>ptions</w:t>
      </w:r>
      <w:bookmarkEnd w:id="21"/>
    </w:p>
    <w:p w:rsidR="00470CA0" w:rsidRDefault="00470CA0" w:rsidP="00470CA0">
      <w:pPr>
        <w:rPr>
          <w:lang w:eastAsia="en-US"/>
        </w:rPr>
      </w:pPr>
      <w:r w:rsidRPr="00470CA0">
        <w:rPr>
          <w:noProof/>
        </w:rPr>
        <mc:AlternateContent>
          <mc:Choice Requires="wps">
            <w:drawing>
              <wp:anchor distT="0" distB="0" distL="114300" distR="114300" simplePos="0" relativeHeight="251689984" behindDoc="0" locked="0" layoutInCell="1" allowOverlap="1" wp14:anchorId="3D71CF3D" wp14:editId="52281E6B">
                <wp:simplePos x="0" y="0"/>
                <wp:positionH relativeFrom="column">
                  <wp:posOffset>-6985</wp:posOffset>
                </wp:positionH>
                <wp:positionV relativeFrom="paragraph">
                  <wp:posOffset>27728</wp:posOffset>
                </wp:positionV>
                <wp:extent cx="5884545" cy="2912534"/>
                <wp:effectExtent l="0" t="0" r="1905" b="2540"/>
                <wp:wrapNone/>
                <wp:docPr id="1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4545" cy="2912534"/>
                        </a:xfrm>
                        <a:prstGeom prst="rect">
                          <a:avLst/>
                        </a:prstGeom>
                        <a:solidFill>
                          <a:srgbClr val="DBE5F1"/>
                        </a:solidFill>
                        <a:ln w="9525">
                          <a:noFill/>
                          <a:miter lim="800000"/>
                          <a:headEnd/>
                          <a:tailEnd/>
                        </a:ln>
                      </wps:spPr>
                      <wps:txbx>
                        <w:txbxContent>
                          <w:p w:rsidR="004F14D1" w:rsidRPr="003D14F9" w:rsidRDefault="004F14D1" w:rsidP="00470CA0">
                            <w:pPr>
                              <w:spacing w:before="120" w:after="160"/>
                              <w:ind w:left="0"/>
                              <w:rPr>
                                <w:sz w:val="26"/>
                                <w:szCs w:val="26"/>
                              </w:rPr>
                            </w:pPr>
                            <w:r w:rsidRPr="003D14F9">
                              <w:rPr>
                                <w:sz w:val="26"/>
                                <w:szCs w:val="26"/>
                              </w:rPr>
                              <w:t>Ke</w:t>
                            </w:r>
                            <w:r>
                              <w:rPr>
                                <w:sz w:val="26"/>
                                <w:szCs w:val="26"/>
                              </w:rPr>
                              <w:t>y p</w:t>
                            </w:r>
                            <w:r w:rsidRPr="003D14F9">
                              <w:rPr>
                                <w:sz w:val="26"/>
                                <w:szCs w:val="26"/>
                              </w:rPr>
                              <w:t>oints</w:t>
                            </w:r>
                          </w:p>
                          <w:p w:rsidR="004F14D1" w:rsidRPr="00470CA0" w:rsidRDefault="004F14D1" w:rsidP="003F7272">
                            <w:pPr>
                              <w:numPr>
                                <w:ilvl w:val="0"/>
                                <w:numId w:val="18"/>
                              </w:numPr>
                              <w:spacing w:before="160" w:after="160"/>
                              <w:ind w:leftChars="152" w:left="690" w:hangingChars="162" w:hanging="356"/>
                            </w:pPr>
                            <w:r w:rsidRPr="00470CA0">
                              <w:t xml:space="preserve">Five </w:t>
                            </w:r>
                            <w:r>
                              <w:t>options are identified in this c</w:t>
                            </w:r>
                            <w:r w:rsidRPr="00470CA0">
                              <w:t>hapter, and will be assessed in the following Chapter 6 including:</w:t>
                            </w:r>
                          </w:p>
                          <w:p w:rsidR="004F14D1" w:rsidRPr="00470CA0" w:rsidRDefault="004F14D1" w:rsidP="003F7272">
                            <w:pPr>
                              <w:numPr>
                                <w:ilvl w:val="1"/>
                                <w:numId w:val="18"/>
                              </w:numPr>
                              <w:spacing w:before="160" w:after="160"/>
                              <w:ind w:leftChars="475" w:left="1401" w:hangingChars="162" w:hanging="356"/>
                            </w:pPr>
                            <w:r>
                              <w:t>Base case – N</w:t>
                            </w:r>
                            <w:r w:rsidRPr="00470CA0">
                              <w:t>o supervision charge;</w:t>
                            </w:r>
                          </w:p>
                          <w:p w:rsidR="004F14D1" w:rsidRPr="00470CA0" w:rsidRDefault="004F14D1" w:rsidP="003F7272">
                            <w:pPr>
                              <w:numPr>
                                <w:ilvl w:val="1"/>
                                <w:numId w:val="18"/>
                              </w:numPr>
                              <w:spacing w:before="160" w:after="160"/>
                              <w:ind w:leftChars="475" w:left="1401" w:hangingChars="162" w:hanging="356"/>
                            </w:pPr>
                            <w:r>
                              <w:t>Option A – T</w:t>
                            </w:r>
                            <w:r w:rsidRPr="00470CA0">
                              <w:t>wo tiered charge based on entitlements and operating gaming machines;</w:t>
                            </w:r>
                          </w:p>
                          <w:p w:rsidR="004F14D1" w:rsidRPr="00470CA0" w:rsidRDefault="004F14D1" w:rsidP="003F7272">
                            <w:pPr>
                              <w:numPr>
                                <w:ilvl w:val="1"/>
                                <w:numId w:val="18"/>
                              </w:numPr>
                              <w:spacing w:before="160" w:after="160"/>
                              <w:ind w:leftChars="475" w:left="1401" w:hangingChars="162" w:hanging="356"/>
                            </w:pPr>
                            <w:r>
                              <w:t>Option B – S</w:t>
                            </w:r>
                            <w:r w:rsidRPr="00470CA0">
                              <w:t xml:space="preserve">ingle tiered charge based on entitlements; </w:t>
                            </w:r>
                          </w:p>
                          <w:p w:rsidR="004F14D1" w:rsidRPr="00470CA0" w:rsidRDefault="004F14D1" w:rsidP="003F7272">
                            <w:pPr>
                              <w:numPr>
                                <w:ilvl w:val="1"/>
                                <w:numId w:val="18"/>
                              </w:numPr>
                              <w:spacing w:before="160" w:after="160"/>
                              <w:ind w:leftChars="475" w:left="1401" w:hangingChars="162" w:hanging="356"/>
                            </w:pPr>
                            <w:r>
                              <w:t>Option C – Charge on g</w:t>
                            </w:r>
                            <w:r w:rsidRPr="00470CA0">
                              <w:t xml:space="preserve">aming machine revenue; and </w:t>
                            </w:r>
                          </w:p>
                          <w:p w:rsidR="004F14D1" w:rsidRPr="00470CA0" w:rsidRDefault="004F14D1" w:rsidP="003F7272">
                            <w:pPr>
                              <w:numPr>
                                <w:ilvl w:val="1"/>
                                <w:numId w:val="18"/>
                              </w:numPr>
                              <w:spacing w:before="160" w:after="160"/>
                              <w:ind w:leftChars="475" w:left="1401" w:hangingChars="162" w:hanging="356"/>
                            </w:pPr>
                            <w:r>
                              <w:t>Option D – F</w:t>
                            </w:r>
                            <w:r w:rsidRPr="00470CA0">
                              <w:t>ixed fee per entitlement.</w:t>
                            </w:r>
                          </w:p>
                          <w:p w:rsidR="004F14D1" w:rsidRPr="00470CA0" w:rsidRDefault="004F14D1" w:rsidP="003F7272">
                            <w:pPr>
                              <w:numPr>
                                <w:ilvl w:val="0"/>
                                <w:numId w:val="18"/>
                              </w:numPr>
                              <w:spacing w:before="160" w:after="160"/>
                              <w:ind w:left="714" w:hanging="357"/>
                            </w:pPr>
                            <w:r w:rsidRPr="00470CA0">
                              <w:t xml:space="preserve">An additional six options were investigated, but not considered sufficiently practicable for further assessment in this RIS.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1" type="#_x0000_t202" style="position:absolute;left:0;text-align:left;margin-left:-.55pt;margin-top:2.2pt;width:463.35pt;height:229.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" fillcolor="#dbe5f1" stroked="f">
                <v:textbox>
                  <w:txbxContent>
                    <w:p w:rsidR="004F14D1" w:rsidRPr="003D14F9" w:rsidRDefault="004F14D1" w:rsidP="00470CA0">
                      <w:pPr>
                        <w:spacing w:before="120" w:after="160"/>
                        <w:ind w:left="0"/>
                        <w:rPr>
                          <w:sz w:val="26"/>
                          <w:szCs w:val="26"/>
                        </w:rPr>
                      </w:pPr>
                      <w:r w:rsidRPr="003D14F9">
                        <w:rPr>
                          <w:sz w:val="26"/>
                          <w:szCs w:val="26"/>
                        </w:rPr>
                        <w:t>Ke</w:t>
                      </w:r>
                      <w:r>
                        <w:rPr>
                          <w:sz w:val="26"/>
                          <w:szCs w:val="26"/>
                        </w:rPr>
                        <w:t>y p</w:t>
                      </w:r>
                      <w:r w:rsidRPr="003D14F9">
                        <w:rPr>
                          <w:sz w:val="26"/>
                          <w:szCs w:val="26"/>
                        </w:rPr>
                        <w:t>oints</w:t>
                      </w:r>
                    </w:p>
                    <w:p w:rsidR="004F14D1" w:rsidRPr="00470CA0" w:rsidRDefault="004F14D1" w:rsidP="003F7272">
                      <w:pPr>
                        <w:numPr>
                          <w:ilvl w:val="0"/>
                          <w:numId w:val="18"/>
                        </w:numPr>
                        <w:spacing w:before="160" w:after="160"/>
                        <w:ind w:leftChars="152" w:left="690" w:hangingChars="162" w:hanging="356"/>
                      </w:pPr>
                      <w:r w:rsidRPr="00470CA0">
                        <w:t xml:space="preserve">Five </w:t>
                      </w:r>
                      <w:r>
                        <w:t>options are identified in this c</w:t>
                      </w:r>
                      <w:r w:rsidRPr="00470CA0">
                        <w:t>hapter, and will be assessed in the following Chapter 6 including:</w:t>
                      </w:r>
                    </w:p>
                    <w:p w:rsidR="004F14D1" w:rsidRPr="00470CA0" w:rsidRDefault="004F14D1" w:rsidP="003F7272">
                      <w:pPr>
                        <w:numPr>
                          <w:ilvl w:val="1"/>
                          <w:numId w:val="18"/>
                        </w:numPr>
                        <w:spacing w:before="160" w:after="160"/>
                        <w:ind w:leftChars="475" w:left="1401" w:hangingChars="162" w:hanging="356"/>
                      </w:pPr>
                      <w:r>
                        <w:t>Base case – N</w:t>
                      </w:r>
                      <w:r w:rsidRPr="00470CA0">
                        <w:t>o supervision charge;</w:t>
                      </w:r>
                    </w:p>
                    <w:p w:rsidR="004F14D1" w:rsidRPr="00470CA0" w:rsidRDefault="004F14D1" w:rsidP="003F7272">
                      <w:pPr>
                        <w:numPr>
                          <w:ilvl w:val="1"/>
                          <w:numId w:val="18"/>
                        </w:numPr>
                        <w:spacing w:before="160" w:after="160"/>
                        <w:ind w:leftChars="475" w:left="1401" w:hangingChars="162" w:hanging="356"/>
                      </w:pPr>
                      <w:r>
                        <w:t>Option A – T</w:t>
                      </w:r>
                      <w:r w:rsidRPr="00470CA0">
                        <w:t>wo tiered charge based on entitlements and operating gaming machines;</w:t>
                      </w:r>
                    </w:p>
                    <w:p w:rsidR="004F14D1" w:rsidRPr="00470CA0" w:rsidRDefault="004F14D1" w:rsidP="003F7272">
                      <w:pPr>
                        <w:numPr>
                          <w:ilvl w:val="1"/>
                          <w:numId w:val="18"/>
                        </w:numPr>
                        <w:spacing w:before="160" w:after="160"/>
                        <w:ind w:leftChars="475" w:left="1401" w:hangingChars="162" w:hanging="356"/>
                      </w:pPr>
                      <w:r>
                        <w:t>Option B – S</w:t>
                      </w:r>
                      <w:r w:rsidRPr="00470CA0">
                        <w:t xml:space="preserve">ingle tiered charge based on entitlements; </w:t>
                      </w:r>
                    </w:p>
                    <w:p w:rsidR="004F14D1" w:rsidRPr="00470CA0" w:rsidRDefault="004F14D1" w:rsidP="003F7272">
                      <w:pPr>
                        <w:numPr>
                          <w:ilvl w:val="1"/>
                          <w:numId w:val="18"/>
                        </w:numPr>
                        <w:spacing w:before="160" w:after="160"/>
                        <w:ind w:leftChars="475" w:left="1401" w:hangingChars="162" w:hanging="356"/>
                      </w:pPr>
                      <w:r>
                        <w:t>Option C – Charge on g</w:t>
                      </w:r>
                      <w:r w:rsidRPr="00470CA0">
                        <w:t xml:space="preserve">aming machine revenue; and </w:t>
                      </w:r>
                    </w:p>
                    <w:p w:rsidR="004F14D1" w:rsidRPr="00470CA0" w:rsidRDefault="004F14D1" w:rsidP="003F7272">
                      <w:pPr>
                        <w:numPr>
                          <w:ilvl w:val="1"/>
                          <w:numId w:val="18"/>
                        </w:numPr>
                        <w:spacing w:before="160" w:after="160"/>
                        <w:ind w:leftChars="475" w:left="1401" w:hangingChars="162" w:hanging="356"/>
                      </w:pPr>
                      <w:r>
                        <w:t>Option D – F</w:t>
                      </w:r>
                      <w:r w:rsidRPr="00470CA0">
                        <w:t>ixed fee per entitlement.</w:t>
                      </w:r>
                    </w:p>
                    <w:p w:rsidR="004F14D1" w:rsidRPr="00470CA0" w:rsidRDefault="004F14D1" w:rsidP="003F7272">
                      <w:pPr>
                        <w:numPr>
                          <w:ilvl w:val="0"/>
                          <w:numId w:val="18"/>
                        </w:numPr>
                        <w:spacing w:before="160" w:after="160"/>
                        <w:ind w:left="714" w:hanging="357"/>
                      </w:pPr>
                      <w:r w:rsidRPr="00470CA0">
                        <w:t xml:space="preserve">An additional six options were investigated, but not considered sufficiently practicable for further assessment in this RIS. </w:t>
                      </w:r>
                    </w:p>
                  </w:txbxContent>
                </v:textbox>
              </v:shape>
            </w:pict>
          </mc:Fallback>
        </mc:AlternateContent>
      </w:r>
    </w:p>
    <w:p w:rsidR="00470CA0" w:rsidRDefault="00470CA0" w:rsidP="00470CA0">
      <w:pPr>
        <w:rPr>
          <w:lang w:eastAsia="en-US"/>
        </w:rPr>
      </w:pPr>
    </w:p>
    <w:p w:rsidR="00470CA0" w:rsidRDefault="00470CA0" w:rsidP="00470CA0">
      <w:pPr>
        <w:rPr>
          <w:lang w:eastAsia="en-US"/>
        </w:rPr>
      </w:pPr>
    </w:p>
    <w:p w:rsidR="00470CA0" w:rsidRDefault="00470CA0" w:rsidP="00470CA0">
      <w:pPr>
        <w:rPr>
          <w:lang w:eastAsia="en-US"/>
        </w:rPr>
      </w:pPr>
    </w:p>
    <w:p w:rsidR="00470CA0" w:rsidRDefault="00470CA0" w:rsidP="00470CA0">
      <w:pPr>
        <w:rPr>
          <w:lang w:eastAsia="en-US"/>
        </w:rPr>
      </w:pPr>
    </w:p>
    <w:p w:rsidR="00470CA0" w:rsidRDefault="00470CA0" w:rsidP="00470CA0">
      <w:pPr>
        <w:rPr>
          <w:lang w:eastAsia="en-US"/>
        </w:rPr>
      </w:pPr>
    </w:p>
    <w:p w:rsidR="00470CA0" w:rsidRDefault="00470CA0" w:rsidP="00470CA0">
      <w:pPr>
        <w:rPr>
          <w:lang w:eastAsia="en-US"/>
        </w:rPr>
      </w:pPr>
    </w:p>
    <w:p w:rsidR="00470CA0" w:rsidRDefault="00470CA0" w:rsidP="00470CA0">
      <w:pPr>
        <w:rPr>
          <w:lang w:eastAsia="en-US"/>
        </w:rPr>
      </w:pPr>
    </w:p>
    <w:p w:rsidR="00470CA0" w:rsidRDefault="00470CA0" w:rsidP="00470CA0">
      <w:pPr>
        <w:rPr>
          <w:lang w:eastAsia="en-US"/>
        </w:rPr>
      </w:pPr>
    </w:p>
    <w:p w:rsidR="00470CA0" w:rsidRDefault="00470CA0" w:rsidP="00470CA0">
      <w:pPr>
        <w:rPr>
          <w:lang w:eastAsia="en-US"/>
        </w:rPr>
      </w:pPr>
    </w:p>
    <w:p w:rsidR="00470CA0" w:rsidRDefault="00470CA0" w:rsidP="00470CA0">
      <w:pPr>
        <w:rPr>
          <w:lang w:eastAsia="en-US"/>
        </w:rPr>
      </w:pPr>
    </w:p>
    <w:p w:rsidR="00470CA0" w:rsidRDefault="00470CA0" w:rsidP="00470CA0">
      <w:pPr>
        <w:rPr>
          <w:lang w:eastAsia="en-US"/>
        </w:rPr>
      </w:pPr>
    </w:p>
    <w:p w:rsidR="00470CA0" w:rsidRDefault="00470CA0" w:rsidP="00470CA0">
      <w:pPr>
        <w:rPr>
          <w:lang w:eastAsia="en-US"/>
        </w:rPr>
      </w:pPr>
    </w:p>
    <w:p w:rsidR="00130AEA" w:rsidRDefault="00130AEA" w:rsidP="00130AEA">
      <w:pPr>
        <w:pStyle w:val="Heading2"/>
        <w:spacing w:before="480"/>
      </w:pPr>
      <w:bookmarkStart w:id="22" w:name="_Toc356830863"/>
      <w:r>
        <w:t>Regulatory and non-regulatory options</w:t>
      </w:r>
      <w:bookmarkEnd w:id="22"/>
      <w:r>
        <w:t xml:space="preserve"> </w:t>
      </w:r>
    </w:p>
    <w:p w:rsidR="00130AEA" w:rsidRPr="00F4021E" w:rsidRDefault="00130AEA" w:rsidP="00130AEA">
      <w:pPr>
        <w:spacing w:before="240" w:after="240"/>
        <w:rPr>
          <w:szCs w:val="24"/>
          <w:lang w:eastAsia="en-US"/>
        </w:rPr>
      </w:pPr>
      <w:r w:rsidRPr="00F4021E">
        <w:rPr>
          <w:szCs w:val="24"/>
          <w:lang w:eastAsia="en-US"/>
        </w:rPr>
        <w:t xml:space="preserve">Under Section 12H of the </w:t>
      </w:r>
      <w:r w:rsidR="00C46DDC">
        <w:rPr>
          <w:i/>
          <w:szCs w:val="24"/>
          <w:lang w:eastAsia="en-US"/>
        </w:rPr>
        <w:t>SLA</w:t>
      </w:r>
      <w:r w:rsidRPr="00F4021E">
        <w:rPr>
          <w:szCs w:val="24"/>
          <w:lang w:eastAsia="en-US"/>
        </w:rPr>
        <w:t xml:space="preserve">, other practicable means of achieving the objectives of the regulation, including regulatory and non-regulatory options, must be considered as part of a RIS. </w:t>
      </w:r>
    </w:p>
    <w:p w:rsidR="00130AEA" w:rsidRPr="00F4021E" w:rsidRDefault="00130AEA" w:rsidP="00130AEA">
      <w:pPr>
        <w:spacing w:before="240" w:after="240"/>
        <w:rPr>
          <w:szCs w:val="24"/>
          <w:lang w:eastAsia="en-US"/>
        </w:rPr>
      </w:pPr>
      <w:r w:rsidRPr="00F4021E">
        <w:rPr>
          <w:szCs w:val="24"/>
          <w:lang w:eastAsia="en-US"/>
        </w:rPr>
        <w:t xml:space="preserve">The </w:t>
      </w:r>
      <w:r w:rsidR="00C46DDC" w:rsidRPr="002A6200">
        <w:rPr>
          <w:szCs w:val="24"/>
          <w:lang w:eastAsia="en-US"/>
        </w:rPr>
        <w:t>GRA</w:t>
      </w:r>
      <w:r w:rsidRPr="00F4021E">
        <w:rPr>
          <w:szCs w:val="24"/>
          <w:lang w:eastAsia="en-US"/>
        </w:rPr>
        <w:t xml:space="preserve"> provides substantial flexibility in how the supervision charge is to be determined and levied by the Treasurer. This flexibility allows for a wide variety</w:t>
      </w:r>
      <w:r w:rsidR="0047054C">
        <w:rPr>
          <w:szCs w:val="24"/>
          <w:lang w:eastAsia="en-US"/>
        </w:rPr>
        <w:t xml:space="preserve"> of</w:t>
      </w:r>
      <w:r w:rsidRPr="00F4021E">
        <w:rPr>
          <w:szCs w:val="24"/>
          <w:lang w:eastAsia="en-US"/>
        </w:rPr>
        <w:t xml:space="preserve"> potential supervision charge designs to be considered. Examples of types of supervision charge include a charge levied on </w:t>
      </w:r>
      <w:r w:rsidR="00C55E58">
        <w:rPr>
          <w:szCs w:val="24"/>
          <w:lang w:eastAsia="en-US"/>
        </w:rPr>
        <w:t>gaming machine</w:t>
      </w:r>
      <w:r w:rsidR="00456141">
        <w:rPr>
          <w:szCs w:val="24"/>
          <w:lang w:eastAsia="en-US"/>
        </w:rPr>
        <w:t>s</w:t>
      </w:r>
      <w:r w:rsidRPr="00F4021E">
        <w:rPr>
          <w:szCs w:val="24"/>
          <w:lang w:eastAsia="en-US"/>
        </w:rPr>
        <w:t>, entitlements, or on</w:t>
      </w:r>
      <w:r w:rsidR="00C55E58">
        <w:rPr>
          <w:szCs w:val="24"/>
          <w:lang w:eastAsia="en-US"/>
        </w:rPr>
        <w:t xml:space="preserve"> gaming machine</w:t>
      </w:r>
      <w:r w:rsidRPr="00F4021E">
        <w:rPr>
          <w:szCs w:val="24"/>
          <w:lang w:eastAsia="en-US"/>
        </w:rPr>
        <w:t xml:space="preserve"> revenue, a charge on regulatory activities, or through other means. </w:t>
      </w:r>
      <w:r w:rsidR="00F76CB3">
        <w:rPr>
          <w:szCs w:val="24"/>
          <w:lang w:eastAsia="en-US"/>
        </w:rPr>
        <w:t>F</w:t>
      </w:r>
      <w:r w:rsidRPr="00F4021E">
        <w:rPr>
          <w:szCs w:val="24"/>
          <w:lang w:eastAsia="en-US"/>
        </w:rPr>
        <w:t>ive options</w:t>
      </w:r>
      <w:r w:rsidR="00F76CB3">
        <w:rPr>
          <w:szCs w:val="24"/>
          <w:lang w:eastAsia="en-US"/>
        </w:rPr>
        <w:t xml:space="preserve"> have been identified as sufficiently practicable to assess</w:t>
      </w:r>
      <w:r w:rsidRPr="00F4021E">
        <w:rPr>
          <w:szCs w:val="24"/>
          <w:lang w:eastAsia="en-US"/>
        </w:rPr>
        <w:t xml:space="preserve">: </w:t>
      </w:r>
    </w:p>
    <w:p w:rsidR="00130AEA" w:rsidRPr="00F4021E" w:rsidRDefault="00EF60D3" w:rsidP="00F4021E">
      <w:pPr>
        <w:pStyle w:val="ListParagraph"/>
        <w:numPr>
          <w:ilvl w:val="0"/>
          <w:numId w:val="28"/>
        </w:numPr>
        <w:spacing w:before="240" w:after="240"/>
        <w:ind w:hanging="357"/>
        <w:rPr>
          <w:szCs w:val="24"/>
          <w:lang w:eastAsia="en-US"/>
        </w:rPr>
      </w:pPr>
      <w:r>
        <w:rPr>
          <w:szCs w:val="24"/>
          <w:lang w:eastAsia="en-US"/>
        </w:rPr>
        <w:t>Base case – N</w:t>
      </w:r>
      <w:r w:rsidR="00130AEA" w:rsidRPr="00F4021E">
        <w:rPr>
          <w:szCs w:val="24"/>
          <w:lang w:eastAsia="en-US"/>
        </w:rPr>
        <w:t>o supervision charge</w:t>
      </w:r>
      <w:r w:rsidR="00D209DF">
        <w:rPr>
          <w:szCs w:val="24"/>
          <w:lang w:eastAsia="en-US"/>
        </w:rPr>
        <w:t xml:space="preserve"> (VCGLR’s regulatory costs are recovered through </w:t>
      </w:r>
      <w:r w:rsidR="005F74F6">
        <w:rPr>
          <w:szCs w:val="24"/>
          <w:lang w:eastAsia="en-US"/>
        </w:rPr>
        <w:t>general revenue)</w:t>
      </w:r>
      <w:r w:rsidR="00130AEA" w:rsidRPr="00F4021E">
        <w:rPr>
          <w:szCs w:val="24"/>
          <w:lang w:eastAsia="en-US"/>
        </w:rPr>
        <w:t>;</w:t>
      </w:r>
    </w:p>
    <w:p w:rsidR="00130AEA" w:rsidRPr="00F4021E" w:rsidRDefault="00B61A29" w:rsidP="00F4021E">
      <w:pPr>
        <w:pStyle w:val="ListParagraph"/>
        <w:numPr>
          <w:ilvl w:val="0"/>
          <w:numId w:val="28"/>
        </w:numPr>
        <w:spacing w:before="240" w:after="240"/>
        <w:ind w:hanging="357"/>
        <w:rPr>
          <w:szCs w:val="24"/>
          <w:lang w:eastAsia="en-US"/>
        </w:rPr>
      </w:pPr>
      <w:r>
        <w:rPr>
          <w:szCs w:val="24"/>
          <w:lang w:eastAsia="en-US"/>
        </w:rPr>
        <w:t>Option A</w:t>
      </w:r>
      <w:r w:rsidR="00EF60D3">
        <w:rPr>
          <w:szCs w:val="24"/>
          <w:lang w:eastAsia="en-US"/>
        </w:rPr>
        <w:t xml:space="preserve"> – T</w:t>
      </w:r>
      <w:r w:rsidR="00130AEA" w:rsidRPr="00F4021E">
        <w:rPr>
          <w:szCs w:val="24"/>
          <w:lang w:eastAsia="en-US"/>
        </w:rPr>
        <w:t xml:space="preserve">wo tiered charge based on entitlements and </w:t>
      </w:r>
      <w:r w:rsidR="00C55E58">
        <w:rPr>
          <w:szCs w:val="24"/>
          <w:lang w:eastAsia="en-US"/>
        </w:rPr>
        <w:t>gaming machine</w:t>
      </w:r>
      <w:r w:rsidR="00130AEA" w:rsidRPr="00F4021E">
        <w:rPr>
          <w:szCs w:val="24"/>
          <w:lang w:eastAsia="en-US"/>
        </w:rPr>
        <w:t>s;</w:t>
      </w:r>
    </w:p>
    <w:p w:rsidR="00130AEA" w:rsidRPr="00F4021E" w:rsidRDefault="00B61A29" w:rsidP="00F4021E">
      <w:pPr>
        <w:pStyle w:val="ListParagraph"/>
        <w:numPr>
          <w:ilvl w:val="0"/>
          <w:numId w:val="28"/>
        </w:numPr>
        <w:spacing w:before="240" w:after="240"/>
        <w:ind w:hanging="357"/>
        <w:rPr>
          <w:szCs w:val="24"/>
          <w:lang w:eastAsia="en-US"/>
        </w:rPr>
      </w:pPr>
      <w:r>
        <w:rPr>
          <w:szCs w:val="24"/>
          <w:lang w:eastAsia="en-US"/>
        </w:rPr>
        <w:t>Option B</w:t>
      </w:r>
      <w:r w:rsidR="00EF60D3">
        <w:rPr>
          <w:szCs w:val="24"/>
          <w:lang w:eastAsia="en-US"/>
        </w:rPr>
        <w:t xml:space="preserve"> – S</w:t>
      </w:r>
      <w:r w:rsidR="00130AEA" w:rsidRPr="00F4021E">
        <w:rPr>
          <w:szCs w:val="24"/>
          <w:lang w:eastAsia="en-US"/>
        </w:rPr>
        <w:t xml:space="preserve">ingle tiered charge based on entitlements; </w:t>
      </w:r>
    </w:p>
    <w:p w:rsidR="00130AEA" w:rsidRPr="00F4021E" w:rsidRDefault="00B61A29" w:rsidP="00F4021E">
      <w:pPr>
        <w:pStyle w:val="ListParagraph"/>
        <w:numPr>
          <w:ilvl w:val="0"/>
          <w:numId w:val="28"/>
        </w:numPr>
        <w:spacing w:before="240" w:after="240"/>
        <w:ind w:hanging="357"/>
        <w:rPr>
          <w:szCs w:val="24"/>
          <w:lang w:eastAsia="en-US"/>
        </w:rPr>
      </w:pPr>
      <w:r>
        <w:rPr>
          <w:szCs w:val="24"/>
          <w:lang w:eastAsia="en-US"/>
        </w:rPr>
        <w:t>Option C</w:t>
      </w:r>
      <w:r w:rsidR="00130AEA" w:rsidRPr="00F4021E">
        <w:rPr>
          <w:szCs w:val="24"/>
          <w:lang w:eastAsia="en-US"/>
        </w:rPr>
        <w:t xml:space="preserve"> – </w:t>
      </w:r>
      <w:r w:rsidR="00EF60D3">
        <w:rPr>
          <w:szCs w:val="24"/>
          <w:lang w:eastAsia="en-US"/>
        </w:rPr>
        <w:t>C</w:t>
      </w:r>
      <w:r w:rsidR="00C55E58">
        <w:rPr>
          <w:szCs w:val="24"/>
          <w:lang w:eastAsia="en-US"/>
        </w:rPr>
        <w:t>harge on gaming machine</w:t>
      </w:r>
      <w:r w:rsidR="00130AEA" w:rsidRPr="00F4021E">
        <w:rPr>
          <w:szCs w:val="24"/>
          <w:lang w:eastAsia="en-US"/>
        </w:rPr>
        <w:t xml:space="preserve"> revenue; and</w:t>
      </w:r>
    </w:p>
    <w:p w:rsidR="00130AEA" w:rsidRPr="00F4021E" w:rsidRDefault="00B61A29" w:rsidP="00F4021E">
      <w:pPr>
        <w:pStyle w:val="ListParagraph"/>
        <w:numPr>
          <w:ilvl w:val="0"/>
          <w:numId w:val="28"/>
        </w:numPr>
        <w:spacing w:before="240" w:after="240"/>
        <w:ind w:hanging="357"/>
        <w:rPr>
          <w:szCs w:val="24"/>
          <w:lang w:eastAsia="en-US"/>
        </w:rPr>
      </w:pPr>
      <w:r>
        <w:rPr>
          <w:szCs w:val="24"/>
          <w:lang w:eastAsia="en-US"/>
        </w:rPr>
        <w:t>Option D</w:t>
      </w:r>
      <w:r w:rsidR="00EF60D3">
        <w:rPr>
          <w:szCs w:val="24"/>
          <w:lang w:eastAsia="en-US"/>
        </w:rPr>
        <w:t xml:space="preserve"> – F</w:t>
      </w:r>
      <w:r w:rsidR="00130AEA" w:rsidRPr="00F4021E">
        <w:rPr>
          <w:szCs w:val="24"/>
          <w:lang w:eastAsia="en-US"/>
        </w:rPr>
        <w:t xml:space="preserve">ixed fee per entitlement. </w:t>
      </w:r>
    </w:p>
    <w:p w:rsidR="00130AEA" w:rsidRPr="00F4021E" w:rsidRDefault="00130AEA" w:rsidP="00130AEA">
      <w:pPr>
        <w:spacing w:before="240" w:after="240"/>
        <w:rPr>
          <w:szCs w:val="24"/>
          <w:lang w:eastAsia="en-US"/>
        </w:rPr>
      </w:pPr>
      <w:r w:rsidRPr="00F4021E">
        <w:rPr>
          <w:szCs w:val="24"/>
          <w:lang w:eastAsia="en-US"/>
        </w:rPr>
        <w:t xml:space="preserve">An assessment of the costs and benefits of each of these options is contained in Chapter </w:t>
      </w:r>
      <w:r w:rsidR="00EF60D3">
        <w:rPr>
          <w:szCs w:val="24"/>
          <w:lang w:eastAsia="en-US"/>
        </w:rPr>
        <w:t>6</w:t>
      </w:r>
      <w:r w:rsidRPr="00F4021E">
        <w:rPr>
          <w:szCs w:val="24"/>
          <w:lang w:eastAsia="en-US"/>
        </w:rPr>
        <w:t>.</w:t>
      </w:r>
      <w:r w:rsidR="00524766">
        <w:rPr>
          <w:szCs w:val="24"/>
          <w:lang w:eastAsia="en-US"/>
        </w:rPr>
        <w:t xml:space="preserve"> As the charge is levied in arrears, all financial estimates are indicative only.</w:t>
      </w:r>
      <w:r w:rsidRPr="00F4021E">
        <w:rPr>
          <w:szCs w:val="24"/>
          <w:lang w:eastAsia="en-US"/>
        </w:rPr>
        <w:t xml:space="preserve"> </w:t>
      </w:r>
    </w:p>
    <w:p w:rsidR="008D0B64" w:rsidRDefault="00130AEA" w:rsidP="008D0B64">
      <w:pPr>
        <w:spacing w:before="240" w:after="240"/>
        <w:rPr>
          <w:szCs w:val="24"/>
          <w:lang w:eastAsia="en-US"/>
        </w:rPr>
      </w:pPr>
      <w:r w:rsidRPr="00F4021E">
        <w:rPr>
          <w:szCs w:val="24"/>
          <w:lang w:eastAsia="en-US"/>
        </w:rPr>
        <w:t>A number of other options were identified, but not considered sufficiently practicable for more detailed analysis. However,</w:t>
      </w:r>
      <w:r w:rsidR="00F76CB3">
        <w:rPr>
          <w:szCs w:val="24"/>
          <w:lang w:eastAsia="en-US"/>
        </w:rPr>
        <w:t xml:space="preserve"> they are included</w:t>
      </w:r>
      <w:r w:rsidRPr="00F4021E">
        <w:rPr>
          <w:szCs w:val="24"/>
          <w:lang w:eastAsia="en-US"/>
        </w:rPr>
        <w:t xml:space="preserve"> in this chapter for completeness. </w:t>
      </w:r>
    </w:p>
    <w:p w:rsidR="00A100F3" w:rsidRDefault="00A100F3" w:rsidP="008D0B64">
      <w:pPr>
        <w:spacing w:before="240" w:after="240"/>
        <w:rPr>
          <w:szCs w:val="24"/>
          <w:lang w:eastAsia="en-US"/>
        </w:rPr>
      </w:pPr>
      <w:r>
        <w:rPr>
          <w:szCs w:val="24"/>
          <w:lang w:eastAsia="en-US"/>
        </w:rPr>
        <w:t xml:space="preserve">All options (except for the Base Case) are designed to raise a total of $5.3 million in 2012-13 (i.e. the preliminary working estimate of the VCGLR’s gaming related regulatory costs). The table below splits the VCGLR’s net total gaming related regulatory costs as they relate to the </w:t>
      </w:r>
      <w:r w:rsidR="001E621A">
        <w:rPr>
          <w:szCs w:val="24"/>
          <w:lang w:eastAsia="en-US"/>
        </w:rPr>
        <w:t>administration</w:t>
      </w:r>
      <w:r>
        <w:rPr>
          <w:szCs w:val="24"/>
          <w:lang w:eastAsia="en-US"/>
        </w:rPr>
        <w:t xml:space="preserve"> of the entitlement system overall and the operation of gaming machines.</w:t>
      </w:r>
    </w:p>
    <w:p w:rsidR="00A100F3" w:rsidRPr="00F54DC2" w:rsidRDefault="00A100F3" w:rsidP="00A100F3">
      <w:pPr>
        <w:pStyle w:val="Heading5"/>
      </w:pPr>
      <w:r>
        <w:t>Table 5</w:t>
      </w:r>
      <w:r w:rsidRPr="00F54DC2">
        <w:t>.</w:t>
      </w:r>
      <w:r>
        <w:t>1</w:t>
      </w:r>
      <w:r w:rsidRPr="00F54DC2">
        <w:t xml:space="preserve"> –Estimated </w:t>
      </w:r>
      <w:r>
        <w:t xml:space="preserve">2012-13 </w:t>
      </w:r>
      <w:r w:rsidR="00F76CB3">
        <w:t>VCGLR gaming related regulatory c</w:t>
      </w:r>
      <w:r w:rsidRPr="00F54DC2">
        <w:t xml:space="preserve">osts </w:t>
      </w:r>
      <w:r w:rsidR="00F76CB3">
        <w:t>by regulatory a</w:t>
      </w:r>
      <w:r w:rsidR="001E621A">
        <w:t>ctivity type</w:t>
      </w:r>
      <w:r w:rsidRPr="00F54DC2">
        <w:t>*</w:t>
      </w:r>
    </w:p>
    <w:tbl>
      <w:tblPr>
        <w:tblW w:w="8137" w:type="dxa"/>
        <w:tblInd w:w="907" w:type="dxa"/>
        <w:tblBorders>
          <w:top w:val="single" w:sz="2" w:space="0" w:color="000000"/>
          <w:bottom w:val="single" w:sz="2" w:space="0" w:color="000000"/>
          <w:insideH w:val="single" w:sz="2" w:space="0" w:color="000000"/>
        </w:tblBorders>
        <w:tblCellMar>
          <w:left w:w="113" w:type="dxa"/>
          <w:right w:w="113" w:type="dxa"/>
        </w:tblCellMar>
        <w:tblLook w:val="04A0" w:firstRow="1" w:lastRow="0" w:firstColumn="1" w:lastColumn="0" w:noHBand="0" w:noVBand="1"/>
      </w:tblPr>
      <w:tblGrid>
        <w:gridCol w:w="7003"/>
        <w:gridCol w:w="1134"/>
      </w:tblGrid>
      <w:tr w:rsidR="00A100F3" w:rsidRPr="000057D0" w:rsidTr="00B14372">
        <w:trPr>
          <w:cantSplit/>
          <w:trHeight w:val="499"/>
        </w:trPr>
        <w:tc>
          <w:tcPr>
            <w:tcW w:w="7003" w:type="dxa"/>
            <w:tcBorders>
              <w:top w:val="single" w:sz="2" w:space="0" w:color="auto"/>
              <w:left w:val="nil"/>
              <w:bottom w:val="single" w:sz="2" w:space="0" w:color="auto"/>
              <w:right w:val="nil"/>
              <w:tl2br w:val="nil"/>
              <w:tr2bl w:val="nil"/>
            </w:tcBorders>
            <w:shd w:val="clear" w:color="auto" w:fill="D9D9D9"/>
            <w:vAlign w:val="center"/>
          </w:tcPr>
          <w:p w:rsidR="00A100F3" w:rsidRPr="000057D0" w:rsidRDefault="001E621A" w:rsidP="001E621A">
            <w:pPr>
              <w:spacing w:before="40" w:after="40"/>
              <w:ind w:left="0"/>
              <w:rPr>
                <w:b/>
                <w:color w:val="404040" w:themeColor="text1" w:themeTint="BF"/>
                <w:sz w:val="20"/>
                <w:szCs w:val="20"/>
              </w:rPr>
            </w:pPr>
            <w:r>
              <w:rPr>
                <w:b/>
                <w:color w:val="404040" w:themeColor="text1" w:themeTint="BF"/>
                <w:sz w:val="20"/>
                <w:szCs w:val="20"/>
              </w:rPr>
              <w:t>Estimated cost per gaming regulatory activity category</w:t>
            </w:r>
          </w:p>
        </w:tc>
        <w:tc>
          <w:tcPr>
            <w:tcW w:w="1134" w:type="dxa"/>
            <w:tcBorders>
              <w:top w:val="single" w:sz="2" w:space="0" w:color="auto"/>
              <w:left w:val="nil"/>
              <w:bottom w:val="single" w:sz="2" w:space="0" w:color="auto"/>
              <w:right w:val="nil"/>
              <w:tl2br w:val="nil"/>
              <w:tr2bl w:val="nil"/>
            </w:tcBorders>
            <w:shd w:val="clear" w:color="auto" w:fill="D9D9D9"/>
            <w:vAlign w:val="center"/>
          </w:tcPr>
          <w:p w:rsidR="001E621A" w:rsidRDefault="001E621A" w:rsidP="00C46DDC">
            <w:pPr>
              <w:spacing w:before="40" w:after="40"/>
              <w:ind w:left="0"/>
              <w:jc w:val="center"/>
              <w:rPr>
                <w:b/>
                <w:color w:val="404040" w:themeColor="text1" w:themeTint="BF"/>
                <w:sz w:val="20"/>
                <w:szCs w:val="20"/>
              </w:rPr>
            </w:pPr>
            <w:r w:rsidRPr="000057D0">
              <w:rPr>
                <w:b/>
                <w:color w:val="404040" w:themeColor="text1" w:themeTint="BF"/>
                <w:sz w:val="20"/>
                <w:szCs w:val="20"/>
              </w:rPr>
              <w:t>2012-13</w:t>
            </w:r>
          </w:p>
          <w:p w:rsidR="00A100F3" w:rsidRPr="000057D0" w:rsidRDefault="001E621A" w:rsidP="001E621A">
            <w:pPr>
              <w:spacing w:before="40" w:after="40"/>
              <w:ind w:left="0"/>
              <w:jc w:val="center"/>
              <w:rPr>
                <w:b/>
                <w:color w:val="404040" w:themeColor="text1" w:themeTint="BF"/>
                <w:sz w:val="20"/>
                <w:szCs w:val="20"/>
              </w:rPr>
            </w:pPr>
            <w:r>
              <w:rPr>
                <w:b/>
                <w:color w:val="404040" w:themeColor="text1" w:themeTint="BF"/>
                <w:sz w:val="20"/>
                <w:szCs w:val="20"/>
              </w:rPr>
              <w:t>(</w:t>
            </w:r>
            <w:r w:rsidRPr="000057D0">
              <w:rPr>
                <w:b/>
                <w:color w:val="404040" w:themeColor="text1" w:themeTint="BF"/>
                <w:sz w:val="20"/>
                <w:szCs w:val="20"/>
              </w:rPr>
              <w:t>$'000s)</w:t>
            </w:r>
          </w:p>
        </w:tc>
      </w:tr>
      <w:tr w:rsidR="00A100F3" w:rsidRPr="000057D0" w:rsidTr="00B14372">
        <w:trPr>
          <w:cantSplit/>
        </w:trPr>
        <w:tc>
          <w:tcPr>
            <w:tcW w:w="7003" w:type="dxa"/>
            <w:tcBorders>
              <w:top w:val="single" w:sz="2" w:space="0" w:color="auto"/>
            </w:tcBorders>
            <w:shd w:val="clear" w:color="auto" w:fill="auto"/>
            <w:vAlign w:val="center"/>
          </w:tcPr>
          <w:p w:rsidR="00A100F3" w:rsidRPr="001E621A" w:rsidRDefault="00A100F3" w:rsidP="00AC31CE">
            <w:pPr>
              <w:spacing w:before="40" w:after="40"/>
              <w:ind w:left="0"/>
              <w:rPr>
                <w:color w:val="404040" w:themeColor="text1" w:themeTint="BF"/>
                <w:sz w:val="20"/>
                <w:szCs w:val="20"/>
              </w:rPr>
            </w:pPr>
            <w:r w:rsidRPr="001E621A">
              <w:rPr>
                <w:color w:val="404040" w:themeColor="text1" w:themeTint="BF"/>
                <w:sz w:val="20"/>
                <w:szCs w:val="20"/>
              </w:rPr>
              <w:t xml:space="preserve">Regulating operating </w:t>
            </w:r>
            <w:r w:rsidR="00AC31CE">
              <w:rPr>
                <w:color w:val="404040" w:themeColor="text1" w:themeTint="BF"/>
                <w:sz w:val="20"/>
                <w:szCs w:val="20"/>
              </w:rPr>
              <w:t>gaming machine</w:t>
            </w:r>
            <w:r w:rsidRPr="001E621A">
              <w:rPr>
                <w:color w:val="404040" w:themeColor="text1" w:themeTint="BF"/>
                <w:sz w:val="20"/>
                <w:szCs w:val="20"/>
              </w:rPr>
              <w:t>s</w:t>
            </w:r>
          </w:p>
        </w:tc>
        <w:tc>
          <w:tcPr>
            <w:tcW w:w="1134" w:type="dxa"/>
            <w:tcBorders>
              <w:top w:val="single" w:sz="2" w:space="0" w:color="auto"/>
            </w:tcBorders>
            <w:shd w:val="clear" w:color="auto" w:fill="auto"/>
          </w:tcPr>
          <w:p w:rsidR="00A100F3" w:rsidRPr="001E621A" w:rsidRDefault="00EF60D3" w:rsidP="00C46DDC">
            <w:pPr>
              <w:spacing w:before="40" w:after="40"/>
              <w:ind w:left="0"/>
              <w:jc w:val="right"/>
              <w:rPr>
                <w:color w:val="404040" w:themeColor="text1" w:themeTint="BF"/>
                <w:sz w:val="20"/>
                <w:szCs w:val="20"/>
              </w:rPr>
            </w:pPr>
            <w:r>
              <w:rPr>
                <w:color w:val="404040" w:themeColor="text1" w:themeTint="BF"/>
                <w:sz w:val="20"/>
                <w:szCs w:val="20"/>
              </w:rPr>
              <w:t>4 </w:t>
            </w:r>
            <w:r w:rsidR="001E621A" w:rsidRPr="001E621A">
              <w:rPr>
                <w:color w:val="404040" w:themeColor="text1" w:themeTint="BF"/>
                <w:sz w:val="20"/>
                <w:szCs w:val="20"/>
              </w:rPr>
              <w:t>880.6</w:t>
            </w:r>
          </w:p>
        </w:tc>
      </w:tr>
      <w:tr w:rsidR="00A100F3" w:rsidRPr="000057D0" w:rsidTr="00B14372">
        <w:trPr>
          <w:cantSplit/>
        </w:trPr>
        <w:tc>
          <w:tcPr>
            <w:tcW w:w="7003" w:type="dxa"/>
            <w:shd w:val="clear" w:color="auto" w:fill="auto"/>
            <w:vAlign w:val="center"/>
          </w:tcPr>
          <w:p w:rsidR="00A100F3" w:rsidRPr="001E621A" w:rsidRDefault="00A100F3" w:rsidP="00C46DDC">
            <w:pPr>
              <w:spacing w:before="40" w:after="40"/>
              <w:ind w:left="0"/>
              <w:rPr>
                <w:color w:val="404040" w:themeColor="text1" w:themeTint="BF"/>
                <w:sz w:val="20"/>
                <w:szCs w:val="20"/>
              </w:rPr>
            </w:pPr>
            <w:r w:rsidRPr="001E621A">
              <w:rPr>
                <w:color w:val="404040" w:themeColor="text1" w:themeTint="BF"/>
                <w:sz w:val="20"/>
                <w:szCs w:val="20"/>
              </w:rPr>
              <w:t>Administering the gaming machine entitlements system</w:t>
            </w:r>
          </w:p>
        </w:tc>
        <w:tc>
          <w:tcPr>
            <w:tcW w:w="1134" w:type="dxa"/>
            <w:shd w:val="clear" w:color="auto" w:fill="auto"/>
            <w:vAlign w:val="center"/>
          </w:tcPr>
          <w:p w:rsidR="00A100F3" w:rsidRPr="001E621A" w:rsidRDefault="00A100F3" w:rsidP="00C46DDC">
            <w:pPr>
              <w:spacing w:before="40" w:after="40"/>
              <w:ind w:left="0"/>
              <w:jc w:val="right"/>
              <w:rPr>
                <w:color w:val="404040" w:themeColor="text1" w:themeTint="BF"/>
                <w:sz w:val="20"/>
                <w:szCs w:val="20"/>
              </w:rPr>
            </w:pPr>
            <w:r w:rsidRPr="001E621A">
              <w:rPr>
                <w:color w:val="404040" w:themeColor="text1" w:themeTint="BF"/>
                <w:sz w:val="20"/>
                <w:szCs w:val="20"/>
              </w:rPr>
              <w:t>445.1</w:t>
            </w:r>
          </w:p>
        </w:tc>
      </w:tr>
      <w:tr w:rsidR="00A100F3" w:rsidRPr="000057D0" w:rsidTr="00B14372">
        <w:trPr>
          <w:cantSplit/>
        </w:trPr>
        <w:tc>
          <w:tcPr>
            <w:tcW w:w="7003" w:type="dxa"/>
            <w:shd w:val="clear" w:color="auto" w:fill="auto"/>
            <w:vAlign w:val="center"/>
          </w:tcPr>
          <w:p w:rsidR="00A100F3" w:rsidRPr="000057D0" w:rsidRDefault="00A100F3" w:rsidP="00C46DDC">
            <w:pPr>
              <w:spacing w:before="40" w:after="40"/>
              <w:ind w:left="0"/>
              <w:rPr>
                <w:b/>
                <w:color w:val="404040" w:themeColor="text1" w:themeTint="BF"/>
                <w:sz w:val="20"/>
                <w:szCs w:val="20"/>
              </w:rPr>
            </w:pPr>
            <w:r w:rsidRPr="000057D0">
              <w:rPr>
                <w:b/>
                <w:color w:val="404040" w:themeColor="text1" w:themeTint="BF"/>
                <w:sz w:val="20"/>
                <w:szCs w:val="20"/>
              </w:rPr>
              <w:t xml:space="preserve">Total net estimated regulatory costs </w:t>
            </w:r>
          </w:p>
        </w:tc>
        <w:tc>
          <w:tcPr>
            <w:tcW w:w="1134" w:type="dxa"/>
            <w:shd w:val="clear" w:color="auto" w:fill="auto"/>
            <w:vAlign w:val="center"/>
          </w:tcPr>
          <w:p w:rsidR="00A100F3" w:rsidRPr="000057D0" w:rsidRDefault="00EF60D3" w:rsidP="00C46DDC">
            <w:pPr>
              <w:spacing w:before="40" w:after="40"/>
              <w:ind w:left="0"/>
              <w:jc w:val="right"/>
              <w:rPr>
                <w:b/>
                <w:color w:val="404040" w:themeColor="text1" w:themeTint="BF"/>
                <w:sz w:val="20"/>
                <w:szCs w:val="20"/>
              </w:rPr>
            </w:pPr>
            <w:r>
              <w:rPr>
                <w:b/>
                <w:color w:val="404040" w:themeColor="text1" w:themeTint="BF"/>
                <w:sz w:val="20"/>
                <w:szCs w:val="20"/>
              </w:rPr>
              <w:t>5 </w:t>
            </w:r>
            <w:r w:rsidR="00453A1B">
              <w:rPr>
                <w:b/>
                <w:color w:val="404040" w:themeColor="text1" w:themeTint="BF"/>
                <w:sz w:val="20"/>
                <w:szCs w:val="20"/>
              </w:rPr>
              <w:t>325.7</w:t>
            </w:r>
          </w:p>
        </w:tc>
      </w:tr>
    </w:tbl>
    <w:p w:rsidR="00A100F3" w:rsidRDefault="00A100F3" w:rsidP="00A100F3">
      <w:pPr>
        <w:spacing w:before="0" w:after="0"/>
        <w:rPr>
          <w:i/>
          <w:sz w:val="18"/>
          <w:szCs w:val="20"/>
        </w:rPr>
      </w:pPr>
      <w:r>
        <w:rPr>
          <w:i/>
          <w:sz w:val="18"/>
          <w:szCs w:val="20"/>
        </w:rPr>
        <w:t>Source: VCGLR</w:t>
      </w:r>
    </w:p>
    <w:p w:rsidR="00A100F3" w:rsidRDefault="00A100F3" w:rsidP="00A100F3">
      <w:pPr>
        <w:spacing w:before="0" w:after="0"/>
        <w:rPr>
          <w:i/>
          <w:sz w:val="20"/>
          <w:szCs w:val="20"/>
        </w:rPr>
      </w:pPr>
      <w:r>
        <w:rPr>
          <w:i/>
          <w:sz w:val="20"/>
          <w:szCs w:val="20"/>
        </w:rPr>
        <w:t>*</w:t>
      </w:r>
      <w:r w:rsidRPr="003854B7">
        <w:rPr>
          <w:i/>
          <w:sz w:val="20"/>
          <w:szCs w:val="20"/>
        </w:rPr>
        <w:t xml:space="preserve"> 2012-13 denotes costs incurred since </w:t>
      </w:r>
      <w:r w:rsidR="00F13192">
        <w:rPr>
          <w:i/>
          <w:sz w:val="20"/>
          <w:szCs w:val="20"/>
        </w:rPr>
        <w:t>venue o</w:t>
      </w:r>
      <w:r w:rsidR="00472069">
        <w:rPr>
          <w:i/>
          <w:sz w:val="20"/>
          <w:szCs w:val="20"/>
        </w:rPr>
        <w:t>perator</w:t>
      </w:r>
      <w:r w:rsidRPr="003854B7">
        <w:rPr>
          <w:i/>
          <w:sz w:val="20"/>
          <w:szCs w:val="20"/>
        </w:rPr>
        <w:t xml:space="preserve"> licences commenced on 16 August 2012</w:t>
      </w:r>
      <w:r>
        <w:rPr>
          <w:i/>
          <w:sz w:val="20"/>
          <w:szCs w:val="20"/>
        </w:rPr>
        <w:t xml:space="preserve"> and estimated up to 30 June 2013</w:t>
      </w:r>
      <w:r w:rsidRPr="003854B7">
        <w:rPr>
          <w:i/>
          <w:sz w:val="20"/>
          <w:szCs w:val="20"/>
        </w:rPr>
        <w:t>.</w:t>
      </w:r>
      <w:r w:rsidR="001E621A">
        <w:rPr>
          <w:i/>
          <w:sz w:val="20"/>
          <w:szCs w:val="20"/>
        </w:rPr>
        <w:t xml:space="preserve"> Each gaming regulatory activity was explored in further detail in table 4.1 of Chapter 4. Costs are net of revenues collected from activity based licence fees.</w:t>
      </w:r>
    </w:p>
    <w:p w:rsidR="008D0B64" w:rsidRPr="008D0B64" w:rsidRDefault="00E37B3B" w:rsidP="008D0B64">
      <w:pPr>
        <w:spacing w:before="240" w:after="240"/>
        <w:rPr>
          <w:szCs w:val="24"/>
          <w:lang w:eastAsia="en-US"/>
        </w:rPr>
      </w:pPr>
      <w:r w:rsidRPr="008D0B64">
        <w:rPr>
          <w:szCs w:val="24"/>
          <w:lang w:eastAsia="en-US"/>
        </w:rPr>
        <w:t xml:space="preserve">These options </w:t>
      </w:r>
      <w:r w:rsidR="003D7E99" w:rsidRPr="008D0B64">
        <w:rPr>
          <w:szCs w:val="24"/>
          <w:lang w:eastAsia="en-US"/>
        </w:rPr>
        <w:t>will be</w:t>
      </w:r>
      <w:r w:rsidRPr="008D0B64">
        <w:rPr>
          <w:szCs w:val="24"/>
          <w:lang w:eastAsia="en-US"/>
        </w:rPr>
        <w:t xml:space="preserve"> assessed for application in the 2012-13 year only. This recognises that </w:t>
      </w:r>
      <w:r w:rsidR="00573E5E" w:rsidRPr="008D0B64">
        <w:rPr>
          <w:szCs w:val="24"/>
          <w:lang w:eastAsia="en-US"/>
        </w:rPr>
        <w:t>2012-13 is a year of transition</w:t>
      </w:r>
      <w:r w:rsidRPr="008D0B64">
        <w:rPr>
          <w:szCs w:val="24"/>
          <w:lang w:eastAsia="en-US"/>
        </w:rPr>
        <w:t xml:space="preserve"> in Victoria’s gaming machine industry -</w:t>
      </w:r>
      <w:r w:rsidR="00573E5E" w:rsidRPr="008D0B64">
        <w:rPr>
          <w:szCs w:val="24"/>
          <w:lang w:eastAsia="en-US"/>
        </w:rPr>
        <w:t xml:space="preserve"> </w:t>
      </w:r>
      <w:r w:rsidRPr="008D0B64">
        <w:rPr>
          <w:szCs w:val="24"/>
          <w:lang w:eastAsia="en-US"/>
        </w:rPr>
        <w:t>i.e. it is</w:t>
      </w:r>
      <w:r w:rsidR="00573E5E" w:rsidRPr="008D0B64">
        <w:rPr>
          <w:szCs w:val="24"/>
          <w:lang w:eastAsia="en-US"/>
        </w:rPr>
        <w:t xml:space="preserve"> the first year in which the new</w:t>
      </w:r>
      <w:r w:rsidR="00573E5E" w:rsidRPr="008D0B64">
        <w:rPr>
          <w:szCs w:val="24"/>
        </w:rPr>
        <w:t xml:space="preserve"> devolved </w:t>
      </w:r>
      <w:r w:rsidR="00F13192">
        <w:rPr>
          <w:szCs w:val="24"/>
        </w:rPr>
        <w:t>venue o</w:t>
      </w:r>
      <w:r w:rsidR="00472069">
        <w:rPr>
          <w:szCs w:val="24"/>
        </w:rPr>
        <w:t>perator</w:t>
      </w:r>
      <w:r w:rsidR="00573E5E" w:rsidRPr="008D0B64">
        <w:rPr>
          <w:szCs w:val="24"/>
        </w:rPr>
        <w:t xml:space="preserve"> system replaces the duopol</w:t>
      </w:r>
      <w:r w:rsidRPr="008D0B64">
        <w:rPr>
          <w:szCs w:val="24"/>
        </w:rPr>
        <w:t>istic gaming operator licence system</w:t>
      </w:r>
      <w:r w:rsidR="00573E5E" w:rsidRPr="008D0B64">
        <w:rPr>
          <w:szCs w:val="24"/>
        </w:rPr>
        <w:t xml:space="preserve">. </w:t>
      </w:r>
      <w:r w:rsidRPr="008D0B64">
        <w:rPr>
          <w:szCs w:val="24"/>
        </w:rPr>
        <w:t>As a result</w:t>
      </w:r>
      <w:r w:rsidR="00573E5E" w:rsidRPr="008D0B64">
        <w:rPr>
          <w:szCs w:val="24"/>
        </w:rPr>
        <w:t xml:space="preserve"> there is uncertainty about</w:t>
      </w:r>
      <w:r w:rsidRPr="008D0B64">
        <w:rPr>
          <w:szCs w:val="24"/>
        </w:rPr>
        <w:t xml:space="preserve"> a range of factors affecting</w:t>
      </w:r>
      <w:r w:rsidR="00573E5E" w:rsidRPr="008D0B64">
        <w:rPr>
          <w:szCs w:val="24"/>
        </w:rPr>
        <w:t xml:space="preserve"> the cost structure of VCGLR’s regulatory costs.</w:t>
      </w:r>
      <w:r w:rsidRPr="008D0B64">
        <w:rPr>
          <w:szCs w:val="24"/>
        </w:rPr>
        <w:t xml:space="preserve"> The approach ultimately adopted </w:t>
      </w:r>
      <w:r w:rsidR="003D7E99" w:rsidRPr="008D0B64">
        <w:rPr>
          <w:szCs w:val="24"/>
        </w:rPr>
        <w:t xml:space="preserve">for 2012-13 </w:t>
      </w:r>
      <w:r w:rsidRPr="008D0B64">
        <w:rPr>
          <w:szCs w:val="24"/>
        </w:rPr>
        <w:t>will be reviewed</w:t>
      </w:r>
      <w:r w:rsidR="00573E5E" w:rsidRPr="008D0B64">
        <w:rPr>
          <w:szCs w:val="24"/>
        </w:rPr>
        <w:t xml:space="preserve"> in 2013-14</w:t>
      </w:r>
      <w:r w:rsidR="0047054C">
        <w:rPr>
          <w:szCs w:val="24"/>
        </w:rPr>
        <w:t>.</w:t>
      </w:r>
      <w:r w:rsidR="00573E5E" w:rsidRPr="008D0B64">
        <w:rPr>
          <w:szCs w:val="24"/>
        </w:rPr>
        <w:t xml:space="preserve"> </w:t>
      </w:r>
    </w:p>
    <w:p w:rsidR="00470CA0" w:rsidRDefault="00470CA0" w:rsidP="00470CA0">
      <w:pPr>
        <w:pStyle w:val="Heading2"/>
      </w:pPr>
      <w:bookmarkStart w:id="23" w:name="_Toc356830864"/>
      <w:r>
        <w:t>Options to be assessed</w:t>
      </w:r>
      <w:bookmarkEnd w:id="23"/>
      <w:r>
        <w:t xml:space="preserve"> </w:t>
      </w:r>
    </w:p>
    <w:p w:rsidR="00470CA0" w:rsidRDefault="00EF60D3" w:rsidP="00470CA0">
      <w:pPr>
        <w:pStyle w:val="Heading3"/>
      </w:pPr>
      <w:bookmarkStart w:id="24" w:name="_Toc356830865"/>
      <w:r>
        <w:t>Base case – N</w:t>
      </w:r>
      <w:r w:rsidR="00470CA0">
        <w:t>o supervision charge</w:t>
      </w:r>
      <w:bookmarkEnd w:id="24"/>
    </w:p>
    <w:p w:rsidR="00470CA0" w:rsidRPr="00F4021E" w:rsidRDefault="00670CBC" w:rsidP="00470CA0">
      <w:pPr>
        <w:spacing w:before="240" w:after="240"/>
        <w:rPr>
          <w:szCs w:val="24"/>
          <w:lang w:eastAsia="en-US"/>
        </w:rPr>
      </w:pPr>
      <w:r>
        <w:rPr>
          <w:szCs w:val="24"/>
          <w:lang w:eastAsia="en-US"/>
        </w:rPr>
        <w:t>T</w:t>
      </w:r>
      <w:r w:rsidR="00470CA0" w:rsidRPr="00F4021E">
        <w:rPr>
          <w:szCs w:val="24"/>
          <w:lang w:eastAsia="en-US"/>
        </w:rPr>
        <w:t>he base case is that no supervision charge is imposed. VCGLR would still undertake its regulatory activities in the same manner; however the costs would be borne through general taxation, either through increased taxation, reductions in other service expenses</w:t>
      </w:r>
      <w:r w:rsidR="005F74F6">
        <w:rPr>
          <w:szCs w:val="24"/>
          <w:lang w:eastAsia="en-US"/>
        </w:rPr>
        <w:t>,</w:t>
      </w:r>
      <w:r w:rsidR="00470CA0" w:rsidRPr="00F4021E">
        <w:rPr>
          <w:szCs w:val="24"/>
          <w:lang w:eastAsia="en-US"/>
        </w:rPr>
        <w:t xml:space="preserve"> or through borrowing. </w:t>
      </w:r>
    </w:p>
    <w:p w:rsidR="00470CA0" w:rsidRPr="00F4021E" w:rsidRDefault="00470CA0" w:rsidP="00470CA0">
      <w:pPr>
        <w:spacing w:before="240" w:after="240"/>
        <w:rPr>
          <w:szCs w:val="24"/>
          <w:lang w:eastAsia="en-US"/>
        </w:rPr>
      </w:pPr>
      <w:r w:rsidRPr="00F4021E">
        <w:rPr>
          <w:szCs w:val="24"/>
          <w:lang w:eastAsia="en-US"/>
        </w:rPr>
        <w:t>The absence of a supervision charge on gaming would not directly affect the VCGLR’s finances in the short term because the revenues collected from the charge are not hypothecated. That is</w:t>
      </w:r>
      <w:r w:rsidR="005F74F6">
        <w:rPr>
          <w:szCs w:val="24"/>
          <w:lang w:eastAsia="en-US"/>
        </w:rPr>
        <w:t>,</w:t>
      </w:r>
      <w:r w:rsidRPr="00F4021E">
        <w:rPr>
          <w:szCs w:val="24"/>
          <w:lang w:eastAsia="en-US"/>
        </w:rPr>
        <w:t xml:space="preserve"> they are </w:t>
      </w:r>
      <w:r w:rsidR="00237B86" w:rsidRPr="00F4021E">
        <w:rPr>
          <w:szCs w:val="24"/>
          <w:lang w:eastAsia="en-US"/>
        </w:rPr>
        <w:t>not directly</w:t>
      </w:r>
      <w:r w:rsidRPr="00F4021E">
        <w:rPr>
          <w:szCs w:val="24"/>
          <w:lang w:eastAsia="en-US"/>
        </w:rPr>
        <w:t xml:space="preserve"> linked and paid back to the VCGLR. Rather, the VCGLR is funded through appropriations from the State Budget. As a result, additional revenue or savings in the order of $</w:t>
      </w:r>
      <w:r w:rsidR="00D83ABD">
        <w:rPr>
          <w:szCs w:val="24"/>
          <w:lang w:eastAsia="en-US"/>
        </w:rPr>
        <w:t>5.3</w:t>
      </w:r>
      <w:r w:rsidRPr="00F4021E">
        <w:rPr>
          <w:szCs w:val="24"/>
          <w:lang w:eastAsia="en-US"/>
        </w:rPr>
        <w:t xml:space="preserve"> million </w:t>
      </w:r>
      <w:r w:rsidR="00D83ABD">
        <w:rPr>
          <w:szCs w:val="24"/>
          <w:lang w:eastAsia="en-US"/>
        </w:rPr>
        <w:t>in 2012-13</w:t>
      </w:r>
      <w:r w:rsidRPr="00F4021E">
        <w:rPr>
          <w:szCs w:val="24"/>
          <w:lang w:eastAsia="en-US"/>
        </w:rPr>
        <w:t xml:space="preserve"> would need to be transferred from another area of the state’s finances to meet the costs of the VCGLR in supervising gaming. </w:t>
      </w:r>
    </w:p>
    <w:p w:rsidR="00470CA0" w:rsidRPr="00470CA0" w:rsidRDefault="00B61A29" w:rsidP="00470CA0">
      <w:pPr>
        <w:pStyle w:val="Heading3"/>
      </w:pPr>
      <w:bookmarkStart w:id="25" w:name="_Toc356830866"/>
      <w:r>
        <w:t>Option A</w:t>
      </w:r>
      <w:r w:rsidR="00470CA0" w:rsidRPr="00470CA0">
        <w:t xml:space="preserve"> – Two tiered charge on entitlements and </w:t>
      </w:r>
      <w:r w:rsidR="00C55E58">
        <w:t>gaming machines</w:t>
      </w:r>
      <w:bookmarkEnd w:id="25"/>
    </w:p>
    <w:p w:rsidR="00470CA0" w:rsidRPr="00F4021E" w:rsidRDefault="00B61A29" w:rsidP="00470CA0">
      <w:pPr>
        <w:spacing w:before="240" w:after="240"/>
        <w:rPr>
          <w:szCs w:val="24"/>
          <w:lang w:eastAsia="en-US"/>
        </w:rPr>
      </w:pPr>
      <w:r>
        <w:rPr>
          <w:szCs w:val="24"/>
          <w:lang w:eastAsia="en-US"/>
        </w:rPr>
        <w:t>Option A</w:t>
      </w:r>
      <w:r w:rsidR="00470CA0" w:rsidRPr="00F4021E">
        <w:rPr>
          <w:szCs w:val="24"/>
          <w:lang w:eastAsia="en-US"/>
        </w:rPr>
        <w:t xml:space="preserve"> apportion</w:t>
      </w:r>
      <w:r w:rsidR="002A6200">
        <w:rPr>
          <w:szCs w:val="24"/>
          <w:lang w:eastAsia="en-US"/>
        </w:rPr>
        <w:t>s the</w:t>
      </w:r>
      <w:r w:rsidR="00470CA0" w:rsidRPr="00F4021E">
        <w:rPr>
          <w:szCs w:val="24"/>
          <w:lang w:eastAsia="en-US"/>
        </w:rPr>
        <w:t xml:space="preserve"> VCGLR’s regulatory costs to gaming </w:t>
      </w:r>
      <w:r w:rsidR="00F13192">
        <w:rPr>
          <w:szCs w:val="24"/>
          <w:lang w:eastAsia="en-US"/>
        </w:rPr>
        <w:t>venue o</w:t>
      </w:r>
      <w:r w:rsidR="00472069">
        <w:rPr>
          <w:szCs w:val="24"/>
          <w:lang w:eastAsia="en-US"/>
        </w:rPr>
        <w:t>perator</w:t>
      </w:r>
      <w:r w:rsidR="00470CA0" w:rsidRPr="00F4021E">
        <w:rPr>
          <w:szCs w:val="24"/>
          <w:lang w:eastAsia="en-US"/>
        </w:rPr>
        <w:t xml:space="preserve">s directly based on the regulation of the gaming entitlements system overall (for example, managing the transfer of entitlements) and the regulation/supervision of operating </w:t>
      </w:r>
      <w:r w:rsidR="00C55E58">
        <w:rPr>
          <w:szCs w:val="24"/>
          <w:lang w:eastAsia="en-US"/>
        </w:rPr>
        <w:t>gaming machine</w:t>
      </w:r>
      <w:r w:rsidR="00470CA0" w:rsidRPr="00F4021E">
        <w:rPr>
          <w:szCs w:val="24"/>
          <w:lang w:eastAsia="en-US"/>
        </w:rPr>
        <w:t xml:space="preserve">s (i.e. gaming entitlements which are being actively used by the </w:t>
      </w:r>
      <w:r w:rsidR="00F13192">
        <w:rPr>
          <w:szCs w:val="24"/>
          <w:lang w:eastAsia="en-US"/>
        </w:rPr>
        <w:t>venue o</w:t>
      </w:r>
      <w:r w:rsidR="00472069">
        <w:rPr>
          <w:szCs w:val="24"/>
          <w:lang w:eastAsia="en-US"/>
        </w:rPr>
        <w:t>perator</w:t>
      </w:r>
      <w:r w:rsidR="00470CA0" w:rsidRPr="00F4021E">
        <w:rPr>
          <w:szCs w:val="24"/>
          <w:lang w:eastAsia="en-US"/>
        </w:rPr>
        <w:t xml:space="preserve">). </w:t>
      </w:r>
    </w:p>
    <w:p w:rsidR="00470CA0" w:rsidRPr="00F4021E" w:rsidRDefault="00470CA0" w:rsidP="00F4021E">
      <w:pPr>
        <w:spacing w:before="240" w:after="240"/>
        <w:contextualSpacing/>
        <w:rPr>
          <w:szCs w:val="24"/>
          <w:lang w:eastAsia="en-US"/>
        </w:rPr>
      </w:pPr>
      <w:r w:rsidRPr="00F4021E">
        <w:rPr>
          <w:szCs w:val="24"/>
          <w:lang w:eastAsia="en-US"/>
        </w:rPr>
        <w:t>This two tiered system to the charge incorporates two elements:</w:t>
      </w:r>
    </w:p>
    <w:p w:rsidR="00470CA0" w:rsidRPr="00F4021E" w:rsidRDefault="00470CA0" w:rsidP="00F4021E">
      <w:pPr>
        <w:numPr>
          <w:ilvl w:val="0"/>
          <w:numId w:val="29"/>
        </w:numPr>
        <w:spacing w:before="240" w:after="240"/>
        <w:ind w:hanging="357"/>
        <w:contextualSpacing/>
        <w:rPr>
          <w:szCs w:val="24"/>
          <w:lang w:eastAsia="en-US"/>
        </w:rPr>
      </w:pPr>
      <w:r w:rsidRPr="00F4021E">
        <w:rPr>
          <w:szCs w:val="24"/>
          <w:lang w:eastAsia="en-US"/>
        </w:rPr>
        <w:t xml:space="preserve">A </w:t>
      </w:r>
      <w:r w:rsidR="00670CBC">
        <w:rPr>
          <w:szCs w:val="24"/>
          <w:lang w:eastAsia="en-US"/>
        </w:rPr>
        <w:t>per entitlement</w:t>
      </w:r>
      <w:r w:rsidRPr="00F4021E">
        <w:rPr>
          <w:szCs w:val="24"/>
          <w:lang w:eastAsia="en-US"/>
        </w:rPr>
        <w:t xml:space="preserve"> charge multiplied by the</w:t>
      </w:r>
      <w:r w:rsidR="0047054C">
        <w:rPr>
          <w:szCs w:val="24"/>
          <w:lang w:eastAsia="en-US"/>
        </w:rPr>
        <w:t xml:space="preserve"> average</w:t>
      </w:r>
      <w:r w:rsidRPr="00F4021E">
        <w:rPr>
          <w:szCs w:val="24"/>
          <w:lang w:eastAsia="en-US"/>
        </w:rPr>
        <w:t xml:space="preserve"> number of entitlements held by the </w:t>
      </w:r>
      <w:r w:rsidR="00F13192">
        <w:rPr>
          <w:szCs w:val="24"/>
          <w:lang w:eastAsia="en-US"/>
        </w:rPr>
        <w:t>venue o</w:t>
      </w:r>
      <w:r w:rsidR="00472069">
        <w:rPr>
          <w:szCs w:val="24"/>
          <w:lang w:eastAsia="en-US"/>
        </w:rPr>
        <w:t>perator</w:t>
      </w:r>
      <w:r w:rsidRPr="00F4021E">
        <w:rPr>
          <w:szCs w:val="24"/>
          <w:lang w:eastAsia="en-US"/>
        </w:rPr>
        <w:t>; and</w:t>
      </w:r>
    </w:p>
    <w:p w:rsidR="00470CA0" w:rsidRPr="00F4021E" w:rsidRDefault="00470CA0" w:rsidP="00F4021E">
      <w:pPr>
        <w:numPr>
          <w:ilvl w:val="0"/>
          <w:numId w:val="29"/>
        </w:numPr>
        <w:spacing w:before="240" w:after="240"/>
        <w:ind w:hanging="357"/>
        <w:rPr>
          <w:szCs w:val="24"/>
          <w:lang w:eastAsia="en-US"/>
        </w:rPr>
      </w:pPr>
      <w:r w:rsidRPr="00F4021E">
        <w:rPr>
          <w:szCs w:val="24"/>
          <w:lang w:eastAsia="en-US"/>
        </w:rPr>
        <w:t xml:space="preserve">A </w:t>
      </w:r>
      <w:r w:rsidR="00670CBC">
        <w:rPr>
          <w:szCs w:val="24"/>
          <w:lang w:eastAsia="en-US"/>
        </w:rPr>
        <w:t>per operating gaming machine</w:t>
      </w:r>
      <w:r w:rsidRPr="00F4021E">
        <w:rPr>
          <w:szCs w:val="24"/>
          <w:lang w:eastAsia="en-US"/>
        </w:rPr>
        <w:t xml:space="preserve"> charge multiplied by the</w:t>
      </w:r>
      <w:r w:rsidR="0047054C">
        <w:rPr>
          <w:szCs w:val="24"/>
          <w:lang w:eastAsia="en-US"/>
        </w:rPr>
        <w:t xml:space="preserve"> average</w:t>
      </w:r>
      <w:r w:rsidRPr="00F4021E">
        <w:rPr>
          <w:szCs w:val="24"/>
          <w:lang w:eastAsia="en-US"/>
        </w:rPr>
        <w:t xml:space="preserve"> number of operating </w:t>
      </w:r>
      <w:r w:rsidR="00C55E58">
        <w:rPr>
          <w:szCs w:val="24"/>
          <w:lang w:eastAsia="en-US"/>
        </w:rPr>
        <w:t>gaming machines</w:t>
      </w:r>
      <w:r w:rsidRPr="00F4021E">
        <w:rPr>
          <w:szCs w:val="24"/>
          <w:lang w:eastAsia="en-US"/>
        </w:rPr>
        <w:t xml:space="preserve"> held by the </w:t>
      </w:r>
      <w:r w:rsidR="00F13192">
        <w:rPr>
          <w:szCs w:val="24"/>
          <w:lang w:eastAsia="en-US"/>
        </w:rPr>
        <w:t>venue o</w:t>
      </w:r>
      <w:r w:rsidR="00472069">
        <w:rPr>
          <w:szCs w:val="24"/>
          <w:lang w:eastAsia="en-US"/>
        </w:rPr>
        <w:t>perator</w:t>
      </w:r>
      <w:r w:rsidRPr="00F4021E">
        <w:rPr>
          <w:szCs w:val="24"/>
          <w:lang w:eastAsia="en-US"/>
        </w:rPr>
        <w:t>.</w:t>
      </w:r>
    </w:p>
    <w:p w:rsidR="00470CA0" w:rsidRPr="00F4021E" w:rsidRDefault="00470CA0" w:rsidP="00470CA0">
      <w:pPr>
        <w:spacing w:before="240" w:after="240"/>
        <w:rPr>
          <w:szCs w:val="24"/>
          <w:lang w:eastAsia="en-US"/>
        </w:rPr>
      </w:pPr>
      <w:r w:rsidRPr="00F4021E">
        <w:rPr>
          <w:szCs w:val="24"/>
          <w:lang w:eastAsia="en-US"/>
        </w:rPr>
        <w:t xml:space="preserve">These two </w:t>
      </w:r>
      <w:r w:rsidR="0047054C">
        <w:rPr>
          <w:szCs w:val="24"/>
          <w:lang w:eastAsia="en-US"/>
        </w:rPr>
        <w:t>elements</w:t>
      </w:r>
      <w:r w:rsidR="0047054C" w:rsidRPr="00F4021E">
        <w:rPr>
          <w:szCs w:val="24"/>
          <w:lang w:eastAsia="en-US"/>
        </w:rPr>
        <w:t xml:space="preserve"> </w:t>
      </w:r>
      <w:r w:rsidRPr="00F4021E">
        <w:rPr>
          <w:szCs w:val="24"/>
          <w:lang w:eastAsia="en-US"/>
        </w:rPr>
        <w:t xml:space="preserve">are then summed to form the supervision charge, which is levied on </w:t>
      </w:r>
      <w:r w:rsidR="00F13192">
        <w:rPr>
          <w:szCs w:val="24"/>
          <w:lang w:eastAsia="en-US"/>
        </w:rPr>
        <w:t>venue o</w:t>
      </w:r>
      <w:r w:rsidR="00472069">
        <w:rPr>
          <w:szCs w:val="24"/>
          <w:lang w:eastAsia="en-US"/>
        </w:rPr>
        <w:t>perator</w:t>
      </w:r>
      <w:r w:rsidRPr="00F4021E">
        <w:rPr>
          <w:szCs w:val="24"/>
          <w:lang w:eastAsia="en-US"/>
        </w:rPr>
        <w:t xml:space="preserve">s annually in arrears. </w:t>
      </w:r>
    </w:p>
    <w:p w:rsidR="00470CA0" w:rsidRDefault="00470CA0" w:rsidP="00470CA0">
      <w:pPr>
        <w:spacing w:before="240" w:after="240"/>
        <w:rPr>
          <w:szCs w:val="24"/>
          <w:lang w:eastAsia="en-US"/>
        </w:rPr>
      </w:pPr>
      <w:r w:rsidRPr="00F4021E">
        <w:rPr>
          <w:szCs w:val="24"/>
          <w:lang w:eastAsia="en-US"/>
        </w:rPr>
        <w:t xml:space="preserve">The two tiered system separately accounts for regulatory costs for entitlements irrespective of whether </w:t>
      </w:r>
      <w:r w:rsidR="00D83ABD">
        <w:rPr>
          <w:szCs w:val="24"/>
          <w:lang w:eastAsia="en-US"/>
        </w:rPr>
        <w:t xml:space="preserve">the entitlement is attached to a machine – this reflects </w:t>
      </w:r>
      <w:r w:rsidRPr="00F4021E">
        <w:rPr>
          <w:szCs w:val="24"/>
          <w:lang w:eastAsia="en-US"/>
        </w:rPr>
        <w:t>the fact that</w:t>
      </w:r>
      <w:r w:rsidR="00D83ABD">
        <w:rPr>
          <w:szCs w:val="24"/>
          <w:lang w:eastAsia="en-US"/>
        </w:rPr>
        <w:t xml:space="preserve"> there are different costs in </w:t>
      </w:r>
      <w:r w:rsidR="001E621A">
        <w:rPr>
          <w:szCs w:val="24"/>
          <w:lang w:eastAsia="en-US"/>
        </w:rPr>
        <w:t xml:space="preserve">administering the </w:t>
      </w:r>
      <w:r w:rsidR="00D83ABD">
        <w:rPr>
          <w:szCs w:val="24"/>
          <w:lang w:eastAsia="en-US"/>
        </w:rPr>
        <w:t>entitlement</w:t>
      </w:r>
      <w:r w:rsidR="001E621A">
        <w:rPr>
          <w:szCs w:val="24"/>
          <w:lang w:eastAsia="en-US"/>
        </w:rPr>
        <w:t xml:space="preserve"> </w:t>
      </w:r>
      <w:r w:rsidR="00D83ABD">
        <w:rPr>
          <w:szCs w:val="24"/>
          <w:lang w:eastAsia="en-US"/>
        </w:rPr>
        <w:t>s</w:t>
      </w:r>
      <w:r w:rsidR="001E621A">
        <w:rPr>
          <w:szCs w:val="24"/>
          <w:lang w:eastAsia="en-US"/>
        </w:rPr>
        <w:t>ystem</w:t>
      </w:r>
      <w:r w:rsidR="00D83ABD">
        <w:rPr>
          <w:szCs w:val="24"/>
          <w:lang w:eastAsia="en-US"/>
        </w:rPr>
        <w:t xml:space="preserve"> and</w:t>
      </w:r>
      <w:r w:rsidRPr="00F4021E">
        <w:rPr>
          <w:szCs w:val="24"/>
          <w:lang w:eastAsia="en-US"/>
        </w:rPr>
        <w:t xml:space="preserve"> not all entitlements are attached</w:t>
      </w:r>
      <w:r w:rsidR="00D83ABD">
        <w:rPr>
          <w:szCs w:val="24"/>
          <w:lang w:eastAsia="en-US"/>
        </w:rPr>
        <w:t xml:space="preserve"> to a machine</w:t>
      </w:r>
      <w:r w:rsidRPr="00F4021E">
        <w:rPr>
          <w:szCs w:val="24"/>
          <w:lang w:eastAsia="en-US"/>
        </w:rPr>
        <w:t xml:space="preserve">. In practice, relatively few entitlements are not in use </w:t>
      </w:r>
      <w:r w:rsidR="00F143D0">
        <w:rPr>
          <w:szCs w:val="24"/>
          <w:lang w:eastAsia="en-US"/>
        </w:rPr>
        <w:t xml:space="preserve">by </w:t>
      </w:r>
      <w:r w:rsidR="00F13192">
        <w:rPr>
          <w:szCs w:val="24"/>
          <w:lang w:eastAsia="en-US"/>
        </w:rPr>
        <w:t>venue o</w:t>
      </w:r>
      <w:r w:rsidR="00472069">
        <w:rPr>
          <w:szCs w:val="24"/>
          <w:lang w:eastAsia="en-US"/>
        </w:rPr>
        <w:t>perator</w:t>
      </w:r>
      <w:r w:rsidR="00F143D0">
        <w:rPr>
          <w:szCs w:val="24"/>
          <w:lang w:eastAsia="en-US"/>
        </w:rPr>
        <w:t>s (1,743</w:t>
      </w:r>
      <w:r w:rsidR="005F74F6" w:rsidRPr="005F74F6">
        <w:rPr>
          <w:szCs w:val="24"/>
          <w:lang w:eastAsia="en-US"/>
        </w:rPr>
        <w:t xml:space="preserve"> </w:t>
      </w:r>
      <w:r w:rsidR="005F74F6">
        <w:rPr>
          <w:szCs w:val="24"/>
          <w:lang w:eastAsia="en-US"/>
        </w:rPr>
        <w:t>in May 2013</w:t>
      </w:r>
      <w:r w:rsidRPr="00F4021E">
        <w:rPr>
          <w:szCs w:val="24"/>
          <w:lang w:eastAsia="en-US"/>
        </w:rPr>
        <w:t xml:space="preserve">). </w:t>
      </w:r>
    </w:p>
    <w:p w:rsidR="00470CA0" w:rsidRPr="00F4021E" w:rsidRDefault="00470CA0" w:rsidP="00470CA0">
      <w:pPr>
        <w:spacing w:before="240" w:after="240"/>
        <w:rPr>
          <w:szCs w:val="24"/>
          <w:lang w:eastAsia="en-US"/>
        </w:rPr>
      </w:pPr>
      <w:r w:rsidRPr="00F4021E">
        <w:rPr>
          <w:szCs w:val="24"/>
          <w:lang w:eastAsia="en-US"/>
        </w:rPr>
        <w:t xml:space="preserve">The VCGLR’s </w:t>
      </w:r>
      <w:r w:rsidR="005F74F6">
        <w:rPr>
          <w:szCs w:val="24"/>
          <w:lang w:eastAsia="en-US"/>
        </w:rPr>
        <w:t xml:space="preserve">costs to administer the gaming machine entitlements </w:t>
      </w:r>
      <w:r w:rsidR="00237B86">
        <w:rPr>
          <w:szCs w:val="24"/>
          <w:lang w:eastAsia="en-US"/>
        </w:rPr>
        <w:t xml:space="preserve">system </w:t>
      </w:r>
      <w:r w:rsidR="00237B86" w:rsidRPr="00F4021E">
        <w:rPr>
          <w:szCs w:val="24"/>
          <w:lang w:eastAsia="en-US"/>
        </w:rPr>
        <w:t>are</w:t>
      </w:r>
      <w:r w:rsidRPr="00F4021E">
        <w:rPr>
          <w:szCs w:val="24"/>
          <w:lang w:eastAsia="en-US"/>
        </w:rPr>
        <w:t xml:space="preserve"> small compared to their costs associated with regulating operating </w:t>
      </w:r>
      <w:r w:rsidR="00C55E58">
        <w:rPr>
          <w:szCs w:val="24"/>
          <w:lang w:eastAsia="en-US"/>
        </w:rPr>
        <w:t>gaming machines</w:t>
      </w:r>
      <w:r w:rsidRPr="00F4021E">
        <w:rPr>
          <w:szCs w:val="24"/>
          <w:lang w:eastAsia="en-US"/>
        </w:rPr>
        <w:t xml:space="preserve">. This reflects the fact that entitlements on their own are an authority to operate </w:t>
      </w:r>
      <w:r w:rsidR="00C55E58">
        <w:rPr>
          <w:szCs w:val="24"/>
          <w:lang w:eastAsia="en-US"/>
        </w:rPr>
        <w:t>gaming machine</w:t>
      </w:r>
      <w:r w:rsidRPr="00F4021E">
        <w:rPr>
          <w:szCs w:val="24"/>
          <w:lang w:eastAsia="en-US"/>
        </w:rPr>
        <w:t xml:space="preserve">s and that regulating operating </w:t>
      </w:r>
      <w:r w:rsidR="00C55E58">
        <w:rPr>
          <w:szCs w:val="24"/>
          <w:lang w:eastAsia="en-US"/>
        </w:rPr>
        <w:t>gaming machine</w:t>
      </w:r>
      <w:r w:rsidRPr="00F4021E">
        <w:rPr>
          <w:szCs w:val="24"/>
          <w:lang w:eastAsia="en-US"/>
        </w:rPr>
        <w:t xml:space="preserve">s places the largest burden on VCGLR. The effect of this two tiered system is that entitlement holders not operating </w:t>
      </w:r>
      <w:r w:rsidR="00C55E58">
        <w:rPr>
          <w:szCs w:val="24"/>
          <w:lang w:eastAsia="en-US"/>
        </w:rPr>
        <w:t>gaming machine</w:t>
      </w:r>
      <w:r w:rsidRPr="00F4021E">
        <w:rPr>
          <w:szCs w:val="24"/>
          <w:lang w:eastAsia="en-US"/>
        </w:rPr>
        <w:t xml:space="preserve">s face a lower supervision charge than those operating </w:t>
      </w:r>
      <w:r w:rsidR="00C55E58">
        <w:rPr>
          <w:szCs w:val="24"/>
          <w:lang w:eastAsia="en-US"/>
        </w:rPr>
        <w:t>gaming machine</w:t>
      </w:r>
      <w:r w:rsidRPr="00F4021E">
        <w:rPr>
          <w:szCs w:val="24"/>
          <w:lang w:eastAsia="en-US"/>
        </w:rPr>
        <w:t>s.</w:t>
      </w:r>
    </w:p>
    <w:p w:rsidR="00470CA0" w:rsidRPr="00F4021E" w:rsidRDefault="00470CA0" w:rsidP="00470CA0">
      <w:pPr>
        <w:spacing w:before="240" w:after="240"/>
        <w:rPr>
          <w:szCs w:val="24"/>
          <w:lang w:eastAsia="en-US"/>
        </w:rPr>
      </w:pPr>
      <w:r w:rsidRPr="00F4021E">
        <w:rPr>
          <w:szCs w:val="24"/>
          <w:lang w:eastAsia="en-US"/>
        </w:rPr>
        <w:t>The entitlement component of the charge (calculated on a per annum basis) would be expressed as:</w:t>
      </w:r>
    </w:p>
    <w:p w:rsidR="00470CA0" w:rsidRPr="00470CA0" w:rsidRDefault="00470CA0" w:rsidP="00470CA0">
      <w:pPr>
        <w:ind w:left="142"/>
        <w:rPr>
          <w:sz w:val="20"/>
          <w:szCs w:val="20"/>
          <w:lang w:eastAsia="en-US"/>
        </w:rPr>
      </w:pPr>
      <m:oMathPara>
        <m:oMath>
          <m:r>
            <m:rPr>
              <m:sty m:val="bi"/>
            </m:rPr>
            <w:rPr>
              <w:rFonts w:ascii="Cambria Math" w:hAnsi="Cambria Math"/>
              <w:sz w:val="20"/>
              <w:szCs w:val="20"/>
              <w:lang w:eastAsia="en-US"/>
            </w:rPr>
            <m:t>per entitlement charge</m:t>
          </m:r>
          <m:r>
            <w:rPr>
              <w:rFonts w:ascii="Cambria Math" w:hAnsi="Cambria Math"/>
              <w:sz w:val="20"/>
              <w:szCs w:val="20"/>
              <w:lang w:eastAsia="en-US"/>
            </w:rPr>
            <m:t>=</m:t>
          </m:r>
          <m:f>
            <m:fPr>
              <m:ctrlPr>
                <w:rPr>
                  <w:rFonts w:ascii="Cambria Math" w:hAnsi="Cambria Math"/>
                  <w:i/>
                  <w:sz w:val="20"/>
                  <w:szCs w:val="20"/>
                  <w:lang w:eastAsia="en-US"/>
                </w:rPr>
              </m:ctrlPr>
            </m:fPr>
            <m:num>
              <m:r>
                <w:rPr>
                  <w:rFonts w:ascii="Cambria Math" w:hAnsi="Cambria Math"/>
                  <w:sz w:val="20"/>
                  <w:szCs w:val="20"/>
                  <w:lang w:eastAsia="en-US"/>
                </w:rPr>
                <m:t xml:space="preserve"> VCGLR entitlement administration costs</m:t>
              </m:r>
            </m:num>
            <m:den>
              <m:r>
                <w:rPr>
                  <w:rFonts w:ascii="Cambria Math" w:hAnsi="Cambria Math"/>
                  <w:sz w:val="20"/>
                  <w:szCs w:val="20"/>
                  <w:lang w:eastAsia="en-US"/>
                </w:rPr>
                <m:t>total number of entitlements in Victoria</m:t>
              </m:r>
            </m:den>
          </m:f>
        </m:oMath>
      </m:oMathPara>
    </w:p>
    <w:p w:rsidR="00470CA0" w:rsidRPr="00F76CB3" w:rsidRDefault="00470CA0" w:rsidP="00470CA0">
      <w:pPr>
        <w:spacing w:before="240" w:after="240"/>
        <w:rPr>
          <w:b/>
          <w:szCs w:val="24"/>
          <w:lang w:eastAsia="en-US"/>
        </w:rPr>
      </w:pPr>
      <w:r w:rsidRPr="00F76CB3">
        <w:rPr>
          <w:b/>
          <w:szCs w:val="24"/>
          <w:lang w:eastAsia="en-US"/>
        </w:rPr>
        <w:t>A preliminary estimate of the per entitlement charge is $</w:t>
      </w:r>
      <w:r w:rsidR="00F143D0" w:rsidRPr="00F76CB3">
        <w:rPr>
          <w:b/>
          <w:szCs w:val="24"/>
          <w:lang w:eastAsia="en-US"/>
        </w:rPr>
        <w:t>16.36</w:t>
      </w:r>
      <w:r w:rsidRPr="00F76CB3">
        <w:rPr>
          <w:b/>
          <w:szCs w:val="24"/>
          <w:lang w:eastAsia="en-US"/>
        </w:rPr>
        <w:t xml:space="preserve"> per annum for 2012</w:t>
      </w:r>
      <w:r w:rsidRPr="00F76CB3">
        <w:rPr>
          <w:b/>
          <w:szCs w:val="24"/>
          <w:lang w:eastAsia="en-US"/>
        </w:rPr>
        <w:noBreakHyphen/>
        <w:t xml:space="preserve">13. </w:t>
      </w:r>
    </w:p>
    <w:p w:rsidR="00470CA0" w:rsidRPr="00F4021E" w:rsidRDefault="00470CA0" w:rsidP="00470CA0">
      <w:pPr>
        <w:spacing w:before="240" w:after="240"/>
        <w:rPr>
          <w:szCs w:val="24"/>
          <w:lang w:eastAsia="en-US"/>
        </w:rPr>
      </w:pPr>
      <w:r w:rsidRPr="00F4021E">
        <w:rPr>
          <w:szCs w:val="24"/>
          <w:lang w:eastAsia="en-US"/>
        </w:rPr>
        <w:t xml:space="preserve">The operating </w:t>
      </w:r>
      <w:r w:rsidR="00C55E58">
        <w:rPr>
          <w:szCs w:val="24"/>
          <w:lang w:eastAsia="en-US"/>
        </w:rPr>
        <w:t>gaming machine</w:t>
      </w:r>
      <w:r w:rsidRPr="00F4021E">
        <w:rPr>
          <w:szCs w:val="24"/>
          <w:lang w:eastAsia="en-US"/>
        </w:rPr>
        <w:t xml:space="preserve"> component of the charge (calculated on a per annum basis) would be expressed as:</w:t>
      </w:r>
    </w:p>
    <w:p w:rsidR="00470CA0" w:rsidRPr="00470CA0" w:rsidRDefault="00470CA0" w:rsidP="00470CA0">
      <w:pPr>
        <w:ind w:left="142" w:right="-554"/>
        <w:rPr>
          <w:i/>
          <w:sz w:val="20"/>
          <w:szCs w:val="20"/>
          <w:lang w:eastAsia="en-US"/>
        </w:rPr>
      </w:pPr>
      <m:oMathPara>
        <m:oMath>
          <m:r>
            <m:rPr>
              <m:sty m:val="bi"/>
            </m:rPr>
            <w:rPr>
              <w:rFonts w:ascii="Cambria Math" w:hAnsi="Cambria Math"/>
              <w:sz w:val="20"/>
              <w:szCs w:val="20"/>
              <w:lang w:eastAsia="en-US"/>
            </w:rPr>
            <m:t>per operating gaming machi</m:t>
          </m:r>
          <m:r>
            <m:rPr>
              <m:sty m:val="bi"/>
            </m:rPr>
            <w:rPr>
              <w:rFonts w:ascii="Cambria Math" w:hAnsi="Cambria Math"/>
              <w:sz w:val="20"/>
              <w:szCs w:val="20"/>
              <w:lang w:eastAsia="en-US"/>
            </w:rPr>
            <m:t>ne charge</m:t>
          </m:r>
          <m:r>
            <w:rPr>
              <w:rFonts w:ascii="Cambria Math" w:hAnsi="Cambria Math"/>
              <w:sz w:val="20"/>
              <w:szCs w:val="20"/>
              <w:lang w:eastAsia="en-US"/>
            </w:rPr>
            <m:t xml:space="preserve">= </m:t>
          </m:r>
          <m:f>
            <m:fPr>
              <m:ctrlPr>
                <w:rPr>
                  <w:rFonts w:ascii="Cambria Math" w:hAnsi="Cambria Math"/>
                  <w:i/>
                  <w:sz w:val="20"/>
                  <w:szCs w:val="20"/>
                  <w:lang w:eastAsia="en-US"/>
                </w:rPr>
              </m:ctrlPr>
            </m:fPr>
            <m:num>
              <m:r>
                <w:rPr>
                  <w:rFonts w:ascii="Cambria Math" w:hAnsi="Cambria Math"/>
                  <w:sz w:val="20"/>
                  <w:szCs w:val="20"/>
                  <w:lang w:eastAsia="en-US"/>
                </w:rPr>
                <m:t>VCGL</m:t>
              </m:r>
              <m:sSup>
                <m:sSupPr>
                  <m:ctrlPr>
                    <w:rPr>
                      <w:rFonts w:ascii="Cambria Math" w:hAnsi="Cambria Math"/>
                      <w:i/>
                      <w:sz w:val="20"/>
                      <w:szCs w:val="20"/>
                      <w:lang w:eastAsia="en-US"/>
                    </w:rPr>
                  </m:ctrlPr>
                </m:sSupPr>
                <m:e>
                  <m:r>
                    <w:rPr>
                      <w:rFonts w:ascii="Cambria Math" w:hAnsi="Cambria Math"/>
                      <w:sz w:val="20"/>
                      <w:szCs w:val="20"/>
                      <w:lang w:eastAsia="en-US"/>
                    </w:rPr>
                    <m:t>R</m:t>
                  </m:r>
                </m:e>
                <m:sup>
                  <m:r>
                    <w:rPr>
                      <w:rFonts w:ascii="Cambria Math" w:hAnsi="Cambria Math"/>
                      <w:sz w:val="20"/>
                      <w:szCs w:val="20"/>
                      <w:lang w:eastAsia="en-US"/>
                    </w:rPr>
                    <m:t>'</m:t>
                  </m:r>
                </m:sup>
              </m:sSup>
              <m:r>
                <w:rPr>
                  <w:rFonts w:ascii="Cambria Math" w:hAnsi="Cambria Math"/>
                  <w:sz w:val="20"/>
                  <w:szCs w:val="20"/>
                  <w:lang w:eastAsia="en-US"/>
                </w:rPr>
                <m:t>s operating gaming machine related regulatory costs</m:t>
              </m:r>
            </m:num>
            <m:den>
              <m:r>
                <w:rPr>
                  <w:rFonts w:ascii="Cambria Math" w:hAnsi="Cambria Math"/>
                  <w:sz w:val="20"/>
                  <w:szCs w:val="20"/>
                  <w:lang w:eastAsia="en-US"/>
                </w:rPr>
                <m:t>total number of operating gaming machines in Victoria</m:t>
              </m:r>
            </m:den>
          </m:f>
        </m:oMath>
      </m:oMathPara>
    </w:p>
    <w:p w:rsidR="00470CA0" w:rsidRPr="00F76CB3" w:rsidRDefault="00470CA0" w:rsidP="00470CA0">
      <w:pPr>
        <w:spacing w:before="240" w:after="240"/>
        <w:rPr>
          <w:b/>
          <w:szCs w:val="24"/>
          <w:lang w:eastAsia="en-US"/>
        </w:rPr>
      </w:pPr>
      <w:r w:rsidRPr="00F76CB3">
        <w:rPr>
          <w:b/>
          <w:szCs w:val="24"/>
          <w:lang w:eastAsia="en-US"/>
        </w:rPr>
        <w:t xml:space="preserve">A preliminary estimate of the per operating </w:t>
      </w:r>
      <w:r w:rsidR="00C55E58" w:rsidRPr="00F76CB3">
        <w:rPr>
          <w:b/>
          <w:szCs w:val="24"/>
          <w:lang w:eastAsia="en-US"/>
        </w:rPr>
        <w:t>gaming machine</w:t>
      </w:r>
      <w:r w:rsidRPr="00F76CB3">
        <w:rPr>
          <w:b/>
          <w:szCs w:val="24"/>
          <w:lang w:eastAsia="en-US"/>
        </w:rPr>
        <w:t xml:space="preserve"> charge is $</w:t>
      </w:r>
      <w:r w:rsidR="00F143D0" w:rsidRPr="00F76CB3">
        <w:rPr>
          <w:b/>
          <w:szCs w:val="24"/>
          <w:lang w:eastAsia="en-US"/>
        </w:rPr>
        <w:t>191.67</w:t>
      </w:r>
      <w:r w:rsidRPr="00F76CB3">
        <w:rPr>
          <w:b/>
          <w:szCs w:val="24"/>
          <w:lang w:eastAsia="en-US"/>
        </w:rPr>
        <w:t xml:space="preserve"> per annum for 2012-13. </w:t>
      </w:r>
    </w:p>
    <w:p w:rsidR="00470CA0" w:rsidRPr="00F4021E" w:rsidRDefault="00470CA0" w:rsidP="00470CA0">
      <w:pPr>
        <w:spacing w:before="240" w:after="240"/>
        <w:rPr>
          <w:szCs w:val="24"/>
          <w:lang w:eastAsia="en-US"/>
        </w:rPr>
      </w:pPr>
      <w:r w:rsidRPr="00F4021E">
        <w:rPr>
          <w:szCs w:val="24"/>
          <w:lang w:eastAsia="en-US"/>
        </w:rPr>
        <w:t xml:space="preserve">The total supervision charge for a given </w:t>
      </w:r>
      <w:r w:rsidR="00F13192">
        <w:rPr>
          <w:szCs w:val="24"/>
          <w:lang w:eastAsia="en-US"/>
        </w:rPr>
        <w:t>venue o</w:t>
      </w:r>
      <w:r w:rsidR="00472069">
        <w:rPr>
          <w:szCs w:val="24"/>
          <w:lang w:eastAsia="en-US"/>
        </w:rPr>
        <w:t>perator</w:t>
      </w:r>
      <w:r w:rsidRPr="00F4021E">
        <w:rPr>
          <w:szCs w:val="24"/>
          <w:lang w:eastAsia="en-US"/>
        </w:rPr>
        <w:t xml:space="preserve"> would be expressed as: </w:t>
      </w:r>
    </w:p>
    <w:p w:rsidR="00470CA0" w:rsidRPr="00470CA0" w:rsidRDefault="00470CA0" w:rsidP="00470CA0">
      <w:pPr>
        <w:ind w:left="426" w:right="-838"/>
        <w:rPr>
          <w:rFonts w:ascii="Arial" w:hAnsi="Arial" w:cs="Arial"/>
          <w:sz w:val="20"/>
          <w:szCs w:val="20"/>
          <w:lang w:eastAsia="en-US"/>
        </w:rPr>
      </w:pPr>
      <m:oMathPara>
        <m:oMath>
          <m:r>
            <m:rPr>
              <m:sty m:val="bi"/>
            </m:rPr>
            <w:rPr>
              <w:rFonts w:ascii="Cambria Math" w:hAnsi="Cambria Math" w:cs="Arial"/>
              <w:sz w:val="20"/>
              <w:szCs w:val="20"/>
              <w:lang w:eastAsia="en-US"/>
            </w:rPr>
            <m:t>supervision charge on venue operator</m:t>
          </m:r>
          <m:r>
            <w:rPr>
              <w:rFonts w:ascii="Cambria Math" w:hAnsi="Cambria Math" w:cs="Arial"/>
              <w:sz w:val="20"/>
              <w:szCs w:val="20"/>
              <w:lang w:eastAsia="en-US"/>
            </w:rPr>
            <m:t xml:space="preserve">=(per entitlement charge × number of entitlements held per annum)  +(per operating EGM charge× number of operating EGMs per annum) </m:t>
          </m:r>
        </m:oMath>
      </m:oMathPara>
    </w:p>
    <w:p w:rsidR="0047054C" w:rsidRDefault="0047054C" w:rsidP="00470CA0">
      <w:pPr>
        <w:spacing w:before="240"/>
        <w:rPr>
          <w:lang w:eastAsia="en-US"/>
        </w:rPr>
      </w:pPr>
      <w:r w:rsidRPr="00470CA0">
        <w:rPr>
          <w:noProof/>
        </w:rPr>
        <mc:AlternateContent>
          <mc:Choice Requires="wps">
            <w:drawing>
              <wp:anchor distT="0" distB="0" distL="114300" distR="114300" simplePos="0" relativeHeight="251684864" behindDoc="0" locked="0" layoutInCell="1" allowOverlap="1" wp14:anchorId="05A32062" wp14:editId="5E1E0CF7">
                <wp:simplePos x="0" y="0"/>
                <wp:positionH relativeFrom="column">
                  <wp:posOffset>441748</wp:posOffset>
                </wp:positionH>
                <wp:positionV relativeFrom="paragraph">
                  <wp:posOffset>95462</wp:posOffset>
                </wp:positionV>
                <wp:extent cx="5347970" cy="1955800"/>
                <wp:effectExtent l="0" t="0" r="5080" b="6350"/>
                <wp:wrapNone/>
                <wp:docPr id="3" name="Text Box 3"/>
                <wp:cNvGraphicFramePr/>
                <a:graphic xmlns:a="http://schemas.openxmlformats.org/drawingml/2006/main">
                  <a:graphicData uri="http://schemas.microsoft.com/office/word/2010/wordprocessingShape">
                    <wps:wsp>
                      <wps:cNvSpPr txBox="1"/>
                      <wps:spPr>
                        <a:xfrm>
                          <a:off x="0" y="0"/>
                          <a:ext cx="5347970" cy="1955800"/>
                        </a:xfrm>
                        <a:prstGeom prst="rect">
                          <a:avLst/>
                        </a:prstGeom>
                        <a:solidFill>
                          <a:sysClr val="window" lastClr="FFFFFF">
                            <a:lumMod val="85000"/>
                          </a:sysClr>
                        </a:solidFill>
                        <a:ln w="6350">
                          <a:noFill/>
                        </a:ln>
                        <a:effectLst/>
                      </wps:spPr>
                      <wps:txbx>
                        <w:txbxContent>
                          <w:p w:rsidR="004F14D1" w:rsidRPr="00470CA0" w:rsidRDefault="004F14D1" w:rsidP="00470CA0">
                            <w:pPr>
                              <w:ind w:left="0"/>
                              <w:rPr>
                                <w:b/>
                              </w:rPr>
                            </w:pPr>
                            <w:r w:rsidRPr="00470CA0">
                              <w:rPr>
                                <w:b/>
                              </w:rPr>
                              <w:t>Box 5.1 – Two tiered charge worked example</w:t>
                            </w:r>
                          </w:p>
                          <w:p w:rsidR="004F14D1" w:rsidRPr="00284AB8" w:rsidRDefault="004F14D1" w:rsidP="00470CA0">
                            <w:pPr>
                              <w:ind w:left="0"/>
                            </w:pPr>
                            <w:r w:rsidRPr="00284AB8">
                              <w:t xml:space="preserve">Consider a venue operator that owns a total of 50 gaming machine entitlements. The venue </w:t>
                            </w:r>
                            <w:r>
                              <w:t>is currently using</w:t>
                            </w:r>
                            <w:r w:rsidRPr="00284AB8">
                              <w:t xml:space="preserve"> 40 entitlemen</w:t>
                            </w:r>
                            <w:r>
                              <w:t>ts by attaching and operating a</w:t>
                            </w:r>
                            <w:r w:rsidRPr="00284AB8">
                              <w:t xml:space="preserve"> </w:t>
                            </w:r>
                            <w:r>
                              <w:t>gaming machine</w:t>
                            </w:r>
                            <w:r w:rsidRPr="00284AB8">
                              <w:t xml:space="preserve">, leaving 10 unused entitlements. </w:t>
                            </w:r>
                          </w:p>
                          <w:p w:rsidR="004F14D1" w:rsidRPr="00284AB8" w:rsidRDefault="004F14D1" w:rsidP="00470CA0">
                            <w:pPr>
                              <w:ind w:left="0"/>
                            </w:pPr>
                            <w:r w:rsidRPr="00284AB8">
                              <w:t>The supervision charge payable by this venue</w:t>
                            </w:r>
                            <w:r>
                              <w:t xml:space="preserve"> for 2012-13</w:t>
                            </w:r>
                            <w:r w:rsidRPr="00284AB8">
                              <w:t xml:space="preserve"> is $</w:t>
                            </w:r>
                            <w:r>
                              <w:t>8 485</w:t>
                            </w:r>
                            <w:r w:rsidRPr="00284AB8">
                              <w:t xml:space="preserve"> and is calculated as follows:</w:t>
                            </w:r>
                          </w:p>
                          <w:p w:rsidR="004F14D1" w:rsidRDefault="004F14D1" w:rsidP="00F4021E">
                            <w:pPr>
                              <w:ind w:left="567"/>
                              <w:contextualSpacing/>
                              <w:rPr>
                                <w:i/>
                              </w:rPr>
                            </w:pPr>
                            <w:r w:rsidRPr="00284AB8">
                              <w:rPr>
                                <w:i/>
                              </w:rPr>
                              <w:t>Supervision charge = (</w:t>
                            </w:r>
                            <w:r>
                              <w:rPr>
                                <w:i/>
                              </w:rPr>
                              <w:t>$16.36 X 50 entitlements) + ($191.67 X 40 gaming machines)</w:t>
                            </w:r>
                          </w:p>
                          <w:p w:rsidR="004F14D1" w:rsidRDefault="004F14D1" w:rsidP="00F4021E">
                            <w:pPr>
                              <w:ind w:left="2268"/>
                              <w:contextualSpacing/>
                              <w:rPr>
                                <w:i/>
                              </w:rPr>
                            </w:pPr>
                            <w:r>
                              <w:rPr>
                                <w:i/>
                              </w:rPr>
                              <w:t>= $818 + $7,667</w:t>
                            </w:r>
                          </w:p>
                          <w:p w:rsidR="004F14D1" w:rsidRDefault="004F14D1" w:rsidP="00F4021E">
                            <w:pPr>
                              <w:ind w:left="2268"/>
                              <w:contextualSpacing/>
                              <w:rPr>
                                <w:i/>
                              </w:rPr>
                            </w:pPr>
                            <w:r>
                              <w:rPr>
                                <w:i/>
                              </w:rPr>
                              <w:t>= $8 485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_x0000_s1032" type="#_x0000_t202" style="position:absolute;left:0;text-align:left;margin-left:34.8pt;margin-top:7.5pt;width:421.1pt;height:154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" fillcolor="#d9d9d9" stroked="f" strokeweight=".5pt">
                <v:textbox>
                  <w:txbxContent>
                    <w:p w:rsidR="004F14D1" w:rsidRPr="00470CA0" w:rsidRDefault="004F14D1" w:rsidP="00470CA0">
                      <w:pPr>
                        <w:ind w:left="0"/>
                        <w:rPr>
                          <w:b/>
                        </w:rPr>
                      </w:pPr>
                      <w:r w:rsidRPr="00470CA0">
                        <w:rPr>
                          <w:b/>
                        </w:rPr>
                        <w:t>Box 5.1 – Two tiered charge worked example</w:t>
                      </w:r>
                    </w:p>
                    <w:p w:rsidR="004F14D1" w:rsidRPr="00284AB8" w:rsidRDefault="004F14D1" w:rsidP="00470CA0">
                      <w:pPr>
                        <w:ind w:left="0"/>
                      </w:pPr>
                      <w:r w:rsidRPr="00284AB8">
                        <w:t xml:space="preserve">Consider a venue operator that owns a total of 50 gaming machine entitlements. The venue </w:t>
                      </w:r>
                      <w:r>
                        <w:t>is currently using</w:t>
                      </w:r>
                      <w:r w:rsidRPr="00284AB8">
                        <w:t xml:space="preserve"> 40 entitlemen</w:t>
                      </w:r>
                      <w:r>
                        <w:t>ts by attaching and operating a</w:t>
                      </w:r>
                      <w:r w:rsidRPr="00284AB8">
                        <w:t xml:space="preserve"> </w:t>
                      </w:r>
                      <w:r>
                        <w:t>gaming machine</w:t>
                      </w:r>
                      <w:r w:rsidRPr="00284AB8">
                        <w:t xml:space="preserve">, leaving 10 unused entitlements. </w:t>
                      </w:r>
                    </w:p>
                    <w:p w:rsidR="004F14D1" w:rsidRPr="00284AB8" w:rsidRDefault="004F14D1" w:rsidP="00470CA0">
                      <w:pPr>
                        <w:ind w:left="0"/>
                      </w:pPr>
                      <w:r w:rsidRPr="00284AB8">
                        <w:t>The supervision charge payable by this venue</w:t>
                      </w:r>
                      <w:r>
                        <w:t xml:space="preserve"> for 2012-13</w:t>
                      </w:r>
                      <w:r w:rsidRPr="00284AB8">
                        <w:t xml:space="preserve"> is $</w:t>
                      </w:r>
                      <w:r>
                        <w:t>8 485</w:t>
                      </w:r>
                      <w:r w:rsidRPr="00284AB8">
                        <w:t xml:space="preserve"> and is calculated as follows:</w:t>
                      </w:r>
                    </w:p>
                    <w:p w:rsidR="004F14D1" w:rsidRDefault="004F14D1" w:rsidP="00F4021E">
                      <w:pPr>
                        <w:ind w:left="567"/>
                        <w:contextualSpacing/>
                        <w:rPr>
                          <w:i/>
                        </w:rPr>
                      </w:pPr>
                      <w:r w:rsidRPr="00284AB8">
                        <w:rPr>
                          <w:i/>
                        </w:rPr>
                        <w:t>Supervision charge = (</w:t>
                      </w:r>
                      <w:r>
                        <w:rPr>
                          <w:i/>
                        </w:rPr>
                        <w:t>$16.36 X 50 entitlements) + ($191.67 X 40 gaming machines)</w:t>
                      </w:r>
                    </w:p>
                    <w:p w:rsidR="004F14D1" w:rsidRDefault="004F14D1" w:rsidP="00F4021E">
                      <w:pPr>
                        <w:ind w:left="2268"/>
                        <w:contextualSpacing/>
                        <w:rPr>
                          <w:i/>
                        </w:rPr>
                      </w:pPr>
                      <w:r>
                        <w:rPr>
                          <w:i/>
                        </w:rPr>
                        <w:t>= $818 + $7,667</w:t>
                      </w:r>
                    </w:p>
                    <w:p w:rsidR="004F14D1" w:rsidRDefault="004F14D1" w:rsidP="00F4021E">
                      <w:pPr>
                        <w:ind w:left="2268"/>
                        <w:contextualSpacing/>
                        <w:rPr>
                          <w:i/>
                        </w:rPr>
                      </w:pPr>
                      <w:r>
                        <w:rPr>
                          <w:i/>
                        </w:rPr>
                        <w:t>= $8 485</w:t>
                      </w:r>
                    </w:p>
                  </w:txbxContent>
                </v:textbox>
              </v:shape>
            </w:pict>
          </mc:Fallback>
        </mc:AlternateContent>
      </w:r>
    </w:p>
    <w:p w:rsidR="0047054C" w:rsidRDefault="0047054C" w:rsidP="00470CA0">
      <w:pPr>
        <w:spacing w:before="240"/>
        <w:rPr>
          <w:lang w:eastAsia="en-US"/>
        </w:rPr>
      </w:pPr>
    </w:p>
    <w:p w:rsidR="0047054C" w:rsidRDefault="0047054C" w:rsidP="00470CA0">
      <w:pPr>
        <w:spacing w:before="240"/>
        <w:rPr>
          <w:lang w:eastAsia="en-US"/>
        </w:rPr>
      </w:pPr>
    </w:p>
    <w:p w:rsidR="00EF60D3" w:rsidRDefault="00EF60D3" w:rsidP="00470CA0">
      <w:pPr>
        <w:spacing w:before="240"/>
        <w:rPr>
          <w:lang w:eastAsia="en-US"/>
        </w:rPr>
      </w:pPr>
    </w:p>
    <w:p w:rsidR="00EF60D3" w:rsidRDefault="00EF60D3" w:rsidP="00470CA0">
      <w:pPr>
        <w:spacing w:before="240"/>
        <w:rPr>
          <w:lang w:eastAsia="en-US"/>
        </w:rPr>
      </w:pPr>
    </w:p>
    <w:p w:rsidR="00470CA0" w:rsidRPr="00470CA0" w:rsidRDefault="00470CA0" w:rsidP="00470CA0">
      <w:pPr>
        <w:spacing w:before="240"/>
        <w:rPr>
          <w:lang w:eastAsia="en-US"/>
        </w:rPr>
      </w:pPr>
    </w:p>
    <w:p w:rsidR="00470CA0" w:rsidRPr="00470CA0" w:rsidRDefault="00470CA0" w:rsidP="00470CA0">
      <w:pPr>
        <w:spacing w:before="240"/>
        <w:rPr>
          <w:lang w:eastAsia="en-US"/>
        </w:rPr>
      </w:pPr>
    </w:p>
    <w:p w:rsidR="00470CA0" w:rsidRDefault="00F76CB3" w:rsidP="00D83ABD">
      <w:pPr>
        <w:spacing w:before="240" w:after="240"/>
        <w:rPr>
          <w:szCs w:val="24"/>
        </w:rPr>
      </w:pPr>
      <w:r>
        <w:rPr>
          <w:szCs w:val="24"/>
        </w:rPr>
        <w:t>T</w:t>
      </w:r>
      <w:r w:rsidR="00470CA0" w:rsidRPr="00F4021E">
        <w:rPr>
          <w:szCs w:val="24"/>
        </w:rPr>
        <w:t>able</w:t>
      </w:r>
      <w:r>
        <w:rPr>
          <w:szCs w:val="24"/>
        </w:rPr>
        <w:t xml:space="preserve"> 5.2</w:t>
      </w:r>
      <w:r w:rsidR="00470CA0" w:rsidRPr="00F4021E">
        <w:rPr>
          <w:szCs w:val="24"/>
        </w:rPr>
        <w:t xml:space="preserve"> below sets out the indicative supervision charge for venues in 2012-13. The table needs to be read in a matrix format. The columns represent the total number of operating </w:t>
      </w:r>
      <w:r w:rsidR="00C55E58">
        <w:rPr>
          <w:szCs w:val="24"/>
        </w:rPr>
        <w:t>gaming machine</w:t>
      </w:r>
      <w:r w:rsidR="00470CA0" w:rsidRPr="00F4021E">
        <w:rPr>
          <w:szCs w:val="24"/>
        </w:rPr>
        <w:t xml:space="preserve">s owned by a venue and the rows represent the total number of entitlements owned by a venue. For example, a venue owning 40 entitlements and operating 20 </w:t>
      </w:r>
      <w:r w:rsidR="00C55E58">
        <w:rPr>
          <w:szCs w:val="24"/>
        </w:rPr>
        <w:t>gaming machines</w:t>
      </w:r>
      <w:r w:rsidR="00470CA0" w:rsidRPr="00F4021E">
        <w:rPr>
          <w:szCs w:val="24"/>
        </w:rPr>
        <w:t xml:space="preserve"> would pay a supervision charge of $</w:t>
      </w:r>
      <w:r w:rsidR="00F143D0">
        <w:rPr>
          <w:szCs w:val="24"/>
        </w:rPr>
        <w:t>4,488</w:t>
      </w:r>
      <w:r w:rsidR="00810921">
        <w:rPr>
          <w:szCs w:val="24"/>
        </w:rPr>
        <w:t xml:space="preserve"> </w:t>
      </w:r>
      <w:r w:rsidR="00470CA0" w:rsidRPr="00F4021E">
        <w:rPr>
          <w:szCs w:val="24"/>
        </w:rPr>
        <w:t>in 2012-13.</w:t>
      </w:r>
    </w:p>
    <w:p w:rsidR="00470CA0" w:rsidRPr="00470CA0" w:rsidRDefault="00470CA0" w:rsidP="00470CA0">
      <w:pPr>
        <w:pStyle w:val="Heading5"/>
      </w:pPr>
      <w:r w:rsidRPr="00470CA0">
        <w:t>Table 5.</w:t>
      </w:r>
      <w:r w:rsidR="00A100F3">
        <w:t>2</w:t>
      </w:r>
      <w:r w:rsidRPr="00470CA0">
        <w:t xml:space="preserve">: Estimated total supervision charge – </w:t>
      </w:r>
      <w:r w:rsidR="00B61A29">
        <w:t>Option A</w:t>
      </w:r>
      <w:r w:rsidRPr="00470CA0">
        <w:t xml:space="preserve"> ($, 2012-13)</w:t>
      </w:r>
    </w:p>
    <w:tbl>
      <w:tblPr>
        <w:tblStyle w:val="TableGrid10"/>
        <w:tblW w:w="0" w:type="auto"/>
        <w:tblInd w:w="113" w:type="dxa"/>
        <w:tblLayout w:type="fixed"/>
        <w:tblLook w:val="04A0" w:firstRow="1" w:lastRow="0" w:firstColumn="1" w:lastColumn="0" w:noHBand="0" w:noVBand="1"/>
      </w:tblPr>
      <w:tblGrid>
        <w:gridCol w:w="709"/>
        <w:gridCol w:w="1174"/>
        <w:gridCol w:w="1175"/>
        <w:gridCol w:w="1174"/>
        <w:gridCol w:w="1175"/>
        <w:gridCol w:w="1174"/>
        <w:gridCol w:w="1175"/>
        <w:gridCol w:w="1175"/>
      </w:tblGrid>
      <w:tr w:rsidR="00470CA0" w:rsidRPr="00F4021E" w:rsidTr="00F4021E">
        <w:trPr>
          <w:cnfStyle w:val="100000000000" w:firstRow="1" w:lastRow="0" w:firstColumn="0" w:lastColumn="0" w:oddVBand="0" w:evenVBand="0" w:oddHBand="0"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709" w:type="dxa"/>
            <w:tcBorders>
              <w:top w:val="nil"/>
              <w:bottom w:val="nil"/>
            </w:tcBorders>
            <w:shd w:val="clear" w:color="auto" w:fill="auto"/>
          </w:tcPr>
          <w:p w:rsidR="00470CA0" w:rsidRPr="00F4021E" w:rsidRDefault="00470CA0" w:rsidP="00F4021E">
            <w:pPr>
              <w:spacing w:before="60" w:after="60"/>
              <w:ind w:left="0"/>
              <w:jc w:val="center"/>
              <w:rPr>
                <w:i/>
                <w:sz w:val="20"/>
                <w:szCs w:val="20"/>
                <w:lang w:eastAsia="en-US"/>
              </w:rPr>
            </w:pPr>
          </w:p>
        </w:tc>
        <w:tc>
          <w:tcPr>
            <w:tcW w:w="8222" w:type="dxa"/>
            <w:gridSpan w:val="7"/>
            <w:tcBorders>
              <w:top w:val="nil"/>
            </w:tcBorders>
            <w:shd w:val="clear" w:color="auto" w:fill="auto"/>
            <w:vAlign w:val="center"/>
          </w:tcPr>
          <w:p w:rsidR="00470CA0" w:rsidRPr="00F4021E" w:rsidRDefault="00470CA0" w:rsidP="00AC31CE">
            <w:pPr>
              <w:spacing w:before="60" w:after="60"/>
              <w:ind w:left="0"/>
              <w:jc w:val="center"/>
              <w:cnfStyle w:val="100000000000" w:firstRow="1" w:lastRow="0" w:firstColumn="0" w:lastColumn="0" w:oddVBand="0" w:evenVBand="0" w:oddHBand="0" w:evenHBand="0" w:firstRowFirstColumn="0" w:firstRowLastColumn="0" w:lastRowFirstColumn="0" w:lastRowLastColumn="0"/>
              <w:rPr>
                <w:i/>
                <w:sz w:val="20"/>
                <w:szCs w:val="20"/>
                <w:lang w:eastAsia="en-US"/>
              </w:rPr>
            </w:pPr>
            <w:r w:rsidRPr="00F4021E">
              <w:rPr>
                <w:i/>
                <w:sz w:val="20"/>
                <w:szCs w:val="20"/>
                <w:lang w:eastAsia="en-US"/>
              </w:rPr>
              <w:t>No</w:t>
            </w:r>
            <w:r w:rsidR="0047054C">
              <w:rPr>
                <w:i/>
                <w:sz w:val="20"/>
                <w:szCs w:val="20"/>
                <w:lang w:eastAsia="en-US"/>
              </w:rPr>
              <w:t>.</w:t>
            </w:r>
            <w:r w:rsidRPr="00F4021E">
              <w:rPr>
                <w:i/>
                <w:sz w:val="20"/>
                <w:szCs w:val="20"/>
                <w:lang w:eastAsia="en-US"/>
              </w:rPr>
              <w:t xml:space="preserve"> of operating </w:t>
            </w:r>
            <w:r w:rsidR="00AC31CE">
              <w:rPr>
                <w:i/>
                <w:sz w:val="20"/>
                <w:szCs w:val="20"/>
                <w:lang w:eastAsia="en-US"/>
              </w:rPr>
              <w:t>gaming machine</w:t>
            </w:r>
            <w:r w:rsidRPr="00F4021E">
              <w:rPr>
                <w:i/>
                <w:sz w:val="20"/>
                <w:szCs w:val="20"/>
                <w:lang w:eastAsia="en-US"/>
              </w:rPr>
              <w:t>s</w:t>
            </w:r>
          </w:p>
        </w:tc>
      </w:tr>
      <w:tr w:rsidR="00470CA0" w:rsidRPr="00F4021E" w:rsidTr="00470CA0">
        <w:trPr>
          <w:trHeight w:val="430"/>
        </w:trPr>
        <w:tc>
          <w:tcPr>
            <w:cnfStyle w:val="001000000000" w:firstRow="0" w:lastRow="0" w:firstColumn="1" w:lastColumn="0" w:oddVBand="0" w:evenVBand="0" w:oddHBand="0" w:evenHBand="0" w:firstRowFirstColumn="0" w:firstRowLastColumn="0" w:lastRowFirstColumn="0" w:lastRowLastColumn="0"/>
            <w:tcW w:w="709" w:type="dxa"/>
            <w:tcBorders>
              <w:top w:val="nil"/>
              <w:bottom w:val="nil"/>
            </w:tcBorders>
            <w:shd w:val="clear" w:color="auto" w:fill="auto"/>
          </w:tcPr>
          <w:p w:rsidR="00470CA0" w:rsidRPr="00F4021E" w:rsidRDefault="00470CA0" w:rsidP="00F4021E">
            <w:pPr>
              <w:spacing w:before="60" w:after="60"/>
              <w:ind w:left="0"/>
              <w:jc w:val="center"/>
              <w:rPr>
                <w:i/>
                <w:color w:val="4C4C4C"/>
                <w:sz w:val="20"/>
                <w:szCs w:val="20"/>
                <w:lang w:eastAsia="en-US"/>
              </w:rPr>
            </w:pPr>
          </w:p>
        </w:tc>
        <w:tc>
          <w:tcPr>
            <w:tcW w:w="1174" w:type="dxa"/>
            <w:tcBorders>
              <w:top w:val="single" w:sz="2" w:space="0" w:color="auto"/>
              <w:bottom w:val="single" w:sz="2" w:space="0" w:color="auto"/>
            </w:tcBorders>
            <w:shd w:val="clear" w:color="auto" w:fill="D9D9D9" w:themeFill="background1" w:themeFillShade="D9"/>
            <w:vAlign w:val="center"/>
          </w:tcPr>
          <w:p w:rsidR="00470CA0" w:rsidRPr="00F4021E" w:rsidRDefault="00470CA0" w:rsidP="00F4021E">
            <w:pPr>
              <w:spacing w:before="60" w:after="60"/>
              <w:ind w:left="0"/>
              <w:jc w:val="center"/>
              <w:cnfStyle w:val="000000000000" w:firstRow="0" w:lastRow="0" w:firstColumn="0" w:lastColumn="0" w:oddVBand="0" w:evenVBand="0" w:oddHBand="0" w:evenHBand="0" w:firstRowFirstColumn="0" w:firstRowLastColumn="0" w:lastRowFirstColumn="0" w:lastRowLastColumn="0"/>
              <w:rPr>
                <w:i/>
                <w:color w:val="4C4C4C"/>
                <w:sz w:val="20"/>
                <w:szCs w:val="20"/>
                <w:lang w:eastAsia="en-US"/>
              </w:rPr>
            </w:pPr>
          </w:p>
        </w:tc>
        <w:tc>
          <w:tcPr>
            <w:tcW w:w="1175" w:type="dxa"/>
            <w:tcBorders>
              <w:top w:val="single" w:sz="2" w:space="0" w:color="auto"/>
            </w:tcBorders>
            <w:shd w:val="clear" w:color="auto" w:fill="D9D9D9" w:themeFill="background1" w:themeFillShade="D9"/>
            <w:vAlign w:val="center"/>
          </w:tcPr>
          <w:p w:rsidR="00470CA0" w:rsidRPr="00F4021E" w:rsidRDefault="00470CA0" w:rsidP="00F4021E">
            <w:pPr>
              <w:spacing w:before="60" w:after="60"/>
              <w:ind w:left="0"/>
              <w:jc w:val="center"/>
              <w:cnfStyle w:val="000000000000" w:firstRow="0" w:lastRow="0" w:firstColumn="0" w:lastColumn="0" w:oddVBand="0" w:evenVBand="0" w:oddHBand="0" w:evenHBand="0" w:firstRowFirstColumn="0" w:firstRowLastColumn="0" w:lastRowFirstColumn="0" w:lastRowLastColumn="0"/>
              <w:rPr>
                <w:i/>
                <w:color w:val="4C4C4C"/>
                <w:sz w:val="20"/>
                <w:szCs w:val="20"/>
                <w:lang w:eastAsia="en-US"/>
              </w:rPr>
            </w:pPr>
            <w:r w:rsidRPr="00F4021E">
              <w:rPr>
                <w:i/>
                <w:color w:val="4C4C4C"/>
                <w:sz w:val="20"/>
                <w:szCs w:val="20"/>
                <w:lang w:eastAsia="en-US"/>
              </w:rPr>
              <w:t>0</w:t>
            </w:r>
          </w:p>
        </w:tc>
        <w:tc>
          <w:tcPr>
            <w:tcW w:w="1174" w:type="dxa"/>
            <w:tcBorders>
              <w:top w:val="single" w:sz="2" w:space="0" w:color="auto"/>
            </w:tcBorders>
            <w:shd w:val="clear" w:color="auto" w:fill="D9D9D9" w:themeFill="background1" w:themeFillShade="D9"/>
            <w:vAlign w:val="center"/>
          </w:tcPr>
          <w:p w:rsidR="00470CA0" w:rsidRPr="00F4021E" w:rsidRDefault="00470CA0" w:rsidP="00F4021E">
            <w:pPr>
              <w:spacing w:before="60" w:after="60"/>
              <w:ind w:left="0"/>
              <w:jc w:val="center"/>
              <w:cnfStyle w:val="000000000000" w:firstRow="0" w:lastRow="0" w:firstColumn="0" w:lastColumn="0" w:oddVBand="0" w:evenVBand="0" w:oddHBand="0" w:evenHBand="0" w:firstRowFirstColumn="0" w:firstRowLastColumn="0" w:lastRowFirstColumn="0" w:lastRowLastColumn="0"/>
              <w:rPr>
                <w:i/>
                <w:color w:val="4C4C4C"/>
                <w:sz w:val="20"/>
                <w:szCs w:val="20"/>
                <w:lang w:eastAsia="en-US"/>
              </w:rPr>
            </w:pPr>
            <w:r w:rsidRPr="00F4021E">
              <w:rPr>
                <w:i/>
                <w:color w:val="4C4C4C"/>
                <w:sz w:val="20"/>
                <w:szCs w:val="20"/>
                <w:lang w:eastAsia="en-US"/>
              </w:rPr>
              <w:t>20</w:t>
            </w:r>
          </w:p>
        </w:tc>
        <w:tc>
          <w:tcPr>
            <w:tcW w:w="1175" w:type="dxa"/>
            <w:tcBorders>
              <w:top w:val="single" w:sz="2" w:space="0" w:color="auto"/>
            </w:tcBorders>
            <w:shd w:val="clear" w:color="auto" w:fill="D9D9D9" w:themeFill="background1" w:themeFillShade="D9"/>
            <w:vAlign w:val="center"/>
          </w:tcPr>
          <w:p w:rsidR="00470CA0" w:rsidRPr="00F4021E" w:rsidRDefault="00470CA0" w:rsidP="00F4021E">
            <w:pPr>
              <w:spacing w:before="60" w:after="60"/>
              <w:ind w:left="0"/>
              <w:jc w:val="center"/>
              <w:cnfStyle w:val="000000000000" w:firstRow="0" w:lastRow="0" w:firstColumn="0" w:lastColumn="0" w:oddVBand="0" w:evenVBand="0" w:oddHBand="0" w:evenHBand="0" w:firstRowFirstColumn="0" w:firstRowLastColumn="0" w:lastRowFirstColumn="0" w:lastRowLastColumn="0"/>
              <w:rPr>
                <w:i/>
                <w:color w:val="4C4C4C"/>
                <w:sz w:val="20"/>
                <w:szCs w:val="20"/>
                <w:lang w:eastAsia="en-US"/>
              </w:rPr>
            </w:pPr>
            <w:r w:rsidRPr="00F4021E">
              <w:rPr>
                <w:i/>
                <w:color w:val="4C4C4C"/>
                <w:sz w:val="20"/>
                <w:szCs w:val="20"/>
                <w:lang w:eastAsia="en-US"/>
              </w:rPr>
              <w:t>40</w:t>
            </w:r>
          </w:p>
        </w:tc>
        <w:tc>
          <w:tcPr>
            <w:tcW w:w="1174" w:type="dxa"/>
            <w:tcBorders>
              <w:top w:val="single" w:sz="2" w:space="0" w:color="auto"/>
            </w:tcBorders>
            <w:shd w:val="clear" w:color="auto" w:fill="D9D9D9" w:themeFill="background1" w:themeFillShade="D9"/>
            <w:vAlign w:val="center"/>
          </w:tcPr>
          <w:p w:rsidR="00470CA0" w:rsidRPr="00F4021E" w:rsidRDefault="00470CA0" w:rsidP="00F4021E">
            <w:pPr>
              <w:spacing w:before="60" w:after="60"/>
              <w:ind w:left="0"/>
              <w:jc w:val="center"/>
              <w:cnfStyle w:val="000000000000" w:firstRow="0" w:lastRow="0" w:firstColumn="0" w:lastColumn="0" w:oddVBand="0" w:evenVBand="0" w:oddHBand="0" w:evenHBand="0" w:firstRowFirstColumn="0" w:firstRowLastColumn="0" w:lastRowFirstColumn="0" w:lastRowLastColumn="0"/>
              <w:rPr>
                <w:i/>
                <w:color w:val="4C4C4C"/>
                <w:sz w:val="20"/>
                <w:szCs w:val="20"/>
                <w:lang w:eastAsia="en-US"/>
              </w:rPr>
            </w:pPr>
            <w:r w:rsidRPr="00F4021E">
              <w:rPr>
                <w:i/>
                <w:color w:val="4C4C4C"/>
                <w:sz w:val="20"/>
                <w:szCs w:val="20"/>
                <w:lang w:eastAsia="en-US"/>
              </w:rPr>
              <w:t>60</w:t>
            </w:r>
          </w:p>
        </w:tc>
        <w:tc>
          <w:tcPr>
            <w:tcW w:w="1175" w:type="dxa"/>
            <w:tcBorders>
              <w:top w:val="single" w:sz="2" w:space="0" w:color="auto"/>
            </w:tcBorders>
            <w:shd w:val="clear" w:color="auto" w:fill="D9D9D9" w:themeFill="background1" w:themeFillShade="D9"/>
            <w:vAlign w:val="center"/>
          </w:tcPr>
          <w:p w:rsidR="00470CA0" w:rsidRPr="00F4021E" w:rsidRDefault="00470CA0" w:rsidP="00F4021E">
            <w:pPr>
              <w:spacing w:before="60" w:after="60"/>
              <w:ind w:left="0"/>
              <w:jc w:val="center"/>
              <w:cnfStyle w:val="000000000000" w:firstRow="0" w:lastRow="0" w:firstColumn="0" w:lastColumn="0" w:oddVBand="0" w:evenVBand="0" w:oddHBand="0" w:evenHBand="0" w:firstRowFirstColumn="0" w:firstRowLastColumn="0" w:lastRowFirstColumn="0" w:lastRowLastColumn="0"/>
              <w:rPr>
                <w:i/>
                <w:color w:val="4C4C4C"/>
                <w:sz w:val="20"/>
                <w:szCs w:val="20"/>
                <w:lang w:eastAsia="en-US"/>
              </w:rPr>
            </w:pPr>
            <w:r w:rsidRPr="00F4021E">
              <w:rPr>
                <w:i/>
                <w:color w:val="4C4C4C"/>
                <w:sz w:val="20"/>
                <w:szCs w:val="20"/>
                <w:lang w:eastAsia="en-US"/>
              </w:rPr>
              <w:t>80</w:t>
            </w:r>
          </w:p>
        </w:tc>
        <w:tc>
          <w:tcPr>
            <w:tcW w:w="1175" w:type="dxa"/>
            <w:tcBorders>
              <w:top w:val="single" w:sz="2" w:space="0" w:color="auto"/>
            </w:tcBorders>
            <w:shd w:val="clear" w:color="auto" w:fill="D9D9D9" w:themeFill="background1" w:themeFillShade="D9"/>
            <w:vAlign w:val="center"/>
          </w:tcPr>
          <w:p w:rsidR="00470CA0" w:rsidRPr="00F4021E" w:rsidRDefault="00470CA0" w:rsidP="00F4021E">
            <w:pPr>
              <w:spacing w:before="60" w:after="60"/>
              <w:ind w:left="0"/>
              <w:jc w:val="center"/>
              <w:cnfStyle w:val="000000000000" w:firstRow="0" w:lastRow="0" w:firstColumn="0" w:lastColumn="0" w:oddVBand="0" w:evenVBand="0" w:oddHBand="0" w:evenHBand="0" w:firstRowFirstColumn="0" w:firstRowLastColumn="0" w:lastRowFirstColumn="0" w:lastRowLastColumn="0"/>
              <w:rPr>
                <w:i/>
                <w:color w:val="4C4C4C"/>
                <w:sz w:val="20"/>
                <w:szCs w:val="20"/>
                <w:lang w:eastAsia="en-US"/>
              </w:rPr>
            </w:pPr>
            <w:r w:rsidRPr="00F4021E">
              <w:rPr>
                <w:i/>
                <w:color w:val="4C4C4C"/>
                <w:sz w:val="20"/>
                <w:szCs w:val="20"/>
                <w:lang w:eastAsia="en-US"/>
              </w:rPr>
              <w:t>100</w:t>
            </w:r>
          </w:p>
        </w:tc>
      </w:tr>
      <w:tr w:rsidR="00B717B2" w:rsidRPr="00F4021E" w:rsidTr="006F596F">
        <w:tc>
          <w:tcPr>
            <w:cnfStyle w:val="001000000000" w:firstRow="0" w:lastRow="0" w:firstColumn="1" w:lastColumn="0" w:oddVBand="0" w:evenVBand="0" w:oddHBand="0" w:evenHBand="0" w:firstRowFirstColumn="0" w:firstRowLastColumn="0" w:lastRowFirstColumn="0" w:lastRowLastColumn="0"/>
            <w:tcW w:w="709" w:type="dxa"/>
            <w:vMerge w:val="restart"/>
            <w:tcBorders>
              <w:top w:val="nil"/>
              <w:bottom w:val="nil"/>
            </w:tcBorders>
            <w:textDirection w:val="btLr"/>
          </w:tcPr>
          <w:p w:rsidR="00B717B2" w:rsidRPr="00F4021E" w:rsidRDefault="00B717B2" w:rsidP="00F4021E">
            <w:pPr>
              <w:spacing w:before="60" w:after="60"/>
              <w:ind w:left="113" w:right="113"/>
              <w:jc w:val="center"/>
              <w:rPr>
                <w:i/>
                <w:sz w:val="20"/>
                <w:szCs w:val="20"/>
                <w:lang w:eastAsia="en-US"/>
              </w:rPr>
            </w:pPr>
            <w:r w:rsidRPr="00F4021E">
              <w:rPr>
                <w:i/>
                <w:sz w:val="20"/>
                <w:szCs w:val="20"/>
                <w:lang w:eastAsia="en-US"/>
              </w:rPr>
              <w:t>No</w:t>
            </w:r>
            <w:r w:rsidR="0047054C">
              <w:rPr>
                <w:i/>
                <w:sz w:val="20"/>
                <w:szCs w:val="20"/>
                <w:lang w:eastAsia="en-US"/>
              </w:rPr>
              <w:t>.</w:t>
            </w:r>
            <w:r w:rsidRPr="00F4021E">
              <w:rPr>
                <w:i/>
                <w:sz w:val="20"/>
                <w:szCs w:val="20"/>
                <w:lang w:eastAsia="en-US"/>
              </w:rPr>
              <w:t xml:space="preserve"> of  entitlements held</w:t>
            </w:r>
          </w:p>
        </w:tc>
        <w:tc>
          <w:tcPr>
            <w:tcW w:w="1174" w:type="dxa"/>
            <w:tcBorders>
              <w:top w:val="single" w:sz="2" w:space="0" w:color="auto"/>
            </w:tcBorders>
            <w:shd w:val="pct15" w:color="auto" w:fill="auto"/>
            <w:vAlign w:val="center"/>
          </w:tcPr>
          <w:p w:rsidR="00B717B2" w:rsidRPr="00F4021E" w:rsidRDefault="00B717B2" w:rsidP="00F4021E">
            <w:pPr>
              <w:spacing w:before="60" w:after="60"/>
              <w:ind w:left="0"/>
              <w:jc w:val="center"/>
              <w:cnfStyle w:val="000000000000" w:firstRow="0" w:lastRow="0" w:firstColumn="0" w:lastColumn="0" w:oddVBand="0" w:evenVBand="0" w:oddHBand="0" w:evenHBand="0" w:firstRowFirstColumn="0" w:firstRowLastColumn="0" w:lastRowFirstColumn="0" w:lastRowLastColumn="0"/>
              <w:rPr>
                <w:i/>
                <w:sz w:val="20"/>
                <w:szCs w:val="20"/>
                <w:lang w:eastAsia="en-US"/>
              </w:rPr>
            </w:pPr>
            <w:r w:rsidRPr="00F4021E">
              <w:rPr>
                <w:i/>
                <w:sz w:val="20"/>
                <w:szCs w:val="20"/>
                <w:lang w:eastAsia="en-US"/>
              </w:rPr>
              <w:t>0</w:t>
            </w:r>
          </w:p>
        </w:tc>
        <w:tc>
          <w:tcPr>
            <w:tcW w:w="1175" w:type="dxa"/>
          </w:tcPr>
          <w:p w:rsidR="00B717B2" w:rsidRPr="00EC32BD" w:rsidRDefault="00E174FB" w:rsidP="00F4021E">
            <w:pPr>
              <w:spacing w:before="60" w:after="60"/>
              <w:ind w:left="0"/>
              <w:jc w:val="center"/>
              <w:cnfStyle w:val="000000000000" w:firstRow="0" w:lastRow="0" w:firstColumn="0" w:lastColumn="0" w:oddVBand="0" w:evenVBand="0" w:oddHBand="0" w:evenHBand="0" w:firstRowFirstColumn="0" w:firstRowLastColumn="0" w:lastRowFirstColumn="0" w:lastRowLastColumn="0"/>
              <w:rPr>
                <w:sz w:val="20"/>
                <w:szCs w:val="20"/>
                <w:lang w:eastAsia="en-US"/>
              </w:rPr>
            </w:pPr>
            <w:r>
              <w:rPr>
                <w:sz w:val="20"/>
                <w:szCs w:val="20"/>
              </w:rPr>
              <w:t>0</w:t>
            </w:r>
          </w:p>
        </w:tc>
        <w:tc>
          <w:tcPr>
            <w:tcW w:w="1174" w:type="dxa"/>
          </w:tcPr>
          <w:p w:rsidR="00B717B2" w:rsidRPr="00EC32BD" w:rsidRDefault="00B717B2" w:rsidP="00F4021E">
            <w:pPr>
              <w:spacing w:before="60" w:after="60"/>
              <w:ind w:left="0"/>
              <w:jc w:val="center"/>
              <w:cnfStyle w:val="000000000000" w:firstRow="0" w:lastRow="0" w:firstColumn="0" w:lastColumn="0" w:oddVBand="0" w:evenVBand="0" w:oddHBand="0" w:evenHBand="0" w:firstRowFirstColumn="0" w:firstRowLastColumn="0" w:lastRowFirstColumn="0" w:lastRowLastColumn="0"/>
              <w:rPr>
                <w:sz w:val="20"/>
                <w:szCs w:val="20"/>
                <w:lang w:eastAsia="en-US"/>
              </w:rPr>
            </w:pPr>
            <w:r w:rsidRPr="00EC32BD">
              <w:rPr>
                <w:sz w:val="20"/>
                <w:szCs w:val="20"/>
                <w:lang w:eastAsia="en-US"/>
              </w:rPr>
              <w:t>n/a*</w:t>
            </w:r>
          </w:p>
        </w:tc>
        <w:tc>
          <w:tcPr>
            <w:tcW w:w="1175" w:type="dxa"/>
          </w:tcPr>
          <w:p w:rsidR="00B717B2" w:rsidRPr="00EC32BD" w:rsidRDefault="00B717B2" w:rsidP="00F4021E">
            <w:pPr>
              <w:spacing w:before="60" w:after="60"/>
              <w:ind w:left="0"/>
              <w:jc w:val="center"/>
              <w:cnfStyle w:val="000000000000" w:firstRow="0" w:lastRow="0" w:firstColumn="0" w:lastColumn="0" w:oddVBand="0" w:evenVBand="0" w:oddHBand="0" w:evenHBand="0" w:firstRowFirstColumn="0" w:firstRowLastColumn="0" w:lastRowFirstColumn="0" w:lastRowLastColumn="0"/>
              <w:rPr>
                <w:sz w:val="20"/>
                <w:szCs w:val="20"/>
                <w:lang w:eastAsia="en-US"/>
              </w:rPr>
            </w:pPr>
            <w:r w:rsidRPr="00EC32BD">
              <w:rPr>
                <w:sz w:val="20"/>
                <w:szCs w:val="20"/>
                <w:lang w:eastAsia="en-US"/>
              </w:rPr>
              <w:t>n/a*</w:t>
            </w:r>
          </w:p>
        </w:tc>
        <w:tc>
          <w:tcPr>
            <w:tcW w:w="1174" w:type="dxa"/>
          </w:tcPr>
          <w:p w:rsidR="00B717B2" w:rsidRPr="00EC32BD" w:rsidRDefault="00B717B2" w:rsidP="00F4021E">
            <w:pPr>
              <w:spacing w:before="60" w:after="60"/>
              <w:ind w:left="0"/>
              <w:jc w:val="center"/>
              <w:cnfStyle w:val="000000000000" w:firstRow="0" w:lastRow="0" w:firstColumn="0" w:lastColumn="0" w:oddVBand="0" w:evenVBand="0" w:oddHBand="0" w:evenHBand="0" w:firstRowFirstColumn="0" w:firstRowLastColumn="0" w:lastRowFirstColumn="0" w:lastRowLastColumn="0"/>
              <w:rPr>
                <w:sz w:val="20"/>
                <w:szCs w:val="20"/>
                <w:lang w:eastAsia="en-US"/>
              </w:rPr>
            </w:pPr>
            <w:r w:rsidRPr="00EC32BD">
              <w:rPr>
                <w:sz w:val="20"/>
                <w:szCs w:val="20"/>
                <w:lang w:eastAsia="en-US"/>
              </w:rPr>
              <w:t>n/a*</w:t>
            </w:r>
          </w:p>
        </w:tc>
        <w:tc>
          <w:tcPr>
            <w:tcW w:w="1175" w:type="dxa"/>
          </w:tcPr>
          <w:p w:rsidR="00B717B2" w:rsidRPr="00EC32BD" w:rsidRDefault="00B717B2" w:rsidP="00F4021E">
            <w:pPr>
              <w:spacing w:before="60" w:after="60"/>
              <w:ind w:left="0"/>
              <w:jc w:val="center"/>
              <w:cnfStyle w:val="000000000000" w:firstRow="0" w:lastRow="0" w:firstColumn="0" w:lastColumn="0" w:oddVBand="0" w:evenVBand="0" w:oddHBand="0" w:evenHBand="0" w:firstRowFirstColumn="0" w:firstRowLastColumn="0" w:lastRowFirstColumn="0" w:lastRowLastColumn="0"/>
              <w:rPr>
                <w:sz w:val="20"/>
                <w:szCs w:val="20"/>
                <w:lang w:eastAsia="en-US"/>
              </w:rPr>
            </w:pPr>
            <w:r w:rsidRPr="00EC32BD">
              <w:rPr>
                <w:sz w:val="20"/>
                <w:szCs w:val="20"/>
                <w:lang w:eastAsia="en-US"/>
              </w:rPr>
              <w:t>n/a*</w:t>
            </w:r>
          </w:p>
        </w:tc>
        <w:tc>
          <w:tcPr>
            <w:tcW w:w="1175" w:type="dxa"/>
          </w:tcPr>
          <w:p w:rsidR="00B717B2" w:rsidRPr="00EC32BD" w:rsidRDefault="00B717B2" w:rsidP="00F4021E">
            <w:pPr>
              <w:spacing w:before="60" w:after="60"/>
              <w:ind w:left="0"/>
              <w:jc w:val="center"/>
              <w:cnfStyle w:val="000000000000" w:firstRow="0" w:lastRow="0" w:firstColumn="0" w:lastColumn="0" w:oddVBand="0" w:evenVBand="0" w:oddHBand="0" w:evenHBand="0" w:firstRowFirstColumn="0" w:firstRowLastColumn="0" w:lastRowFirstColumn="0" w:lastRowLastColumn="0"/>
              <w:rPr>
                <w:sz w:val="20"/>
                <w:szCs w:val="20"/>
                <w:lang w:eastAsia="en-US"/>
              </w:rPr>
            </w:pPr>
            <w:r w:rsidRPr="00EC32BD">
              <w:rPr>
                <w:sz w:val="20"/>
                <w:szCs w:val="20"/>
                <w:lang w:eastAsia="en-US"/>
              </w:rPr>
              <w:t>n/a*</w:t>
            </w:r>
          </w:p>
        </w:tc>
      </w:tr>
      <w:tr w:rsidR="00C02028" w:rsidRPr="00F4021E" w:rsidTr="006F596F">
        <w:tc>
          <w:tcPr>
            <w:cnfStyle w:val="001000000000" w:firstRow="0" w:lastRow="0" w:firstColumn="1" w:lastColumn="0" w:oddVBand="0" w:evenVBand="0" w:oddHBand="0" w:evenHBand="0" w:firstRowFirstColumn="0" w:firstRowLastColumn="0" w:lastRowFirstColumn="0" w:lastRowLastColumn="0"/>
            <w:tcW w:w="709" w:type="dxa"/>
            <w:vMerge/>
            <w:tcBorders>
              <w:top w:val="nil"/>
              <w:bottom w:val="nil"/>
            </w:tcBorders>
          </w:tcPr>
          <w:p w:rsidR="00C02028" w:rsidRPr="00F4021E" w:rsidRDefault="00C02028" w:rsidP="00F4021E">
            <w:pPr>
              <w:spacing w:before="60" w:after="60"/>
              <w:ind w:left="0"/>
              <w:jc w:val="center"/>
              <w:rPr>
                <w:i/>
                <w:sz w:val="20"/>
                <w:szCs w:val="20"/>
                <w:lang w:eastAsia="en-US"/>
              </w:rPr>
            </w:pPr>
          </w:p>
        </w:tc>
        <w:tc>
          <w:tcPr>
            <w:tcW w:w="1174" w:type="dxa"/>
            <w:shd w:val="pct15" w:color="auto" w:fill="auto"/>
            <w:vAlign w:val="center"/>
          </w:tcPr>
          <w:p w:rsidR="00C02028" w:rsidRPr="00F4021E" w:rsidRDefault="00C02028" w:rsidP="00F4021E">
            <w:pPr>
              <w:spacing w:before="60" w:after="60"/>
              <w:ind w:left="0"/>
              <w:jc w:val="center"/>
              <w:cnfStyle w:val="000000000000" w:firstRow="0" w:lastRow="0" w:firstColumn="0" w:lastColumn="0" w:oddVBand="0" w:evenVBand="0" w:oddHBand="0" w:evenHBand="0" w:firstRowFirstColumn="0" w:firstRowLastColumn="0" w:lastRowFirstColumn="0" w:lastRowLastColumn="0"/>
              <w:rPr>
                <w:i/>
                <w:sz w:val="20"/>
                <w:szCs w:val="20"/>
                <w:lang w:eastAsia="en-US"/>
              </w:rPr>
            </w:pPr>
            <w:r w:rsidRPr="00F4021E">
              <w:rPr>
                <w:i/>
                <w:sz w:val="20"/>
                <w:szCs w:val="20"/>
                <w:lang w:eastAsia="en-US"/>
              </w:rPr>
              <w:t>20</w:t>
            </w:r>
          </w:p>
        </w:tc>
        <w:tc>
          <w:tcPr>
            <w:tcW w:w="1175" w:type="dxa"/>
          </w:tcPr>
          <w:p w:rsidR="00C02028" w:rsidRPr="00EC32BD" w:rsidRDefault="00C02028" w:rsidP="00F4021E">
            <w:pPr>
              <w:spacing w:before="60" w:after="60"/>
              <w:ind w:left="0"/>
              <w:jc w:val="center"/>
              <w:cnfStyle w:val="000000000000" w:firstRow="0" w:lastRow="0" w:firstColumn="0" w:lastColumn="0" w:oddVBand="0" w:evenVBand="0" w:oddHBand="0" w:evenHBand="0" w:firstRowFirstColumn="0" w:firstRowLastColumn="0" w:lastRowFirstColumn="0" w:lastRowLastColumn="0"/>
              <w:rPr>
                <w:sz w:val="20"/>
                <w:szCs w:val="20"/>
                <w:lang w:eastAsia="en-US"/>
              </w:rPr>
            </w:pPr>
            <w:r>
              <w:rPr>
                <w:sz w:val="20"/>
                <w:szCs w:val="20"/>
              </w:rPr>
              <w:t>327</w:t>
            </w:r>
          </w:p>
        </w:tc>
        <w:tc>
          <w:tcPr>
            <w:tcW w:w="1174" w:type="dxa"/>
          </w:tcPr>
          <w:p w:rsidR="00C02028" w:rsidRPr="00C02028" w:rsidRDefault="00C02028" w:rsidP="00C02028">
            <w:pPr>
              <w:spacing w:before="60" w:after="60"/>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C02028">
              <w:rPr>
                <w:sz w:val="20"/>
                <w:szCs w:val="20"/>
              </w:rPr>
              <w:t>4</w:t>
            </w:r>
            <w:r>
              <w:rPr>
                <w:sz w:val="20"/>
                <w:szCs w:val="20"/>
              </w:rPr>
              <w:t> </w:t>
            </w:r>
            <w:r w:rsidRPr="00C02028">
              <w:rPr>
                <w:sz w:val="20"/>
                <w:szCs w:val="20"/>
              </w:rPr>
              <w:t xml:space="preserve">161 </w:t>
            </w:r>
          </w:p>
        </w:tc>
        <w:tc>
          <w:tcPr>
            <w:tcW w:w="1175" w:type="dxa"/>
          </w:tcPr>
          <w:p w:rsidR="00C02028" w:rsidRPr="00EC32BD" w:rsidRDefault="00C02028" w:rsidP="00F4021E">
            <w:pPr>
              <w:spacing w:before="60" w:after="60"/>
              <w:ind w:left="0"/>
              <w:jc w:val="center"/>
              <w:cnfStyle w:val="000000000000" w:firstRow="0" w:lastRow="0" w:firstColumn="0" w:lastColumn="0" w:oddVBand="0" w:evenVBand="0" w:oddHBand="0" w:evenHBand="0" w:firstRowFirstColumn="0" w:firstRowLastColumn="0" w:lastRowFirstColumn="0" w:lastRowLastColumn="0"/>
              <w:rPr>
                <w:sz w:val="20"/>
                <w:szCs w:val="20"/>
                <w:lang w:eastAsia="en-US"/>
              </w:rPr>
            </w:pPr>
            <w:r w:rsidRPr="00EC32BD">
              <w:rPr>
                <w:sz w:val="20"/>
                <w:szCs w:val="20"/>
                <w:lang w:eastAsia="en-US"/>
              </w:rPr>
              <w:t>n/a*</w:t>
            </w:r>
          </w:p>
        </w:tc>
        <w:tc>
          <w:tcPr>
            <w:tcW w:w="1174" w:type="dxa"/>
          </w:tcPr>
          <w:p w:rsidR="00C02028" w:rsidRPr="00EC32BD" w:rsidRDefault="00C02028" w:rsidP="00F4021E">
            <w:pPr>
              <w:spacing w:before="60" w:after="60"/>
              <w:ind w:left="0"/>
              <w:jc w:val="center"/>
              <w:cnfStyle w:val="000000000000" w:firstRow="0" w:lastRow="0" w:firstColumn="0" w:lastColumn="0" w:oddVBand="0" w:evenVBand="0" w:oddHBand="0" w:evenHBand="0" w:firstRowFirstColumn="0" w:firstRowLastColumn="0" w:lastRowFirstColumn="0" w:lastRowLastColumn="0"/>
              <w:rPr>
                <w:sz w:val="20"/>
                <w:szCs w:val="20"/>
                <w:lang w:eastAsia="en-US"/>
              </w:rPr>
            </w:pPr>
            <w:r w:rsidRPr="00EC32BD">
              <w:rPr>
                <w:sz w:val="20"/>
                <w:szCs w:val="20"/>
                <w:lang w:eastAsia="en-US"/>
              </w:rPr>
              <w:t>n/a*</w:t>
            </w:r>
          </w:p>
        </w:tc>
        <w:tc>
          <w:tcPr>
            <w:tcW w:w="1175" w:type="dxa"/>
          </w:tcPr>
          <w:p w:rsidR="00C02028" w:rsidRPr="00EC32BD" w:rsidRDefault="00C02028" w:rsidP="00F4021E">
            <w:pPr>
              <w:spacing w:before="60" w:after="60"/>
              <w:ind w:left="0"/>
              <w:jc w:val="center"/>
              <w:cnfStyle w:val="000000000000" w:firstRow="0" w:lastRow="0" w:firstColumn="0" w:lastColumn="0" w:oddVBand="0" w:evenVBand="0" w:oddHBand="0" w:evenHBand="0" w:firstRowFirstColumn="0" w:firstRowLastColumn="0" w:lastRowFirstColumn="0" w:lastRowLastColumn="0"/>
              <w:rPr>
                <w:sz w:val="20"/>
                <w:szCs w:val="20"/>
                <w:lang w:eastAsia="en-US"/>
              </w:rPr>
            </w:pPr>
            <w:r w:rsidRPr="00EC32BD">
              <w:rPr>
                <w:sz w:val="20"/>
                <w:szCs w:val="20"/>
                <w:lang w:eastAsia="en-US"/>
              </w:rPr>
              <w:t>n/a*</w:t>
            </w:r>
          </w:p>
        </w:tc>
        <w:tc>
          <w:tcPr>
            <w:tcW w:w="1175" w:type="dxa"/>
          </w:tcPr>
          <w:p w:rsidR="00C02028" w:rsidRPr="00EC32BD" w:rsidRDefault="00C02028" w:rsidP="00F4021E">
            <w:pPr>
              <w:spacing w:before="60" w:after="60"/>
              <w:ind w:left="0"/>
              <w:jc w:val="center"/>
              <w:cnfStyle w:val="000000000000" w:firstRow="0" w:lastRow="0" w:firstColumn="0" w:lastColumn="0" w:oddVBand="0" w:evenVBand="0" w:oddHBand="0" w:evenHBand="0" w:firstRowFirstColumn="0" w:firstRowLastColumn="0" w:lastRowFirstColumn="0" w:lastRowLastColumn="0"/>
              <w:rPr>
                <w:sz w:val="20"/>
                <w:szCs w:val="20"/>
                <w:lang w:eastAsia="en-US"/>
              </w:rPr>
            </w:pPr>
            <w:r w:rsidRPr="00EC32BD">
              <w:rPr>
                <w:sz w:val="20"/>
                <w:szCs w:val="20"/>
                <w:lang w:eastAsia="en-US"/>
              </w:rPr>
              <w:t>n/a*</w:t>
            </w:r>
          </w:p>
        </w:tc>
      </w:tr>
      <w:tr w:rsidR="00C02028" w:rsidRPr="00F4021E" w:rsidTr="006F596F">
        <w:tc>
          <w:tcPr>
            <w:cnfStyle w:val="001000000000" w:firstRow="0" w:lastRow="0" w:firstColumn="1" w:lastColumn="0" w:oddVBand="0" w:evenVBand="0" w:oddHBand="0" w:evenHBand="0" w:firstRowFirstColumn="0" w:firstRowLastColumn="0" w:lastRowFirstColumn="0" w:lastRowLastColumn="0"/>
            <w:tcW w:w="709" w:type="dxa"/>
            <w:vMerge/>
            <w:tcBorders>
              <w:top w:val="nil"/>
              <w:bottom w:val="nil"/>
            </w:tcBorders>
          </w:tcPr>
          <w:p w:rsidR="00C02028" w:rsidRPr="00F4021E" w:rsidRDefault="00C02028" w:rsidP="00F4021E">
            <w:pPr>
              <w:spacing w:before="60" w:after="60"/>
              <w:ind w:left="0"/>
              <w:jc w:val="center"/>
              <w:rPr>
                <w:i/>
                <w:sz w:val="20"/>
                <w:szCs w:val="20"/>
                <w:lang w:eastAsia="en-US"/>
              </w:rPr>
            </w:pPr>
          </w:p>
        </w:tc>
        <w:tc>
          <w:tcPr>
            <w:tcW w:w="1174" w:type="dxa"/>
            <w:shd w:val="pct15" w:color="auto" w:fill="auto"/>
            <w:vAlign w:val="center"/>
          </w:tcPr>
          <w:p w:rsidR="00C02028" w:rsidRPr="00F4021E" w:rsidRDefault="00C02028" w:rsidP="00F4021E">
            <w:pPr>
              <w:spacing w:before="60" w:after="60"/>
              <w:ind w:left="0"/>
              <w:jc w:val="center"/>
              <w:cnfStyle w:val="000000000000" w:firstRow="0" w:lastRow="0" w:firstColumn="0" w:lastColumn="0" w:oddVBand="0" w:evenVBand="0" w:oddHBand="0" w:evenHBand="0" w:firstRowFirstColumn="0" w:firstRowLastColumn="0" w:lastRowFirstColumn="0" w:lastRowLastColumn="0"/>
              <w:rPr>
                <w:i/>
                <w:sz w:val="20"/>
                <w:szCs w:val="20"/>
                <w:lang w:eastAsia="en-US"/>
              </w:rPr>
            </w:pPr>
            <w:r w:rsidRPr="00F4021E">
              <w:rPr>
                <w:i/>
                <w:sz w:val="20"/>
                <w:szCs w:val="20"/>
                <w:lang w:eastAsia="en-US"/>
              </w:rPr>
              <w:t>40</w:t>
            </w:r>
          </w:p>
        </w:tc>
        <w:tc>
          <w:tcPr>
            <w:tcW w:w="1175" w:type="dxa"/>
          </w:tcPr>
          <w:p w:rsidR="00C02028" w:rsidRPr="00EC32BD" w:rsidRDefault="00C02028" w:rsidP="00F4021E">
            <w:pPr>
              <w:spacing w:before="60" w:after="60"/>
              <w:ind w:left="0"/>
              <w:jc w:val="center"/>
              <w:cnfStyle w:val="000000000000" w:firstRow="0" w:lastRow="0" w:firstColumn="0" w:lastColumn="0" w:oddVBand="0" w:evenVBand="0" w:oddHBand="0" w:evenHBand="0" w:firstRowFirstColumn="0" w:firstRowLastColumn="0" w:lastRowFirstColumn="0" w:lastRowLastColumn="0"/>
              <w:rPr>
                <w:sz w:val="20"/>
                <w:szCs w:val="20"/>
                <w:lang w:eastAsia="en-US"/>
              </w:rPr>
            </w:pPr>
            <w:r>
              <w:rPr>
                <w:sz w:val="20"/>
                <w:szCs w:val="20"/>
                <w:lang w:eastAsia="en-US"/>
              </w:rPr>
              <w:t>654</w:t>
            </w:r>
          </w:p>
        </w:tc>
        <w:tc>
          <w:tcPr>
            <w:tcW w:w="1174" w:type="dxa"/>
          </w:tcPr>
          <w:p w:rsidR="00C02028" w:rsidRPr="00C02028" w:rsidRDefault="00C02028" w:rsidP="00C02028">
            <w:pPr>
              <w:spacing w:before="60" w:after="60"/>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C02028">
              <w:rPr>
                <w:sz w:val="20"/>
                <w:szCs w:val="20"/>
              </w:rPr>
              <w:t>4</w:t>
            </w:r>
            <w:r>
              <w:rPr>
                <w:sz w:val="20"/>
                <w:szCs w:val="20"/>
              </w:rPr>
              <w:t> </w:t>
            </w:r>
            <w:r w:rsidRPr="00C02028">
              <w:rPr>
                <w:sz w:val="20"/>
                <w:szCs w:val="20"/>
              </w:rPr>
              <w:t xml:space="preserve">488 </w:t>
            </w:r>
          </w:p>
        </w:tc>
        <w:tc>
          <w:tcPr>
            <w:tcW w:w="1175" w:type="dxa"/>
          </w:tcPr>
          <w:p w:rsidR="00C02028" w:rsidRPr="00C02028" w:rsidRDefault="00C02028" w:rsidP="00C02028">
            <w:pPr>
              <w:spacing w:before="60" w:after="60"/>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C02028">
              <w:rPr>
                <w:sz w:val="20"/>
                <w:szCs w:val="20"/>
              </w:rPr>
              <w:t>8</w:t>
            </w:r>
            <w:r>
              <w:rPr>
                <w:sz w:val="20"/>
                <w:szCs w:val="20"/>
              </w:rPr>
              <w:t> </w:t>
            </w:r>
            <w:r w:rsidRPr="00C02028">
              <w:rPr>
                <w:sz w:val="20"/>
                <w:szCs w:val="20"/>
              </w:rPr>
              <w:t xml:space="preserve">321 </w:t>
            </w:r>
          </w:p>
        </w:tc>
        <w:tc>
          <w:tcPr>
            <w:tcW w:w="1174" w:type="dxa"/>
          </w:tcPr>
          <w:p w:rsidR="00C02028" w:rsidRPr="00EC32BD" w:rsidRDefault="00C02028" w:rsidP="00C02028">
            <w:pPr>
              <w:spacing w:before="60" w:after="60"/>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EC32BD">
              <w:rPr>
                <w:sz w:val="20"/>
                <w:szCs w:val="20"/>
              </w:rPr>
              <w:t>n/a*</w:t>
            </w:r>
          </w:p>
        </w:tc>
        <w:tc>
          <w:tcPr>
            <w:tcW w:w="1175" w:type="dxa"/>
          </w:tcPr>
          <w:p w:rsidR="00C02028" w:rsidRPr="00EC32BD" w:rsidRDefault="00C02028" w:rsidP="00F4021E">
            <w:pPr>
              <w:spacing w:before="60" w:after="60"/>
              <w:ind w:left="0"/>
              <w:jc w:val="center"/>
              <w:cnfStyle w:val="000000000000" w:firstRow="0" w:lastRow="0" w:firstColumn="0" w:lastColumn="0" w:oddVBand="0" w:evenVBand="0" w:oddHBand="0" w:evenHBand="0" w:firstRowFirstColumn="0" w:firstRowLastColumn="0" w:lastRowFirstColumn="0" w:lastRowLastColumn="0"/>
              <w:rPr>
                <w:sz w:val="20"/>
                <w:szCs w:val="20"/>
                <w:lang w:eastAsia="en-US"/>
              </w:rPr>
            </w:pPr>
            <w:r w:rsidRPr="00EC32BD">
              <w:rPr>
                <w:sz w:val="20"/>
                <w:szCs w:val="20"/>
                <w:lang w:eastAsia="en-US"/>
              </w:rPr>
              <w:t>n/a*</w:t>
            </w:r>
          </w:p>
        </w:tc>
        <w:tc>
          <w:tcPr>
            <w:tcW w:w="1175" w:type="dxa"/>
          </w:tcPr>
          <w:p w:rsidR="00C02028" w:rsidRPr="00EC32BD" w:rsidRDefault="00C02028" w:rsidP="00F4021E">
            <w:pPr>
              <w:spacing w:before="60" w:after="60"/>
              <w:ind w:left="0"/>
              <w:jc w:val="center"/>
              <w:cnfStyle w:val="000000000000" w:firstRow="0" w:lastRow="0" w:firstColumn="0" w:lastColumn="0" w:oddVBand="0" w:evenVBand="0" w:oddHBand="0" w:evenHBand="0" w:firstRowFirstColumn="0" w:firstRowLastColumn="0" w:lastRowFirstColumn="0" w:lastRowLastColumn="0"/>
              <w:rPr>
                <w:sz w:val="20"/>
                <w:szCs w:val="20"/>
                <w:lang w:eastAsia="en-US"/>
              </w:rPr>
            </w:pPr>
            <w:r w:rsidRPr="00EC32BD">
              <w:rPr>
                <w:sz w:val="20"/>
                <w:szCs w:val="20"/>
                <w:lang w:eastAsia="en-US"/>
              </w:rPr>
              <w:t>n/a*</w:t>
            </w:r>
          </w:p>
        </w:tc>
      </w:tr>
      <w:tr w:rsidR="00C02028" w:rsidRPr="00F4021E" w:rsidTr="006F596F">
        <w:tc>
          <w:tcPr>
            <w:cnfStyle w:val="001000000000" w:firstRow="0" w:lastRow="0" w:firstColumn="1" w:lastColumn="0" w:oddVBand="0" w:evenVBand="0" w:oddHBand="0" w:evenHBand="0" w:firstRowFirstColumn="0" w:firstRowLastColumn="0" w:lastRowFirstColumn="0" w:lastRowLastColumn="0"/>
            <w:tcW w:w="709" w:type="dxa"/>
            <w:vMerge/>
            <w:tcBorders>
              <w:top w:val="nil"/>
              <w:bottom w:val="nil"/>
            </w:tcBorders>
          </w:tcPr>
          <w:p w:rsidR="00C02028" w:rsidRPr="00F4021E" w:rsidRDefault="00C02028" w:rsidP="00F4021E">
            <w:pPr>
              <w:spacing w:before="60" w:after="60"/>
              <w:ind w:left="0"/>
              <w:jc w:val="center"/>
              <w:rPr>
                <w:i/>
                <w:sz w:val="20"/>
                <w:szCs w:val="20"/>
                <w:lang w:eastAsia="en-US"/>
              </w:rPr>
            </w:pPr>
          </w:p>
        </w:tc>
        <w:tc>
          <w:tcPr>
            <w:tcW w:w="1174" w:type="dxa"/>
            <w:shd w:val="pct15" w:color="auto" w:fill="auto"/>
            <w:vAlign w:val="center"/>
          </w:tcPr>
          <w:p w:rsidR="00C02028" w:rsidRPr="00F4021E" w:rsidRDefault="00C02028" w:rsidP="00F4021E">
            <w:pPr>
              <w:spacing w:before="60" w:after="60"/>
              <w:ind w:left="0"/>
              <w:jc w:val="center"/>
              <w:cnfStyle w:val="000000000000" w:firstRow="0" w:lastRow="0" w:firstColumn="0" w:lastColumn="0" w:oddVBand="0" w:evenVBand="0" w:oddHBand="0" w:evenHBand="0" w:firstRowFirstColumn="0" w:firstRowLastColumn="0" w:lastRowFirstColumn="0" w:lastRowLastColumn="0"/>
              <w:rPr>
                <w:i/>
                <w:sz w:val="20"/>
                <w:szCs w:val="20"/>
                <w:lang w:eastAsia="en-US"/>
              </w:rPr>
            </w:pPr>
            <w:r w:rsidRPr="00F4021E">
              <w:rPr>
                <w:i/>
                <w:sz w:val="20"/>
                <w:szCs w:val="20"/>
                <w:lang w:eastAsia="en-US"/>
              </w:rPr>
              <w:t>60</w:t>
            </w:r>
          </w:p>
        </w:tc>
        <w:tc>
          <w:tcPr>
            <w:tcW w:w="1175" w:type="dxa"/>
          </w:tcPr>
          <w:p w:rsidR="00C02028" w:rsidRPr="00EC32BD" w:rsidRDefault="00C02028" w:rsidP="00F4021E">
            <w:pPr>
              <w:spacing w:before="60" w:after="60"/>
              <w:ind w:left="0"/>
              <w:jc w:val="center"/>
              <w:cnfStyle w:val="000000000000" w:firstRow="0" w:lastRow="0" w:firstColumn="0" w:lastColumn="0" w:oddVBand="0" w:evenVBand="0" w:oddHBand="0" w:evenHBand="0" w:firstRowFirstColumn="0" w:firstRowLastColumn="0" w:lastRowFirstColumn="0" w:lastRowLastColumn="0"/>
              <w:rPr>
                <w:sz w:val="20"/>
                <w:szCs w:val="20"/>
                <w:lang w:eastAsia="en-US"/>
              </w:rPr>
            </w:pPr>
            <w:r>
              <w:rPr>
                <w:sz w:val="20"/>
                <w:szCs w:val="20"/>
                <w:lang w:eastAsia="en-US"/>
              </w:rPr>
              <w:t>982</w:t>
            </w:r>
          </w:p>
        </w:tc>
        <w:tc>
          <w:tcPr>
            <w:tcW w:w="1174" w:type="dxa"/>
          </w:tcPr>
          <w:p w:rsidR="00C02028" w:rsidRPr="00C02028" w:rsidRDefault="00C02028" w:rsidP="00C02028">
            <w:pPr>
              <w:spacing w:before="60" w:after="60"/>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C02028">
              <w:rPr>
                <w:sz w:val="20"/>
                <w:szCs w:val="20"/>
              </w:rPr>
              <w:t>4</w:t>
            </w:r>
            <w:r>
              <w:rPr>
                <w:sz w:val="20"/>
                <w:szCs w:val="20"/>
              </w:rPr>
              <w:t> </w:t>
            </w:r>
            <w:r w:rsidRPr="00C02028">
              <w:rPr>
                <w:sz w:val="20"/>
                <w:szCs w:val="20"/>
              </w:rPr>
              <w:t xml:space="preserve">815 </w:t>
            </w:r>
          </w:p>
        </w:tc>
        <w:tc>
          <w:tcPr>
            <w:tcW w:w="1175" w:type="dxa"/>
          </w:tcPr>
          <w:p w:rsidR="00C02028" w:rsidRPr="00C02028" w:rsidRDefault="00C02028" w:rsidP="00C02028">
            <w:pPr>
              <w:spacing w:before="60" w:after="60"/>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C02028">
              <w:rPr>
                <w:sz w:val="20"/>
                <w:szCs w:val="20"/>
              </w:rPr>
              <w:t>8</w:t>
            </w:r>
            <w:r>
              <w:rPr>
                <w:sz w:val="20"/>
                <w:szCs w:val="20"/>
              </w:rPr>
              <w:t> </w:t>
            </w:r>
            <w:r w:rsidRPr="00C02028">
              <w:rPr>
                <w:sz w:val="20"/>
                <w:szCs w:val="20"/>
              </w:rPr>
              <w:t xml:space="preserve">648 </w:t>
            </w:r>
          </w:p>
        </w:tc>
        <w:tc>
          <w:tcPr>
            <w:tcW w:w="1174" w:type="dxa"/>
          </w:tcPr>
          <w:p w:rsidR="00C02028" w:rsidRPr="00C02028" w:rsidRDefault="00C02028" w:rsidP="00C02028">
            <w:pPr>
              <w:spacing w:before="60" w:after="60"/>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C02028">
              <w:rPr>
                <w:sz w:val="20"/>
                <w:szCs w:val="20"/>
              </w:rPr>
              <w:t>12</w:t>
            </w:r>
            <w:r>
              <w:rPr>
                <w:sz w:val="20"/>
                <w:szCs w:val="20"/>
              </w:rPr>
              <w:t> </w:t>
            </w:r>
            <w:r w:rsidRPr="00C02028">
              <w:rPr>
                <w:sz w:val="20"/>
                <w:szCs w:val="20"/>
              </w:rPr>
              <w:t xml:space="preserve">482 </w:t>
            </w:r>
          </w:p>
        </w:tc>
        <w:tc>
          <w:tcPr>
            <w:tcW w:w="1175" w:type="dxa"/>
          </w:tcPr>
          <w:p w:rsidR="00C02028" w:rsidRPr="00EC32BD" w:rsidRDefault="00C02028" w:rsidP="00F4021E">
            <w:pPr>
              <w:spacing w:before="60" w:after="60"/>
              <w:ind w:left="0"/>
              <w:jc w:val="center"/>
              <w:cnfStyle w:val="000000000000" w:firstRow="0" w:lastRow="0" w:firstColumn="0" w:lastColumn="0" w:oddVBand="0" w:evenVBand="0" w:oddHBand="0" w:evenHBand="0" w:firstRowFirstColumn="0" w:firstRowLastColumn="0" w:lastRowFirstColumn="0" w:lastRowLastColumn="0"/>
              <w:rPr>
                <w:sz w:val="20"/>
                <w:szCs w:val="20"/>
                <w:lang w:eastAsia="en-US"/>
              </w:rPr>
            </w:pPr>
            <w:r w:rsidRPr="00EC32BD">
              <w:rPr>
                <w:sz w:val="20"/>
                <w:szCs w:val="20"/>
                <w:lang w:eastAsia="en-US"/>
              </w:rPr>
              <w:t>n/a*</w:t>
            </w:r>
          </w:p>
        </w:tc>
        <w:tc>
          <w:tcPr>
            <w:tcW w:w="1175" w:type="dxa"/>
          </w:tcPr>
          <w:p w:rsidR="00C02028" w:rsidRPr="00EC32BD" w:rsidRDefault="00C02028" w:rsidP="00F4021E">
            <w:pPr>
              <w:spacing w:before="60" w:after="60"/>
              <w:ind w:left="0"/>
              <w:jc w:val="center"/>
              <w:cnfStyle w:val="000000000000" w:firstRow="0" w:lastRow="0" w:firstColumn="0" w:lastColumn="0" w:oddVBand="0" w:evenVBand="0" w:oddHBand="0" w:evenHBand="0" w:firstRowFirstColumn="0" w:firstRowLastColumn="0" w:lastRowFirstColumn="0" w:lastRowLastColumn="0"/>
              <w:rPr>
                <w:sz w:val="20"/>
                <w:szCs w:val="20"/>
                <w:lang w:eastAsia="en-US"/>
              </w:rPr>
            </w:pPr>
            <w:r w:rsidRPr="00EC32BD">
              <w:rPr>
                <w:sz w:val="20"/>
                <w:szCs w:val="20"/>
                <w:lang w:eastAsia="en-US"/>
              </w:rPr>
              <w:t>n/a*</w:t>
            </w:r>
          </w:p>
        </w:tc>
      </w:tr>
      <w:tr w:rsidR="00C02028" w:rsidRPr="00F4021E" w:rsidTr="006F596F">
        <w:tc>
          <w:tcPr>
            <w:cnfStyle w:val="001000000000" w:firstRow="0" w:lastRow="0" w:firstColumn="1" w:lastColumn="0" w:oddVBand="0" w:evenVBand="0" w:oddHBand="0" w:evenHBand="0" w:firstRowFirstColumn="0" w:firstRowLastColumn="0" w:lastRowFirstColumn="0" w:lastRowLastColumn="0"/>
            <w:tcW w:w="709" w:type="dxa"/>
            <w:vMerge/>
            <w:tcBorders>
              <w:top w:val="nil"/>
              <w:bottom w:val="nil"/>
            </w:tcBorders>
          </w:tcPr>
          <w:p w:rsidR="00C02028" w:rsidRPr="00F4021E" w:rsidRDefault="00C02028" w:rsidP="00F4021E">
            <w:pPr>
              <w:spacing w:before="60" w:after="60"/>
              <w:ind w:left="0"/>
              <w:jc w:val="center"/>
              <w:rPr>
                <w:i/>
                <w:sz w:val="20"/>
                <w:szCs w:val="20"/>
                <w:lang w:eastAsia="en-US"/>
              </w:rPr>
            </w:pPr>
          </w:p>
        </w:tc>
        <w:tc>
          <w:tcPr>
            <w:tcW w:w="1174" w:type="dxa"/>
            <w:shd w:val="pct15" w:color="auto" w:fill="auto"/>
            <w:vAlign w:val="center"/>
          </w:tcPr>
          <w:p w:rsidR="00C02028" w:rsidRPr="00F4021E" w:rsidRDefault="00C02028" w:rsidP="00F4021E">
            <w:pPr>
              <w:spacing w:before="60" w:after="60"/>
              <w:ind w:left="0"/>
              <w:jc w:val="center"/>
              <w:cnfStyle w:val="000000000000" w:firstRow="0" w:lastRow="0" w:firstColumn="0" w:lastColumn="0" w:oddVBand="0" w:evenVBand="0" w:oddHBand="0" w:evenHBand="0" w:firstRowFirstColumn="0" w:firstRowLastColumn="0" w:lastRowFirstColumn="0" w:lastRowLastColumn="0"/>
              <w:rPr>
                <w:i/>
                <w:sz w:val="20"/>
                <w:szCs w:val="20"/>
                <w:lang w:eastAsia="en-US"/>
              </w:rPr>
            </w:pPr>
            <w:r w:rsidRPr="00F4021E">
              <w:rPr>
                <w:i/>
                <w:sz w:val="20"/>
                <w:szCs w:val="20"/>
                <w:lang w:eastAsia="en-US"/>
              </w:rPr>
              <w:t>80</w:t>
            </w:r>
          </w:p>
        </w:tc>
        <w:tc>
          <w:tcPr>
            <w:tcW w:w="1175" w:type="dxa"/>
          </w:tcPr>
          <w:p w:rsidR="00C02028" w:rsidRPr="00EC32BD" w:rsidRDefault="00C02028" w:rsidP="00F4021E">
            <w:pPr>
              <w:spacing w:before="60" w:after="60"/>
              <w:ind w:left="0"/>
              <w:jc w:val="center"/>
              <w:cnfStyle w:val="000000000000" w:firstRow="0" w:lastRow="0" w:firstColumn="0" w:lastColumn="0" w:oddVBand="0" w:evenVBand="0" w:oddHBand="0" w:evenHBand="0" w:firstRowFirstColumn="0" w:firstRowLastColumn="0" w:lastRowFirstColumn="0" w:lastRowLastColumn="0"/>
              <w:rPr>
                <w:sz w:val="20"/>
                <w:szCs w:val="20"/>
                <w:lang w:eastAsia="en-US"/>
              </w:rPr>
            </w:pPr>
            <w:r>
              <w:rPr>
                <w:sz w:val="20"/>
                <w:szCs w:val="20"/>
                <w:lang w:eastAsia="en-US"/>
              </w:rPr>
              <w:t>1 309</w:t>
            </w:r>
          </w:p>
        </w:tc>
        <w:tc>
          <w:tcPr>
            <w:tcW w:w="1174" w:type="dxa"/>
          </w:tcPr>
          <w:p w:rsidR="00C02028" w:rsidRPr="00C02028" w:rsidRDefault="00C02028" w:rsidP="00C02028">
            <w:pPr>
              <w:spacing w:before="60" w:after="60"/>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C02028">
              <w:rPr>
                <w:sz w:val="20"/>
                <w:szCs w:val="20"/>
              </w:rPr>
              <w:t>5</w:t>
            </w:r>
            <w:r>
              <w:rPr>
                <w:sz w:val="20"/>
                <w:szCs w:val="20"/>
              </w:rPr>
              <w:t> </w:t>
            </w:r>
            <w:r w:rsidRPr="00C02028">
              <w:rPr>
                <w:sz w:val="20"/>
                <w:szCs w:val="20"/>
              </w:rPr>
              <w:t xml:space="preserve">142 </w:t>
            </w:r>
          </w:p>
        </w:tc>
        <w:tc>
          <w:tcPr>
            <w:tcW w:w="1175" w:type="dxa"/>
          </w:tcPr>
          <w:p w:rsidR="00C02028" w:rsidRPr="00C02028" w:rsidRDefault="00C02028" w:rsidP="00C02028">
            <w:pPr>
              <w:spacing w:before="60" w:after="60"/>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C02028">
              <w:rPr>
                <w:sz w:val="20"/>
                <w:szCs w:val="20"/>
              </w:rPr>
              <w:t>8</w:t>
            </w:r>
            <w:r>
              <w:rPr>
                <w:sz w:val="20"/>
                <w:szCs w:val="20"/>
              </w:rPr>
              <w:t> </w:t>
            </w:r>
            <w:r w:rsidRPr="00C02028">
              <w:rPr>
                <w:sz w:val="20"/>
                <w:szCs w:val="20"/>
              </w:rPr>
              <w:t xml:space="preserve">976 </w:t>
            </w:r>
          </w:p>
        </w:tc>
        <w:tc>
          <w:tcPr>
            <w:tcW w:w="1174" w:type="dxa"/>
          </w:tcPr>
          <w:p w:rsidR="00C02028" w:rsidRPr="00C02028" w:rsidRDefault="00C02028" w:rsidP="00C02028">
            <w:pPr>
              <w:spacing w:before="60" w:after="60"/>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C02028">
              <w:rPr>
                <w:sz w:val="20"/>
                <w:szCs w:val="20"/>
              </w:rPr>
              <w:t>12</w:t>
            </w:r>
            <w:r>
              <w:rPr>
                <w:sz w:val="20"/>
                <w:szCs w:val="20"/>
              </w:rPr>
              <w:t> </w:t>
            </w:r>
            <w:r w:rsidRPr="00C02028">
              <w:rPr>
                <w:sz w:val="20"/>
                <w:szCs w:val="20"/>
              </w:rPr>
              <w:t xml:space="preserve">809 </w:t>
            </w:r>
          </w:p>
        </w:tc>
        <w:tc>
          <w:tcPr>
            <w:tcW w:w="1175" w:type="dxa"/>
          </w:tcPr>
          <w:p w:rsidR="00C02028" w:rsidRPr="00EC32BD" w:rsidRDefault="00C02028" w:rsidP="00F4021E">
            <w:pPr>
              <w:spacing w:before="60" w:after="60"/>
              <w:ind w:left="0"/>
              <w:jc w:val="center"/>
              <w:cnfStyle w:val="000000000000" w:firstRow="0" w:lastRow="0" w:firstColumn="0" w:lastColumn="0" w:oddVBand="0" w:evenVBand="0" w:oddHBand="0" w:evenHBand="0" w:firstRowFirstColumn="0" w:firstRowLastColumn="0" w:lastRowFirstColumn="0" w:lastRowLastColumn="0"/>
              <w:rPr>
                <w:sz w:val="20"/>
                <w:szCs w:val="20"/>
                <w:lang w:eastAsia="en-US"/>
              </w:rPr>
            </w:pPr>
            <w:r>
              <w:rPr>
                <w:sz w:val="20"/>
                <w:szCs w:val="20"/>
                <w:lang w:eastAsia="en-US"/>
              </w:rPr>
              <w:t>16 642</w:t>
            </w:r>
          </w:p>
        </w:tc>
        <w:tc>
          <w:tcPr>
            <w:tcW w:w="1175" w:type="dxa"/>
          </w:tcPr>
          <w:p w:rsidR="00C02028" w:rsidRPr="00EC32BD" w:rsidRDefault="00C02028" w:rsidP="00F4021E">
            <w:pPr>
              <w:spacing w:before="60" w:after="60"/>
              <w:ind w:left="0"/>
              <w:jc w:val="center"/>
              <w:cnfStyle w:val="000000000000" w:firstRow="0" w:lastRow="0" w:firstColumn="0" w:lastColumn="0" w:oddVBand="0" w:evenVBand="0" w:oddHBand="0" w:evenHBand="0" w:firstRowFirstColumn="0" w:firstRowLastColumn="0" w:lastRowFirstColumn="0" w:lastRowLastColumn="0"/>
              <w:rPr>
                <w:sz w:val="20"/>
                <w:szCs w:val="20"/>
                <w:lang w:eastAsia="en-US"/>
              </w:rPr>
            </w:pPr>
            <w:r w:rsidRPr="00EC32BD">
              <w:rPr>
                <w:sz w:val="20"/>
                <w:szCs w:val="20"/>
                <w:lang w:eastAsia="en-US"/>
              </w:rPr>
              <w:t>n/a*</w:t>
            </w:r>
          </w:p>
        </w:tc>
      </w:tr>
      <w:tr w:rsidR="00C02028" w:rsidRPr="00F4021E" w:rsidTr="006F596F">
        <w:tc>
          <w:tcPr>
            <w:cnfStyle w:val="001000000000" w:firstRow="0" w:lastRow="0" w:firstColumn="1" w:lastColumn="0" w:oddVBand="0" w:evenVBand="0" w:oddHBand="0" w:evenHBand="0" w:firstRowFirstColumn="0" w:firstRowLastColumn="0" w:lastRowFirstColumn="0" w:lastRowLastColumn="0"/>
            <w:tcW w:w="709" w:type="dxa"/>
            <w:vMerge/>
            <w:tcBorders>
              <w:top w:val="nil"/>
              <w:bottom w:val="nil"/>
            </w:tcBorders>
          </w:tcPr>
          <w:p w:rsidR="00C02028" w:rsidRPr="00F4021E" w:rsidRDefault="00C02028" w:rsidP="00F4021E">
            <w:pPr>
              <w:spacing w:before="60" w:after="60"/>
              <w:ind w:left="0"/>
              <w:jc w:val="center"/>
              <w:rPr>
                <w:i/>
                <w:sz w:val="20"/>
                <w:szCs w:val="20"/>
                <w:lang w:eastAsia="en-US"/>
              </w:rPr>
            </w:pPr>
          </w:p>
        </w:tc>
        <w:tc>
          <w:tcPr>
            <w:tcW w:w="1174" w:type="dxa"/>
            <w:shd w:val="pct15" w:color="auto" w:fill="auto"/>
            <w:vAlign w:val="center"/>
          </w:tcPr>
          <w:p w:rsidR="00C02028" w:rsidRPr="00F4021E" w:rsidRDefault="00C02028" w:rsidP="00F4021E">
            <w:pPr>
              <w:spacing w:before="60" w:after="60"/>
              <w:ind w:left="0"/>
              <w:jc w:val="center"/>
              <w:cnfStyle w:val="000000000000" w:firstRow="0" w:lastRow="0" w:firstColumn="0" w:lastColumn="0" w:oddVBand="0" w:evenVBand="0" w:oddHBand="0" w:evenHBand="0" w:firstRowFirstColumn="0" w:firstRowLastColumn="0" w:lastRowFirstColumn="0" w:lastRowLastColumn="0"/>
              <w:rPr>
                <w:i/>
                <w:sz w:val="20"/>
                <w:szCs w:val="20"/>
                <w:lang w:eastAsia="en-US"/>
              </w:rPr>
            </w:pPr>
            <w:r w:rsidRPr="00F4021E">
              <w:rPr>
                <w:i/>
                <w:sz w:val="20"/>
                <w:szCs w:val="20"/>
                <w:lang w:eastAsia="en-US"/>
              </w:rPr>
              <w:t>100</w:t>
            </w:r>
          </w:p>
        </w:tc>
        <w:tc>
          <w:tcPr>
            <w:tcW w:w="1175" w:type="dxa"/>
          </w:tcPr>
          <w:p w:rsidR="00C02028" w:rsidRPr="00EC32BD" w:rsidRDefault="00C02028" w:rsidP="00F4021E">
            <w:pPr>
              <w:spacing w:before="60" w:after="60"/>
              <w:ind w:left="0"/>
              <w:jc w:val="center"/>
              <w:cnfStyle w:val="000000000000" w:firstRow="0" w:lastRow="0" w:firstColumn="0" w:lastColumn="0" w:oddVBand="0" w:evenVBand="0" w:oddHBand="0" w:evenHBand="0" w:firstRowFirstColumn="0" w:firstRowLastColumn="0" w:lastRowFirstColumn="0" w:lastRowLastColumn="0"/>
              <w:rPr>
                <w:sz w:val="20"/>
                <w:szCs w:val="20"/>
                <w:lang w:eastAsia="en-US"/>
              </w:rPr>
            </w:pPr>
            <w:r>
              <w:rPr>
                <w:sz w:val="20"/>
                <w:szCs w:val="20"/>
                <w:lang w:eastAsia="en-US"/>
              </w:rPr>
              <w:t>1 636</w:t>
            </w:r>
          </w:p>
        </w:tc>
        <w:tc>
          <w:tcPr>
            <w:tcW w:w="1174" w:type="dxa"/>
          </w:tcPr>
          <w:p w:rsidR="00C02028" w:rsidRPr="00C02028" w:rsidRDefault="00C02028" w:rsidP="00C02028">
            <w:pPr>
              <w:spacing w:before="60" w:after="60"/>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C02028">
              <w:rPr>
                <w:sz w:val="20"/>
                <w:szCs w:val="20"/>
              </w:rPr>
              <w:t>5</w:t>
            </w:r>
            <w:r>
              <w:rPr>
                <w:sz w:val="20"/>
                <w:szCs w:val="20"/>
              </w:rPr>
              <w:t> </w:t>
            </w:r>
            <w:r w:rsidRPr="00C02028">
              <w:rPr>
                <w:sz w:val="20"/>
                <w:szCs w:val="20"/>
              </w:rPr>
              <w:t xml:space="preserve">469 </w:t>
            </w:r>
          </w:p>
        </w:tc>
        <w:tc>
          <w:tcPr>
            <w:tcW w:w="1175" w:type="dxa"/>
          </w:tcPr>
          <w:p w:rsidR="00C02028" w:rsidRPr="00C02028" w:rsidRDefault="00C02028" w:rsidP="00C02028">
            <w:pPr>
              <w:spacing w:before="60" w:after="60"/>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C02028">
              <w:rPr>
                <w:sz w:val="20"/>
                <w:szCs w:val="20"/>
              </w:rPr>
              <w:t>9</w:t>
            </w:r>
            <w:r>
              <w:rPr>
                <w:sz w:val="20"/>
                <w:szCs w:val="20"/>
              </w:rPr>
              <w:t> </w:t>
            </w:r>
            <w:r w:rsidRPr="00C02028">
              <w:rPr>
                <w:sz w:val="20"/>
                <w:szCs w:val="20"/>
              </w:rPr>
              <w:t xml:space="preserve">303 </w:t>
            </w:r>
          </w:p>
        </w:tc>
        <w:tc>
          <w:tcPr>
            <w:tcW w:w="1174" w:type="dxa"/>
          </w:tcPr>
          <w:p w:rsidR="00C02028" w:rsidRPr="00C02028" w:rsidRDefault="00C02028" w:rsidP="00C02028">
            <w:pPr>
              <w:spacing w:before="60" w:after="60"/>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C02028">
              <w:rPr>
                <w:sz w:val="20"/>
                <w:szCs w:val="20"/>
              </w:rPr>
              <w:t>13</w:t>
            </w:r>
            <w:r>
              <w:rPr>
                <w:sz w:val="20"/>
                <w:szCs w:val="20"/>
              </w:rPr>
              <w:t> </w:t>
            </w:r>
            <w:r w:rsidRPr="00C02028">
              <w:rPr>
                <w:sz w:val="20"/>
                <w:szCs w:val="20"/>
              </w:rPr>
              <w:t xml:space="preserve">136 </w:t>
            </w:r>
          </w:p>
        </w:tc>
        <w:tc>
          <w:tcPr>
            <w:tcW w:w="1175" w:type="dxa"/>
          </w:tcPr>
          <w:p w:rsidR="00C02028" w:rsidRPr="00EC32BD" w:rsidRDefault="00C02028" w:rsidP="00F4021E">
            <w:pPr>
              <w:spacing w:before="60" w:after="60"/>
              <w:ind w:left="0"/>
              <w:jc w:val="center"/>
              <w:cnfStyle w:val="000000000000" w:firstRow="0" w:lastRow="0" w:firstColumn="0" w:lastColumn="0" w:oddVBand="0" w:evenVBand="0" w:oddHBand="0" w:evenHBand="0" w:firstRowFirstColumn="0" w:firstRowLastColumn="0" w:lastRowFirstColumn="0" w:lastRowLastColumn="0"/>
              <w:rPr>
                <w:sz w:val="20"/>
                <w:szCs w:val="20"/>
                <w:lang w:eastAsia="en-US"/>
              </w:rPr>
            </w:pPr>
            <w:r>
              <w:rPr>
                <w:sz w:val="20"/>
                <w:szCs w:val="20"/>
                <w:lang w:eastAsia="en-US"/>
              </w:rPr>
              <w:t>16 970</w:t>
            </w:r>
          </w:p>
        </w:tc>
        <w:tc>
          <w:tcPr>
            <w:tcW w:w="1175" w:type="dxa"/>
          </w:tcPr>
          <w:p w:rsidR="00C02028" w:rsidRPr="00EC32BD" w:rsidRDefault="00C02028" w:rsidP="00F143D0">
            <w:pPr>
              <w:spacing w:before="60" w:after="60"/>
              <w:ind w:left="0"/>
              <w:jc w:val="center"/>
              <w:cnfStyle w:val="000000000000" w:firstRow="0" w:lastRow="0" w:firstColumn="0" w:lastColumn="0" w:oddVBand="0" w:evenVBand="0" w:oddHBand="0" w:evenHBand="0" w:firstRowFirstColumn="0" w:firstRowLastColumn="0" w:lastRowFirstColumn="0" w:lastRowLastColumn="0"/>
              <w:rPr>
                <w:sz w:val="20"/>
                <w:szCs w:val="20"/>
                <w:lang w:eastAsia="en-US"/>
              </w:rPr>
            </w:pPr>
            <w:r>
              <w:rPr>
                <w:sz w:val="20"/>
                <w:szCs w:val="20"/>
                <w:lang w:eastAsia="en-US"/>
              </w:rPr>
              <w:t>20 803</w:t>
            </w:r>
          </w:p>
        </w:tc>
      </w:tr>
    </w:tbl>
    <w:p w:rsidR="00470CA0" w:rsidRPr="00470CA0" w:rsidRDefault="00470CA0" w:rsidP="00470CA0">
      <w:pPr>
        <w:spacing w:before="240"/>
        <w:rPr>
          <w:i/>
          <w:sz w:val="20"/>
          <w:szCs w:val="20"/>
          <w:lang w:eastAsia="en-US"/>
        </w:rPr>
      </w:pPr>
      <w:r w:rsidRPr="00470CA0">
        <w:rPr>
          <w:i/>
          <w:sz w:val="20"/>
          <w:szCs w:val="20"/>
          <w:lang w:eastAsia="en-US"/>
        </w:rPr>
        <w:t xml:space="preserve">* Not applicable because </w:t>
      </w:r>
      <w:r w:rsidR="00F13192">
        <w:rPr>
          <w:i/>
          <w:sz w:val="20"/>
          <w:szCs w:val="20"/>
          <w:lang w:eastAsia="en-US"/>
        </w:rPr>
        <w:t>v</w:t>
      </w:r>
      <w:r w:rsidR="00472069">
        <w:rPr>
          <w:i/>
          <w:sz w:val="20"/>
          <w:szCs w:val="20"/>
          <w:lang w:eastAsia="en-US"/>
        </w:rPr>
        <w:t xml:space="preserve">enue </w:t>
      </w:r>
      <w:r w:rsidR="00F13192">
        <w:rPr>
          <w:i/>
          <w:sz w:val="20"/>
          <w:szCs w:val="20"/>
          <w:lang w:eastAsia="en-US"/>
        </w:rPr>
        <w:t>o</w:t>
      </w:r>
      <w:r w:rsidR="00472069">
        <w:rPr>
          <w:i/>
          <w:sz w:val="20"/>
          <w:szCs w:val="20"/>
          <w:lang w:eastAsia="en-US"/>
        </w:rPr>
        <w:t>perator</w:t>
      </w:r>
      <w:r w:rsidRPr="00470CA0">
        <w:rPr>
          <w:i/>
          <w:sz w:val="20"/>
          <w:szCs w:val="20"/>
          <w:lang w:eastAsia="en-US"/>
        </w:rPr>
        <w:t>s cannot operate more gaming machines than entitlements held.</w:t>
      </w:r>
    </w:p>
    <w:p w:rsidR="00470CA0" w:rsidRPr="00470CA0" w:rsidRDefault="00B61A29" w:rsidP="00470CA0">
      <w:pPr>
        <w:pStyle w:val="Heading3"/>
      </w:pPr>
      <w:bookmarkStart w:id="26" w:name="_Toc356830867"/>
      <w:r>
        <w:t>Option B</w:t>
      </w:r>
      <w:r w:rsidR="00EF60D3">
        <w:t xml:space="preserve"> – S</w:t>
      </w:r>
      <w:r w:rsidR="00470CA0" w:rsidRPr="00470CA0">
        <w:t>ingle tiered charge on entitlements</w:t>
      </w:r>
      <w:bookmarkEnd w:id="26"/>
    </w:p>
    <w:p w:rsidR="00470CA0" w:rsidRPr="00F4021E" w:rsidRDefault="00B61A29" w:rsidP="00470CA0">
      <w:pPr>
        <w:spacing w:before="240" w:after="240"/>
        <w:rPr>
          <w:szCs w:val="24"/>
          <w:lang w:eastAsia="en-US"/>
        </w:rPr>
      </w:pPr>
      <w:r>
        <w:rPr>
          <w:szCs w:val="24"/>
          <w:lang w:eastAsia="en-US"/>
        </w:rPr>
        <w:t>Option B</w:t>
      </w:r>
      <w:r w:rsidR="00470CA0" w:rsidRPr="00F4021E">
        <w:rPr>
          <w:szCs w:val="24"/>
          <w:lang w:eastAsia="en-US"/>
        </w:rPr>
        <w:t xml:space="preserve"> proposes a single tiered charge levied on entitlements. This option would function in a similar manner to </w:t>
      </w:r>
      <w:r>
        <w:rPr>
          <w:szCs w:val="24"/>
          <w:lang w:eastAsia="en-US"/>
        </w:rPr>
        <w:t>Option A</w:t>
      </w:r>
      <w:r w:rsidR="00470CA0" w:rsidRPr="00F4021E">
        <w:rPr>
          <w:szCs w:val="24"/>
          <w:lang w:eastAsia="en-US"/>
        </w:rPr>
        <w:t xml:space="preserve">, but the charge would not distinguish between the costs of </w:t>
      </w:r>
      <w:r w:rsidR="005F74F6">
        <w:rPr>
          <w:szCs w:val="24"/>
          <w:lang w:eastAsia="en-US"/>
        </w:rPr>
        <w:t>administering</w:t>
      </w:r>
      <w:r w:rsidR="005F74F6" w:rsidRPr="00F4021E">
        <w:rPr>
          <w:szCs w:val="24"/>
          <w:lang w:eastAsia="en-US"/>
        </w:rPr>
        <w:t xml:space="preserve"> </w:t>
      </w:r>
      <w:r w:rsidR="00470CA0" w:rsidRPr="00F4021E">
        <w:rPr>
          <w:szCs w:val="24"/>
          <w:lang w:eastAsia="en-US"/>
        </w:rPr>
        <w:t xml:space="preserve">the entitlements system overall as opposed to entitlements that have operating </w:t>
      </w:r>
      <w:r w:rsidR="00C55E58">
        <w:rPr>
          <w:szCs w:val="24"/>
          <w:lang w:eastAsia="en-US"/>
        </w:rPr>
        <w:t>gaming machines</w:t>
      </w:r>
      <w:r w:rsidR="00470CA0" w:rsidRPr="00F4021E">
        <w:rPr>
          <w:szCs w:val="24"/>
          <w:lang w:eastAsia="en-US"/>
        </w:rPr>
        <w:t xml:space="preserve"> attached. </w:t>
      </w:r>
    </w:p>
    <w:p w:rsidR="00470CA0" w:rsidRPr="00F4021E" w:rsidRDefault="00470CA0" w:rsidP="00470CA0">
      <w:pPr>
        <w:spacing w:before="240" w:after="240"/>
        <w:rPr>
          <w:szCs w:val="24"/>
          <w:lang w:eastAsia="en-US"/>
        </w:rPr>
      </w:pPr>
      <w:r w:rsidRPr="00F4021E">
        <w:rPr>
          <w:szCs w:val="24"/>
          <w:lang w:eastAsia="en-US"/>
        </w:rPr>
        <w:t>A single tiered system would operate in a similar manner to a two tiered system in most respects. The key difference</w:t>
      </w:r>
      <w:r w:rsidR="00B61C50">
        <w:rPr>
          <w:szCs w:val="24"/>
          <w:lang w:eastAsia="en-US"/>
        </w:rPr>
        <w:t xml:space="preserve"> in a single tiered system</w:t>
      </w:r>
      <w:r w:rsidRPr="00F4021E">
        <w:rPr>
          <w:szCs w:val="24"/>
          <w:lang w:eastAsia="en-US"/>
        </w:rPr>
        <w:t xml:space="preserve"> is that entitlement holders who are not operating </w:t>
      </w:r>
      <w:r w:rsidR="00C55E58">
        <w:rPr>
          <w:szCs w:val="24"/>
          <w:lang w:eastAsia="en-US"/>
        </w:rPr>
        <w:t>gaming machine</w:t>
      </w:r>
      <w:r w:rsidRPr="00F4021E">
        <w:rPr>
          <w:szCs w:val="24"/>
          <w:lang w:eastAsia="en-US"/>
        </w:rPr>
        <w:t xml:space="preserve">s would pay a higher charge, which includes supervision costs for regulating operating </w:t>
      </w:r>
      <w:r w:rsidR="00C55E58">
        <w:rPr>
          <w:szCs w:val="24"/>
          <w:lang w:eastAsia="en-US"/>
        </w:rPr>
        <w:t>gaming machines</w:t>
      </w:r>
      <w:r w:rsidRPr="00F4021E">
        <w:rPr>
          <w:szCs w:val="24"/>
          <w:lang w:eastAsia="en-US"/>
        </w:rPr>
        <w:t xml:space="preserve">. The method for determining VCGLR’s supervision costs is the same as for </w:t>
      </w:r>
      <w:r w:rsidR="00B61A29">
        <w:rPr>
          <w:szCs w:val="24"/>
          <w:lang w:eastAsia="en-US"/>
        </w:rPr>
        <w:t>Option A</w:t>
      </w:r>
      <w:r w:rsidRPr="00F4021E">
        <w:rPr>
          <w:szCs w:val="24"/>
          <w:lang w:eastAsia="en-US"/>
        </w:rPr>
        <w:t>.</w:t>
      </w:r>
    </w:p>
    <w:p w:rsidR="00470CA0" w:rsidRPr="00F4021E" w:rsidRDefault="00470CA0" w:rsidP="00470CA0">
      <w:pPr>
        <w:spacing w:before="240" w:after="240"/>
        <w:rPr>
          <w:szCs w:val="24"/>
          <w:lang w:eastAsia="en-US"/>
        </w:rPr>
      </w:pPr>
      <w:r w:rsidRPr="00F4021E">
        <w:rPr>
          <w:szCs w:val="24"/>
          <w:lang w:eastAsia="en-US"/>
        </w:rPr>
        <w:t>The per entitlement unit charge would be expressed as:</w:t>
      </w:r>
    </w:p>
    <w:p w:rsidR="00470CA0" w:rsidRPr="00470CA0" w:rsidRDefault="00470CA0" w:rsidP="00470CA0">
      <w:pPr>
        <w:spacing w:after="240"/>
        <w:ind w:left="425"/>
        <w:rPr>
          <w:sz w:val="20"/>
          <w:szCs w:val="20"/>
          <w:lang w:eastAsia="en-US"/>
        </w:rPr>
      </w:pPr>
      <m:oMathPara>
        <m:oMath>
          <m:r>
            <m:rPr>
              <m:sty m:val="bi"/>
            </m:rPr>
            <w:rPr>
              <w:rFonts w:ascii="Cambria Math" w:hAnsi="Cambria Math"/>
              <w:sz w:val="20"/>
              <w:szCs w:val="20"/>
              <w:lang w:eastAsia="en-US"/>
            </w:rPr>
            <m:t>per entitlement charge</m:t>
          </m:r>
          <m:r>
            <w:rPr>
              <w:rFonts w:ascii="Cambria Math" w:hAnsi="Cambria Math"/>
              <w:sz w:val="20"/>
              <w:szCs w:val="20"/>
              <w:lang w:eastAsia="en-US"/>
            </w:rPr>
            <m:t>=</m:t>
          </m:r>
          <m:f>
            <m:fPr>
              <m:ctrlPr>
                <w:rPr>
                  <w:rFonts w:ascii="Cambria Math" w:hAnsi="Cambria Math"/>
                  <w:i/>
                  <w:sz w:val="20"/>
                  <w:szCs w:val="20"/>
                  <w:lang w:eastAsia="en-US"/>
                </w:rPr>
              </m:ctrlPr>
            </m:fPr>
            <m:num>
              <m:r>
                <w:rPr>
                  <w:rFonts w:ascii="Cambria Math" w:hAnsi="Cambria Math"/>
                  <w:sz w:val="20"/>
                  <w:szCs w:val="20"/>
                  <w:lang w:eastAsia="en-US"/>
                </w:rPr>
                <m:t>VCGL</m:t>
              </m:r>
              <m:sSup>
                <m:sSupPr>
                  <m:ctrlPr>
                    <w:rPr>
                      <w:rFonts w:ascii="Cambria Math" w:hAnsi="Cambria Math"/>
                      <w:i/>
                      <w:sz w:val="20"/>
                      <w:szCs w:val="20"/>
                      <w:lang w:eastAsia="en-US"/>
                    </w:rPr>
                  </m:ctrlPr>
                </m:sSupPr>
                <m:e>
                  <m:r>
                    <w:rPr>
                      <w:rFonts w:ascii="Cambria Math" w:hAnsi="Cambria Math"/>
                      <w:sz w:val="20"/>
                      <w:szCs w:val="20"/>
                      <w:lang w:eastAsia="en-US"/>
                    </w:rPr>
                    <m:t>R</m:t>
                  </m:r>
                </m:e>
                <m:sup>
                  <m:r>
                    <w:rPr>
                      <w:rFonts w:ascii="Cambria Math" w:hAnsi="Cambria Math"/>
                      <w:sz w:val="20"/>
                      <w:szCs w:val="20"/>
                      <w:lang w:eastAsia="en-US"/>
                    </w:rPr>
                    <m:t>'</m:t>
                  </m:r>
                </m:sup>
              </m:sSup>
              <m:r>
                <w:rPr>
                  <w:rFonts w:ascii="Cambria Math" w:hAnsi="Cambria Math"/>
                  <w:sz w:val="20"/>
                  <w:szCs w:val="20"/>
                  <w:lang w:eastAsia="en-US"/>
                </w:rPr>
                <m:t>s entitlement and operating EGM related regulatory costs</m:t>
              </m:r>
            </m:num>
            <m:den>
              <m:r>
                <w:rPr>
                  <w:rFonts w:ascii="Cambria Math" w:hAnsi="Cambria Math"/>
                  <w:sz w:val="20"/>
                  <w:szCs w:val="20"/>
                  <w:lang w:eastAsia="en-US"/>
                </w:rPr>
                <m:t>total number of entitlements in Victoria</m:t>
              </m:r>
            </m:den>
          </m:f>
        </m:oMath>
      </m:oMathPara>
    </w:p>
    <w:p w:rsidR="00470CA0" w:rsidRPr="000E01AA" w:rsidRDefault="00470CA0" w:rsidP="00470CA0">
      <w:pPr>
        <w:spacing w:before="240" w:after="240"/>
        <w:rPr>
          <w:b/>
          <w:szCs w:val="24"/>
          <w:lang w:eastAsia="en-US"/>
        </w:rPr>
      </w:pPr>
      <w:r w:rsidRPr="000E01AA">
        <w:rPr>
          <w:b/>
          <w:szCs w:val="24"/>
          <w:lang w:eastAsia="en-US"/>
        </w:rPr>
        <w:t>A preliminary estimate of the per entitlement charge is $</w:t>
      </w:r>
      <w:r w:rsidR="00F143D0" w:rsidRPr="000E01AA">
        <w:rPr>
          <w:b/>
          <w:szCs w:val="24"/>
          <w:lang w:eastAsia="en-US"/>
        </w:rPr>
        <w:t>195.75</w:t>
      </w:r>
      <w:r w:rsidR="00B717B2" w:rsidRPr="000E01AA">
        <w:rPr>
          <w:b/>
          <w:szCs w:val="24"/>
          <w:lang w:eastAsia="en-US"/>
        </w:rPr>
        <w:t xml:space="preserve"> </w:t>
      </w:r>
      <w:r w:rsidR="002A6200" w:rsidRPr="00F76CB3">
        <w:rPr>
          <w:b/>
          <w:szCs w:val="24"/>
          <w:lang w:eastAsia="en-US"/>
        </w:rPr>
        <w:t>for 2012-13</w:t>
      </w:r>
      <w:r w:rsidRPr="000E01AA">
        <w:rPr>
          <w:b/>
          <w:szCs w:val="24"/>
          <w:lang w:eastAsia="en-US"/>
        </w:rPr>
        <w:t xml:space="preserve">. </w:t>
      </w:r>
    </w:p>
    <w:p w:rsidR="00470CA0" w:rsidRPr="00F4021E" w:rsidRDefault="00470CA0" w:rsidP="00470CA0">
      <w:pPr>
        <w:spacing w:before="240" w:after="240"/>
        <w:rPr>
          <w:szCs w:val="24"/>
          <w:lang w:eastAsia="en-US"/>
        </w:rPr>
      </w:pPr>
      <w:r w:rsidRPr="00F4021E">
        <w:rPr>
          <w:szCs w:val="24"/>
          <w:lang w:eastAsia="en-US"/>
        </w:rPr>
        <w:t xml:space="preserve">The total supervision charge for a </w:t>
      </w:r>
      <w:r w:rsidR="00F13192">
        <w:rPr>
          <w:szCs w:val="24"/>
          <w:lang w:eastAsia="en-US"/>
        </w:rPr>
        <w:t>venue o</w:t>
      </w:r>
      <w:r w:rsidR="00472069">
        <w:rPr>
          <w:szCs w:val="24"/>
          <w:lang w:eastAsia="en-US"/>
        </w:rPr>
        <w:t>perator</w:t>
      </w:r>
      <w:r w:rsidRPr="00F4021E">
        <w:rPr>
          <w:szCs w:val="24"/>
          <w:lang w:eastAsia="en-US"/>
        </w:rPr>
        <w:t xml:space="preserve"> would be expressed as: </w:t>
      </w:r>
    </w:p>
    <w:p w:rsidR="00470CA0" w:rsidRPr="00470CA0" w:rsidRDefault="00470CA0" w:rsidP="00470CA0">
      <w:pPr>
        <w:spacing w:after="240"/>
        <w:ind w:left="992" w:right="-414"/>
        <w:rPr>
          <w:sz w:val="20"/>
          <w:szCs w:val="20"/>
          <w:lang w:eastAsia="en-US"/>
        </w:rPr>
      </w:pPr>
      <m:oMathPara>
        <m:oMath>
          <m:r>
            <m:rPr>
              <m:sty m:val="bi"/>
            </m:rPr>
            <w:rPr>
              <w:rFonts w:ascii="Cambria Math" w:hAnsi="Cambria Math"/>
              <w:sz w:val="20"/>
              <w:szCs w:val="20"/>
              <w:lang w:eastAsia="en-US"/>
            </w:rPr>
            <m:t>supervision charge on venue operator</m:t>
          </m:r>
          <m:r>
            <w:rPr>
              <w:rFonts w:ascii="Cambria Math" w:hAnsi="Cambria Math"/>
              <w:sz w:val="20"/>
              <w:szCs w:val="20"/>
              <w:lang w:eastAsia="en-US"/>
            </w:rPr>
            <m:t xml:space="preserve">=per entitlement unit charge ×entitlements held </m:t>
          </m:r>
        </m:oMath>
      </m:oMathPara>
    </w:p>
    <w:p w:rsidR="000A52AF" w:rsidRDefault="000A52AF">
      <w:pPr>
        <w:spacing w:before="0" w:after="0"/>
        <w:ind w:left="0"/>
        <w:rPr>
          <w:lang w:eastAsia="en-US"/>
        </w:rPr>
      </w:pPr>
      <w:r>
        <w:rPr>
          <w:lang w:eastAsia="en-US"/>
        </w:rPr>
        <w:br w:type="page"/>
      </w:r>
    </w:p>
    <w:p w:rsidR="00AF698A" w:rsidRDefault="00AF698A" w:rsidP="00470CA0">
      <w:pPr>
        <w:spacing w:before="240"/>
        <w:rPr>
          <w:lang w:eastAsia="en-US"/>
        </w:rPr>
      </w:pPr>
      <w:r w:rsidRPr="00470CA0">
        <w:rPr>
          <w:noProof/>
        </w:rPr>
        <mc:AlternateContent>
          <mc:Choice Requires="wps">
            <w:drawing>
              <wp:anchor distT="0" distB="0" distL="114300" distR="114300" simplePos="0" relativeHeight="251686912" behindDoc="0" locked="0" layoutInCell="1" allowOverlap="1" wp14:anchorId="404A7FD3" wp14:editId="0516AA2E">
                <wp:simplePos x="0" y="0"/>
                <wp:positionH relativeFrom="column">
                  <wp:posOffset>498475</wp:posOffset>
                </wp:positionH>
                <wp:positionV relativeFrom="paragraph">
                  <wp:posOffset>5080</wp:posOffset>
                </wp:positionV>
                <wp:extent cx="5347970" cy="2103120"/>
                <wp:effectExtent l="0" t="0" r="5080" b="0"/>
                <wp:wrapNone/>
                <wp:docPr id="5" name="Text Box 5"/>
                <wp:cNvGraphicFramePr/>
                <a:graphic xmlns:a="http://schemas.openxmlformats.org/drawingml/2006/main">
                  <a:graphicData uri="http://schemas.microsoft.com/office/word/2010/wordprocessingShape">
                    <wps:wsp>
                      <wps:cNvSpPr txBox="1"/>
                      <wps:spPr>
                        <a:xfrm>
                          <a:off x="0" y="0"/>
                          <a:ext cx="5347970" cy="2103120"/>
                        </a:xfrm>
                        <a:prstGeom prst="rect">
                          <a:avLst/>
                        </a:prstGeom>
                        <a:solidFill>
                          <a:sysClr val="window" lastClr="FFFFFF">
                            <a:lumMod val="85000"/>
                          </a:sysClr>
                        </a:solidFill>
                        <a:ln w="6350">
                          <a:noFill/>
                        </a:ln>
                        <a:effectLst/>
                      </wps:spPr>
                      <wps:txbx>
                        <w:txbxContent>
                          <w:p w:rsidR="004F14D1" w:rsidRPr="00470CA0" w:rsidRDefault="004F14D1" w:rsidP="00470CA0">
                            <w:pPr>
                              <w:ind w:left="0"/>
                              <w:rPr>
                                <w:b/>
                              </w:rPr>
                            </w:pPr>
                            <w:r w:rsidRPr="00470CA0">
                              <w:rPr>
                                <w:b/>
                              </w:rPr>
                              <w:t>Box 5.2 – Single tiered charge worked example</w:t>
                            </w:r>
                          </w:p>
                          <w:p w:rsidR="004F14D1" w:rsidRPr="00A3054B" w:rsidRDefault="004F14D1" w:rsidP="00470CA0">
                            <w:pPr>
                              <w:ind w:left="0"/>
                            </w:pPr>
                            <w:r w:rsidRPr="00284AB8">
                              <w:t xml:space="preserve">Consider a venue operator that owns a total of 50 gaming machine entitlements. The venue </w:t>
                            </w:r>
                            <w:r>
                              <w:t>is currently using</w:t>
                            </w:r>
                            <w:r w:rsidRPr="00284AB8">
                              <w:t xml:space="preserve"> 40 entitlements by attaching and operating a </w:t>
                            </w:r>
                            <w:r>
                              <w:t>gaming machine</w:t>
                            </w:r>
                            <w:r w:rsidRPr="00284AB8">
                              <w:t xml:space="preserve">, leaving 10 unused entitlements. </w:t>
                            </w:r>
                            <w:r>
                              <w:t>Unlike Option A, Option B</w:t>
                            </w:r>
                            <w:r w:rsidRPr="00A3054B">
                              <w:t xml:space="preserve"> </w:t>
                            </w:r>
                            <w:r w:rsidRPr="00771DA9">
                              <w:t>does not differentiate between ‘used’ or ‘unused’ entitlements</w:t>
                            </w:r>
                            <w:r w:rsidRPr="00A3054B">
                              <w:t>.</w:t>
                            </w:r>
                          </w:p>
                          <w:p w:rsidR="004F14D1" w:rsidRPr="00284AB8" w:rsidRDefault="004F14D1" w:rsidP="00470CA0">
                            <w:pPr>
                              <w:ind w:left="0"/>
                            </w:pPr>
                            <w:r w:rsidRPr="00284AB8">
                              <w:t>The supervision charge payable by this venue</w:t>
                            </w:r>
                            <w:r>
                              <w:t xml:space="preserve"> for 2012-13 is $9 788 </w:t>
                            </w:r>
                            <w:r w:rsidRPr="00284AB8">
                              <w:t>and is calculated as follows:</w:t>
                            </w:r>
                          </w:p>
                          <w:p w:rsidR="004F14D1" w:rsidRPr="00284AB8" w:rsidRDefault="004F14D1" w:rsidP="00F4021E">
                            <w:pPr>
                              <w:ind w:left="567"/>
                              <w:contextualSpacing/>
                              <w:rPr>
                                <w:i/>
                              </w:rPr>
                            </w:pPr>
                            <w:r w:rsidRPr="00284AB8">
                              <w:rPr>
                                <w:i/>
                              </w:rPr>
                              <w:t xml:space="preserve">Supervision charge = per entitlement unit charge </w:t>
                            </w:r>
                            <w:r>
                              <w:rPr>
                                <w:i/>
                              </w:rPr>
                              <w:t>X entitlements held</w:t>
                            </w:r>
                          </w:p>
                          <w:p w:rsidR="004F14D1" w:rsidRDefault="004F14D1" w:rsidP="00F4021E">
                            <w:pPr>
                              <w:ind w:left="2268"/>
                              <w:contextualSpacing/>
                              <w:rPr>
                                <w:i/>
                              </w:rPr>
                            </w:pPr>
                            <w:r>
                              <w:rPr>
                                <w:i/>
                              </w:rPr>
                              <w:t xml:space="preserve"> = $195.75 X 50 entitlements</w:t>
                            </w:r>
                          </w:p>
                          <w:p w:rsidR="004F14D1" w:rsidRDefault="004F14D1" w:rsidP="00F4021E">
                            <w:pPr>
                              <w:ind w:left="2268"/>
                              <w:contextualSpacing/>
                              <w:rPr>
                                <w:i/>
                              </w:rPr>
                            </w:pPr>
                            <w:r>
                              <w:rPr>
                                <w:i/>
                              </w:rPr>
                              <w:t>= $9 788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33" type="#_x0000_t202" style="position:absolute;left:0;text-align:left;margin-left:39.25pt;margin-top:.4pt;width:421.1pt;height:165.6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" fillcolor="#d9d9d9" stroked="f" strokeweight=".5pt">
                <v:textbox>
                  <w:txbxContent>
                    <w:p w:rsidR="004F14D1" w:rsidRPr="00470CA0" w:rsidRDefault="004F14D1" w:rsidP="00470CA0">
                      <w:pPr>
                        <w:ind w:left="0"/>
                        <w:rPr>
                          <w:b/>
                        </w:rPr>
                      </w:pPr>
                      <w:r w:rsidRPr="00470CA0">
                        <w:rPr>
                          <w:b/>
                        </w:rPr>
                        <w:t>Box 5.2 – Single tiered charge worked example</w:t>
                      </w:r>
                    </w:p>
                    <w:p w:rsidR="004F14D1" w:rsidRPr="00A3054B" w:rsidRDefault="004F14D1" w:rsidP="00470CA0">
                      <w:pPr>
                        <w:ind w:left="0"/>
                      </w:pPr>
                      <w:r w:rsidRPr="00284AB8">
                        <w:t xml:space="preserve">Consider a venue operator that owns a total of 50 gaming machine entitlements. The venue </w:t>
                      </w:r>
                      <w:r>
                        <w:t>is currently using</w:t>
                      </w:r>
                      <w:r w:rsidRPr="00284AB8">
                        <w:t xml:space="preserve"> 40 entitlements by attaching and operating a </w:t>
                      </w:r>
                      <w:r>
                        <w:t>gaming machine</w:t>
                      </w:r>
                      <w:r w:rsidRPr="00284AB8">
                        <w:t xml:space="preserve">, leaving 10 unused entitlements. </w:t>
                      </w:r>
                      <w:r>
                        <w:t>Unlike Option A, Option B</w:t>
                      </w:r>
                      <w:r w:rsidRPr="00A3054B">
                        <w:t xml:space="preserve"> </w:t>
                      </w:r>
                      <w:r w:rsidRPr="00771DA9">
                        <w:t>does not differentiate between ‘used’ or ‘unused’ entitlements</w:t>
                      </w:r>
                      <w:r w:rsidRPr="00A3054B">
                        <w:t>.</w:t>
                      </w:r>
                    </w:p>
                    <w:p w:rsidR="004F14D1" w:rsidRPr="00284AB8" w:rsidRDefault="004F14D1" w:rsidP="00470CA0">
                      <w:pPr>
                        <w:ind w:left="0"/>
                      </w:pPr>
                      <w:r w:rsidRPr="00284AB8">
                        <w:t>The supervision charge payable by this venue</w:t>
                      </w:r>
                      <w:r>
                        <w:t xml:space="preserve"> for 2012-13 is $9 788 </w:t>
                      </w:r>
                      <w:r w:rsidRPr="00284AB8">
                        <w:t>and is calculated as follows:</w:t>
                      </w:r>
                    </w:p>
                    <w:p w:rsidR="004F14D1" w:rsidRPr="00284AB8" w:rsidRDefault="004F14D1" w:rsidP="00F4021E">
                      <w:pPr>
                        <w:ind w:left="567"/>
                        <w:contextualSpacing/>
                        <w:rPr>
                          <w:i/>
                        </w:rPr>
                      </w:pPr>
                      <w:r w:rsidRPr="00284AB8">
                        <w:rPr>
                          <w:i/>
                        </w:rPr>
                        <w:t xml:space="preserve">Supervision charge = per entitlement unit charge </w:t>
                      </w:r>
                      <w:r>
                        <w:rPr>
                          <w:i/>
                        </w:rPr>
                        <w:t>X entitlements held</w:t>
                      </w:r>
                    </w:p>
                    <w:p w:rsidR="004F14D1" w:rsidRDefault="004F14D1" w:rsidP="00F4021E">
                      <w:pPr>
                        <w:ind w:left="2268"/>
                        <w:contextualSpacing/>
                        <w:rPr>
                          <w:i/>
                        </w:rPr>
                      </w:pPr>
                      <w:r>
                        <w:rPr>
                          <w:i/>
                        </w:rPr>
                        <w:t xml:space="preserve"> = $195.75 X 50 entitlements</w:t>
                      </w:r>
                    </w:p>
                    <w:p w:rsidR="004F14D1" w:rsidRDefault="004F14D1" w:rsidP="00F4021E">
                      <w:pPr>
                        <w:ind w:left="2268"/>
                        <w:contextualSpacing/>
                        <w:rPr>
                          <w:i/>
                        </w:rPr>
                      </w:pPr>
                      <w:r>
                        <w:rPr>
                          <w:i/>
                        </w:rPr>
                        <w:t>= $9 788</w:t>
                      </w:r>
                    </w:p>
                  </w:txbxContent>
                </v:textbox>
              </v:shape>
            </w:pict>
          </mc:Fallback>
        </mc:AlternateContent>
      </w:r>
    </w:p>
    <w:p w:rsidR="00AF698A" w:rsidRDefault="00AF698A" w:rsidP="00470CA0">
      <w:pPr>
        <w:spacing w:before="240"/>
        <w:rPr>
          <w:lang w:eastAsia="en-US"/>
        </w:rPr>
      </w:pPr>
    </w:p>
    <w:p w:rsidR="00470CA0" w:rsidRPr="00470CA0" w:rsidRDefault="00470CA0" w:rsidP="00470CA0">
      <w:pPr>
        <w:spacing w:before="240"/>
        <w:rPr>
          <w:highlight w:val="yellow"/>
          <w:lang w:eastAsia="en-US"/>
        </w:rPr>
      </w:pPr>
    </w:p>
    <w:p w:rsidR="00470CA0" w:rsidRPr="00470CA0" w:rsidRDefault="00470CA0" w:rsidP="00470CA0">
      <w:pPr>
        <w:spacing w:before="240"/>
        <w:rPr>
          <w:highlight w:val="yellow"/>
          <w:lang w:eastAsia="en-US"/>
        </w:rPr>
      </w:pPr>
    </w:p>
    <w:p w:rsidR="00470CA0" w:rsidRPr="00470CA0" w:rsidRDefault="00470CA0" w:rsidP="00470CA0">
      <w:pPr>
        <w:spacing w:before="240"/>
        <w:rPr>
          <w:highlight w:val="yellow"/>
          <w:lang w:eastAsia="en-US"/>
        </w:rPr>
      </w:pPr>
    </w:p>
    <w:p w:rsidR="00470CA0" w:rsidRPr="00470CA0" w:rsidRDefault="00470CA0" w:rsidP="00470CA0">
      <w:pPr>
        <w:spacing w:before="240"/>
        <w:rPr>
          <w:highlight w:val="yellow"/>
          <w:lang w:eastAsia="en-US"/>
        </w:rPr>
      </w:pPr>
    </w:p>
    <w:p w:rsidR="00470CA0" w:rsidRPr="00470CA0" w:rsidRDefault="00470CA0" w:rsidP="00470CA0">
      <w:pPr>
        <w:spacing w:before="240"/>
        <w:rPr>
          <w:highlight w:val="yellow"/>
          <w:lang w:eastAsia="en-US"/>
        </w:rPr>
      </w:pPr>
    </w:p>
    <w:p w:rsidR="00470CA0" w:rsidRPr="00F4021E" w:rsidRDefault="00470CA0" w:rsidP="00F4021E">
      <w:pPr>
        <w:spacing w:before="240" w:after="120"/>
        <w:rPr>
          <w:szCs w:val="24"/>
          <w:highlight w:val="yellow"/>
          <w:lang w:eastAsia="en-US"/>
        </w:rPr>
      </w:pPr>
      <w:r w:rsidRPr="00F4021E">
        <w:rPr>
          <w:szCs w:val="24"/>
        </w:rPr>
        <w:t>The table below sets out the indicative supervision charge for venues in 2012-13.</w:t>
      </w:r>
    </w:p>
    <w:p w:rsidR="00470CA0" w:rsidRPr="00470CA0" w:rsidRDefault="00470CA0" w:rsidP="00AF698A">
      <w:pPr>
        <w:pStyle w:val="Heading5"/>
        <w:spacing w:before="360"/>
      </w:pPr>
      <w:r w:rsidRPr="00470CA0">
        <w:t>Table 5.</w:t>
      </w:r>
      <w:r w:rsidR="00A100F3">
        <w:t>3</w:t>
      </w:r>
      <w:r w:rsidRPr="00470CA0">
        <w:t xml:space="preserve">: Estimated supervision charge – </w:t>
      </w:r>
      <w:r w:rsidR="00B61A29">
        <w:t>Option B</w:t>
      </w:r>
      <w:r w:rsidRPr="00470CA0">
        <w:t xml:space="preserve"> ($, 2012-13)</w:t>
      </w:r>
    </w:p>
    <w:tbl>
      <w:tblPr>
        <w:tblStyle w:val="TableGrid10"/>
        <w:tblW w:w="8363" w:type="dxa"/>
        <w:tblInd w:w="964" w:type="dxa"/>
        <w:tblLayout w:type="fixed"/>
        <w:tblLook w:val="04A0" w:firstRow="1" w:lastRow="0" w:firstColumn="1" w:lastColumn="0" w:noHBand="0" w:noVBand="1"/>
      </w:tblPr>
      <w:tblGrid>
        <w:gridCol w:w="1393"/>
        <w:gridCol w:w="1394"/>
        <w:gridCol w:w="1394"/>
        <w:gridCol w:w="1394"/>
        <w:gridCol w:w="1394"/>
        <w:gridCol w:w="1394"/>
      </w:tblGrid>
      <w:tr w:rsidR="00470CA0" w:rsidRPr="00470CA0" w:rsidTr="00390E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3" w:type="dxa"/>
            <w:gridSpan w:val="6"/>
            <w:tcBorders>
              <w:top w:val="nil"/>
            </w:tcBorders>
            <w:shd w:val="clear" w:color="auto" w:fill="FFFFFF" w:themeFill="background1"/>
            <w:vAlign w:val="center"/>
          </w:tcPr>
          <w:p w:rsidR="00470CA0" w:rsidRPr="00470CA0" w:rsidRDefault="00470CA0" w:rsidP="00F4021E">
            <w:pPr>
              <w:spacing w:before="60" w:after="60"/>
              <w:ind w:left="0"/>
              <w:jc w:val="center"/>
              <w:rPr>
                <w:i/>
                <w:lang w:eastAsia="en-US"/>
              </w:rPr>
            </w:pPr>
            <w:r w:rsidRPr="00470CA0">
              <w:rPr>
                <w:i/>
                <w:lang w:eastAsia="en-US"/>
              </w:rPr>
              <w:t>Number of entitlements held</w:t>
            </w:r>
          </w:p>
        </w:tc>
      </w:tr>
      <w:tr w:rsidR="00470CA0" w:rsidRPr="00470CA0" w:rsidTr="00390E23">
        <w:tc>
          <w:tcPr>
            <w:cnfStyle w:val="001000000000" w:firstRow="0" w:lastRow="0" w:firstColumn="1" w:lastColumn="0" w:oddVBand="0" w:evenVBand="0" w:oddHBand="0" w:evenHBand="0" w:firstRowFirstColumn="0" w:firstRowLastColumn="0" w:lastRowFirstColumn="0" w:lastRowLastColumn="0"/>
            <w:tcW w:w="1393" w:type="dxa"/>
            <w:shd w:val="clear" w:color="auto" w:fill="D9D9D9" w:themeFill="background1" w:themeFillShade="D9"/>
            <w:vAlign w:val="center"/>
          </w:tcPr>
          <w:p w:rsidR="00470CA0" w:rsidRPr="00470CA0" w:rsidRDefault="00470CA0" w:rsidP="00F4021E">
            <w:pPr>
              <w:spacing w:before="60" w:after="60"/>
              <w:ind w:left="0"/>
              <w:jc w:val="center"/>
              <w:rPr>
                <w:sz w:val="20"/>
                <w:szCs w:val="20"/>
                <w:lang w:eastAsia="en-US"/>
              </w:rPr>
            </w:pPr>
            <w:r w:rsidRPr="00470CA0">
              <w:rPr>
                <w:sz w:val="20"/>
                <w:szCs w:val="20"/>
                <w:lang w:eastAsia="en-US"/>
              </w:rPr>
              <w:t>10</w:t>
            </w:r>
          </w:p>
        </w:tc>
        <w:tc>
          <w:tcPr>
            <w:tcW w:w="1394" w:type="dxa"/>
            <w:shd w:val="clear" w:color="auto" w:fill="D9D9D9" w:themeFill="background1" w:themeFillShade="D9"/>
            <w:vAlign w:val="center"/>
          </w:tcPr>
          <w:p w:rsidR="00470CA0" w:rsidRPr="00470CA0" w:rsidRDefault="00470CA0" w:rsidP="00F4021E">
            <w:pPr>
              <w:spacing w:before="60" w:after="60"/>
              <w:ind w:left="0"/>
              <w:jc w:val="center"/>
              <w:cnfStyle w:val="000000000000" w:firstRow="0" w:lastRow="0" w:firstColumn="0" w:lastColumn="0" w:oddVBand="0" w:evenVBand="0" w:oddHBand="0" w:evenHBand="0" w:firstRowFirstColumn="0" w:firstRowLastColumn="0" w:lastRowFirstColumn="0" w:lastRowLastColumn="0"/>
              <w:rPr>
                <w:sz w:val="20"/>
                <w:szCs w:val="20"/>
                <w:lang w:eastAsia="en-US"/>
              </w:rPr>
            </w:pPr>
            <w:r w:rsidRPr="00470CA0">
              <w:rPr>
                <w:sz w:val="20"/>
                <w:szCs w:val="20"/>
                <w:lang w:eastAsia="en-US"/>
              </w:rPr>
              <w:t>20</w:t>
            </w:r>
          </w:p>
        </w:tc>
        <w:tc>
          <w:tcPr>
            <w:tcW w:w="1394" w:type="dxa"/>
            <w:shd w:val="clear" w:color="auto" w:fill="D9D9D9" w:themeFill="background1" w:themeFillShade="D9"/>
            <w:vAlign w:val="center"/>
          </w:tcPr>
          <w:p w:rsidR="00470CA0" w:rsidRPr="00470CA0" w:rsidRDefault="00470CA0" w:rsidP="00F4021E">
            <w:pPr>
              <w:spacing w:before="60" w:after="60"/>
              <w:ind w:left="0"/>
              <w:jc w:val="center"/>
              <w:cnfStyle w:val="000000000000" w:firstRow="0" w:lastRow="0" w:firstColumn="0" w:lastColumn="0" w:oddVBand="0" w:evenVBand="0" w:oddHBand="0" w:evenHBand="0" w:firstRowFirstColumn="0" w:firstRowLastColumn="0" w:lastRowFirstColumn="0" w:lastRowLastColumn="0"/>
              <w:rPr>
                <w:sz w:val="20"/>
                <w:szCs w:val="20"/>
                <w:lang w:eastAsia="en-US"/>
              </w:rPr>
            </w:pPr>
            <w:r w:rsidRPr="00470CA0">
              <w:rPr>
                <w:sz w:val="20"/>
                <w:szCs w:val="20"/>
                <w:lang w:eastAsia="en-US"/>
              </w:rPr>
              <w:t>40</w:t>
            </w:r>
          </w:p>
        </w:tc>
        <w:tc>
          <w:tcPr>
            <w:tcW w:w="1394" w:type="dxa"/>
            <w:shd w:val="clear" w:color="auto" w:fill="D9D9D9" w:themeFill="background1" w:themeFillShade="D9"/>
            <w:vAlign w:val="center"/>
          </w:tcPr>
          <w:p w:rsidR="00470CA0" w:rsidRPr="00470CA0" w:rsidRDefault="00470CA0" w:rsidP="00F4021E">
            <w:pPr>
              <w:spacing w:before="60" w:after="60"/>
              <w:ind w:left="0"/>
              <w:jc w:val="center"/>
              <w:cnfStyle w:val="000000000000" w:firstRow="0" w:lastRow="0" w:firstColumn="0" w:lastColumn="0" w:oddVBand="0" w:evenVBand="0" w:oddHBand="0" w:evenHBand="0" w:firstRowFirstColumn="0" w:firstRowLastColumn="0" w:lastRowFirstColumn="0" w:lastRowLastColumn="0"/>
              <w:rPr>
                <w:sz w:val="20"/>
                <w:szCs w:val="20"/>
                <w:lang w:eastAsia="en-US"/>
              </w:rPr>
            </w:pPr>
            <w:r w:rsidRPr="00470CA0">
              <w:rPr>
                <w:sz w:val="20"/>
                <w:szCs w:val="20"/>
                <w:lang w:eastAsia="en-US"/>
              </w:rPr>
              <w:t>60</w:t>
            </w:r>
          </w:p>
        </w:tc>
        <w:tc>
          <w:tcPr>
            <w:tcW w:w="1394" w:type="dxa"/>
            <w:shd w:val="clear" w:color="auto" w:fill="D9D9D9" w:themeFill="background1" w:themeFillShade="D9"/>
            <w:vAlign w:val="center"/>
          </w:tcPr>
          <w:p w:rsidR="00470CA0" w:rsidRPr="00470CA0" w:rsidRDefault="00470CA0" w:rsidP="00F4021E">
            <w:pPr>
              <w:spacing w:before="60" w:after="60"/>
              <w:ind w:left="0"/>
              <w:jc w:val="center"/>
              <w:cnfStyle w:val="000000000000" w:firstRow="0" w:lastRow="0" w:firstColumn="0" w:lastColumn="0" w:oddVBand="0" w:evenVBand="0" w:oddHBand="0" w:evenHBand="0" w:firstRowFirstColumn="0" w:firstRowLastColumn="0" w:lastRowFirstColumn="0" w:lastRowLastColumn="0"/>
              <w:rPr>
                <w:sz w:val="20"/>
                <w:szCs w:val="20"/>
                <w:lang w:eastAsia="en-US"/>
              </w:rPr>
            </w:pPr>
            <w:r w:rsidRPr="00470CA0">
              <w:rPr>
                <w:sz w:val="20"/>
                <w:szCs w:val="20"/>
                <w:lang w:eastAsia="en-US"/>
              </w:rPr>
              <w:t>80</w:t>
            </w:r>
          </w:p>
        </w:tc>
        <w:tc>
          <w:tcPr>
            <w:tcW w:w="1394" w:type="dxa"/>
            <w:shd w:val="clear" w:color="auto" w:fill="D9D9D9" w:themeFill="background1" w:themeFillShade="D9"/>
            <w:vAlign w:val="center"/>
          </w:tcPr>
          <w:p w:rsidR="00470CA0" w:rsidRPr="00470CA0" w:rsidRDefault="00470CA0" w:rsidP="00F4021E">
            <w:pPr>
              <w:spacing w:before="60" w:after="60"/>
              <w:ind w:left="0"/>
              <w:jc w:val="center"/>
              <w:cnfStyle w:val="000000000000" w:firstRow="0" w:lastRow="0" w:firstColumn="0" w:lastColumn="0" w:oddVBand="0" w:evenVBand="0" w:oddHBand="0" w:evenHBand="0" w:firstRowFirstColumn="0" w:firstRowLastColumn="0" w:lastRowFirstColumn="0" w:lastRowLastColumn="0"/>
              <w:rPr>
                <w:sz w:val="20"/>
                <w:szCs w:val="20"/>
                <w:lang w:eastAsia="en-US"/>
              </w:rPr>
            </w:pPr>
            <w:r w:rsidRPr="00470CA0">
              <w:rPr>
                <w:sz w:val="20"/>
                <w:szCs w:val="20"/>
                <w:lang w:eastAsia="en-US"/>
              </w:rPr>
              <w:t>100</w:t>
            </w:r>
          </w:p>
        </w:tc>
      </w:tr>
      <w:tr w:rsidR="00122A1F" w:rsidRPr="00470CA0" w:rsidTr="008A481F">
        <w:tc>
          <w:tcPr>
            <w:cnfStyle w:val="001000000000" w:firstRow="0" w:lastRow="0" w:firstColumn="1" w:lastColumn="0" w:oddVBand="0" w:evenVBand="0" w:oddHBand="0" w:evenHBand="0" w:firstRowFirstColumn="0" w:firstRowLastColumn="0" w:lastRowFirstColumn="0" w:lastRowLastColumn="0"/>
            <w:tcW w:w="1393" w:type="dxa"/>
          </w:tcPr>
          <w:p w:rsidR="00122A1F" w:rsidRPr="00122A1F" w:rsidRDefault="00122A1F" w:rsidP="00122A1F">
            <w:pPr>
              <w:spacing w:before="60" w:after="60"/>
              <w:ind w:left="0"/>
              <w:jc w:val="center"/>
              <w:rPr>
                <w:sz w:val="20"/>
                <w:szCs w:val="20"/>
                <w:lang w:eastAsia="en-US"/>
              </w:rPr>
            </w:pPr>
            <w:r w:rsidRPr="00122A1F">
              <w:rPr>
                <w:sz w:val="20"/>
                <w:szCs w:val="20"/>
                <w:lang w:eastAsia="en-US"/>
              </w:rPr>
              <w:t>1</w:t>
            </w:r>
            <w:r>
              <w:rPr>
                <w:sz w:val="20"/>
                <w:szCs w:val="20"/>
                <w:lang w:eastAsia="en-US"/>
              </w:rPr>
              <w:t> </w:t>
            </w:r>
            <w:r w:rsidRPr="00122A1F">
              <w:rPr>
                <w:sz w:val="20"/>
                <w:szCs w:val="20"/>
                <w:lang w:eastAsia="en-US"/>
              </w:rPr>
              <w:t xml:space="preserve">958 </w:t>
            </w:r>
          </w:p>
        </w:tc>
        <w:tc>
          <w:tcPr>
            <w:tcW w:w="1394" w:type="dxa"/>
          </w:tcPr>
          <w:p w:rsidR="00122A1F" w:rsidRPr="00122A1F" w:rsidRDefault="00122A1F" w:rsidP="00122A1F">
            <w:pPr>
              <w:spacing w:before="60" w:after="60"/>
              <w:ind w:left="0"/>
              <w:jc w:val="center"/>
              <w:cnfStyle w:val="000000000000" w:firstRow="0" w:lastRow="0" w:firstColumn="0" w:lastColumn="0" w:oddVBand="0" w:evenVBand="0" w:oddHBand="0" w:evenHBand="0" w:firstRowFirstColumn="0" w:firstRowLastColumn="0" w:lastRowFirstColumn="0" w:lastRowLastColumn="0"/>
              <w:rPr>
                <w:sz w:val="20"/>
                <w:szCs w:val="20"/>
                <w:lang w:eastAsia="en-US"/>
              </w:rPr>
            </w:pPr>
            <w:r w:rsidRPr="00122A1F">
              <w:rPr>
                <w:sz w:val="20"/>
                <w:szCs w:val="20"/>
                <w:lang w:eastAsia="en-US"/>
              </w:rPr>
              <w:t>3</w:t>
            </w:r>
            <w:r>
              <w:rPr>
                <w:sz w:val="20"/>
                <w:szCs w:val="20"/>
                <w:lang w:eastAsia="en-US"/>
              </w:rPr>
              <w:t> </w:t>
            </w:r>
            <w:r w:rsidRPr="00122A1F">
              <w:rPr>
                <w:sz w:val="20"/>
                <w:szCs w:val="20"/>
                <w:lang w:eastAsia="en-US"/>
              </w:rPr>
              <w:t xml:space="preserve">915 </w:t>
            </w:r>
          </w:p>
        </w:tc>
        <w:tc>
          <w:tcPr>
            <w:tcW w:w="1394" w:type="dxa"/>
          </w:tcPr>
          <w:p w:rsidR="00122A1F" w:rsidRPr="00122A1F" w:rsidRDefault="00122A1F" w:rsidP="00122A1F">
            <w:pPr>
              <w:spacing w:before="60" w:after="60"/>
              <w:ind w:left="0"/>
              <w:jc w:val="center"/>
              <w:cnfStyle w:val="000000000000" w:firstRow="0" w:lastRow="0" w:firstColumn="0" w:lastColumn="0" w:oddVBand="0" w:evenVBand="0" w:oddHBand="0" w:evenHBand="0" w:firstRowFirstColumn="0" w:firstRowLastColumn="0" w:lastRowFirstColumn="0" w:lastRowLastColumn="0"/>
              <w:rPr>
                <w:sz w:val="20"/>
                <w:szCs w:val="20"/>
                <w:lang w:eastAsia="en-US"/>
              </w:rPr>
            </w:pPr>
            <w:r w:rsidRPr="00122A1F">
              <w:rPr>
                <w:sz w:val="20"/>
                <w:szCs w:val="20"/>
                <w:lang w:eastAsia="en-US"/>
              </w:rPr>
              <w:t>7</w:t>
            </w:r>
            <w:r>
              <w:rPr>
                <w:sz w:val="20"/>
                <w:szCs w:val="20"/>
                <w:lang w:eastAsia="en-US"/>
              </w:rPr>
              <w:t> </w:t>
            </w:r>
            <w:r w:rsidRPr="00122A1F">
              <w:rPr>
                <w:sz w:val="20"/>
                <w:szCs w:val="20"/>
                <w:lang w:eastAsia="en-US"/>
              </w:rPr>
              <w:t xml:space="preserve">830 </w:t>
            </w:r>
          </w:p>
        </w:tc>
        <w:tc>
          <w:tcPr>
            <w:tcW w:w="1394" w:type="dxa"/>
          </w:tcPr>
          <w:p w:rsidR="00122A1F" w:rsidRPr="00122A1F" w:rsidRDefault="00122A1F" w:rsidP="00122A1F">
            <w:pPr>
              <w:spacing w:before="60" w:after="60"/>
              <w:ind w:left="0"/>
              <w:jc w:val="center"/>
              <w:cnfStyle w:val="000000000000" w:firstRow="0" w:lastRow="0" w:firstColumn="0" w:lastColumn="0" w:oddVBand="0" w:evenVBand="0" w:oddHBand="0" w:evenHBand="0" w:firstRowFirstColumn="0" w:firstRowLastColumn="0" w:lastRowFirstColumn="0" w:lastRowLastColumn="0"/>
              <w:rPr>
                <w:sz w:val="20"/>
                <w:szCs w:val="20"/>
                <w:lang w:eastAsia="en-US"/>
              </w:rPr>
            </w:pPr>
            <w:r w:rsidRPr="00122A1F">
              <w:rPr>
                <w:sz w:val="20"/>
                <w:szCs w:val="20"/>
                <w:lang w:eastAsia="en-US"/>
              </w:rPr>
              <w:t>11</w:t>
            </w:r>
            <w:r>
              <w:rPr>
                <w:sz w:val="20"/>
                <w:szCs w:val="20"/>
                <w:lang w:eastAsia="en-US"/>
              </w:rPr>
              <w:t> </w:t>
            </w:r>
            <w:r w:rsidRPr="00122A1F">
              <w:rPr>
                <w:sz w:val="20"/>
                <w:szCs w:val="20"/>
                <w:lang w:eastAsia="en-US"/>
              </w:rPr>
              <w:t xml:space="preserve">745 </w:t>
            </w:r>
          </w:p>
        </w:tc>
        <w:tc>
          <w:tcPr>
            <w:tcW w:w="1394" w:type="dxa"/>
          </w:tcPr>
          <w:p w:rsidR="00122A1F" w:rsidRPr="00122A1F" w:rsidRDefault="00122A1F" w:rsidP="00122A1F">
            <w:pPr>
              <w:spacing w:before="60" w:after="60"/>
              <w:ind w:left="0"/>
              <w:jc w:val="center"/>
              <w:cnfStyle w:val="000000000000" w:firstRow="0" w:lastRow="0" w:firstColumn="0" w:lastColumn="0" w:oddVBand="0" w:evenVBand="0" w:oddHBand="0" w:evenHBand="0" w:firstRowFirstColumn="0" w:firstRowLastColumn="0" w:lastRowFirstColumn="0" w:lastRowLastColumn="0"/>
              <w:rPr>
                <w:sz w:val="20"/>
                <w:szCs w:val="20"/>
                <w:lang w:eastAsia="en-US"/>
              </w:rPr>
            </w:pPr>
            <w:r w:rsidRPr="00122A1F">
              <w:rPr>
                <w:sz w:val="20"/>
                <w:szCs w:val="20"/>
                <w:lang w:eastAsia="en-US"/>
              </w:rPr>
              <w:t>15</w:t>
            </w:r>
            <w:r>
              <w:rPr>
                <w:sz w:val="20"/>
                <w:szCs w:val="20"/>
                <w:lang w:eastAsia="en-US"/>
              </w:rPr>
              <w:t> </w:t>
            </w:r>
            <w:r w:rsidRPr="00122A1F">
              <w:rPr>
                <w:sz w:val="20"/>
                <w:szCs w:val="20"/>
                <w:lang w:eastAsia="en-US"/>
              </w:rPr>
              <w:t xml:space="preserve">660 </w:t>
            </w:r>
          </w:p>
        </w:tc>
        <w:tc>
          <w:tcPr>
            <w:tcW w:w="1394" w:type="dxa"/>
          </w:tcPr>
          <w:p w:rsidR="00122A1F" w:rsidRPr="00122A1F" w:rsidRDefault="00122A1F" w:rsidP="00122A1F">
            <w:pPr>
              <w:spacing w:before="60" w:after="60"/>
              <w:ind w:left="0"/>
              <w:jc w:val="center"/>
              <w:cnfStyle w:val="000000000000" w:firstRow="0" w:lastRow="0" w:firstColumn="0" w:lastColumn="0" w:oddVBand="0" w:evenVBand="0" w:oddHBand="0" w:evenHBand="0" w:firstRowFirstColumn="0" w:firstRowLastColumn="0" w:lastRowFirstColumn="0" w:lastRowLastColumn="0"/>
              <w:rPr>
                <w:sz w:val="20"/>
                <w:szCs w:val="20"/>
                <w:lang w:eastAsia="en-US"/>
              </w:rPr>
            </w:pPr>
            <w:r w:rsidRPr="00122A1F">
              <w:rPr>
                <w:sz w:val="20"/>
                <w:szCs w:val="20"/>
                <w:lang w:eastAsia="en-US"/>
              </w:rPr>
              <w:t>19</w:t>
            </w:r>
            <w:r>
              <w:rPr>
                <w:sz w:val="20"/>
                <w:szCs w:val="20"/>
                <w:lang w:eastAsia="en-US"/>
              </w:rPr>
              <w:t> </w:t>
            </w:r>
            <w:r w:rsidRPr="00122A1F">
              <w:rPr>
                <w:sz w:val="20"/>
                <w:szCs w:val="20"/>
                <w:lang w:eastAsia="en-US"/>
              </w:rPr>
              <w:t xml:space="preserve">575 </w:t>
            </w:r>
          </w:p>
        </w:tc>
      </w:tr>
    </w:tbl>
    <w:p w:rsidR="00F4021E" w:rsidRDefault="00F4021E">
      <w:pPr>
        <w:spacing w:before="0" w:after="0"/>
        <w:ind w:left="0"/>
        <w:rPr>
          <w:lang w:eastAsia="en-US"/>
        </w:rPr>
      </w:pPr>
    </w:p>
    <w:p w:rsidR="00470CA0" w:rsidRPr="00470CA0" w:rsidRDefault="00B61A29" w:rsidP="00470CA0">
      <w:pPr>
        <w:pStyle w:val="Heading3"/>
      </w:pPr>
      <w:bookmarkStart w:id="27" w:name="_Toc356830868"/>
      <w:r>
        <w:t>Option C</w:t>
      </w:r>
      <w:r w:rsidR="00470CA0" w:rsidRPr="00470CA0">
        <w:t xml:space="preserve"> –</w:t>
      </w:r>
      <w:r w:rsidR="00C55E58">
        <w:t>Gaming machine</w:t>
      </w:r>
      <w:r w:rsidR="00470CA0" w:rsidRPr="00470CA0">
        <w:t xml:space="preserve"> revenue based charge</w:t>
      </w:r>
      <w:bookmarkEnd w:id="27"/>
    </w:p>
    <w:p w:rsidR="00470CA0" w:rsidRPr="00F4021E" w:rsidRDefault="00B61A29" w:rsidP="00470CA0">
      <w:pPr>
        <w:tabs>
          <w:tab w:val="right" w:pos="9085"/>
        </w:tabs>
        <w:spacing w:before="240" w:after="240"/>
        <w:rPr>
          <w:szCs w:val="24"/>
          <w:lang w:eastAsia="en-US"/>
        </w:rPr>
      </w:pPr>
      <w:r>
        <w:rPr>
          <w:szCs w:val="24"/>
          <w:lang w:eastAsia="en-US"/>
        </w:rPr>
        <w:t>Option C</w:t>
      </w:r>
      <w:r w:rsidR="00470CA0" w:rsidRPr="00F4021E">
        <w:rPr>
          <w:szCs w:val="24"/>
          <w:lang w:eastAsia="en-US"/>
        </w:rPr>
        <w:t xml:space="preserve"> proposes a charge levied on </w:t>
      </w:r>
      <w:r w:rsidR="00F13192">
        <w:rPr>
          <w:szCs w:val="24"/>
          <w:lang w:eastAsia="en-US"/>
        </w:rPr>
        <w:t>venue o</w:t>
      </w:r>
      <w:r w:rsidR="00472069">
        <w:rPr>
          <w:szCs w:val="24"/>
          <w:lang w:eastAsia="en-US"/>
        </w:rPr>
        <w:t>perator</w:t>
      </w:r>
      <w:r w:rsidR="00470CA0" w:rsidRPr="00F4021E">
        <w:rPr>
          <w:szCs w:val="24"/>
          <w:lang w:eastAsia="en-US"/>
        </w:rPr>
        <w:t xml:space="preserve"> </w:t>
      </w:r>
      <w:r w:rsidR="0078188C">
        <w:rPr>
          <w:szCs w:val="24"/>
          <w:lang w:eastAsia="en-US"/>
        </w:rPr>
        <w:t>gaming machine</w:t>
      </w:r>
      <w:r w:rsidR="00470CA0" w:rsidRPr="00F4021E">
        <w:rPr>
          <w:szCs w:val="24"/>
          <w:lang w:eastAsia="en-US"/>
        </w:rPr>
        <w:t xml:space="preserve"> revenue. VCGLR’s supervision costs would be the same as for </w:t>
      </w:r>
      <w:r>
        <w:rPr>
          <w:szCs w:val="24"/>
          <w:lang w:eastAsia="en-US"/>
        </w:rPr>
        <w:t>Option A</w:t>
      </w:r>
      <w:r w:rsidR="00470CA0" w:rsidRPr="00F4021E">
        <w:rPr>
          <w:szCs w:val="24"/>
          <w:lang w:eastAsia="en-US"/>
        </w:rPr>
        <w:t xml:space="preserve">, but under this option the charge would be a function of </w:t>
      </w:r>
      <w:r w:rsidR="0078188C">
        <w:rPr>
          <w:szCs w:val="24"/>
          <w:lang w:eastAsia="en-US"/>
        </w:rPr>
        <w:t>gaming machine</w:t>
      </w:r>
      <w:r w:rsidR="00470CA0" w:rsidRPr="00F4021E">
        <w:rPr>
          <w:szCs w:val="24"/>
          <w:lang w:eastAsia="en-US"/>
        </w:rPr>
        <w:t xml:space="preserve"> revenue rather than the number of operating </w:t>
      </w:r>
      <w:r w:rsidR="00C55E58">
        <w:rPr>
          <w:szCs w:val="24"/>
          <w:lang w:eastAsia="en-US"/>
        </w:rPr>
        <w:t>gaming machine</w:t>
      </w:r>
      <w:r w:rsidR="00470CA0" w:rsidRPr="00F4021E">
        <w:rPr>
          <w:szCs w:val="24"/>
          <w:lang w:eastAsia="en-US"/>
        </w:rPr>
        <w:t xml:space="preserve">s and gaming entitlements held. </w:t>
      </w:r>
    </w:p>
    <w:p w:rsidR="00470CA0" w:rsidRPr="00F4021E" w:rsidRDefault="00470CA0" w:rsidP="00470CA0">
      <w:pPr>
        <w:spacing w:before="240" w:after="240"/>
        <w:rPr>
          <w:szCs w:val="24"/>
          <w:lang w:eastAsia="en-US"/>
        </w:rPr>
      </w:pPr>
      <w:r w:rsidRPr="00F4021E">
        <w:rPr>
          <w:szCs w:val="24"/>
          <w:lang w:eastAsia="en-US"/>
        </w:rPr>
        <w:t xml:space="preserve">Under this system, </w:t>
      </w:r>
      <w:r w:rsidR="005D0F51">
        <w:rPr>
          <w:szCs w:val="24"/>
          <w:lang w:eastAsia="en-US"/>
        </w:rPr>
        <w:t xml:space="preserve">venues </w:t>
      </w:r>
      <w:r w:rsidRPr="00F4021E">
        <w:rPr>
          <w:szCs w:val="24"/>
          <w:lang w:eastAsia="en-US"/>
        </w:rPr>
        <w:t xml:space="preserve">that generate higher revenue would be subject to a higher charge than venues that generate comparatively lower revenue. That is, the amount of the supervision charge would reflect the number of patrons using the </w:t>
      </w:r>
      <w:r w:rsidR="00C55E58">
        <w:rPr>
          <w:szCs w:val="24"/>
          <w:lang w:eastAsia="en-US"/>
        </w:rPr>
        <w:t>gaming machine</w:t>
      </w:r>
      <w:r w:rsidRPr="00F4021E">
        <w:rPr>
          <w:szCs w:val="24"/>
          <w:lang w:eastAsia="en-US"/>
        </w:rPr>
        <w:t>s and the amount gambled. This method involves an assumption that venues with higher net turnover also have higher regulatory costs.</w:t>
      </w:r>
    </w:p>
    <w:p w:rsidR="00470CA0" w:rsidRPr="00F4021E" w:rsidRDefault="00470CA0" w:rsidP="00470CA0">
      <w:pPr>
        <w:spacing w:before="240" w:after="240"/>
        <w:rPr>
          <w:szCs w:val="24"/>
          <w:lang w:eastAsia="en-US"/>
        </w:rPr>
      </w:pPr>
      <w:r w:rsidRPr="00F4021E">
        <w:rPr>
          <w:szCs w:val="24"/>
          <w:lang w:eastAsia="en-US"/>
        </w:rPr>
        <w:t xml:space="preserve">The supervision charge rate would be expressed as: </w:t>
      </w:r>
    </w:p>
    <w:p w:rsidR="00470CA0" w:rsidRPr="00470CA0" w:rsidRDefault="00470CA0" w:rsidP="00470CA0">
      <w:pPr>
        <w:spacing w:after="360"/>
        <w:ind w:left="851" w:right="-414"/>
        <w:rPr>
          <w:sz w:val="20"/>
          <w:szCs w:val="20"/>
          <w:lang w:eastAsia="en-US"/>
        </w:rPr>
      </w:pPr>
      <m:oMathPara>
        <m:oMath>
          <m:r>
            <m:rPr>
              <m:sty m:val="bi"/>
            </m:rPr>
            <w:rPr>
              <w:rFonts w:ascii="Cambria Math" w:hAnsi="Cambria Math"/>
              <w:sz w:val="20"/>
              <w:szCs w:val="20"/>
              <w:lang w:eastAsia="en-US"/>
            </w:rPr>
            <m:t>Charge rate</m:t>
          </m:r>
          <m:r>
            <w:rPr>
              <w:rFonts w:ascii="Cambria Math" w:hAnsi="Cambria Math"/>
              <w:sz w:val="20"/>
              <w:szCs w:val="20"/>
              <w:lang w:eastAsia="en-US"/>
            </w:rPr>
            <m:t>=</m:t>
          </m:r>
          <m:f>
            <m:fPr>
              <m:ctrlPr>
                <w:rPr>
                  <w:rFonts w:ascii="Cambria Math" w:hAnsi="Cambria Math"/>
                  <w:i/>
                  <w:sz w:val="20"/>
                  <w:szCs w:val="20"/>
                  <w:lang w:eastAsia="en-US"/>
                </w:rPr>
              </m:ctrlPr>
            </m:fPr>
            <m:num>
              <m:r>
                <w:rPr>
                  <w:rFonts w:ascii="Cambria Math" w:hAnsi="Cambria Math"/>
                  <w:sz w:val="20"/>
                  <w:szCs w:val="20"/>
                  <w:lang w:eastAsia="en-US"/>
                </w:rPr>
                <m:t>VCGL</m:t>
              </m:r>
              <m:sSup>
                <m:sSupPr>
                  <m:ctrlPr>
                    <w:rPr>
                      <w:rFonts w:ascii="Cambria Math" w:hAnsi="Cambria Math"/>
                      <w:i/>
                      <w:sz w:val="20"/>
                      <w:szCs w:val="20"/>
                      <w:lang w:eastAsia="en-US"/>
                    </w:rPr>
                  </m:ctrlPr>
                </m:sSupPr>
                <m:e>
                  <m:r>
                    <w:rPr>
                      <w:rFonts w:ascii="Cambria Math" w:hAnsi="Cambria Math"/>
                      <w:sz w:val="20"/>
                      <w:szCs w:val="20"/>
                      <w:lang w:eastAsia="en-US"/>
                    </w:rPr>
                    <m:t>R</m:t>
                  </m:r>
                </m:e>
                <m:sup>
                  <m:r>
                    <w:rPr>
                      <w:rFonts w:ascii="Cambria Math" w:hAnsi="Cambria Math"/>
                      <w:sz w:val="20"/>
                      <w:szCs w:val="20"/>
                      <w:lang w:eastAsia="en-US"/>
                    </w:rPr>
                    <m:t>'</m:t>
                  </m:r>
                </m:sup>
              </m:sSup>
              <m:r>
                <w:rPr>
                  <w:rFonts w:ascii="Cambria Math" w:hAnsi="Cambria Math"/>
                  <w:sz w:val="20"/>
                  <w:szCs w:val="20"/>
                  <w:lang w:eastAsia="en-US"/>
                </w:rPr>
                <m:t>s entitlement and gaming machine re</m:t>
              </m:r>
              <m:r>
                <w:rPr>
                  <w:rFonts w:ascii="Cambria Math" w:hAnsi="Cambria Math"/>
                  <w:sz w:val="20"/>
                  <w:szCs w:val="20"/>
                  <w:lang w:eastAsia="en-US"/>
                </w:rPr>
                <m:t>lated regulatory costs</m:t>
              </m:r>
            </m:num>
            <m:den>
              <m:r>
                <w:rPr>
                  <w:rFonts w:ascii="Cambria Math" w:hAnsi="Cambria Math"/>
                  <w:sz w:val="20"/>
                  <w:szCs w:val="20"/>
                  <w:lang w:eastAsia="en-US"/>
                </w:rPr>
                <m:t>total gaming machine revenue in Victoria</m:t>
              </m:r>
            </m:den>
          </m:f>
        </m:oMath>
      </m:oMathPara>
    </w:p>
    <w:p w:rsidR="00470CA0" w:rsidRPr="002A6200" w:rsidRDefault="00470CA0" w:rsidP="00470CA0">
      <w:pPr>
        <w:spacing w:before="240" w:after="240"/>
        <w:rPr>
          <w:b/>
          <w:szCs w:val="24"/>
          <w:lang w:eastAsia="en-US"/>
        </w:rPr>
      </w:pPr>
      <w:r w:rsidRPr="002A6200">
        <w:rPr>
          <w:b/>
          <w:szCs w:val="24"/>
          <w:lang w:eastAsia="en-US"/>
        </w:rPr>
        <w:t>A preliminary estimate of charge rate for 2012-13 is 0.</w:t>
      </w:r>
      <w:r w:rsidR="00B717B2" w:rsidRPr="002A6200">
        <w:rPr>
          <w:b/>
          <w:szCs w:val="24"/>
          <w:lang w:eastAsia="en-US"/>
        </w:rPr>
        <w:t>208</w:t>
      </w:r>
      <w:r w:rsidRPr="002A6200">
        <w:rPr>
          <w:b/>
          <w:szCs w:val="24"/>
          <w:lang w:eastAsia="en-US"/>
        </w:rPr>
        <w:t xml:space="preserve"> per cent</w:t>
      </w:r>
      <w:r w:rsidR="000D113B" w:rsidRPr="002A6200">
        <w:rPr>
          <w:b/>
          <w:szCs w:val="24"/>
          <w:lang w:eastAsia="en-US"/>
        </w:rPr>
        <w:t xml:space="preserve"> of pre-tax </w:t>
      </w:r>
      <w:r w:rsidR="00C55E58" w:rsidRPr="002A6200">
        <w:rPr>
          <w:b/>
          <w:szCs w:val="24"/>
          <w:lang w:eastAsia="en-US"/>
        </w:rPr>
        <w:t>gaming machine</w:t>
      </w:r>
      <w:r w:rsidR="000D113B" w:rsidRPr="002A6200">
        <w:rPr>
          <w:b/>
          <w:szCs w:val="24"/>
          <w:lang w:eastAsia="en-US"/>
        </w:rPr>
        <w:t xml:space="preserve"> revenue (player loss)</w:t>
      </w:r>
      <w:r w:rsidRPr="002A6200">
        <w:rPr>
          <w:b/>
          <w:szCs w:val="24"/>
          <w:lang w:eastAsia="en-US"/>
        </w:rPr>
        <w:t>.</w:t>
      </w:r>
    </w:p>
    <w:p w:rsidR="00470CA0" w:rsidRPr="00F4021E" w:rsidRDefault="00470CA0" w:rsidP="00470CA0">
      <w:pPr>
        <w:spacing w:before="240" w:after="240"/>
        <w:rPr>
          <w:szCs w:val="24"/>
          <w:lang w:eastAsia="en-US"/>
        </w:rPr>
      </w:pPr>
      <w:r w:rsidRPr="00F4021E">
        <w:rPr>
          <w:szCs w:val="24"/>
          <w:lang w:eastAsia="en-US"/>
        </w:rPr>
        <w:t xml:space="preserve">The supervision charge a venue faces would be expressed as: </w:t>
      </w:r>
    </w:p>
    <w:p w:rsidR="00470CA0" w:rsidRPr="00F4021E" w:rsidRDefault="00470CA0" w:rsidP="00F4021E">
      <w:pPr>
        <w:spacing w:after="240"/>
        <w:rPr>
          <w:sz w:val="20"/>
          <w:szCs w:val="20"/>
          <w:lang w:eastAsia="en-US"/>
        </w:rPr>
      </w:pPr>
      <m:oMathPara>
        <m:oMath>
          <m:r>
            <m:rPr>
              <m:sty m:val="bi"/>
            </m:rPr>
            <w:rPr>
              <w:rFonts w:ascii="Cambria Math" w:hAnsi="Cambria Math"/>
              <w:sz w:val="20"/>
              <w:szCs w:val="20"/>
              <w:lang w:eastAsia="en-US"/>
            </w:rPr>
            <m:t>Supervision charge</m:t>
          </m:r>
          <m:r>
            <w:rPr>
              <w:rFonts w:ascii="Cambria Math" w:hAnsi="Cambria Math"/>
              <w:sz w:val="20"/>
              <w:szCs w:val="20"/>
              <w:lang w:eastAsia="en-US"/>
            </w:rPr>
            <m:t>=0.208% ×per gaming machine  net pretax revenue ×no. of operating gaming machines</m:t>
          </m:r>
        </m:oMath>
      </m:oMathPara>
    </w:p>
    <w:p w:rsidR="000A52AF" w:rsidRDefault="000A52AF">
      <w:pPr>
        <w:spacing w:before="0" w:after="0"/>
        <w:ind w:left="0"/>
        <w:rPr>
          <w:lang w:eastAsia="en-US"/>
        </w:rPr>
      </w:pPr>
      <w:r>
        <w:rPr>
          <w:lang w:eastAsia="en-US"/>
        </w:rPr>
        <w:br w:type="page"/>
      </w:r>
    </w:p>
    <w:p w:rsidR="00AF698A" w:rsidRDefault="0047054C">
      <w:pPr>
        <w:spacing w:before="0" w:after="0"/>
        <w:ind w:left="0"/>
        <w:rPr>
          <w:lang w:eastAsia="en-US"/>
        </w:rPr>
      </w:pPr>
      <w:r w:rsidRPr="00470CA0">
        <w:rPr>
          <w:noProof/>
        </w:rPr>
        <mc:AlternateContent>
          <mc:Choice Requires="wps">
            <w:drawing>
              <wp:anchor distT="0" distB="0" distL="114300" distR="114300" simplePos="0" relativeHeight="251685888" behindDoc="0" locked="0" layoutInCell="1" allowOverlap="1" wp14:anchorId="659AB7BD" wp14:editId="7B87C564">
                <wp:simplePos x="0" y="0"/>
                <wp:positionH relativeFrom="column">
                  <wp:posOffset>484082</wp:posOffset>
                </wp:positionH>
                <wp:positionV relativeFrom="paragraph">
                  <wp:posOffset>60959</wp:posOffset>
                </wp:positionV>
                <wp:extent cx="5347970" cy="2269067"/>
                <wp:effectExtent l="0" t="0" r="5080" b="0"/>
                <wp:wrapNone/>
                <wp:docPr id="4" name="Text Box 4"/>
                <wp:cNvGraphicFramePr/>
                <a:graphic xmlns:a="http://schemas.openxmlformats.org/drawingml/2006/main">
                  <a:graphicData uri="http://schemas.microsoft.com/office/word/2010/wordprocessingShape">
                    <wps:wsp>
                      <wps:cNvSpPr txBox="1"/>
                      <wps:spPr>
                        <a:xfrm>
                          <a:off x="0" y="0"/>
                          <a:ext cx="5347970" cy="2269067"/>
                        </a:xfrm>
                        <a:prstGeom prst="rect">
                          <a:avLst/>
                        </a:prstGeom>
                        <a:solidFill>
                          <a:sysClr val="window" lastClr="FFFFFF">
                            <a:lumMod val="85000"/>
                          </a:sysClr>
                        </a:solidFill>
                        <a:ln w="6350">
                          <a:noFill/>
                        </a:ln>
                        <a:effectLst/>
                      </wps:spPr>
                      <wps:txbx>
                        <w:txbxContent>
                          <w:p w:rsidR="004F14D1" w:rsidRPr="00470CA0" w:rsidRDefault="004F14D1" w:rsidP="00470CA0">
                            <w:pPr>
                              <w:ind w:left="0"/>
                              <w:rPr>
                                <w:b/>
                              </w:rPr>
                            </w:pPr>
                            <w:r>
                              <w:rPr>
                                <w:b/>
                              </w:rPr>
                              <w:t>Box 5.3: Gaming machine</w:t>
                            </w:r>
                            <w:r w:rsidRPr="00470CA0">
                              <w:rPr>
                                <w:b/>
                              </w:rPr>
                              <w:t xml:space="preserve"> revenue based charge worked example</w:t>
                            </w:r>
                          </w:p>
                          <w:p w:rsidR="004F14D1" w:rsidRPr="0047054C" w:rsidRDefault="004F14D1" w:rsidP="00470CA0">
                            <w:pPr>
                              <w:ind w:left="0"/>
                            </w:pPr>
                            <w:r w:rsidRPr="00284AB8">
                              <w:t xml:space="preserve">Consider a venue operator that owns a total of 50 gaming machine entitlements. The venue </w:t>
                            </w:r>
                            <w:r>
                              <w:t>is currently using</w:t>
                            </w:r>
                            <w:r w:rsidRPr="00284AB8">
                              <w:t xml:space="preserve"> 40 entitlemen</w:t>
                            </w:r>
                            <w:r>
                              <w:t>ts by attaching and operating a</w:t>
                            </w:r>
                            <w:r w:rsidRPr="00284AB8">
                              <w:t xml:space="preserve"> </w:t>
                            </w:r>
                            <w:r>
                              <w:t>gaming machine</w:t>
                            </w:r>
                            <w:r w:rsidRPr="00284AB8">
                              <w:t>, leaving 10 unused entitlements.</w:t>
                            </w:r>
                            <w:r>
                              <w:t xml:space="preserve"> </w:t>
                            </w:r>
                            <w:r w:rsidRPr="0047054C">
                              <w:t xml:space="preserve">Each of their operating </w:t>
                            </w:r>
                            <w:r>
                              <w:t>gaming machine</w:t>
                            </w:r>
                            <w:r w:rsidRPr="0047054C">
                              <w:t xml:space="preserve">s generating an average of $100,000 per </w:t>
                            </w:r>
                            <w:r>
                              <w:t>gaming machine</w:t>
                            </w:r>
                            <w:r w:rsidRPr="0047054C">
                              <w:t xml:space="preserve"> (approximately the state</w:t>
                            </w:r>
                            <w:r w:rsidRPr="0047054C">
                              <w:noBreakHyphen/>
                              <w:t xml:space="preserve">wide average player loss per </w:t>
                            </w:r>
                            <w:r>
                              <w:t>gaming machine</w:t>
                            </w:r>
                            <w:r w:rsidRPr="0047054C">
                              <w:t xml:space="preserve">). </w:t>
                            </w:r>
                          </w:p>
                          <w:p w:rsidR="004F14D1" w:rsidRPr="00284AB8" w:rsidRDefault="004F14D1" w:rsidP="00470CA0">
                            <w:pPr>
                              <w:ind w:left="0"/>
                            </w:pPr>
                            <w:r w:rsidRPr="00284AB8">
                              <w:t>The supervision charge payable by this venue</w:t>
                            </w:r>
                            <w:r>
                              <w:t xml:space="preserve"> for 2012-13 is $8 320 for the operating gaming machines and no charge for the unused entitlements as they are generating no revenue. It is calculated as </w:t>
                            </w:r>
                            <w:r w:rsidRPr="00284AB8">
                              <w:t>follows:</w:t>
                            </w:r>
                          </w:p>
                          <w:p w:rsidR="004F14D1" w:rsidRDefault="004F14D1" w:rsidP="00F4021E">
                            <w:pPr>
                              <w:ind w:left="567"/>
                              <w:contextualSpacing/>
                              <w:rPr>
                                <w:i/>
                              </w:rPr>
                            </w:pPr>
                            <w:r w:rsidRPr="00284AB8">
                              <w:rPr>
                                <w:i/>
                              </w:rPr>
                              <w:t xml:space="preserve">Supervision charge = </w:t>
                            </w:r>
                            <w:r>
                              <w:rPr>
                                <w:i/>
                              </w:rPr>
                              <w:t>0.208% X $100 000 X 40</w:t>
                            </w:r>
                          </w:p>
                          <w:p w:rsidR="004F14D1" w:rsidRPr="00842981" w:rsidRDefault="004F14D1" w:rsidP="00F4021E">
                            <w:pPr>
                              <w:ind w:left="2268"/>
                              <w:contextualSpacing/>
                              <w:rPr>
                                <w:i/>
                              </w:rPr>
                            </w:pPr>
                            <w:r>
                              <w:rPr>
                                <w:i/>
                              </w:rPr>
                              <w:t>= $8 320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34" type="#_x0000_t202" style="position:absolute;margin-left:38.1pt;margin-top:4.8pt;width:421.1pt;height:178.6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" fillcolor="#d9d9d9" stroked="f" strokeweight=".5pt">
                <v:textbox>
                  <w:txbxContent>
                    <w:p w:rsidR="004F14D1" w:rsidRPr="00470CA0" w:rsidRDefault="004F14D1" w:rsidP="00470CA0">
                      <w:pPr>
                        <w:ind w:left="0"/>
                        <w:rPr>
                          <w:b/>
                        </w:rPr>
                      </w:pPr>
                      <w:r>
                        <w:rPr>
                          <w:b/>
                        </w:rPr>
                        <w:t>Box 5.3: Gaming machine</w:t>
                      </w:r>
                      <w:r w:rsidRPr="00470CA0">
                        <w:rPr>
                          <w:b/>
                        </w:rPr>
                        <w:t xml:space="preserve"> revenue based charge worked example</w:t>
                      </w:r>
                    </w:p>
                    <w:p w:rsidR="004F14D1" w:rsidRPr="0047054C" w:rsidRDefault="004F14D1" w:rsidP="00470CA0">
                      <w:pPr>
                        <w:ind w:left="0"/>
                      </w:pPr>
                      <w:r w:rsidRPr="00284AB8">
                        <w:t xml:space="preserve">Consider a venue operator that owns a total of 50 gaming machine entitlements. The venue </w:t>
                      </w:r>
                      <w:r>
                        <w:t>is currently using</w:t>
                      </w:r>
                      <w:r w:rsidRPr="00284AB8">
                        <w:t xml:space="preserve"> 40 entitlemen</w:t>
                      </w:r>
                      <w:r>
                        <w:t>ts by attaching and operating a</w:t>
                      </w:r>
                      <w:r w:rsidRPr="00284AB8">
                        <w:t xml:space="preserve"> </w:t>
                      </w:r>
                      <w:r>
                        <w:t>gaming machine</w:t>
                      </w:r>
                      <w:r w:rsidRPr="00284AB8">
                        <w:t>, leaving 10 unused entitlements.</w:t>
                      </w:r>
                      <w:r>
                        <w:t xml:space="preserve"> </w:t>
                      </w:r>
                      <w:r w:rsidRPr="0047054C">
                        <w:t xml:space="preserve">Each of their operating </w:t>
                      </w:r>
                      <w:r>
                        <w:t>gaming machine</w:t>
                      </w:r>
                      <w:r w:rsidRPr="0047054C">
                        <w:t xml:space="preserve">s generating an average of $100,000 per </w:t>
                      </w:r>
                      <w:r>
                        <w:t>gaming machine</w:t>
                      </w:r>
                      <w:r w:rsidRPr="0047054C">
                        <w:t xml:space="preserve"> (approximately the state</w:t>
                      </w:r>
                      <w:r w:rsidRPr="0047054C">
                        <w:noBreakHyphen/>
                        <w:t xml:space="preserve">wide average player loss per </w:t>
                      </w:r>
                      <w:r>
                        <w:t>gaming machine</w:t>
                      </w:r>
                      <w:r w:rsidRPr="0047054C">
                        <w:t xml:space="preserve">). </w:t>
                      </w:r>
                    </w:p>
                    <w:p w:rsidR="004F14D1" w:rsidRPr="00284AB8" w:rsidRDefault="004F14D1" w:rsidP="00470CA0">
                      <w:pPr>
                        <w:ind w:left="0"/>
                      </w:pPr>
                      <w:r w:rsidRPr="00284AB8">
                        <w:t>The supervision charge payable by this venue</w:t>
                      </w:r>
                      <w:r>
                        <w:t xml:space="preserve"> for 2012-13 is $8 320 for the operating gaming machines and no charge for the unused entitlements as they are generating no revenue. It is calculated as </w:t>
                      </w:r>
                      <w:r w:rsidRPr="00284AB8">
                        <w:t>follows:</w:t>
                      </w:r>
                    </w:p>
                    <w:p w:rsidR="004F14D1" w:rsidRDefault="004F14D1" w:rsidP="00F4021E">
                      <w:pPr>
                        <w:ind w:left="567"/>
                        <w:contextualSpacing/>
                        <w:rPr>
                          <w:i/>
                        </w:rPr>
                      </w:pPr>
                      <w:r w:rsidRPr="00284AB8">
                        <w:rPr>
                          <w:i/>
                        </w:rPr>
                        <w:t xml:space="preserve">Supervision charge = </w:t>
                      </w:r>
                      <w:r>
                        <w:rPr>
                          <w:i/>
                        </w:rPr>
                        <w:t>0.208% X $100 000 X 40</w:t>
                      </w:r>
                    </w:p>
                    <w:p w:rsidR="004F14D1" w:rsidRPr="00842981" w:rsidRDefault="004F14D1" w:rsidP="00F4021E">
                      <w:pPr>
                        <w:ind w:left="2268"/>
                        <w:contextualSpacing/>
                        <w:rPr>
                          <w:i/>
                        </w:rPr>
                      </w:pPr>
                      <w:r>
                        <w:rPr>
                          <w:i/>
                        </w:rPr>
                        <w:t>= $8 320</w:t>
                      </w:r>
                    </w:p>
                  </w:txbxContent>
                </v:textbox>
              </v:shape>
            </w:pict>
          </mc:Fallback>
        </mc:AlternateContent>
      </w:r>
    </w:p>
    <w:p w:rsidR="00AF698A" w:rsidRDefault="00AF698A" w:rsidP="00470CA0">
      <w:pPr>
        <w:rPr>
          <w:lang w:eastAsia="en-US"/>
        </w:rPr>
      </w:pPr>
    </w:p>
    <w:p w:rsidR="00AF698A" w:rsidRDefault="00AF698A" w:rsidP="00470CA0">
      <w:pPr>
        <w:rPr>
          <w:lang w:eastAsia="en-US"/>
        </w:rPr>
      </w:pPr>
    </w:p>
    <w:p w:rsidR="00AF698A" w:rsidRDefault="00AF698A" w:rsidP="00470CA0">
      <w:pPr>
        <w:rPr>
          <w:lang w:eastAsia="en-US"/>
        </w:rPr>
      </w:pPr>
    </w:p>
    <w:p w:rsidR="00AF698A" w:rsidRDefault="00AF698A" w:rsidP="00470CA0">
      <w:pPr>
        <w:rPr>
          <w:lang w:eastAsia="en-US"/>
        </w:rPr>
      </w:pPr>
    </w:p>
    <w:p w:rsidR="00AF698A" w:rsidRDefault="00AF698A" w:rsidP="00470CA0">
      <w:pPr>
        <w:rPr>
          <w:lang w:eastAsia="en-US"/>
        </w:rPr>
      </w:pPr>
    </w:p>
    <w:p w:rsidR="00AF698A" w:rsidRPr="00470CA0" w:rsidRDefault="00AF698A" w:rsidP="00470CA0">
      <w:pPr>
        <w:rPr>
          <w:lang w:eastAsia="en-US"/>
        </w:rPr>
      </w:pPr>
    </w:p>
    <w:p w:rsidR="00470CA0" w:rsidRPr="00470CA0" w:rsidRDefault="00470CA0" w:rsidP="00470CA0">
      <w:pPr>
        <w:rPr>
          <w:lang w:eastAsia="en-US"/>
        </w:rPr>
      </w:pPr>
    </w:p>
    <w:p w:rsidR="00470CA0" w:rsidRPr="00470CA0" w:rsidRDefault="00470CA0" w:rsidP="00470CA0">
      <w:pPr>
        <w:rPr>
          <w:lang w:eastAsia="en-US"/>
        </w:rPr>
      </w:pPr>
    </w:p>
    <w:p w:rsidR="00470CA0" w:rsidRDefault="00470CA0" w:rsidP="00E36889">
      <w:pPr>
        <w:spacing w:before="720" w:after="240"/>
        <w:rPr>
          <w:szCs w:val="24"/>
        </w:rPr>
      </w:pPr>
      <w:r w:rsidRPr="00F4021E">
        <w:rPr>
          <w:szCs w:val="24"/>
        </w:rPr>
        <w:t xml:space="preserve">The table </w:t>
      </w:r>
      <w:r w:rsidR="00F4021E">
        <w:rPr>
          <w:szCs w:val="24"/>
        </w:rPr>
        <w:t xml:space="preserve">below </w:t>
      </w:r>
      <w:r w:rsidRPr="00F4021E">
        <w:rPr>
          <w:szCs w:val="24"/>
        </w:rPr>
        <w:t xml:space="preserve">needs to be read in a matrix format. The columns represent the total number of operating </w:t>
      </w:r>
      <w:r w:rsidR="00E36889">
        <w:rPr>
          <w:szCs w:val="24"/>
        </w:rPr>
        <w:t>gaming machine</w:t>
      </w:r>
      <w:r w:rsidRPr="00F4021E">
        <w:rPr>
          <w:szCs w:val="24"/>
        </w:rPr>
        <w:t xml:space="preserve">s owned by a venue and the rows represent a venue’s total annual revenue per </w:t>
      </w:r>
      <w:r w:rsidR="00E36889">
        <w:rPr>
          <w:szCs w:val="24"/>
        </w:rPr>
        <w:t>gaming machine</w:t>
      </w:r>
      <w:r w:rsidRPr="00F4021E">
        <w:rPr>
          <w:szCs w:val="24"/>
        </w:rPr>
        <w:t xml:space="preserve">. For example, a venue operating 20 </w:t>
      </w:r>
      <w:r w:rsidR="00E36889">
        <w:rPr>
          <w:szCs w:val="24"/>
        </w:rPr>
        <w:t>gaming machine</w:t>
      </w:r>
      <w:r w:rsidRPr="00F4021E">
        <w:rPr>
          <w:szCs w:val="24"/>
        </w:rPr>
        <w:t xml:space="preserve">s and returning annual revenue per </w:t>
      </w:r>
      <w:r w:rsidR="00E36889">
        <w:rPr>
          <w:szCs w:val="24"/>
        </w:rPr>
        <w:t>gaming machine</w:t>
      </w:r>
      <w:r w:rsidRPr="00F4021E">
        <w:rPr>
          <w:szCs w:val="24"/>
        </w:rPr>
        <w:t xml:space="preserve"> of $40,000 would pay a supervision charge of $1,</w:t>
      </w:r>
      <w:r w:rsidR="00670895">
        <w:rPr>
          <w:szCs w:val="24"/>
        </w:rPr>
        <w:t>664</w:t>
      </w:r>
      <w:r w:rsidRPr="00F4021E">
        <w:rPr>
          <w:szCs w:val="24"/>
        </w:rPr>
        <w:t xml:space="preserve"> in 2012-13.</w:t>
      </w:r>
    </w:p>
    <w:p w:rsidR="00470CA0" w:rsidRPr="00470CA0" w:rsidRDefault="00470CA0" w:rsidP="00470CA0">
      <w:pPr>
        <w:pStyle w:val="Heading5"/>
        <w:spacing w:before="240" w:after="0"/>
      </w:pPr>
      <w:r w:rsidRPr="00470CA0">
        <w:t>Table 5.</w:t>
      </w:r>
      <w:r w:rsidR="00A100F3">
        <w:t>4</w:t>
      </w:r>
      <w:r w:rsidRPr="00470CA0">
        <w:t xml:space="preserve">: Estimated supervision charge – </w:t>
      </w:r>
      <w:r w:rsidR="00B61A29">
        <w:t>Option C</w:t>
      </w:r>
      <w:r w:rsidRPr="00470CA0">
        <w:t xml:space="preserve"> ($)</w:t>
      </w:r>
    </w:p>
    <w:tbl>
      <w:tblPr>
        <w:tblStyle w:val="TableGrid10"/>
        <w:tblW w:w="9214" w:type="dxa"/>
        <w:tblInd w:w="113" w:type="dxa"/>
        <w:tblLayout w:type="fixed"/>
        <w:tblLook w:val="04A0" w:firstRow="1" w:lastRow="0" w:firstColumn="1" w:lastColumn="0" w:noHBand="0" w:noVBand="1"/>
      </w:tblPr>
      <w:tblGrid>
        <w:gridCol w:w="709"/>
        <w:gridCol w:w="1417"/>
        <w:gridCol w:w="1418"/>
        <w:gridCol w:w="1417"/>
        <w:gridCol w:w="1418"/>
        <w:gridCol w:w="1417"/>
        <w:gridCol w:w="1418"/>
      </w:tblGrid>
      <w:tr w:rsidR="00470CA0" w:rsidRPr="00470CA0" w:rsidTr="00390E23">
        <w:trPr>
          <w:cnfStyle w:val="100000000000" w:firstRow="1" w:lastRow="0" w:firstColumn="0" w:lastColumn="0" w:oddVBand="0" w:evenVBand="0" w:oddHBand="0" w:evenHBand="0" w:firstRowFirstColumn="0" w:firstRowLastColumn="0" w:lastRowFirstColumn="0" w:lastRowLastColumn="0"/>
          <w:trHeight w:val="69"/>
        </w:trPr>
        <w:tc>
          <w:tcPr>
            <w:cnfStyle w:val="001000000000" w:firstRow="0" w:lastRow="0" w:firstColumn="1" w:lastColumn="0" w:oddVBand="0" w:evenVBand="0" w:oddHBand="0" w:evenHBand="0" w:firstRowFirstColumn="0" w:firstRowLastColumn="0" w:lastRowFirstColumn="0" w:lastRowLastColumn="0"/>
            <w:tcW w:w="709" w:type="dxa"/>
            <w:tcBorders>
              <w:top w:val="nil"/>
              <w:bottom w:val="nil"/>
            </w:tcBorders>
            <w:shd w:val="clear" w:color="auto" w:fill="auto"/>
          </w:tcPr>
          <w:p w:rsidR="00470CA0" w:rsidRPr="00470CA0" w:rsidRDefault="00470CA0" w:rsidP="00F4021E">
            <w:pPr>
              <w:spacing w:before="60" w:after="60"/>
              <w:ind w:left="0"/>
              <w:jc w:val="center"/>
              <w:rPr>
                <w:i/>
                <w:lang w:eastAsia="en-US"/>
              </w:rPr>
            </w:pPr>
          </w:p>
        </w:tc>
        <w:tc>
          <w:tcPr>
            <w:tcW w:w="8505" w:type="dxa"/>
            <w:gridSpan w:val="6"/>
            <w:tcBorders>
              <w:top w:val="nil"/>
            </w:tcBorders>
            <w:shd w:val="clear" w:color="auto" w:fill="auto"/>
            <w:vAlign w:val="center"/>
          </w:tcPr>
          <w:p w:rsidR="00470CA0" w:rsidRPr="00470CA0" w:rsidRDefault="00470CA0" w:rsidP="00E36889">
            <w:pPr>
              <w:spacing w:before="60" w:after="60"/>
              <w:ind w:left="0"/>
              <w:jc w:val="center"/>
              <w:cnfStyle w:val="100000000000" w:firstRow="1" w:lastRow="0" w:firstColumn="0" w:lastColumn="0" w:oddVBand="0" w:evenVBand="0" w:oddHBand="0" w:evenHBand="0" w:firstRowFirstColumn="0" w:firstRowLastColumn="0" w:lastRowFirstColumn="0" w:lastRowLastColumn="0"/>
              <w:rPr>
                <w:i/>
                <w:lang w:eastAsia="en-US"/>
              </w:rPr>
            </w:pPr>
            <w:r w:rsidRPr="00470CA0">
              <w:rPr>
                <w:i/>
                <w:lang w:eastAsia="en-US"/>
              </w:rPr>
              <w:t xml:space="preserve">No. of operating </w:t>
            </w:r>
            <w:r w:rsidR="00E36889">
              <w:rPr>
                <w:i/>
                <w:lang w:eastAsia="en-US"/>
              </w:rPr>
              <w:t>gaming machines</w:t>
            </w:r>
          </w:p>
        </w:tc>
      </w:tr>
      <w:tr w:rsidR="00470CA0" w:rsidRPr="00470CA0" w:rsidTr="00390E23">
        <w:trPr>
          <w:trHeight w:val="69"/>
        </w:trPr>
        <w:tc>
          <w:tcPr>
            <w:cnfStyle w:val="001000000000" w:firstRow="0" w:lastRow="0" w:firstColumn="1" w:lastColumn="0" w:oddVBand="0" w:evenVBand="0" w:oddHBand="0" w:evenHBand="0" w:firstRowFirstColumn="0" w:firstRowLastColumn="0" w:lastRowFirstColumn="0" w:lastRowLastColumn="0"/>
            <w:tcW w:w="709" w:type="dxa"/>
            <w:tcBorders>
              <w:top w:val="nil"/>
              <w:bottom w:val="nil"/>
            </w:tcBorders>
            <w:shd w:val="clear" w:color="auto" w:fill="auto"/>
          </w:tcPr>
          <w:p w:rsidR="00470CA0" w:rsidRPr="00470CA0" w:rsidRDefault="00470CA0" w:rsidP="00F4021E">
            <w:pPr>
              <w:spacing w:before="60" w:after="60"/>
              <w:ind w:left="0"/>
              <w:jc w:val="center"/>
              <w:rPr>
                <w:i/>
                <w:color w:val="4C4C4C"/>
                <w:lang w:eastAsia="en-US"/>
              </w:rPr>
            </w:pPr>
          </w:p>
        </w:tc>
        <w:tc>
          <w:tcPr>
            <w:tcW w:w="1417" w:type="dxa"/>
            <w:tcBorders>
              <w:top w:val="single" w:sz="2" w:space="0" w:color="auto"/>
              <w:bottom w:val="single" w:sz="2" w:space="0" w:color="auto"/>
            </w:tcBorders>
            <w:shd w:val="clear" w:color="auto" w:fill="D9D9D9" w:themeFill="background1" w:themeFillShade="D9"/>
            <w:vAlign w:val="center"/>
          </w:tcPr>
          <w:p w:rsidR="00470CA0" w:rsidRPr="008A481F" w:rsidRDefault="00470CA0" w:rsidP="00F4021E">
            <w:pPr>
              <w:spacing w:before="60" w:after="60"/>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C4C4C"/>
                <w:sz w:val="20"/>
                <w:szCs w:val="20"/>
                <w:lang w:eastAsia="en-US"/>
              </w:rPr>
            </w:pPr>
          </w:p>
        </w:tc>
        <w:tc>
          <w:tcPr>
            <w:tcW w:w="1418" w:type="dxa"/>
            <w:tcBorders>
              <w:top w:val="single" w:sz="2" w:space="0" w:color="auto"/>
            </w:tcBorders>
            <w:shd w:val="clear" w:color="auto" w:fill="D9D9D9" w:themeFill="background1" w:themeFillShade="D9"/>
            <w:vAlign w:val="center"/>
          </w:tcPr>
          <w:p w:rsidR="00470CA0" w:rsidRPr="008A481F" w:rsidRDefault="00470CA0" w:rsidP="00F4021E">
            <w:pPr>
              <w:spacing w:before="60" w:after="60"/>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C4C4C"/>
                <w:sz w:val="20"/>
                <w:szCs w:val="20"/>
                <w:lang w:eastAsia="en-US"/>
              </w:rPr>
            </w:pPr>
            <w:r w:rsidRPr="008A481F">
              <w:rPr>
                <w:rFonts w:asciiTheme="minorHAnsi" w:hAnsiTheme="minorHAnsi" w:cstheme="minorHAnsi"/>
                <w:i/>
                <w:color w:val="4C4C4C"/>
                <w:sz w:val="20"/>
                <w:szCs w:val="20"/>
                <w:lang w:eastAsia="en-US"/>
              </w:rPr>
              <w:t>20</w:t>
            </w:r>
          </w:p>
        </w:tc>
        <w:tc>
          <w:tcPr>
            <w:tcW w:w="1417" w:type="dxa"/>
            <w:tcBorders>
              <w:top w:val="single" w:sz="2" w:space="0" w:color="auto"/>
            </w:tcBorders>
            <w:shd w:val="clear" w:color="auto" w:fill="D9D9D9" w:themeFill="background1" w:themeFillShade="D9"/>
            <w:vAlign w:val="center"/>
          </w:tcPr>
          <w:p w:rsidR="00470CA0" w:rsidRPr="008A481F" w:rsidRDefault="00470CA0" w:rsidP="00F4021E">
            <w:pPr>
              <w:spacing w:before="60" w:after="60"/>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C4C4C"/>
                <w:sz w:val="20"/>
                <w:szCs w:val="20"/>
                <w:lang w:eastAsia="en-US"/>
              </w:rPr>
            </w:pPr>
            <w:r w:rsidRPr="008A481F">
              <w:rPr>
                <w:rFonts w:asciiTheme="minorHAnsi" w:hAnsiTheme="minorHAnsi" w:cstheme="minorHAnsi"/>
                <w:i/>
                <w:color w:val="4C4C4C"/>
                <w:sz w:val="20"/>
                <w:szCs w:val="20"/>
                <w:lang w:eastAsia="en-US"/>
              </w:rPr>
              <w:t>40</w:t>
            </w:r>
          </w:p>
        </w:tc>
        <w:tc>
          <w:tcPr>
            <w:tcW w:w="1418" w:type="dxa"/>
            <w:tcBorders>
              <w:top w:val="single" w:sz="2" w:space="0" w:color="auto"/>
            </w:tcBorders>
            <w:shd w:val="clear" w:color="auto" w:fill="D9D9D9" w:themeFill="background1" w:themeFillShade="D9"/>
            <w:vAlign w:val="center"/>
          </w:tcPr>
          <w:p w:rsidR="00470CA0" w:rsidRPr="008A481F" w:rsidRDefault="00470CA0" w:rsidP="00F4021E">
            <w:pPr>
              <w:spacing w:before="60" w:after="60"/>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C4C4C"/>
                <w:sz w:val="20"/>
                <w:szCs w:val="20"/>
                <w:lang w:eastAsia="en-US"/>
              </w:rPr>
            </w:pPr>
            <w:r w:rsidRPr="008A481F">
              <w:rPr>
                <w:rFonts w:asciiTheme="minorHAnsi" w:hAnsiTheme="minorHAnsi" w:cstheme="minorHAnsi"/>
                <w:i/>
                <w:color w:val="4C4C4C"/>
                <w:sz w:val="20"/>
                <w:szCs w:val="20"/>
                <w:lang w:eastAsia="en-US"/>
              </w:rPr>
              <w:t>60</w:t>
            </w:r>
          </w:p>
        </w:tc>
        <w:tc>
          <w:tcPr>
            <w:tcW w:w="1417" w:type="dxa"/>
            <w:tcBorders>
              <w:top w:val="single" w:sz="2" w:space="0" w:color="auto"/>
            </w:tcBorders>
            <w:shd w:val="clear" w:color="auto" w:fill="D9D9D9" w:themeFill="background1" w:themeFillShade="D9"/>
            <w:vAlign w:val="center"/>
          </w:tcPr>
          <w:p w:rsidR="00470CA0" w:rsidRPr="008A481F" w:rsidRDefault="00470CA0" w:rsidP="00F4021E">
            <w:pPr>
              <w:spacing w:before="60" w:after="60"/>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C4C4C"/>
                <w:sz w:val="20"/>
                <w:szCs w:val="20"/>
                <w:lang w:eastAsia="en-US"/>
              </w:rPr>
            </w:pPr>
            <w:r w:rsidRPr="008A481F">
              <w:rPr>
                <w:rFonts w:asciiTheme="minorHAnsi" w:hAnsiTheme="minorHAnsi" w:cstheme="minorHAnsi"/>
                <w:i/>
                <w:color w:val="4C4C4C"/>
                <w:sz w:val="20"/>
                <w:szCs w:val="20"/>
                <w:lang w:eastAsia="en-US"/>
              </w:rPr>
              <w:t>80</w:t>
            </w:r>
          </w:p>
        </w:tc>
        <w:tc>
          <w:tcPr>
            <w:tcW w:w="1418" w:type="dxa"/>
            <w:tcBorders>
              <w:top w:val="single" w:sz="2" w:space="0" w:color="auto"/>
            </w:tcBorders>
            <w:shd w:val="clear" w:color="auto" w:fill="D9D9D9" w:themeFill="background1" w:themeFillShade="D9"/>
            <w:vAlign w:val="center"/>
          </w:tcPr>
          <w:p w:rsidR="00470CA0" w:rsidRPr="008A481F" w:rsidRDefault="00470CA0" w:rsidP="00F4021E">
            <w:pPr>
              <w:spacing w:before="60" w:after="60"/>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4C4C4C"/>
                <w:sz w:val="20"/>
                <w:szCs w:val="20"/>
                <w:lang w:eastAsia="en-US"/>
              </w:rPr>
            </w:pPr>
            <w:r w:rsidRPr="008A481F">
              <w:rPr>
                <w:rFonts w:asciiTheme="minorHAnsi" w:hAnsiTheme="minorHAnsi" w:cstheme="minorHAnsi"/>
                <w:i/>
                <w:color w:val="4C4C4C"/>
                <w:sz w:val="20"/>
                <w:szCs w:val="20"/>
                <w:lang w:eastAsia="en-US"/>
              </w:rPr>
              <w:t>100</w:t>
            </w:r>
          </w:p>
        </w:tc>
      </w:tr>
      <w:tr w:rsidR="00122A1F" w:rsidRPr="00470CA0" w:rsidTr="008A481F">
        <w:tc>
          <w:tcPr>
            <w:cnfStyle w:val="001000000000" w:firstRow="0" w:lastRow="0" w:firstColumn="1" w:lastColumn="0" w:oddVBand="0" w:evenVBand="0" w:oddHBand="0" w:evenHBand="0" w:firstRowFirstColumn="0" w:firstRowLastColumn="0" w:lastRowFirstColumn="0" w:lastRowLastColumn="0"/>
            <w:tcW w:w="709" w:type="dxa"/>
            <w:vMerge w:val="restart"/>
            <w:tcBorders>
              <w:top w:val="nil"/>
              <w:bottom w:val="nil"/>
            </w:tcBorders>
            <w:textDirection w:val="btLr"/>
            <w:vAlign w:val="center"/>
          </w:tcPr>
          <w:p w:rsidR="00122A1F" w:rsidRPr="00470CA0" w:rsidRDefault="00122A1F" w:rsidP="00E36889">
            <w:pPr>
              <w:spacing w:before="60" w:after="60"/>
              <w:ind w:left="113" w:right="113"/>
              <w:jc w:val="center"/>
              <w:rPr>
                <w:i/>
                <w:lang w:eastAsia="en-US"/>
              </w:rPr>
            </w:pPr>
            <w:r>
              <w:rPr>
                <w:i/>
                <w:lang w:eastAsia="en-US"/>
              </w:rPr>
              <w:t xml:space="preserve">$ </w:t>
            </w:r>
            <w:r w:rsidRPr="00470CA0">
              <w:rPr>
                <w:i/>
                <w:lang w:eastAsia="en-US"/>
              </w:rPr>
              <w:t xml:space="preserve">Annual revenue per </w:t>
            </w:r>
            <w:r>
              <w:rPr>
                <w:i/>
                <w:lang w:eastAsia="en-US"/>
              </w:rPr>
              <w:t>gaming machine</w:t>
            </w:r>
          </w:p>
        </w:tc>
        <w:tc>
          <w:tcPr>
            <w:tcW w:w="1417" w:type="dxa"/>
            <w:tcBorders>
              <w:top w:val="single" w:sz="2" w:space="0" w:color="auto"/>
            </w:tcBorders>
            <w:shd w:val="pct15" w:color="auto" w:fill="auto"/>
            <w:vAlign w:val="center"/>
          </w:tcPr>
          <w:p w:rsidR="00122A1F" w:rsidRPr="008A481F" w:rsidRDefault="00122A1F" w:rsidP="00F4021E">
            <w:pPr>
              <w:spacing w:before="60" w:after="60"/>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lang w:eastAsia="en-US"/>
              </w:rPr>
            </w:pPr>
            <w:r>
              <w:rPr>
                <w:rFonts w:asciiTheme="minorHAnsi" w:hAnsiTheme="minorHAnsi" w:cstheme="minorHAnsi"/>
                <w:sz w:val="20"/>
                <w:szCs w:val="20"/>
                <w:lang w:eastAsia="en-US"/>
              </w:rPr>
              <w:t>20 </w:t>
            </w:r>
            <w:r w:rsidRPr="008A481F">
              <w:rPr>
                <w:rFonts w:asciiTheme="minorHAnsi" w:hAnsiTheme="minorHAnsi" w:cstheme="minorHAnsi"/>
                <w:sz w:val="20"/>
                <w:szCs w:val="20"/>
                <w:lang w:eastAsia="en-US"/>
              </w:rPr>
              <w:t>000</w:t>
            </w:r>
          </w:p>
        </w:tc>
        <w:tc>
          <w:tcPr>
            <w:tcW w:w="1418" w:type="dxa"/>
          </w:tcPr>
          <w:p w:rsidR="00122A1F" w:rsidRPr="00122A1F" w:rsidRDefault="00122A1F" w:rsidP="00122A1F">
            <w:pPr>
              <w:spacing w:before="60" w:after="60"/>
              <w:ind w:left="0"/>
              <w:jc w:val="center"/>
              <w:cnfStyle w:val="000000000000" w:firstRow="0" w:lastRow="0" w:firstColumn="0" w:lastColumn="0" w:oddVBand="0" w:evenVBand="0" w:oddHBand="0" w:evenHBand="0" w:firstRowFirstColumn="0" w:firstRowLastColumn="0" w:lastRowFirstColumn="0" w:lastRowLastColumn="0"/>
              <w:rPr>
                <w:sz w:val="20"/>
                <w:szCs w:val="20"/>
                <w:lang w:eastAsia="en-US"/>
              </w:rPr>
            </w:pPr>
            <w:r w:rsidRPr="00122A1F">
              <w:rPr>
                <w:sz w:val="20"/>
                <w:szCs w:val="20"/>
                <w:lang w:eastAsia="en-US"/>
              </w:rPr>
              <w:t xml:space="preserve">832 </w:t>
            </w:r>
          </w:p>
        </w:tc>
        <w:tc>
          <w:tcPr>
            <w:tcW w:w="1417" w:type="dxa"/>
          </w:tcPr>
          <w:p w:rsidR="00122A1F" w:rsidRPr="00122A1F" w:rsidRDefault="00122A1F" w:rsidP="00122A1F">
            <w:pPr>
              <w:spacing w:before="60" w:after="60"/>
              <w:ind w:left="0"/>
              <w:jc w:val="center"/>
              <w:cnfStyle w:val="000000000000" w:firstRow="0" w:lastRow="0" w:firstColumn="0" w:lastColumn="0" w:oddVBand="0" w:evenVBand="0" w:oddHBand="0" w:evenHBand="0" w:firstRowFirstColumn="0" w:firstRowLastColumn="0" w:lastRowFirstColumn="0" w:lastRowLastColumn="0"/>
              <w:rPr>
                <w:sz w:val="20"/>
                <w:szCs w:val="20"/>
                <w:lang w:eastAsia="en-US"/>
              </w:rPr>
            </w:pPr>
            <w:r w:rsidRPr="00122A1F">
              <w:rPr>
                <w:sz w:val="20"/>
                <w:szCs w:val="20"/>
                <w:lang w:eastAsia="en-US"/>
              </w:rPr>
              <w:t>1</w:t>
            </w:r>
            <w:r>
              <w:rPr>
                <w:sz w:val="20"/>
                <w:szCs w:val="20"/>
                <w:lang w:eastAsia="en-US"/>
              </w:rPr>
              <w:t> </w:t>
            </w:r>
            <w:r w:rsidRPr="00122A1F">
              <w:rPr>
                <w:sz w:val="20"/>
                <w:szCs w:val="20"/>
                <w:lang w:eastAsia="en-US"/>
              </w:rPr>
              <w:t xml:space="preserve">664 </w:t>
            </w:r>
          </w:p>
        </w:tc>
        <w:tc>
          <w:tcPr>
            <w:tcW w:w="1418" w:type="dxa"/>
          </w:tcPr>
          <w:p w:rsidR="00122A1F" w:rsidRPr="00122A1F" w:rsidRDefault="00122A1F" w:rsidP="00122A1F">
            <w:pPr>
              <w:spacing w:before="60" w:after="60"/>
              <w:ind w:left="0"/>
              <w:jc w:val="center"/>
              <w:cnfStyle w:val="000000000000" w:firstRow="0" w:lastRow="0" w:firstColumn="0" w:lastColumn="0" w:oddVBand="0" w:evenVBand="0" w:oddHBand="0" w:evenHBand="0" w:firstRowFirstColumn="0" w:firstRowLastColumn="0" w:lastRowFirstColumn="0" w:lastRowLastColumn="0"/>
              <w:rPr>
                <w:sz w:val="20"/>
                <w:szCs w:val="20"/>
                <w:lang w:eastAsia="en-US"/>
              </w:rPr>
            </w:pPr>
            <w:r w:rsidRPr="00122A1F">
              <w:rPr>
                <w:sz w:val="20"/>
                <w:szCs w:val="20"/>
                <w:lang w:eastAsia="en-US"/>
              </w:rPr>
              <w:t>2</w:t>
            </w:r>
            <w:r w:rsidR="00365514">
              <w:rPr>
                <w:sz w:val="20"/>
                <w:szCs w:val="20"/>
                <w:lang w:eastAsia="en-US"/>
              </w:rPr>
              <w:t> </w:t>
            </w:r>
            <w:r w:rsidRPr="00122A1F">
              <w:rPr>
                <w:sz w:val="20"/>
                <w:szCs w:val="20"/>
                <w:lang w:eastAsia="en-US"/>
              </w:rPr>
              <w:t xml:space="preserve">496 </w:t>
            </w:r>
          </w:p>
        </w:tc>
        <w:tc>
          <w:tcPr>
            <w:tcW w:w="1417" w:type="dxa"/>
          </w:tcPr>
          <w:p w:rsidR="00122A1F" w:rsidRPr="00122A1F" w:rsidRDefault="00122A1F" w:rsidP="00122A1F">
            <w:pPr>
              <w:spacing w:before="60" w:after="60"/>
              <w:ind w:left="0"/>
              <w:jc w:val="center"/>
              <w:cnfStyle w:val="000000000000" w:firstRow="0" w:lastRow="0" w:firstColumn="0" w:lastColumn="0" w:oddVBand="0" w:evenVBand="0" w:oddHBand="0" w:evenHBand="0" w:firstRowFirstColumn="0" w:firstRowLastColumn="0" w:lastRowFirstColumn="0" w:lastRowLastColumn="0"/>
              <w:rPr>
                <w:sz w:val="20"/>
                <w:szCs w:val="20"/>
                <w:lang w:eastAsia="en-US"/>
              </w:rPr>
            </w:pPr>
            <w:r w:rsidRPr="00122A1F">
              <w:rPr>
                <w:sz w:val="20"/>
                <w:szCs w:val="20"/>
                <w:lang w:eastAsia="en-US"/>
              </w:rPr>
              <w:t>3</w:t>
            </w:r>
            <w:r w:rsidR="00365514">
              <w:rPr>
                <w:sz w:val="20"/>
                <w:szCs w:val="20"/>
                <w:lang w:eastAsia="en-US"/>
              </w:rPr>
              <w:t> </w:t>
            </w:r>
            <w:r w:rsidRPr="00122A1F">
              <w:rPr>
                <w:sz w:val="20"/>
                <w:szCs w:val="20"/>
                <w:lang w:eastAsia="en-US"/>
              </w:rPr>
              <w:t xml:space="preserve">328 </w:t>
            </w:r>
          </w:p>
        </w:tc>
        <w:tc>
          <w:tcPr>
            <w:tcW w:w="1418" w:type="dxa"/>
          </w:tcPr>
          <w:p w:rsidR="00122A1F" w:rsidRPr="00122A1F" w:rsidRDefault="00122A1F" w:rsidP="00122A1F">
            <w:pPr>
              <w:spacing w:before="60" w:after="60"/>
              <w:ind w:left="0"/>
              <w:jc w:val="center"/>
              <w:cnfStyle w:val="000000000000" w:firstRow="0" w:lastRow="0" w:firstColumn="0" w:lastColumn="0" w:oddVBand="0" w:evenVBand="0" w:oddHBand="0" w:evenHBand="0" w:firstRowFirstColumn="0" w:firstRowLastColumn="0" w:lastRowFirstColumn="0" w:lastRowLastColumn="0"/>
              <w:rPr>
                <w:sz w:val="20"/>
                <w:szCs w:val="20"/>
                <w:lang w:eastAsia="en-US"/>
              </w:rPr>
            </w:pPr>
            <w:r w:rsidRPr="00122A1F">
              <w:rPr>
                <w:sz w:val="20"/>
                <w:szCs w:val="20"/>
                <w:lang w:eastAsia="en-US"/>
              </w:rPr>
              <w:t>4</w:t>
            </w:r>
            <w:r w:rsidR="00365514">
              <w:rPr>
                <w:sz w:val="20"/>
                <w:szCs w:val="20"/>
                <w:lang w:eastAsia="en-US"/>
              </w:rPr>
              <w:t> </w:t>
            </w:r>
            <w:r w:rsidRPr="00122A1F">
              <w:rPr>
                <w:sz w:val="20"/>
                <w:szCs w:val="20"/>
                <w:lang w:eastAsia="en-US"/>
              </w:rPr>
              <w:t xml:space="preserve">160 </w:t>
            </w:r>
          </w:p>
        </w:tc>
      </w:tr>
      <w:tr w:rsidR="00122A1F" w:rsidRPr="00470CA0" w:rsidTr="008A481F">
        <w:tc>
          <w:tcPr>
            <w:cnfStyle w:val="001000000000" w:firstRow="0" w:lastRow="0" w:firstColumn="1" w:lastColumn="0" w:oddVBand="0" w:evenVBand="0" w:oddHBand="0" w:evenHBand="0" w:firstRowFirstColumn="0" w:firstRowLastColumn="0" w:lastRowFirstColumn="0" w:lastRowLastColumn="0"/>
            <w:tcW w:w="709" w:type="dxa"/>
            <w:vMerge/>
            <w:tcBorders>
              <w:top w:val="nil"/>
              <w:bottom w:val="nil"/>
            </w:tcBorders>
          </w:tcPr>
          <w:p w:rsidR="00122A1F" w:rsidRPr="00470CA0" w:rsidRDefault="00122A1F" w:rsidP="00F4021E">
            <w:pPr>
              <w:spacing w:before="60" w:after="60"/>
              <w:ind w:left="0"/>
              <w:jc w:val="center"/>
              <w:rPr>
                <w:i/>
                <w:lang w:eastAsia="en-US"/>
              </w:rPr>
            </w:pPr>
          </w:p>
        </w:tc>
        <w:tc>
          <w:tcPr>
            <w:tcW w:w="1417" w:type="dxa"/>
            <w:shd w:val="pct15" w:color="auto" w:fill="auto"/>
            <w:vAlign w:val="center"/>
          </w:tcPr>
          <w:p w:rsidR="00122A1F" w:rsidRPr="008A481F" w:rsidRDefault="00122A1F" w:rsidP="00F4021E">
            <w:pPr>
              <w:spacing w:before="60" w:after="60"/>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lang w:eastAsia="en-US"/>
              </w:rPr>
            </w:pPr>
            <w:r>
              <w:rPr>
                <w:rFonts w:asciiTheme="minorHAnsi" w:hAnsiTheme="minorHAnsi" w:cstheme="minorHAnsi"/>
                <w:sz w:val="20"/>
                <w:szCs w:val="20"/>
                <w:lang w:eastAsia="en-US"/>
              </w:rPr>
              <w:t>40 </w:t>
            </w:r>
            <w:r w:rsidRPr="008A481F">
              <w:rPr>
                <w:rFonts w:asciiTheme="minorHAnsi" w:hAnsiTheme="minorHAnsi" w:cstheme="minorHAnsi"/>
                <w:sz w:val="20"/>
                <w:szCs w:val="20"/>
                <w:lang w:eastAsia="en-US"/>
              </w:rPr>
              <w:t>000</w:t>
            </w:r>
          </w:p>
        </w:tc>
        <w:tc>
          <w:tcPr>
            <w:tcW w:w="1418" w:type="dxa"/>
          </w:tcPr>
          <w:p w:rsidR="00122A1F" w:rsidRPr="00122A1F" w:rsidRDefault="00122A1F" w:rsidP="00122A1F">
            <w:pPr>
              <w:spacing w:before="60" w:after="60"/>
              <w:ind w:left="0"/>
              <w:jc w:val="center"/>
              <w:cnfStyle w:val="000000000000" w:firstRow="0" w:lastRow="0" w:firstColumn="0" w:lastColumn="0" w:oddVBand="0" w:evenVBand="0" w:oddHBand="0" w:evenHBand="0" w:firstRowFirstColumn="0" w:firstRowLastColumn="0" w:lastRowFirstColumn="0" w:lastRowLastColumn="0"/>
              <w:rPr>
                <w:sz w:val="20"/>
                <w:szCs w:val="20"/>
                <w:lang w:eastAsia="en-US"/>
              </w:rPr>
            </w:pPr>
            <w:r w:rsidRPr="00122A1F">
              <w:rPr>
                <w:sz w:val="20"/>
                <w:szCs w:val="20"/>
                <w:lang w:eastAsia="en-US"/>
              </w:rPr>
              <w:t>1</w:t>
            </w:r>
            <w:r>
              <w:rPr>
                <w:sz w:val="20"/>
                <w:szCs w:val="20"/>
                <w:lang w:eastAsia="en-US"/>
              </w:rPr>
              <w:t> </w:t>
            </w:r>
            <w:r w:rsidRPr="00122A1F">
              <w:rPr>
                <w:sz w:val="20"/>
                <w:szCs w:val="20"/>
                <w:lang w:eastAsia="en-US"/>
              </w:rPr>
              <w:t xml:space="preserve">664 </w:t>
            </w:r>
          </w:p>
        </w:tc>
        <w:tc>
          <w:tcPr>
            <w:tcW w:w="1417" w:type="dxa"/>
          </w:tcPr>
          <w:p w:rsidR="00122A1F" w:rsidRPr="00122A1F" w:rsidRDefault="00122A1F" w:rsidP="00122A1F">
            <w:pPr>
              <w:spacing w:before="60" w:after="60"/>
              <w:ind w:left="0"/>
              <w:jc w:val="center"/>
              <w:cnfStyle w:val="000000000000" w:firstRow="0" w:lastRow="0" w:firstColumn="0" w:lastColumn="0" w:oddVBand="0" w:evenVBand="0" w:oddHBand="0" w:evenHBand="0" w:firstRowFirstColumn="0" w:firstRowLastColumn="0" w:lastRowFirstColumn="0" w:lastRowLastColumn="0"/>
              <w:rPr>
                <w:sz w:val="20"/>
                <w:szCs w:val="20"/>
                <w:lang w:eastAsia="en-US"/>
              </w:rPr>
            </w:pPr>
            <w:r w:rsidRPr="00122A1F">
              <w:rPr>
                <w:sz w:val="20"/>
                <w:szCs w:val="20"/>
                <w:lang w:eastAsia="en-US"/>
              </w:rPr>
              <w:t>3</w:t>
            </w:r>
            <w:r>
              <w:rPr>
                <w:sz w:val="20"/>
                <w:szCs w:val="20"/>
                <w:lang w:eastAsia="en-US"/>
              </w:rPr>
              <w:t> </w:t>
            </w:r>
            <w:r w:rsidRPr="00122A1F">
              <w:rPr>
                <w:sz w:val="20"/>
                <w:szCs w:val="20"/>
                <w:lang w:eastAsia="en-US"/>
              </w:rPr>
              <w:t xml:space="preserve">328 </w:t>
            </w:r>
          </w:p>
        </w:tc>
        <w:tc>
          <w:tcPr>
            <w:tcW w:w="1418" w:type="dxa"/>
          </w:tcPr>
          <w:p w:rsidR="00122A1F" w:rsidRPr="00122A1F" w:rsidRDefault="00122A1F" w:rsidP="00122A1F">
            <w:pPr>
              <w:spacing w:before="60" w:after="60"/>
              <w:ind w:left="0"/>
              <w:jc w:val="center"/>
              <w:cnfStyle w:val="000000000000" w:firstRow="0" w:lastRow="0" w:firstColumn="0" w:lastColumn="0" w:oddVBand="0" w:evenVBand="0" w:oddHBand="0" w:evenHBand="0" w:firstRowFirstColumn="0" w:firstRowLastColumn="0" w:lastRowFirstColumn="0" w:lastRowLastColumn="0"/>
              <w:rPr>
                <w:sz w:val="20"/>
                <w:szCs w:val="20"/>
                <w:lang w:eastAsia="en-US"/>
              </w:rPr>
            </w:pPr>
            <w:r w:rsidRPr="00122A1F">
              <w:rPr>
                <w:sz w:val="20"/>
                <w:szCs w:val="20"/>
                <w:lang w:eastAsia="en-US"/>
              </w:rPr>
              <w:t>4</w:t>
            </w:r>
            <w:r w:rsidR="00365514">
              <w:rPr>
                <w:sz w:val="20"/>
                <w:szCs w:val="20"/>
                <w:lang w:eastAsia="en-US"/>
              </w:rPr>
              <w:t> </w:t>
            </w:r>
            <w:r w:rsidRPr="00122A1F">
              <w:rPr>
                <w:sz w:val="20"/>
                <w:szCs w:val="20"/>
                <w:lang w:eastAsia="en-US"/>
              </w:rPr>
              <w:t xml:space="preserve">992 </w:t>
            </w:r>
          </w:p>
        </w:tc>
        <w:tc>
          <w:tcPr>
            <w:tcW w:w="1417" w:type="dxa"/>
          </w:tcPr>
          <w:p w:rsidR="00122A1F" w:rsidRPr="00122A1F" w:rsidRDefault="00122A1F" w:rsidP="00122A1F">
            <w:pPr>
              <w:spacing w:before="60" w:after="60"/>
              <w:ind w:left="0"/>
              <w:jc w:val="center"/>
              <w:cnfStyle w:val="000000000000" w:firstRow="0" w:lastRow="0" w:firstColumn="0" w:lastColumn="0" w:oddVBand="0" w:evenVBand="0" w:oddHBand="0" w:evenHBand="0" w:firstRowFirstColumn="0" w:firstRowLastColumn="0" w:lastRowFirstColumn="0" w:lastRowLastColumn="0"/>
              <w:rPr>
                <w:sz w:val="20"/>
                <w:szCs w:val="20"/>
                <w:lang w:eastAsia="en-US"/>
              </w:rPr>
            </w:pPr>
            <w:r w:rsidRPr="00122A1F">
              <w:rPr>
                <w:sz w:val="20"/>
                <w:szCs w:val="20"/>
                <w:lang w:eastAsia="en-US"/>
              </w:rPr>
              <w:t>6</w:t>
            </w:r>
            <w:r w:rsidR="00365514">
              <w:rPr>
                <w:sz w:val="20"/>
                <w:szCs w:val="20"/>
                <w:lang w:eastAsia="en-US"/>
              </w:rPr>
              <w:t> </w:t>
            </w:r>
            <w:r w:rsidRPr="00122A1F">
              <w:rPr>
                <w:sz w:val="20"/>
                <w:szCs w:val="20"/>
                <w:lang w:eastAsia="en-US"/>
              </w:rPr>
              <w:t xml:space="preserve">656 </w:t>
            </w:r>
          </w:p>
        </w:tc>
        <w:tc>
          <w:tcPr>
            <w:tcW w:w="1418" w:type="dxa"/>
          </w:tcPr>
          <w:p w:rsidR="00122A1F" w:rsidRPr="00122A1F" w:rsidRDefault="00122A1F" w:rsidP="00122A1F">
            <w:pPr>
              <w:spacing w:before="60" w:after="60"/>
              <w:ind w:left="0"/>
              <w:jc w:val="center"/>
              <w:cnfStyle w:val="000000000000" w:firstRow="0" w:lastRow="0" w:firstColumn="0" w:lastColumn="0" w:oddVBand="0" w:evenVBand="0" w:oddHBand="0" w:evenHBand="0" w:firstRowFirstColumn="0" w:firstRowLastColumn="0" w:lastRowFirstColumn="0" w:lastRowLastColumn="0"/>
              <w:rPr>
                <w:sz w:val="20"/>
                <w:szCs w:val="20"/>
                <w:lang w:eastAsia="en-US"/>
              </w:rPr>
            </w:pPr>
            <w:r w:rsidRPr="00122A1F">
              <w:rPr>
                <w:sz w:val="20"/>
                <w:szCs w:val="20"/>
                <w:lang w:eastAsia="en-US"/>
              </w:rPr>
              <w:t>8</w:t>
            </w:r>
            <w:r w:rsidR="00365514">
              <w:rPr>
                <w:sz w:val="20"/>
                <w:szCs w:val="20"/>
                <w:lang w:eastAsia="en-US"/>
              </w:rPr>
              <w:t> </w:t>
            </w:r>
            <w:r w:rsidRPr="00122A1F">
              <w:rPr>
                <w:sz w:val="20"/>
                <w:szCs w:val="20"/>
                <w:lang w:eastAsia="en-US"/>
              </w:rPr>
              <w:t xml:space="preserve">320 </w:t>
            </w:r>
          </w:p>
        </w:tc>
      </w:tr>
      <w:tr w:rsidR="00122A1F" w:rsidRPr="00470CA0" w:rsidTr="008A481F">
        <w:tc>
          <w:tcPr>
            <w:cnfStyle w:val="001000000000" w:firstRow="0" w:lastRow="0" w:firstColumn="1" w:lastColumn="0" w:oddVBand="0" w:evenVBand="0" w:oddHBand="0" w:evenHBand="0" w:firstRowFirstColumn="0" w:firstRowLastColumn="0" w:lastRowFirstColumn="0" w:lastRowLastColumn="0"/>
            <w:tcW w:w="709" w:type="dxa"/>
            <w:vMerge/>
            <w:tcBorders>
              <w:top w:val="nil"/>
              <w:bottom w:val="nil"/>
            </w:tcBorders>
          </w:tcPr>
          <w:p w:rsidR="00122A1F" w:rsidRPr="00470CA0" w:rsidRDefault="00122A1F" w:rsidP="00F4021E">
            <w:pPr>
              <w:spacing w:before="60" w:after="60"/>
              <w:ind w:left="0"/>
              <w:jc w:val="center"/>
              <w:rPr>
                <w:i/>
                <w:lang w:eastAsia="en-US"/>
              </w:rPr>
            </w:pPr>
          </w:p>
        </w:tc>
        <w:tc>
          <w:tcPr>
            <w:tcW w:w="1417" w:type="dxa"/>
            <w:shd w:val="pct15" w:color="auto" w:fill="auto"/>
            <w:vAlign w:val="center"/>
          </w:tcPr>
          <w:p w:rsidR="00122A1F" w:rsidRPr="008A481F" w:rsidRDefault="00122A1F" w:rsidP="00F4021E">
            <w:pPr>
              <w:spacing w:before="60" w:after="60"/>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lang w:eastAsia="en-US"/>
              </w:rPr>
            </w:pPr>
            <w:r>
              <w:rPr>
                <w:rFonts w:asciiTheme="minorHAnsi" w:hAnsiTheme="minorHAnsi" w:cstheme="minorHAnsi"/>
                <w:sz w:val="20"/>
                <w:szCs w:val="20"/>
                <w:lang w:eastAsia="en-US"/>
              </w:rPr>
              <w:t>60 </w:t>
            </w:r>
            <w:r w:rsidRPr="008A481F">
              <w:rPr>
                <w:rFonts w:asciiTheme="minorHAnsi" w:hAnsiTheme="minorHAnsi" w:cstheme="minorHAnsi"/>
                <w:sz w:val="20"/>
                <w:szCs w:val="20"/>
                <w:lang w:eastAsia="en-US"/>
              </w:rPr>
              <w:t>000</w:t>
            </w:r>
          </w:p>
        </w:tc>
        <w:tc>
          <w:tcPr>
            <w:tcW w:w="1418" w:type="dxa"/>
          </w:tcPr>
          <w:p w:rsidR="00122A1F" w:rsidRPr="00122A1F" w:rsidRDefault="00122A1F" w:rsidP="00122A1F">
            <w:pPr>
              <w:spacing w:before="60" w:after="60"/>
              <w:ind w:left="0"/>
              <w:jc w:val="center"/>
              <w:cnfStyle w:val="000000000000" w:firstRow="0" w:lastRow="0" w:firstColumn="0" w:lastColumn="0" w:oddVBand="0" w:evenVBand="0" w:oddHBand="0" w:evenHBand="0" w:firstRowFirstColumn="0" w:firstRowLastColumn="0" w:lastRowFirstColumn="0" w:lastRowLastColumn="0"/>
              <w:rPr>
                <w:sz w:val="20"/>
                <w:szCs w:val="20"/>
                <w:lang w:eastAsia="en-US"/>
              </w:rPr>
            </w:pPr>
            <w:r w:rsidRPr="00122A1F">
              <w:rPr>
                <w:sz w:val="20"/>
                <w:szCs w:val="20"/>
                <w:lang w:eastAsia="en-US"/>
              </w:rPr>
              <w:t>2</w:t>
            </w:r>
            <w:r>
              <w:rPr>
                <w:sz w:val="20"/>
                <w:szCs w:val="20"/>
                <w:lang w:eastAsia="en-US"/>
              </w:rPr>
              <w:t> </w:t>
            </w:r>
            <w:r w:rsidRPr="00122A1F">
              <w:rPr>
                <w:sz w:val="20"/>
                <w:szCs w:val="20"/>
                <w:lang w:eastAsia="en-US"/>
              </w:rPr>
              <w:t xml:space="preserve">496 </w:t>
            </w:r>
          </w:p>
        </w:tc>
        <w:tc>
          <w:tcPr>
            <w:tcW w:w="1417" w:type="dxa"/>
          </w:tcPr>
          <w:p w:rsidR="00122A1F" w:rsidRPr="00122A1F" w:rsidRDefault="00122A1F" w:rsidP="00122A1F">
            <w:pPr>
              <w:spacing w:before="60" w:after="60"/>
              <w:ind w:left="0"/>
              <w:jc w:val="center"/>
              <w:cnfStyle w:val="000000000000" w:firstRow="0" w:lastRow="0" w:firstColumn="0" w:lastColumn="0" w:oddVBand="0" w:evenVBand="0" w:oddHBand="0" w:evenHBand="0" w:firstRowFirstColumn="0" w:firstRowLastColumn="0" w:lastRowFirstColumn="0" w:lastRowLastColumn="0"/>
              <w:rPr>
                <w:sz w:val="20"/>
                <w:szCs w:val="20"/>
                <w:lang w:eastAsia="en-US"/>
              </w:rPr>
            </w:pPr>
            <w:r w:rsidRPr="00122A1F">
              <w:rPr>
                <w:sz w:val="20"/>
                <w:szCs w:val="20"/>
                <w:lang w:eastAsia="en-US"/>
              </w:rPr>
              <w:t>4</w:t>
            </w:r>
            <w:r>
              <w:rPr>
                <w:sz w:val="20"/>
                <w:szCs w:val="20"/>
                <w:lang w:eastAsia="en-US"/>
              </w:rPr>
              <w:t> </w:t>
            </w:r>
            <w:r w:rsidRPr="00122A1F">
              <w:rPr>
                <w:sz w:val="20"/>
                <w:szCs w:val="20"/>
                <w:lang w:eastAsia="en-US"/>
              </w:rPr>
              <w:t xml:space="preserve">992 </w:t>
            </w:r>
          </w:p>
        </w:tc>
        <w:tc>
          <w:tcPr>
            <w:tcW w:w="1418" w:type="dxa"/>
          </w:tcPr>
          <w:p w:rsidR="00122A1F" w:rsidRPr="00122A1F" w:rsidRDefault="00122A1F" w:rsidP="00122A1F">
            <w:pPr>
              <w:spacing w:before="60" w:after="60"/>
              <w:ind w:left="0"/>
              <w:jc w:val="center"/>
              <w:cnfStyle w:val="000000000000" w:firstRow="0" w:lastRow="0" w:firstColumn="0" w:lastColumn="0" w:oddVBand="0" w:evenVBand="0" w:oddHBand="0" w:evenHBand="0" w:firstRowFirstColumn="0" w:firstRowLastColumn="0" w:lastRowFirstColumn="0" w:lastRowLastColumn="0"/>
              <w:rPr>
                <w:sz w:val="20"/>
                <w:szCs w:val="20"/>
                <w:lang w:eastAsia="en-US"/>
              </w:rPr>
            </w:pPr>
            <w:r w:rsidRPr="00122A1F">
              <w:rPr>
                <w:sz w:val="20"/>
                <w:szCs w:val="20"/>
                <w:lang w:eastAsia="en-US"/>
              </w:rPr>
              <w:t>7</w:t>
            </w:r>
            <w:r w:rsidR="00365514">
              <w:rPr>
                <w:sz w:val="20"/>
                <w:szCs w:val="20"/>
                <w:lang w:eastAsia="en-US"/>
              </w:rPr>
              <w:t> </w:t>
            </w:r>
            <w:r w:rsidRPr="00122A1F">
              <w:rPr>
                <w:sz w:val="20"/>
                <w:szCs w:val="20"/>
                <w:lang w:eastAsia="en-US"/>
              </w:rPr>
              <w:t xml:space="preserve">488 </w:t>
            </w:r>
          </w:p>
        </w:tc>
        <w:tc>
          <w:tcPr>
            <w:tcW w:w="1417" w:type="dxa"/>
          </w:tcPr>
          <w:p w:rsidR="00122A1F" w:rsidRPr="00122A1F" w:rsidRDefault="00122A1F" w:rsidP="00122A1F">
            <w:pPr>
              <w:spacing w:before="60" w:after="60"/>
              <w:ind w:left="0"/>
              <w:jc w:val="center"/>
              <w:cnfStyle w:val="000000000000" w:firstRow="0" w:lastRow="0" w:firstColumn="0" w:lastColumn="0" w:oddVBand="0" w:evenVBand="0" w:oddHBand="0" w:evenHBand="0" w:firstRowFirstColumn="0" w:firstRowLastColumn="0" w:lastRowFirstColumn="0" w:lastRowLastColumn="0"/>
              <w:rPr>
                <w:sz w:val="20"/>
                <w:szCs w:val="20"/>
                <w:lang w:eastAsia="en-US"/>
              </w:rPr>
            </w:pPr>
            <w:r w:rsidRPr="00122A1F">
              <w:rPr>
                <w:sz w:val="20"/>
                <w:szCs w:val="20"/>
                <w:lang w:eastAsia="en-US"/>
              </w:rPr>
              <w:t>9</w:t>
            </w:r>
            <w:r w:rsidR="00365514">
              <w:rPr>
                <w:sz w:val="20"/>
                <w:szCs w:val="20"/>
                <w:lang w:eastAsia="en-US"/>
              </w:rPr>
              <w:t> </w:t>
            </w:r>
            <w:r w:rsidRPr="00122A1F">
              <w:rPr>
                <w:sz w:val="20"/>
                <w:szCs w:val="20"/>
                <w:lang w:eastAsia="en-US"/>
              </w:rPr>
              <w:t xml:space="preserve">984 </w:t>
            </w:r>
          </w:p>
        </w:tc>
        <w:tc>
          <w:tcPr>
            <w:tcW w:w="1418" w:type="dxa"/>
          </w:tcPr>
          <w:p w:rsidR="00122A1F" w:rsidRPr="00122A1F" w:rsidRDefault="00122A1F" w:rsidP="00122A1F">
            <w:pPr>
              <w:spacing w:before="60" w:after="60"/>
              <w:ind w:left="0"/>
              <w:jc w:val="center"/>
              <w:cnfStyle w:val="000000000000" w:firstRow="0" w:lastRow="0" w:firstColumn="0" w:lastColumn="0" w:oddVBand="0" w:evenVBand="0" w:oddHBand="0" w:evenHBand="0" w:firstRowFirstColumn="0" w:firstRowLastColumn="0" w:lastRowFirstColumn="0" w:lastRowLastColumn="0"/>
              <w:rPr>
                <w:sz w:val="20"/>
                <w:szCs w:val="20"/>
                <w:lang w:eastAsia="en-US"/>
              </w:rPr>
            </w:pPr>
            <w:r w:rsidRPr="00122A1F">
              <w:rPr>
                <w:sz w:val="20"/>
                <w:szCs w:val="20"/>
                <w:lang w:eastAsia="en-US"/>
              </w:rPr>
              <w:t>12</w:t>
            </w:r>
            <w:r w:rsidR="00365514">
              <w:rPr>
                <w:sz w:val="20"/>
                <w:szCs w:val="20"/>
                <w:lang w:eastAsia="en-US"/>
              </w:rPr>
              <w:t> </w:t>
            </w:r>
            <w:r w:rsidRPr="00122A1F">
              <w:rPr>
                <w:sz w:val="20"/>
                <w:szCs w:val="20"/>
                <w:lang w:eastAsia="en-US"/>
              </w:rPr>
              <w:t xml:space="preserve">480 </w:t>
            </w:r>
          </w:p>
        </w:tc>
      </w:tr>
      <w:tr w:rsidR="00122A1F" w:rsidRPr="00470CA0" w:rsidTr="008A481F">
        <w:tc>
          <w:tcPr>
            <w:cnfStyle w:val="001000000000" w:firstRow="0" w:lastRow="0" w:firstColumn="1" w:lastColumn="0" w:oddVBand="0" w:evenVBand="0" w:oddHBand="0" w:evenHBand="0" w:firstRowFirstColumn="0" w:firstRowLastColumn="0" w:lastRowFirstColumn="0" w:lastRowLastColumn="0"/>
            <w:tcW w:w="709" w:type="dxa"/>
            <w:vMerge/>
            <w:tcBorders>
              <w:top w:val="nil"/>
              <w:bottom w:val="nil"/>
            </w:tcBorders>
          </w:tcPr>
          <w:p w:rsidR="00122A1F" w:rsidRPr="00470CA0" w:rsidRDefault="00122A1F" w:rsidP="00F4021E">
            <w:pPr>
              <w:spacing w:before="60" w:after="60"/>
              <w:ind w:left="0"/>
              <w:jc w:val="center"/>
              <w:rPr>
                <w:i/>
                <w:lang w:eastAsia="en-US"/>
              </w:rPr>
            </w:pPr>
          </w:p>
        </w:tc>
        <w:tc>
          <w:tcPr>
            <w:tcW w:w="1417" w:type="dxa"/>
            <w:shd w:val="pct15" w:color="auto" w:fill="auto"/>
            <w:vAlign w:val="center"/>
          </w:tcPr>
          <w:p w:rsidR="00122A1F" w:rsidRPr="008A481F" w:rsidRDefault="00122A1F" w:rsidP="00F4021E">
            <w:pPr>
              <w:spacing w:before="60" w:after="60"/>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lang w:eastAsia="en-US"/>
              </w:rPr>
            </w:pPr>
            <w:r>
              <w:rPr>
                <w:rFonts w:asciiTheme="minorHAnsi" w:hAnsiTheme="minorHAnsi" w:cstheme="minorHAnsi"/>
                <w:sz w:val="20"/>
                <w:szCs w:val="20"/>
                <w:lang w:eastAsia="en-US"/>
              </w:rPr>
              <w:t>80 </w:t>
            </w:r>
            <w:r w:rsidRPr="008A481F">
              <w:rPr>
                <w:rFonts w:asciiTheme="minorHAnsi" w:hAnsiTheme="minorHAnsi" w:cstheme="minorHAnsi"/>
                <w:sz w:val="20"/>
                <w:szCs w:val="20"/>
                <w:lang w:eastAsia="en-US"/>
              </w:rPr>
              <w:t>000</w:t>
            </w:r>
          </w:p>
        </w:tc>
        <w:tc>
          <w:tcPr>
            <w:tcW w:w="1418" w:type="dxa"/>
          </w:tcPr>
          <w:p w:rsidR="00122A1F" w:rsidRPr="00122A1F" w:rsidRDefault="00122A1F" w:rsidP="00122A1F">
            <w:pPr>
              <w:spacing w:before="60" w:after="60"/>
              <w:ind w:left="0"/>
              <w:jc w:val="center"/>
              <w:cnfStyle w:val="000000000000" w:firstRow="0" w:lastRow="0" w:firstColumn="0" w:lastColumn="0" w:oddVBand="0" w:evenVBand="0" w:oddHBand="0" w:evenHBand="0" w:firstRowFirstColumn="0" w:firstRowLastColumn="0" w:lastRowFirstColumn="0" w:lastRowLastColumn="0"/>
              <w:rPr>
                <w:sz w:val="20"/>
                <w:szCs w:val="20"/>
                <w:lang w:eastAsia="en-US"/>
              </w:rPr>
            </w:pPr>
            <w:r w:rsidRPr="00122A1F">
              <w:rPr>
                <w:sz w:val="20"/>
                <w:szCs w:val="20"/>
                <w:lang w:eastAsia="en-US"/>
              </w:rPr>
              <w:t>3</w:t>
            </w:r>
            <w:r>
              <w:rPr>
                <w:sz w:val="20"/>
                <w:szCs w:val="20"/>
                <w:lang w:eastAsia="en-US"/>
              </w:rPr>
              <w:t> </w:t>
            </w:r>
            <w:r w:rsidRPr="00122A1F">
              <w:rPr>
                <w:sz w:val="20"/>
                <w:szCs w:val="20"/>
                <w:lang w:eastAsia="en-US"/>
              </w:rPr>
              <w:t xml:space="preserve">328 </w:t>
            </w:r>
          </w:p>
        </w:tc>
        <w:tc>
          <w:tcPr>
            <w:tcW w:w="1417" w:type="dxa"/>
          </w:tcPr>
          <w:p w:rsidR="00122A1F" w:rsidRPr="00122A1F" w:rsidRDefault="00122A1F" w:rsidP="00122A1F">
            <w:pPr>
              <w:spacing w:before="60" w:after="60"/>
              <w:ind w:left="0"/>
              <w:jc w:val="center"/>
              <w:cnfStyle w:val="000000000000" w:firstRow="0" w:lastRow="0" w:firstColumn="0" w:lastColumn="0" w:oddVBand="0" w:evenVBand="0" w:oddHBand="0" w:evenHBand="0" w:firstRowFirstColumn="0" w:firstRowLastColumn="0" w:lastRowFirstColumn="0" w:lastRowLastColumn="0"/>
              <w:rPr>
                <w:sz w:val="20"/>
                <w:szCs w:val="20"/>
                <w:lang w:eastAsia="en-US"/>
              </w:rPr>
            </w:pPr>
            <w:r w:rsidRPr="00122A1F">
              <w:rPr>
                <w:sz w:val="20"/>
                <w:szCs w:val="20"/>
                <w:lang w:eastAsia="en-US"/>
              </w:rPr>
              <w:t>6</w:t>
            </w:r>
            <w:r>
              <w:rPr>
                <w:sz w:val="20"/>
                <w:szCs w:val="20"/>
                <w:lang w:eastAsia="en-US"/>
              </w:rPr>
              <w:t> </w:t>
            </w:r>
            <w:r w:rsidRPr="00122A1F">
              <w:rPr>
                <w:sz w:val="20"/>
                <w:szCs w:val="20"/>
                <w:lang w:eastAsia="en-US"/>
              </w:rPr>
              <w:t xml:space="preserve">656 </w:t>
            </w:r>
          </w:p>
        </w:tc>
        <w:tc>
          <w:tcPr>
            <w:tcW w:w="1418" w:type="dxa"/>
          </w:tcPr>
          <w:p w:rsidR="00122A1F" w:rsidRPr="00122A1F" w:rsidRDefault="00122A1F" w:rsidP="00122A1F">
            <w:pPr>
              <w:spacing w:before="60" w:after="60"/>
              <w:ind w:left="0"/>
              <w:jc w:val="center"/>
              <w:cnfStyle w:val="000000000000" w:firstRow="0" w:lastRow="0" w:firstColumn="0" w:lastColumn="0" w:oddVBand="0" w:evenVBand="0" w:oddHBand="0" w:evenHBand="0" w:firstRowFirstColumn="0" w:firstRowLastColumn="0" w:lastRowFirstColumn="0" w:lastRowLastColumn="0"/>
              <w:rPr>
                <w:sz w:val="20"/>
                <w:szCs w:val="20"/>
                <w:lang w:eastAsia="en-US"/>
              </w:rPr>
            </w:pPr>
            <w:r w:rsidRPr="00122A1F">
              <w:rPr>
                <w:sz w:val="20"/>
                <w:szCs w:val="20"/>
                <w:lang w:eastAsia="en-US"/>
              </w:rPr>
              <w:t>9</w:t>
            </w:r>
            <w:r w:rsidR="00365514">
              <w:rPr>
                <w:sz w:val="20"/>
                <w:szCs w:val="20"/>
                <w:lang w:eastAsia="en-US"/>
              </w:rPr>
              <w:t> </w:t>
            </w:r>
            <w:r w:rsidRPr="00122A1F">
              <w:rPr>
                <w:sz w:val="20"/>
                <w:szCs w:val="20"/>
                <w:lang w:eastAsia="en-US"/>
              </w:rPr>
              <w:t xml:space="preserve">984 </w:t>
            </w:r>
          </w:p>
        </w:tc>
        <w:tc>
          <w:tcPr>
            <w:tcW w:w="1417" w:type="dxa"/>
          </w:tcPr>
          <w:p w:rsidR="00122A1F" w:rsidRPr="00122A1F" w:rsidRDefault="00122A1F" w:rsidP="00122A1F">
            <w:pPr>
              <w:spacing w:before="60" w:after="60"/>
              <w:ind w:left="0"/>
              <w:jc w:val="center"/>
              <w:cnfStyle w:val="000000000000" w:firstRow="0" w:lastRow="0" w:firstColumn="0" w:lastColumn="0" w:oddVBand="0" w:evenVBand="0" w:oddHBand="0" w:evenHBand="0" w:firstRowFirstColumn="0" w:firstRowLastColumn="0" w:lastRowFirstColumn="0" w:lastRowLastColumn="0"/>
              <w:rPr>
                <w:sz w:val="20"/>
                <w:szCs w:val="20"/>
                <w:lang w:eastAsia="en-US"/>
              </w:rPr>
            </w:pPr>
            <w:r w:rsidRPr="00122A1F">
              <w:rPr>
                <w:sz w:val="20"/>
                <w:szCs w:val="20"/>
                <w:lang w:eastAsia="en-US"/>
              </w:rPr>
              <w:t>13</w:t>
            </w:r>
            <w:r w:rsidR="00365514">
              <w:rPr>
                <w:sz w:val="20"/>
                <w:szCs w:val="20"/>
                <w:lang w:eastAsia="en-US"/>
              </w:rPr>
              <w:t> </w:t>
            </w:r>
            <w:r w:rsidRPr="00122A1F">
              <w:rPr>
                <w:sz w:val="20"/>
                <w:szCs w:val="20"/>
                <w:lang w:eastAsia="en-US"/>
              </w:rPr>
              <w:t xml:space="preserve">312 </w:t>
            </w:r>
          </w:p>
        </w:tc>
        <w:tc>
          <w:tcPr>
            <w:tcW w:w="1418" w:type="dxa"/>
          </w:tcPr>
          <w:p w:rsidR="00122A1F" w:rsidRPr="00122A1F" w:rsidRDefault="00122A1F" w:rsidP="00122A1F">
            <w:pPr>
              <w:spacing w:before="60" w:after="60"/>
              <w:ind w:left="0"/>
              <w:jc w:val="center"/>
              <w:cnfStyle w:val="000000000000" w:firstRow="0" w:lastRow="0" w:firstColumn="0" w:lastColumn="0" w:oddVBand="0" w:evenVBand="0" w:oddHBand="0" w:evenHBand="0" w:firstRowFirstColumn="0" w:firstRowLastColumn="0" w:lastRowFirstColumn="0" w:lastRowLastColumn="0"/>
              <w:rPr>
                <w:sz w:val="20"/>
                <w:szCs w:val="20"/>
                <w:lang w:eastAsia="en-US"/>
              </w:rPr>
            </w:pPr>
            <w:r w:rsidRPr="00122A1F">
              <w:rPr>
                <w:sz w:val="20"/>
                <w:szCs w:val="20"/>
                <w:lang w:eastAsia="en-US"/>
              </w:rPr>
              <w:t>16</w:t>
            </w:r>
            <w:r w:rsidR="00365514">
              <w:rPr>
                <w:sz w:val="20"/>
                <w:szCs w:val="20"/>
                <w:lang w:eastAsia="en-US"/>
              </w:rPr>
              <w:t> </w:t>
            </w:r>
            <w:r w:rsidRPr="00122A1F">
              <w:rPr>
                <w:sz w:val="20"/>
                <w:szCs w:val="20"/>
                <w:lang w:eastAsia="en-US"/>
              </w:rPr>
              <w:t xml:space="preserve">640 </w:t>
            </w:r>
          </w:p>
        </w:tc>
      </w:tr>
      <w:tr w:rsidR="00122A1F" w:rsidRPr="00470CA0" w:rsidTr="008A481F">
        <w:tc>
          <w:tcPr>
            <w:cnfStyle w:val="001000000000" w:firstRow="0" w:lastRow="0" w:firstColumn="1" w:lastColumn="0" w:oddVBand="0" w:evenVBand="0" w:oddHBand="0" w:evenHBand="0" w:firstRowFirstColumn="0" w:firstRowLastColumn="0" w:lastRowFirstColumn="0" w:lastRowLastColumn="0"/>
            <w:tcW w:w="709" w:type="dxa"/>
            <w:vMerge/>
            <w:tcBorders>
              <w:top w:val="nil"/>
              <w:bottom w:val="nil"/>
            </w:tcBorders>
          </w:tcPr>
          <w:p w:rsidR="00122A1F" w:rsidRPr="00470CA0" w:rsidRDefault="00122A1F" w:rsidP="00F4021E">
            <w:pPr>
              <w:spacing w:before="60" w:after="60"/>
              <w:ind w:left="0"/>
              <w:jc w:val="center"/>
              <w:rPr>
                <w:i/>
                <w:lang w:eastAsia="en-US"/>
              </w:rPr>
            </w:pPr>
          </w:p>
        </w:tc>
        <w:tc>
          <w:tcPr>
            <w:tcW w:w="1417" w:type="dxa"/>
            <w:shd w:val="pct15" w:color="auto" w:fill="auto"/>
            <w:vAlign w:val="center"/>
          </w:tcPr>
          <w:p w:rsidR="00122A1F" w:rsidRPr="008A481F" w:rsidRDefault="00122A1F" w:rsidP="00F4021E">
            <w:pPr>
              <w:spacing w:before="60" w:after="60"/>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lang w:eastAsia="en-US"/>
              </w:rPr>
            </w:pPr>
            <w:r>
              <w:rPr>
                <w:rFonts w:asciiTheme="minorHAnsi" w:hAnsiTheme="minorHAnsi" w:cstheme="minorHAnsi"/>
                <w:sz w:val="20"/>
                <w:szCs w:val="20"/>
                <w:lang w:eastAsia="en-US"/>
              </w:rPr>
              <w:t>100 </w:t>
            </w:r>
            <w:r w:rsidRPr="008A481F">
              <w:rPr>
                <w:rFonts w:asciiTheme="minorHAnsi" w:hAnsiTheme="minorHAnsi" w:cstheme="minorHAnsi"/>
                <w:sz w:val="20"/>
                <w:szCs w:val="20"/>
                <w:lang w:eastAsia="en-US"/>
              </w:rPr>
              <w:t>000</w:t>
            </w:r>
          </w:p>
        </w:tc>
        <w:tc>
          <w:tcPr>
            <w:tcW w:w="1418" w:type="dxa"/>
          </w:tcPr>
          <w:p w:rsidR="00122A1F" w:rsidRPr="00122A1F" w:rsidRDefault="00122A1F" w:rsidP="00122A1F">
            <w:pPr>
              <w:spacing w:before="60" w:after="60"/>
              <w:ind w:left="0"/>
              <w:jc w:val="center"/>
              <w:cnfStyle w:val="000000000000" w:firstRow="0" w:lastRow="0" w:firstColumn="0" w:lastColumn="0" w:oddVBand="0" w:evenVBand="0" w:oddHBand="0" w:evenHBand="0" w:firstRowFirstColumn="0" w:firstRowLastColumn="0" w:lastRowFirstColumn="0" w:lastRowLastColumn="0"/>
              <w:rPr>
                <w:sz w:val="20"/>
                <w:szCs w:val="20"/>
                <w:lang w:eastAsia="en-US"/>
              </w:rPr>
            </w:pPr>
            <w:r w:rsidRPr="00122A1F">
              <w:rPr>
                <w:sz w:val="20"/>
                <w:szCs w:val="20"/>
                <w:lang w:eastAsia="en-US"/>
              </w:rPr>
              <w:t>4</w:t>
            </w:r>
            <w:r>
              <w:rPr>
                <w:sz w:val="20"/>
                <w:szCs w:val="20"/>
                <w:lang w:eastAsia="en-US"/>
              </w:rPr>
              <w:t> </w:t>
            </w:r>
            <w:r w:rsidRPr="00122A1F">
              <w:rPr>
                <w:sz w:val="20"/>
                <w:szCs w:val="20"/>
                <w:lang w:eastAsia="en-US"/>
              </w:rPr>
              <w:t xml:space="preserve">160 </w:t>
            </w:r>
          </w:p>
        </w:tc>
        <w:tc>
          <w:tcPr>
            <w:tcW w:w="1417" w:type="dxa"/>
          </w:tcPr>
          <w:p w:rsidR="00122A1F" w:rsidRPr="00122A1F" w:rsidRDefault="00122A1F" w:rsidP="00122A1F">
            <w:pPr>
              <w:spacing w:before="60" w:after="60"/>
              <w:ind w:left="0"/>
              <w:jc w:val="center"/>
              <w:cnfStyle w:val="000000000000" w:firstRow="0" w:lastRow="0" w:firstColumn="0" w:lastColumn="0" w:oddVBand="0" w:evenVBand="0" w:oddHBand="0" w:evenHBand="0" w:firstRowFirstColumn="0" w:firstRowLastColumn="0" w:lastRowFirstColumn="0" w:lastRowLastColumn="0"/>
              <w:rPr>
                <w:sz w:val="20"/>
                <w:szCs w:val="20"/>
                <w:lang w:eastAsia="en-US"/>
              </w:rPr>
            </w:pPr>
            <w:r w:rsidRPr="00122A1F">
              <w:rPr>
                <w:sz w:val="20"/>
                <w:szCs w:val="20"/>
                <w:lang w:eastAsia="en-US"/>
              </w:rPr>
              <w:t>8</w:t>
            </w:r>
            <w:r>
              <w:rPr>
                <w:sz w:val="20"/>
                <w:szCs w:val="20"/>
                <w:lang w:eastAsia="en-US"/>
              </w:rPr>
              <w:t> </w:t>
            </w:r>
            <w:r w:rsidRPr="00122A1F">
              <w:rPr>
                <w:sz w:val="20"/>
                <w:szCs w:val="20"/>
                <w:lang w:eastAsia="en-US"/>
              </w:rPr>
              <w:t xml:space="preserve">320 </w:t>
            </w:r>
          </w:p>
        </w:tc>
        <w:tc>
          <w:tcPr>
            <w:tcW w:w="1418" w:type="dxa"/>
          </w:tcPr>
          <w:p w:rsidR="00122A1F" w:rsidRPr="00122A1F" w:rsidRDefault="00122A1F" w:rsidP="00122A1F">
            <w:pPr>
              <w:spacing w:before="60" w:after="60"/>
              <w:ind w:left="0"/>
              <w:jc w:val="center"/>
              <w:cnfStyle w:val="000000000000" w:firstRow="0" w:lastRow="0" w:firstColumn="0" w:lastColumn="0" w:oddVBand="0" w:evenVBand="0" w:oddHBand="0" w:evenHBand="0" w:firstRowFirstColumn="0" w:firstRowLastColumn="0" w:lastRowFirstColumn="0" w:lastRowLastColumn="0"/>
              <w:rPr>
                <w:sz w:val="20"/>
                <w:szCs w:val="20"/>
                <w:lang w:eastAsia="en-US"/>
              </w:rPr>
            </w:pPr>
            <w:r w:rsidRPr="00122A1F">
              <w:rPr>
                <w:sz w:val="20"/>
                <w:szCs w:val="20"/>
                <w:lang w:eastAsia="en-US"/>
              </w:rPr>
              <w:t>12</w:t>
            </w:r>
            <w:r w:rsidR="00365514">
              <w:rPr>
                <w:sz w:val="20"/>
                <w:szCs w:val="20"/>
                <w:lang w:eastAsia="en-US"/>
              </w:rPr>
              <w:t> </w:t>
            </w:r>
            <w:r w:rsidRPr="00122A1F">
              <w:rPr>
                <w:sz w:val="20"/>
                <w:szCs w:val="20"/>
                <w:lang w:eastAsia="en-US"/>
              </w:rPr>
              <w:t xml:space="preserve">480 </w:t>
            </w:r>
          </w:p>
        </w:tc>
        <w:tc>
          <w:tcPr>
            <w:tcW w:w="1417" w:type="dxa"/>
          </w:tcPr>
          <w:p w:rsidR="00122A1F" w:rsidRPr="00122A1F" w:rsidRDefault="00122A1F" w:rsidP="00122A1F">
            <w:pPr>
              <w:spacing w:before="60" w:after="60"/>
              <w:ind w:left="0"/>
              <w:jc w:val="center"/>
              <w:cnfStyle w:val="000000000000" w:firstRow="0" w:lastRow="0" w:firstColumn="0" w:lastColumn="0" w:oddVBand="0" w:evenVBand="0" w:oddHBand="0" w:evenHBand="0" w:firstRowFirstColumn="0" w:firstRowLastColumn="0" w:lastRowFirstColumn="0" w:lastRowLastColumn="0"/>
              <w:rPr>
                <w:sz w:val="20"/>
                <w:szCs w:val="20"/>
                <w:lang w:eastAsia="en-US"/>
              </w:rPr>
            </w:pPr>
            <w:r w:rsidRPr="00122A1F">
              <w:rPr>
                <w:sz w:val="20"/>
                <w:szCs w:val="20"/>
                <w:lang w:eastAsia="en-US"/>
              </w:rPr>
              <w:t>16</w:t>
            </w:r>
            <w:r w:rsidR="00365514">
              <w:rPr>
                <w:sz w:val="20"/>
                <w:szCs w:val="20"/>
                <w:lang w:eastAsia="en-US"/>
              </w:rPr>
              <w:t> </w:t>
            </w:r>
            <w:r w:rsidRPr="00122A1F">
              <w:rPr>
                <w:sz w:val="20"/>
                <w:szCs w:val="20"/>
                <w:lang w:eastAsia="en-US"/>
              </w:rPr>
              <w:t xml:space="preserve">640 </w:t>
            </w:r>
          </w:p>
        </w:tc>
        <w:tc>
          <w:tcPr>
            <w:tcW w:w="1418" w:type="dxa"/>
          </w:tcPr>
          <w:p w:rsidR="00122A1F" w:rsidRPr="00122A1F" w:rsidRDefault="00122A1F" w:rsidP="00122A1F">
            <w:pPr>
              <w:spacing w:before="60" w:after="60"/>
              <w:ind w:left="0"/>
              <w:jc w:val="center"/>
              <w:cnfStyle w:val="000000000000" w:firstRow="0" w:lastRow="0" w:firstColumn="0" w:lastColumn="0" w:oddVBand="0" w:evenVBand="0" w:oddHBand="0" w:evenHBand="0" w:firstRowFirstColumn="0" w:firstRowLastColumn="0" w:lastRowFirstColumn="0" w:lastRowLastColumn="0"/>
              <w:rPr>
                <w:sz w:val="20"/>
                <w:szCs w:val="20"/>
                <w:lang w:eastAsia="en-US"/>
              </w:rPr>
            </w:pPr>
            <w:r w:rsidRPr="00122A1F">
              <w:rPr>
                <w:sz w:val="20"/>
                <w:szCs w:val="20"/>
                <w:lang w:eastAsia="en-US"/>
              </w:rPr>
              <w:t>20</w:t>
            </w:r>
            <w:r w:rsidR="00365514">
              <w:rPr>
                <w:sz w:val="20"/>
                <w:szCs w:val="20"/>
                <w:lang w:eastAsia="en-US"/>
              </w:rPr>
              <w:t> </w:t>
            </w:r>
            <w:r w:rsidRPr="00122A1F">
              <w:rPr>
                <w:sz w:val="20"/>
                <w:szCs w:val="20"/>
                <w:lang w:eastAsia="en-US"/>
              </w:rPr>
              <w:t xml:space="preserve">800 </w:t>
            </w:r>
          </w:p>
        </w:tc>
      </w:tr>
      <w:tr w:rsidR="00122A1F" w:rsidRPr="00470CA0" w:rsidTr="008A481F">
        <w:tc>
          <w:tcPr>
            <w:cnfStyle w:val="001000000000" w:firstRow="0" w:lastRow="0" w:firstColumn="1" w:lastColumn="0" w:oddVBand="0" w:evenVBand="0" w:oddHBand="0" w:evenHBand="0" w:firstRowFirstColumn="0" w:firstRowLastColumn="0" w:lastRowFirstColumn="0" w:lastRowLastColumn="0"/>
            <w:tcW w:w="709" w:type="dxa"/>
            <w:vMerge/>
            <w:tcBorders>
              <w:top w:val="nil"/>
              <w:bottom w:val="nil"/>
            </w:tcBorders>
          </w:tcPr>
          <w:p w:rsidR="00122A1F" w:rsidRPr="00470CA0" w:rsidRDefault="00122A1F" w:rsidP="00F4021E">
            <w:pPr>
              <w:spacing w:before="60" w:after="60"/>
              <w:ind w:left="0"/>
              <w:jc w:val="center"/>
              <w:rPr>
                <w:i/>
                <w:lang w:eastAsia="en-US"/>
              </w:rPr>
            </w:pPr>
          </w:p>
        </w:tc>
        <w:tc>
          <w:tcPr>
            <w:tcW w:w="1417" w:type="dxa"/>
            <w:shd w:val="pct15" w:color="auto" w:fill="auto"/>
            <w:vAlign w:val="center"/>
          </w:tcPr>
          <w:p w:rsidR="00122A1F" w:rsidRPr="001464E8" w:rsidRDefault="00122A1F" w:rsidP="00F4021E">
            <w:pPr>
              <w:spacing w:before="60" w:after="60"/>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lang w:eastAsia="en-US"/>
              </w:rPr>
            </w:pPr>
            <w:r>
              <w:rPr>
                <w:rFonts w:asciiTheme="minorHAnsi" w:hAnsiTheme="minorHAnsi" w:cstheme="minorHAnsi"/>
                <w:sz w:val="20"/>
                <w:szCs w:val="20"/>
                <w:lang w:eastAsia="en-US"/>
              </w:rPr>
              <w:t>120 </w:t>
            </w:r>
            <w:r w:rsidRPr="001464E8">
              <w:rPr>
                <w:rFonts w:asciiTheme="minorHAnsi" w:hAnsiTheme="minorHAnsi" w:cstheme="minorHAnsi"/>
                <w:sz w:val="20"/>
                <w:szCs w:val="20"/>
                <w:lang w:eastAsia="en-US"/>
              </w:rPr>
              <w:t>000</w:t>
            </w:r>
          </w:p>
        </w:tc>
        <w:tc>
          <w:tcPr>
            <w:tcW w:w="1418" w:type="dxa"/>
          </w:tcPr>
          <w:p w:rsidR="00122A1F" w:rsidRPr="00122A1F" w:rsidRDefault="00122A1F" w:rsidP="00122A1F">
            <w:pPr>
              <w:spacing w:before="60" w:after="60"/>
              <w:ind w:left="0"/>
              <w:jc w:val="center"/>
              <w:cnfStyle w:val="000000000000" w:firstRow="0" w:lastRow="0" w:firstColumn="0" w:lastColumn="0" w:oddVBand="0" w:evenVBand="0" w:oddHBand="0" w:evenHBand="0" w:firstRowFirstColumn="0" w:firstRowLastColumn="0" w:lastRowFirstColumn="0" w:lastRowLastColumn="0"/>
              <w:rPr>
                <w:sz w:val="20"/>
                <w:szCs w:val="20"/>
                <w:lang w:eastAsia="en-US"/>
              </w:rPr>
            </w:pPr>
            <w:r w:rsidRPr="00122A1F">
              <w:rPr>
                <w:sz w:val="20"/>
                <w:szCs w:val="20"/>
                <w:lang w:eastAsia="en-US"/>
              </w:rPr>
              <w:t>4</w:t>
            </w:r>
            <w:r>
              <w:rPr>
                <w:sz w:val="20"/>
                <w:szCs w:val="20"/>
                <w:lang w:eastAsia="en-US"/>
              </w:rPr>
              <w:t> </w:t>
            </w:r>
            <w:r w:rsidRPr="00122A1F">
              <w:rPr>
                <w:sz w:val="20"/>
                <w:szCs w:val="20"/>
                <w:lang w:eastAsia="en-US"/>
              </w:rPr>
              <w:t xml:space="preserve">992 </w:t>
            </w:r>
          </w:p>
        </w:tc>
        <w:tc>
          <w:tcPr>
            <w:tcW w:w="1417" w:type="dxa"/>
          </w:tcPr>
          <w:p w:rsidR="00122A1F" w:rsidRPr="00122A1F" w:rsidRDefault="00122A1F" w:rsidP="00122A1F">
            <w:pPr>
              <w:spacing w:before="60" w:after="60"/>
              <w:ind w:left="0"/>
              <w:jc w:val="center"/>
              <w:cnfStyle w:val="000000000000" w:firstRow="0" w:lastRow="0" w:firstColumn="0" w:lastColumn="0" w:oddVBand="0" w:evenVBand="0" w:oddHBand="0" w:evenHBand="0" w:firstRowFirstColumn="0" w:firstRowLastColumn="0" w:lastRowFirstColumn="0" w:lastRowLastColumn="0"/>
              <w:rPr>
                <w:sz w:val="20"/>
                <w:szCs w:val="20"/>
                <w:lang w:eastAsia="en-US"/>
              </w:rPr>
            </w:pPr>
            <w:r w:rsidRPr="00122A1F">
              <w:rPr>
                <w:sz w:val="20"/>
                <w:szCs w:val="20"/>
                <w:lang w:eastAsia="en-US"/>
              </w:rPr>
              <w:t>9</w:t>
            </w:r>
            <w:r>
              <w:rPr>
                <w:sz w:val="20"/>
                <w:szCs w:val="20"/>
                <w:lang w:eastAsia="en-US"/>
              </w:rPr>
              <w:t> </w:t>
            </w:r>
            <w:r w:rsidRPr="00122A1F">
              <w:rPr>
                <w:sz w:val="20"/>
                <w:szCs w:val="20"/>
                <w:lang w:eastAsia="en-US"/>
              </w:rPr>
              <w:t xml:space="preserve">984 </w:t>
            </w:r>
          </w:p>
        </w:tc>
        <w:tc>
          <w:tcPr>
            <w:tcW w:w="1418" w:type="dxa"/>
          </w:tcPr>
          <w:p w:rsidR="00122A1F" w:rsidRPr="00122A1F" w:rsidRDefault="00122A1F" w:rsidP="00122A1F">
            <w:pPr>
              <w:spacing w:before="60" w:after="60"/>
              <w:ind w:left="0"/>
              <w:jc w:val="center"/>
              <w:cnfStyle w:val="000000000000" w:firstRow="0" w:lastRow="0" w:firstColumn="0" w:lastColumn="0" w:oddVBand="0" w:evenVBand="0" w:oddHBand="0" w:evenHBand="0" w:firstRowFirstColumn="0" w:firstRowLastColumn="0" w:lastRowFirstColumn="0" w:lastRowLastColumn="0"/>
              <w:rPr>
                <w:sz w:val="20"/>
                <w:szCs w:val="20"/>
                <w:lang w:eastAsia="en-US"/>
              </w:rPr>
            </w:pPr>
            <w:r w:rsidRPr="00122A1F">
              <w:rPr>
                <w:sz w:val="20"/>
                <w:szCs w:val="20"/>
                <w:lang w:eastAsia="en-US"/>
              </w:rPr>
              <w:t>14</w:t>
            </w:r>
            <w:r w:rsidR="00365514">
              <w:rPr>
                <w:sz w:val="20"/>
                <w:szCs w:val="20"/>
                <w:lang w:eastAsia="en-US"/>
              </w:rPr>
              <w:t> </w:t>
            </w:r>
            <w:r w:rsidRPr="00122A1F">
              <w:rPr>
                <w:sz w:val="20"/>
                <w:szCs w:val="20"/>
                <w:lang w:eastAsia="en-US"/>
              </w:rPr>
              <w:t xml:space="preserve">976 </w:t>
            </w:r>
          </w:p>
        </w:tc>
        <w:tc>
          <w:tcPr>
            <w:tcW w:w="1417" w:type="dxa"/>
          </w:tcPr>
          <w:p w:rsidR="00122A1F" w:rsidRPr="00122A1F" w:rsidRDefault="00122A1F" w:rsidP="00122A1F">
            <w:pPr>
              <w:spacing w:before="60" w:after="60"/>
              <w:ind w:left="0"/>
              <w:jc w:val="center"/>
              <w:cnfStyle w:val="000000000000" w:firstRow="0" w:lastRow="0" w:firstColumn="0" w:lastColumn="0" w:oddVBand="0" w:evenVBand="0" w:oddHBand="0" w:evenHBand="0" w:firstRowFirstColumn="0" w:firstRowLastColumn="0" w:lastRowFirstColumn="0" w:lastRowLastColumn="0"/>
              <w:rPr>
                <w:sz w:val="20"/>
                <w:szCs w:val="20"/>
                <w:lang w:eastAsia="en-US"/>
              </w:rPr>
            </w:pPr>
            <w:r w:rsidRPr="00122A1F">
              <w:rPr>
                <w:sz w:val="20"/>
                <w:szCs w:val="20"/>
                <w:lang w:eastAsia="en-US"/>
              </w:rPr>
              <w:t>19</w:t>
            </w:r>
            <w:r w:rsidR="00365514">
              <w:rPr>
                <w:sz w:val="20"/>
                <w:szCs w:val="20"/>
                <w:lang w:eastAsia="en-US"/>
              </w:rPr>
              <w:t> </w:t>
            </w:r>
            <w:r w:rsidRPr="00122A1F">
              <w:rPr>
                <w:sz w:val="20"/>
                <w:szCs w:val="20"/>
                <w:lang w:eastAsia="en-US"/>
              </w:rPr>
              <w:t xml:space="preserve">968 </w:t>
            </w:r>
          </w:p>
        </w:tc>
        <w:tc>
          <w:tcPr>
            <w:tcW w:w="1418" w:type="dxa"/>
          </w:tcPr>
          <w:p w:rsidR="00122A1F" w:rsidRPr="00122A1F" w:rsidRDefault="00122A1F" w:rsidP="00122A1F">
            <w:pPr>
              <w:spacing w:before="60" w:after="60"/>
              <w:ind w:left="0"/>
              <w:jc w:val="center"/>
              <w:cnfStyle w:val="000000000000" w:firstRow="0" w:lastRow="0" w:firstColumn="0" w:lastColumn="0" w:oddVBand="0" w:evenVBand="0" w:oddHBand="0" w:evenHBand="0" w:firstRowFirstColumn="0" w:firstRowLastColumn="0" w:lastRowFirstColumn="0" w:lastRowLastColumn="0"/>
              <w:rPr>
                <w:sz w:val="20"/>
                <w:szCs w:val="20"/>
                <w:lang w:eastAsia="en-US"/>
              </w:rPr>
            </w:pPr>
            <w:r w:rsidRPr="00122A1F">
              <w:rPr>
                <w:sz w:val="20"/>
                <w:szCs w:val="20"/>
                <w:lang w:eastAsia="en-US"/>
              </w:rPr>
              <w:t>24</w:t>
            </w:r>
            <w:r w:rsidR="00365514">
              <w:rPr>
                <w:sz w:val="20"/>
                <w:szCs w:val="20"/>
                <w:lang w:eastAsia="en-US"/>
              </w:rPr>
              <w:t> </w:t>
            </w:r>
            <w:r w:rsidRPr="00122A1F">
              <w:rPr>
                <w:sz w:val="20"/>
                <w:szCs w:val="20"/>
                <w:lang w:eastAsia="en-US"/>
              </w:rPr>
              <w:t xml:space="preserve">960 </w:t>
            </w:r>
          </w:p>
        </w:tc>
      </w:tr>
      <w:tr w:rsidR="00122A1F" w:rsidRPr="00470CA0" w:rsidTr="008A481F">
        <w:tc>
          <w:tcPr>
            <w:cnfStyle w:val="001000000000" w:firstRow="0" w:lastRow="0" w:firstColumn="1" w:lastColumn="0" w:oddVBand="0" w:evenVBand="0" w:oddHBand="0" w:evenHBand="0" w:firstRowFirstColumn="0" w:firstRowLastColumn="0" w:lastRowFirstColumn="0" w:lastRowLastColumn="0"/>
            <w:tcW w:w="709" w:type="dxa"/>
            <w:vMerge/>
            <w:tcBorders>
              <w:top w:val="nil"/>
              <w:bottom w:val="nil"/>
            </w:tcBorders>
          </w:tcPr>
          <w:p w:rsidR="00122A1F" w:rsidRPr="00470CA0" w:rsidRDefault="00122A1F" w:rsidP="00F4021E">
            <w:pPr>
              <w:spacing w:before="60" w:after="60"/>
              <w:ind w:left="0"/>
              <w:jc w:val="center"/>
              <w:rPr>
                <w:i/>
                <w:lang w:eastAsia="en-US"/>
              </w:rPr>
            </w:pPr>
          </w:p>
        </w:tc>
        <w:tc>
          <w:tcPr>
            <w:tcW w:w="1417" w:type="dxa"/>
            <w:shd w:val="pct15" w:color="auto" w:fill="auto"/>
            <w:vAlign w:val="center"/>
          </w:tcPr>
          <w:p w:rsidR="00122A1F" w:rsidRPr="001464E8" w:rsidRDefault="00122A1F" w:rsidP="00F4021E">
            <w:pPr>
              <w:spacing w:before="60" w:after="60"/>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lang w:eastAsia="en-US"/>
              </w:rPr>
            </w:pPr>
            <w:r>
              <w:rPr>
                <w:rFonts w:asciiTheme="minorHAnsi" w:hAnsiTheme="minorHAnsi" w:cstheme="minorHAnsi"/>
                <w:sz w:val="20"/>
                <w:szCs w:val="20"/>
                <w:lang w:eastAsia="en-US"/>
              </w:rPr>
              <w:t>140 </w:t>
            </w:r>
            <w:r w:rsidRPr="001464E8">
              <w:rPr>
                <w:rFonts w:asciiTheme="minorHAnsi" w:hAnsiTheme="minorHAnsi" w:cstheme="minorHAnsi"/>
                <w:sz w:val="20"/>
                <w:szCs w:val="20"/>
                <w:lang w:eastAsia="en-US"/>
              </w:rPr>
              <w:t>000</w:t>
            </w:r>
          </w:p>
        </w:tc>
        <w:tc>
          <w:tcPr>
            <w:tcW w:w="1418" w:type="dxa"/>
          </w:tcPr>
          <w:p w:rsidR="00122A1F" w:rsidRPr="00122A1F" w:rsidRDefault="00122A1F" w:rsidP="00122A1F">
            <w:pPr>
              <w:spacing w:before="60" w:after="60"/>
              <w:ind w:left="0"/>
              <w:jc w:val="center"/>
              <w:cnfStyle w:val="000000000000" w:firstRow="0" w:lastRow="0" w:firstColumn="0" w:lastColumn="0" w:oddVBand="0" w:evenVBand="0" w:oddHBand="0" w:evenHBand="0" w:firstRowFirstColumn="0" w:firstRowLastColumn="0" w:lastRowFirstColumn="0" w:lastRowLastColumn="0"/>
              <w:rPr>
                <w:sz w:val="20"/>
                <w:szCs w:val="20"/>
                <w:lang w:eastAsia="en-US"/>
              </w:rPr>
            </w:pPr>
            <w:r w:rsidRPr="00122A1F">
              <w:rPr>
                <w:sz w:val="20"/>
                <w:szCs w:val="20"/>
                <w:lang w:eastAsia="en-US"/>
              </w:rPr>
              <w:t>5</w:t>
            </w:r>
            <w:r>
              <w:rPr>
                <w:sz w:val="20"/>
                <w:szCs w:val="20"/>
                <w:lang w:eastAsia="en-US"/>
              </w:rPr>
              <w:t> </w:t>
            </w:r>
            <w:r w:rsidRPr="00122A1F">
              <w:rPr>
                <w:sz w:val="20"/>
                <w:szCs w:val="20"/>
                <w:lang w:eastAsia="en-US"/>
              </w:rPr>
              <w:t xml:space="preserve">824 </w:t>
            </w:r>
          </w:p>
        </w:tc>
        <w:tc>
          <w:tcPr>
            <w:tcW w:w="1417" w:type="dxa"/>
          </w:tcPr>
          <w:p w:rsidR="00122A1F" w:rsidRPr="00122A1F" w:rsidRDefault="00122A1F" w:rsidP="00122A1F">
            <w:pPr>
              <w:spacing w:before="60" w:after="60"/>
              <w:ind w:left="0"/>
              <w:jc w:val="center"/>
              <w:cnfStyle w:val="000000000000" w:firstRow="0" w:lastRow="0" w:firstColumn="0" w:lastColumn="0" w:oddVBand="0" w:evenVBand="0" w:oddHBand="0" w:evenHBand="0" w:firstRowFirstColumn="0" w:firstRowLastColumn="0" w:lastRowFirstColumn="0" w:lastRowLastColumn="0"/>
              <w:rPr>
                <w:sz w:val="20"/>
                <w:szCs w:val="20"/>
                <w:lang w:eastAsia="en-US"/>
              </w:rPr>
            </w:pPr>
            <w:r w:rsidRPr="00122A1F">
              <w:rPr>
                <w:sz w:val="20"/>
                <w:szCs w:val="20"/>
                <w:lang w:eastAsia="en-US"/>
              </w:rPr>
              <w:t>11</w:t>
            </w:r>
            <w:r>
              <w:rPr>
                <w:sz w:val="20"/>
                <w:szCs w:val="20"/>
                <w:lang w:eastAsia="en-US"/>
              </w:rPr>
              <w:t> </w:t>
            </w:r>
            <w:r w:rsidRPr="00122A1F">
              <w:rPr>
                <w:sz w:val="20"/>
                <w:szCs w:val="20"/>
                <w:lang w:eastAsia="en-US"/>
              </w:rPr>
              <w:t xml:space="preserve">648 </w:t>
            </w:r>
          </w:p>
        </w:tc>
        <w:tc>
          <w:tcPr>
            <w:tcW w:w="1418" w:type="dxa"/>
          </w:tcPr>
          <w:p w:rsidR="00122A1F" w:rsidRPr="00122A1F" w:rsidRDefault="00122A1F" w:rsidP="00122A1F">
            <w:pPr>
              <w:spacing w:before="60" w:after="60"/>
              <w:ind w:left="0"/>
              <w:jc w:val="center"/>
              <w:cnfStyle w:val="000000000000" w:firstRow="0" w:lastRow="0" w:firstColumn="0" w:lastColumn="0" w:oddVBand="0" w:evenVBand="0" w:oddHBand="0" w:evenHBand="0" w:firstRowFirstColumn="0" w:firstRowLastColumn="0" w:lastRowFirstColumn="0" w:lastRowLastColumn="0"/>
              <w:rPr>
                <w:sz w:val="20"/>
                <w:szCs w:val="20"/>
                <w:lang w:eastAsia="en-US"/>
              </w:rPr>
            </w:pPr>
            <w:r w:rsidRPr="00122A1F">
              <w:rPr>
                <w:sz w:val="20"/>
                <w:szCs w:val="20"/>
                <w:lang w:eastAsia="en-US"/>
              </w:rPr>
              <w:t>17</w:t>
            </w:r>
            <w:r w:rsidR="00365514">
              <w:rPr>
                <w:sz w:val="20"/>
                <w:szCs w:val="20"/>
                <w:lang w:eastAsia="en-US"/>
              </w:rPr>
              <w:t> </w:t>
            </w:r>
            <w:r w:rsidRPr="00122A1F">
              <w:rPr>
                <w:sz w:val="20"/>
                <w:szCs w:val="20"/>
                <w:lang w:eastAsia="en-US"/>
              </w:rPr>
              <w:t xml:space="preserve">472 </w:t>
            </w:r>
          </w:p>
        </w:tc>
        <w:tc>
          <w:tcPr>
            <w:tcW w:w="1417" w:type="dxa"/>
          </w:tcPr>
          <w:p w:rsidR="00122A1F" w:rsidRPr="00122A1F" w:rsidRDefault="00122A1F" w:rsidP="00122A1F">
            <w:pPr>
              <w:spacing w:before="60" w:after="60"/>
              <w:ind w:left="0"/>
              <w:jc w:val="center"/>
              <w:cnfStyle w:val="000000000000" w:firstRow="0" w:lastRow="0" w:firstColumn="0" w:lastColumn="0" w:oddVBand="0" w:evenVBand="0" w:oddHBand="0" w:evenHBand="0" w:firstRowFirstColumn="0" w:firstRowLastColumn="0" w:lastRowFirstColumn="0" w:lastRowLastColumn="0"/>
              <w:rPr>
                <w:sz w:val="20"/>
                <w:szCs w:val="20"/>
                <w:lang w:eastAsia="en-US"/>
              </w:rPr>
            </w:pPr>
            <w:r w:rsidRPr="00122A1F">
              <w:rPr>
                <w:sz w:val="20"/>
                <w:szCs w:val="20"/>
                <w:lang w:eastAsia="en-US"/>
              </w:rPr>
              <w:t>23</w:t>
            </w:r>
            <w:r w:rsidR="00365514">
              <w:rPr>
                <w:sz w:val="20"/>
                <w:szCs w:val="20"/>
                <w:lang w:eastAsia="en-US"/>
              </w:rPr>
              <w:t> </w:t>
            </w:r>
            <w:r w:rsidRPr="00122A1F">
              <w:rPr>
                <w:sz w:val="20"/>
                <w:szCs w:val="20"/>
                <w:lang w:eastAsia="en-US"/>
              </w:rPr>
              <w:t xml:space="preserve">296 </w:t>
            </w:r>
          </w:p>
        </w:tc>
        <w:tc>
          <w:tcPr>
            <w:tcW w:w="1418" w:type="dxa"/>
          </w:tcPr>
          <w:p w:rsidR="00122A1F" w:rsidRPr="00122A1F" w:rsidRDefault="00122A1F" w:rsidP="00122A1F">
            <w:pPr>
              <w:spacing w:before="60" w:after="60"/>
              <w:ind w:left="0"/>
              <w:jc w:val="center"/>
              <w:cnfStyle w:val="000000000000" w:firstRow="0" w:lastRow="0" w:firstColumn="0" w:lastColumn="0" w:oddVBand="0" w:evenVBand="0" w:oddHBand="0" w:evenHBand="0" w:firstRowFirstColumn="0" w:firstRowLastColumn="0" w:lastRowFirstColumn="0" w:lastRowLastColumn="0"/>
              <w:rPr>
                <w:sz w:val="20"/>
                <w:szCs w:val="20"/>
                <w:lang w:eastAsia="en-US"/>
              </w:rPr>
            </w:pPr>
            <w:r w:rsidRPr="00122A1F">
              <w:rPr>
                <w:sz w:val="20"/>
                <w:szCs w:val="20"/>
                <w:lang w:eastAsia="en-US"/>
              </w:rPr>
              <w:t>29</w:t>
            </w:r>
            <w:r w:rsidR="00365514">
              <w:rPr>
                <w:sz w:val="20"/>
                <w:szCs w:val="20"/>
                <w:lang w:eastAsia="en-US"/>
              </w:rPr>
              <w:t> </w:t>
            </w:r>
            <w:r w:rsidRPr="00122A1F">
              <w:rPr>
                <w:sz w:val="20"/>
                <w:szCs w:val="20"/>
                <w:lang w:eastAsia="en-US"/>
              </w:rPr>
              <w:t xml:space="preserve">120 </w:t>
            </w:r>
          </w:p>
        </w:tc>
      </w:tr>
      <w:tr w:rsidR="00122A1F" w:rsidRPr="00470CA0" w:rsidTr="008A481F">
        <w:tc>
          <w:tcPr>
            <w:cnfStyle w:val="001000000000" w:firstRow="0" w:lastRow="0" w:firstColumn="1" w:lastColumn="0" w:oddVBand="0" w:evenVBand="0" w:oddHBand="0" w:evenHBand="0" w:firstRowFirstColumn="0" w:firstRowLastColumn="0" w:lastRowFirstColumn="0" w:lastRowLastColumn="0"/>
            <w:tcW w:w="709" w:type="dxa"/>
            <w:vMerge/>
            <w:tcBorders>
              <w:top w:val="nil"/>
              <w:bottom w:val="nil"/>
            </w:tcBorders>
          </w:tcPr>
          <w:p w:rsidR="00122A1F" w:rsidRPr="00470CA0" w:rsidRDefault="00122A1F" w:rsidP="00F4021E">
            <w:pPr>
              <w:spacing w:before="60" w:after="60"/>
              <w:ind w:left="0"/>
              <w:jc w:val="center"/>
              <w:rPr>
                <w:i/>
                <w:lang w:eastAsia="en-US"/>
              </w:rPr>
            </w:pPr>
          </w:p>
        </w:tc>
        <w:tc>
          <w:tcPr>
            <w:tcW w:w="1417" w:type="dxa"/>
            <w:shd w:val="pct15" w:color="auto" w:fill="auto"/>
            <w:vAlign w:val="center"/>
          </w:tcPr>
          <w:p w:rsidR="00122A1F" w:rsidRPr="001464E8" w:rsidRDefault="00122A1F" w:rsidP="00F4021E">
            <w:pPr>
              <w:spacing w:before="60" w:after="60"/>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lang w:eastAsia="en-US"/>
              </w:rPr>
            </w:pPr>
            <w:r>
              <w:rPr>
                <w:rFonts w:asciiTheme="minorHAnsi" w:hAnsiTheme="minorHAnsi" w:cstheme="minorHAnsi"/>
                <w:sz w:val="20"/>
                <w:szCs w:val="20"/>
                <w:lang w:eastAsia="en-US"/>
              </w:rPr>
              <w:t>160 </w:t>
            </w:r>
            <w:r w:rsidRPr="001464E8">
              <w:rPr>
                <w:rFonts w:asciiTheme="minorHAnsi" w:hAnsiTheme="minorHAnsi" w:cstheme="minorHAnsi"/>
                <w:sz w:val="20"/>
                <w:szCs w:val="20"/>
                <w:lang w:eastAsia="en-US"/>
              </w:rPr>
              <w:t>000</w:t>
            </w:r>
          </w:p>
        </w:tc>
        <w:tc>
          <w:tcPr>
            <w:tcW w:w="1418" w:type="dxa"/>
          </w:tcPr>
          <w:p w:rsidR="00122A1F" w:rsidRPr="00122A1F" w:rsidRDefault="00122A1F" w:rsidP="00122A1F">
            <w:pPr>
              <w:spacing w:before="60" w:after="60"/>
              <w:ind w:left="0"/>
              <w:jc w:val="center"/>
              <w:cnfStyle w:val="000000000000" w:firstRow="0" w:lastRow="0" w:firstColumn="0" w:lastColumn="0" w:oddVBand="0" w:evenVBand="0" w:oddHBand="0" w:evenHBand="0" w:firstRowFirstColumn="0" w:firstRowLastColumn="0" w:lastRowFirstColumn="0" w:lastRowLastColumn="0"/>
              <w:rPr>
                <w:sz w:val="20"/>
                <w:szCs w:val="20"/>
                <w:lang w:eastAsia="en-US"/>
              </w:rPr>
            </w:pPr>
            <w:r w:rsidRPr="00122A1F">
              <w:rPr>
                <w:sz w:val="20"/>
                <w:szCs w:val="20"/>
                <w:lang w:eastAsia="en-US"/>
              </w:rPr>
              <w:t>6</w:t>
            </w:r>
            <w:r>
              <w:rPr>
                <w:sz w:val="20"/>
                <w:szCs w:val="20"/>
                <w:lang w:eastAsia="en-US"/>
              </w:rPr>
              <w:t> </w:t>
            </w:r>
            <w:r w:rsidRPr="00122A1F">
              <w:rPr>
                <w:sz w:val="20"/>
                <w:szCs w:val="20"/>
                <w:lang w:eastAsia="en-US"/>
              </w:rPr>
              <w:t xml:space="preserve">656 </w:t>
            </w:r>
          </w:p>
        </w:tc>
        <w:tc>
          <w:tcPr>
            <w:tcW w:w="1417" w:type="dxa"/>
          </w:tcPr>
          <w:p w:rsidR="00122A1F" w:rsidRPr="00122A1F" w:rsidRDefault="00122A1F" w:rsidP="00122A1F">
            <w:pPr>
              <w:spacing w:before="60" w:after="60"/>
              <w:ind w:left="0"/>
              <w:jc w:val="center"/>
              <w:cnfStyle w:val="000000000000" w:firstRow="0" w:lastRow="0" w:firstColumn="0" w:lastColumn="0" w:oddVBand="0" w:evenVBand="0" w:oddHBand="0" w:evenHBand="0" w:firstRowFirstColumn="0" w:firstRowLastColumn="0" w:lastRowFirstColumn="0" w:lastRowLastColumn="0"/>
              <w:rPr>
                <w:sz w:val="20"/>
                <w:szCs w:val="20"/>
                <w:lang w:eastAsia="en-US"/>
              </w:rPr>
            </w:pPr>
            <w:r w:rsidRPr="00122A1F">
              <w:rPr>
                <w:sz w:val="20"/>
                <w:szCs w:val="20"/>
                <w:lang w:eastAsia="en-US"/>
              </w:rPr>
              <w:t>13</w:t>
            </w:r>
            <w:r>
              <w:rPr>
                <w:sz w:val="20"/>
                <w:szCs w:val="20"/>
                <w:lang w:eastAsia="en-US"/>
              </w:rPr>
              <w:t> </w:t>
            </w:r>
            <w:r w:rsidRPr="00122A1F">
              <w:rPr>
                <w:sz w:val="20"/>
                <w:szCs w:val="20"/>
                <w:lang w:eastAsia="en-US"/>
              </w:rPr>
              <w:t xml:space="preserve">312 </w:t>
            </w:r>
          </w:p>
        </w:tc>
        <w:tc>
          <w:tcPr>
            <w:tcW w:w="1418" w:type="dxa"/>
          </w:tcPr>
          <w:p w:rsidR="00122A1F" w:rsidRPr="00122A1F" w:rsidRDefault="00122A1F" w:rsidP="00122A1F">
            <w:pPr>
              <w:spacing w:before="60" w:after="60"/>
              <w:ind w:left="0"/>
              <w:jc w:val="center"/>
              <w:cnfStyle w:val="000000000000" w:firstRow="0" w:lastRow="0" w:firstColumn="0" w:lastColumn="0" w:oddVBand="0" w:evenVBand="0" w:oddHBand="0" w:evenHBand="0" w:firstRowFirstColumn="0" w:firstRowLastColumn="0" w:lastRowFirstColumn="0" w:lastRowLastColumn="0"/>
              <w:rPr>
                <w:sz w:val="20"/>
                <w:szCs w:val="20"/>
                <w:lang w:eastAsia="en-US"/>
              </w:rPr>
            </w:pPr>
            <w:r w:rsidRPr="00122A1F">
              <w:rPr>
                <w:sz w:val="20"/>
                <w:szCs w:val="20"/>
                <w:lang w:eastAsia="en-US"/>
              </w:rPr>
              <w:t>19</w:t>
            </w:r>
            <w:r w:rsidR="00365514">
              <w:rPr>
                <w:sz w:val="20"/>
                <w:szCs w:val="20"/>
                <w:lang w:eastAsia="en-US"/>
              </w:rPr>
              <w:t> </w:t>
            </w:r>
            <w:r w:rsidRPr="00122A1F">
              <w:rPr>
                <w:sz w:val="20"/>
                <w:szCs w:val="20"/>
                <w:lang w:eastAsia="en-US"/>
              </w:rPr>
              <w:t xml:space="preserve">968 </w:t>
            </w:r>
          </w:p>
        </w:tc>
        <w:tc>
          <w:tcPr>
            <w:tcW w:w="1417" w:type="dxa"/>
          </w:tcPr>
          <w:p w:rsidR="00122A1F" w:rsidRPr="00122A1F" w:rsidRDefault="00122A1F" w:rsidP="00122A1F">
            <w:pPr>
              <w:spacing w:before="60" w:after="60"/>
              <w:ind w:left="0"/>
              <w:jc w:val="center"/>
              <w:cnfStyle w:val="000000000000" w:firstRow="0" w:lastRow="0" w:firstColumn="0" w:lastColumn="0" w:oddVBand="0" w:evenVBand="0" w:oddHBand="0" w:evenHBand="0" w:firstRowFirstColumn="0" w:firstRowLastColumn="0" w:lastRowFirstColumn="0" w:lastRowLastColumn="0"/>
              <w:rPr>
                <w:sz w:val="20"/>
                <w:szCs w:val="20"/>
                <w:lang w:eastAsia="en-US"/>
              </w:rPr>
            </w:pPr>
            <w:r w:rsidRPr="00122A1F">
              <w:rPr>
                <w:sz w:val="20"/>
                <w:szCs w:val="20"/>
                <w:lang w:eastAsia="en-US"/>
              </w:rPr>
              <w:t>26</w:t>
            </w:r>
            <w:r w:rsidR="00365514">
              <w:rPr>
                <w:sz w:val="20"/>
                <w:szCs w:val="20"/>
                <w:lang w:eastAsia="en-US"/>
              </w:rPr>
              <w:t> </w:t>
            </w:r>
            <w:r w:rsidRPr="00122A1F">
              <w:rPr>
                <w:sz w:val="20"/>
                <w:szCs w:val="20"/>
                <w:lang w:eastAsia="en-US"/>
              </w:rPr>
              <w:t xml:space="preserve">624 </w:t>
            </w:r>
          </w:p>
        </w:tc>
        <w:tc>
          <w:tcPr>
            <w:tcW w:w="1418" w:type="dxa"/>
          </w:tcPr>
          <w:p w:rsidR="00122A1F" w:rsidRPr="00122A1F" w:rsidRDefault="00122A1F" w:rsidP="00122A1F">
            <w:pPr>
              <w:spacing w:before="60" w:after="60"/>
              <w:ind w:left="0"/>
              <w:jc w:val="center"/>
              <w:cnfStyle w:val="000000000000" w:firstRow="0" w:lastRow="0" w:firstColumn="0" w:lastColumn="0" w:oddVBand="0" w:evenVBand="0" w:oddHBand="0" w:evenHBand="0" w:firstRowFirstColumn="0" w:firstRowLastColumn="0" w:lastRowFirstColumn="0" w:lastRowLastColumn="0"/>
              <w:rPr>
                <w:sz w:val="20"/>
                <w:szCs w:val="20"/>
                <w:lang w:eastAsia="en-US"/>
              </w:rPr>
            </w:pPr>
            <w:r w:rsidRPr="00122A1F">
              <w:rPr>
                <w:sz w:val="20"/>
                <w:szCs w:val="20"/>
                <w:lang w:eastAsia="en-US"/>
              </w:rPr>
              <w:t>33</w:t>
            </w:r>
            <w:r w:rsidR="00365514">
              <w:rPr>
                <w:sz w:val="20"/>
                <w:szCs w:val="20"/>
                <w:lang w:eastAsia="en-US"/>
              </w:rPr>
              <w:t> </w:t>
            </w:r>
            <w:r w:rsidRPr="00122A1F">
              <w:rPr>
                <w:sz w:val="20"/>
                <w:szCs w:val="20"/>
                <w:lang w:eastAsia="en-US"/>
              </w:rPr>
              <w:t xml:space="preserve">280 </w:t>
            </w:r>
          </w:p>
        </w:tc>
      </w:tr>
      <w:tr w:rsidR="00122A1F" w:rsidRPr="00470CA0" w:rsidTr="008A481F">
        <w:tc>
          <w:tcPr>
            <w:cnfStyle w:val="001000000000" w:firstRow="0" w:lastRow="0" w:firstColumn="1" w:lastColumn="0" w:oddVBand="0" w:evenVBand="0" w:oddHBand="0" w:evenHBand="0" w:firstRowFirstColumn="0" w:firstRowLastColumn="0" w:lastRowFirstColumn="0" w:lastRowLastColumn="0"/>
            <w:tcW w:w="709" w:type="dxa"/>
            <w:vMerge/>
            <w:tcBorders>
              <w:top w:val="nil"/>
              <w:bottom w:val="nil"/>
            </w:tcBorders>
          </w:tcPr>
          <w:p w:rsidR="00122A1F" w:rsidRPr="00470CA0" w:rsidRDefault="00122A1F" w:rsidP="00F4021E">
            <w:pPr>
              <w:spacing w:before="60" w:after="60"/>
              <w:ind w:left="0"/>
              <w:jc w:val="center"/>
              <w:rPr>
                <w:i/>
                <w:lang w:eastAsia="en-US"/>
              </w:rPr>
            </w:pPr>
          </w:p>
        </w:tc>
        <w:tc>
          <w:tcPr>
            <w:tcW w:w="1417" w:type="dxa"/>
            <w:shd w:val="pct15" w:color="auto" w:fill="auto"/>
            <w:vAlign w:val="center"/>
          </w:tcPr>
          <w:p w:rsidR="00122A1F" w:rsidRPr="001464E8" w:rsidRDefault="00122A1F" w:rsidP="00F4021E">
            <w:pPr>
              <w:spacing w:before="60" w:after="60"/>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lang w:eastAsia="en-US"/>
              </w:rPr>
            </w:pPr>
            <w:r>
              <w:rPr>
                <w:rFonts w:asciiTheme="minorHAnsi" w:hAnsiTheme="minorHAnsi" w:cstheme="minorHAnsi"/>
                <w:sz w:val="20"/>
                <w:szCs w:val="20"/>
                <w:lang w:eastAsia="en-US"/>
              </w:rPr>
              <w:t>180 </w:t>
            </w:r>
            <w:r w:rsidRPr="001464E8">
              <w:rPr>
                <w:rFonts w:asciiTheme="minorHAnsi" w:hAnsiTheme="minorHAnsi" w:cstheme="minorHAnsi"/>
                <w:sz w:val="20"/>
                <w:szCs w:val="20"/>
                <w:lang w:eastAsia="en-US"/>
              </w:rPr>
              <w:t>000</w:t>
            </w:r>
          </w:p>
        </w:tc>
        <w:tc>
          <w:tcPr>
            <w:tcW w:w="1418" w:type="dxa"/>
          </w:tcPr>
          <w:p w:rsidR="00122A1F" w:rsidRPr="00122A1F" w:rsidRDefault="00122A1F" w:rsidP="00122A1F">
            <w:pPr>
              <w:spacing w:before="60" w:after="60"/>
              <w:ind w:left="0"/>
              <w:jc w:val="center"/>
              <w:cnfStyle w:val="000000000000" w:firstRow="0" w:lastRow="0" w:firstColumn="0" w:lastColumn="0" w:oddVBand="0" w:evenVBand="0" w:oddHBand="0" w:evenHBand="0" w:firstRowFirstColumn="0" w:firstRowLastColumn="0" w:lastRowFirstColumn="0" w:lastRowLastColumn="0"/>
              <w:rPr>
                <w:sz w:val="20"/>
                <w:szCs w:val="20"/>
                <w:lang w:eastAsia="en-US"/>
              </w:rPr>
            </w:pPr>
            <w:r w:rsidRPr="00122A1F">
              <w:rPr>
                <w:sz w:val="20"/>
                <w:szCs w:val="20"/>
                <w:lang w:eastAsia="en-US"/>
              </w:rPr>
              <w:t>7</w:t>
            </w:r>
            <w:r>
              <w:rPr>
                <w:sz w:val="20"/>
                <w:szCs w:val="20"/>
                <w:lang w:eastAsia="en-US"/>
              </w:rPr>
              <w:t> </w:t>
            </w:r>
            <w:r w:rsidRPr="00122A1F">
              <w:rPr>
                <w:sz w:val="20"/>
                <w:szCs w:val="20"/>
                <w:lang w:eastAsia="en-US"/>
              </w:rPr>
              <w:t xml:space="preserve">488 </w:t>
            </w:r>
          </w:p>
        </w:tc>
        <w:tc>
          <w:tcPr>
            <w:tcW w:w="1417" w:type="dxa"/>
          </w:tcPr>
          <w:p w:rsidR="00122A1F" w:rsidRPr="00122A1F" w:rsidRDefault="00122A1F" w:rsidP="00122A1F">
            <w:pPr>
              <w:spacing w:before="60" w:after="60"/>
              <w:ind w:left="0"/>
              <w:jc w:val="center"/>
              <w:cnfStyle w:val="000000000000" w:firstRow="0" w:lastRow="0" w:firstColumn="0" w:lastColumn="0" w:oddVBand="0" w:evenVBand="0" w:oddHBand="0" w:evenHBand="0" w:firstRowFirstColumn="0" w:firstRowLastColumn="0" w:lastRowFirstColumn="0" w:lastRowLastColumn="0"/>
              <w:rPr>
                <w:sz w:val="20"/>
                <w:szCs w:val="20"/>
                <w:lang w:eastAsia="en-US"/>
              </w:rPr>
            </w:pPr>
            <w:r w:rsidRPr="00122A1F">
              <w:rPr>
                <w:sz w:val="20"/>
                <w:szCs w:val="20"/>
                <w:lang w:eastAsia="en-US"/>
              </w:rPr>
              <w:t>14</w:t>
            </w:r>
            <w:r>
              <w:rPr>
                <w:sz w:val="20"/>
                <w:szCs w:val="20"/>
                <w:lang w:eastAsia="en-US"/>
              </w:rPr>
              <w:t> </w:t>
            </w:r>
            <w:r w:rsidRPr="00122A1F">
              <w:rPr>
                <w:sz w:val="20"/>
                <w:szCs w:val="20"/>
                <w:lang w:eastAsia="en-US"/>
              </w:rPr>
              <w:t xml:space="preserve">976 </w:t>
            </w:r>
          </w:p>
        </w:tc>
        <w:tc>
          <w:tcPr>
            <w:tcW w:w="1418" w:type="dxa"/>
          </w:tcPr>
          <w:p w:rsidR="00122A1F" w:rsidRPr="00122A1F" w:rsidRDefault="00122A1F" w:rsidP="00122A1F">
            <w:pPr>
              <w:spacing w:before="60" w:after="60"/>
              <w:ind w:left="0"/>
              <w:jc w:val="center"/>
              <w:cnfStyle w:val="000000000000" w:firstRow="0" w:lastRow="0" w:firstColumn="0" w:lastColumn="0" w:oddVBand="0" w:evenVBand="0" w:oddHBand="0" w:evenHBand="0" w:firstRowFirstColumn="0" w:firstRowLastColumn="0" w:lastRowFirstColumn="0" w:lastRowLastColumn="0"/>
              <w:rPr>
                <w:sz w:val="20"/>
                <w:szCs w:val="20"/>
                <w:lang w:eastAsia="en-US"/>
              </w:rPr>
            </w:pPr>
            <w:r w:rsidRPr="00122A1F">
              <w:rPr>
                <w:sz w:val="20"/>
                <w:szCs w:val="20"/>
                <w:lang w:eastAsia="en-US"/>
              </w:rPr>
              <w:t>22</w:t>
            </w:r>
            <w:r w:rsidR="00365514">
              <w:rPr>
                <w:sz w:val="20"/>
                <w:szCs w:val="20"/>
                <w:lang w:eastAsia="en-US"/>
              </w:rPr>
              <w:t> </w:t>
            </w:r>
            <w:r w:rsidRPr="00122A1F">
              <w:rPr>
                <w:sz w:val="20"/>
                <w:szCs w:val="20"/>
                <w:lang w:eastAsia="en-US"/>
              </w:rPr>
              <w:t xml:space="preserve">464 </w:t>
            </w:r>
          </w:p>
        </w:tc>
        <w:tc>
          <w:tcPr>
            <w:tcW w:w="1417" w:type="dxa"/>
          </w:tcPr>
          <w:p w:rsidR="00122A1F" w:rsidRPr="00122A1F" w:rsidRDefault="00122A1F" w:rsidP="00122A1F">
            <w:pPr>
              <w:spacing w:before="60" w:after="60"/>
              <w:ind w:left="0"/>
              <w:jc w:val="center"/>
              <w:cnfStyle w:val="000000000000" w:firstRow="0" w:lastRow="0" w:firstColumn="0" w:lastColumn="0" w:oddVBand="0" w:evenVBand="0" w:oddHBand="0" w:evenHBand="0" w:firstRowFirstColumn="0" w:firstRowLastColumn="0" w:lastRowFirstColumn="0" w:lastRowLastColumn="0"/>
              <w:rPr>
                <w:sz w:val="20"/>
                <w:szCs w:val="20"/>
                <w:lang w:eastAsia="en-US"/>
              </w:rPr>
            </w:pPr>
            <w:r w:rsidRPr="00122A1F">
              <w:rPr>
                <w:sz w:val="20"/>
                <w:szCs w:val="20"/>
                <w:lang w:eastAsia="en-US"/>
              </w:rPr>
              <w:t>29</w:t>
            </w:r>
            <w:r w:rsidR="00365514">
              <w:rPr>
                <w:sz w:val="20"/>
                <w:szCs w:val="20"/>
                <w:lang w:eastAsia="en-US"/>
              </w:rPr>
              <w:t> </w:t>
            </w:r>
            <w:r w:rsidRPr="00122A1F">
              <w:rPr>
                <w:sz w:val="20"/>
                <w:szCs w:val="20"/>
                <w:lang w:eastAsia="en-US"/>
              </w:rPr>
              <w:t xml:space="preserve">952 </w:t>
            </w:r>
          </w:p>
        </w:tc>
        <w:tc>
          <w:tcPr>
            <w:tcW w:w="1418" w:type="dxa"/>
          </w:tcPr>
          <w:p w:rsidR="00122A1F" w:rsidRPr="00122A1F" w:rsidRDefault="00122A1F" w:rsidP="00122A1F">
            <w:pPr>
              <w:spacing w:before="60" w:after="60"/>
              <w:ind w:left="0"/>
              <w:jc w:val="center"/>
              <w:cnfStyle w:val="000000000000" w:firstRow="0" w:lastRow="0" w:firstColumn="0" w:lastColumn="0" w:oddVBand="0" w:evenVBand="0" w:oddHBand="0" w:evenHBand="0" w:firstRowFirstColumn="0" w:firstRowLastColumn="0" w:lastRowFirstColumn="0" w:lastRowLastColumn="0"/>
              <w:rPr>
                <w:sz w:val="20"/>
                <w:szCs w:val="20"/>
                <w:lang w:eastAsia="en-US"/>
              </w:rPr>
            </w:pPr>
            <w:r w:rsidRPr="00122A1F">
              <w:rPr>
                <w:sz w:val="20"/>
                <w:szCs w:val="20"/>
                <w:lang w:eastAsia="en-US"/>
              </w:rPr>
              <w:t>37</w:t>
            </w:r>
            <w:r w:rsidR="00365514">
              <w:rPr>
                <w:sz w:val="20"/>
                <w:szCs w:val="20"/>
                <w:lang w:eastAsia="en-US"/>
              </w:rPr>
              <w:t> </w:t>
            </w:r>
            <w:r w:rsidRPr="00122A1F">
              <w:rPr>
                <w:sz w:val="20"/>
                <w:szCs w:val="20"/>
                <w:lang w:eastAsia="en-US"/>
              </w:rPr>
              <w:t xml:space="preserve">440 </w:t>
            </w:r>
          </w:p>
        </w:tc>
      </w:tr>
      <w:tr w:rsidR="00122A1F" w:rsidRPr="00470CA0" w:rsidTr="008A481F">
        <w:tc>
          <w:tcPr>
            <w:cnfStyle w:val="001000000000" w:firstRow="0" w:lastRow="0" w:firstColumn="1" w:lastColumn="0" w:oddVBand="0" w:evenVBand="0" w:oddHBand="0" w:evenHBand="0" w:firstRowFirstColumn="0" w:firstRowLastColumn="0" w:lastRowFirstColumn="0" w:lastRowLastColumn="0"/>
            <w:tcW w:w="709" w:type="dxa"/>
            <w:vMerge/>
            <w:tcBorders>
              <w:top w:val="nil"/>
              <w:bottom w:val="nil"/>
            </w:tcBorders>
          </w:tcPr>
          <w:p w:rsidR="00122A1F" w:rsidRPr="00470CA0" w:rsidRDefault="00122A1F" w:rsidP="00F4021E">
            <w:pPr>
              <w:spacing w:before="60" w:after="60"/>
              <w:ind w:left="0"/>
              <w:jc w:val="center"/>
              <w:rPr>
                <w:i/>
                <w:lang w:eastAsia="en-US"/>
              </w:rPr>
            </w:pPr>
          </w:p>
        </w:tc>
        <w:tc>
          <w:tcPr>
            <w:tcW w:w="1417" w:type="dxa"/>
            <w:shd w:val="pct15" w:color="auto" w:fill="auto"/>
            <w:vAlign w:val="center"/>
          </w:tcPr>
          <w:p w:rsidR="00122A1F" w:rsidRPr="001464E8" w:rsidRDefault="00122A1F" w:rsidP="00F4021E">
            <w:pPr>
              <w:spacing w:before="60" w:after="60"/>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lang w:eastAsia="en-US"/>
              </w:rPr>
            </w:pPr>
            <w:r>
              <w:rPr>
                <w:rFonts w:asciiTheme="minorHAnsi" w:hAnsiTheme="minorHAnsi" w:cstheme="minorHAnsi"/>
                <w:sz w:val="20"/>
                <w:szCs w:val="20"/>
                <w:lang w:eastAsia="en-US"/>
              </w:rPr>
              <w:t>200 </w:t>
            </w:r>
            <w:r w:rsidRPr="001464E8">
              <w:rPr>
                <w:rFonts w:asciiTheme="minorHAnsi" w:hAnsiTheme="minorHAnsi" w:cstheme="minorHAnsi"/>
                <w:sz w:val="20"/>
                <w:szCs w:val="20"/>
                <w:lang w:eastAsia="en-US"/>
              </w:rPr>
              <w:t>000</w:t>
            </w:r>
          </w:p>
        </w:tc>
        <w:tc>
          <w:tcPr>
            <w:tcW w:w="1418" w:type="dxa"/>
          </w:tcPr>
          <w:p w:rsidR="00122A1F" w:rsidRPr="00122A1F" w:rsidRDefault="00122A1F" w:rsidP="00122A1F">
            <w:pPr>
              <w:spacing w:before="60" w:after="60"/>
              <w:ind w:left="0"/>
              <w:jc w:val="center"/>
              <w:cnfStyle w:val="000000000000" w:firstRow="0" w:lastRow="0" w:firstColumn="0" w:lastColumn="0" w:oddVBand="0" w:evenVBand="0" w:oddHBand="0" w:evenHBand="0" w:firstRowFirstColumn="0" w:firstRowLastColumn="0" w:lastRowFirstColumn="0" w:lastRowLastColumn="0"/>
              <w:rPr>
                <w:sz w:val="20"/>
                <w:szCs w:val="20"/>
                <w:lang w:eastAsia="en-US"/>
              </w:rPr>
            </w:pPr>
            <w:r w:rsidRPr="00122A1F">
              <w:rPr>
                <w:sz w:val="20"/>
                <w:szCs w:val="20"/>
                <w:lang w:eastAsia="en-US"/>
              </w:rPr>
              <w:t>8</w:t>
            </w:r>
            <w:r>
              <w:rPr>
                <w:sz w:val="20"/>
                <w:szCs w:val="20"/>
                <w:lang w:eastAsia="en-US"/>
              </w:rPr>
              <w:t> </w:t>
            </w:r>
            <w:r w:rsidRPr="00122A1F">
              <w:rPr>
                <w:sz w:val="20"/>
                <w:szCs w:val="20"/>
                <w:lang w:eastAsia="en-US"/>
              </w:rPr>
              <w:t xml:space="preserve">320 </w:t>
            </w:r>
          </w:p>
        </w:tc>
        <w:tc>
          <w:tcPr>
            <w:tcW w:w="1417" w:type="dxa"/>
          </w:tcPr>
          <w:p w:rsidR="00122A1F" w:rsidRPr="00122A1F" w:rsidRDefault="00122A1F" w:rsidP="00122A1F">
            <w:pPr>
              <w:spacing w:before="60" w:after="60"/>
              <w:ind w:left="0"/>
              <w:jc w:val="center"/>
              <w:cnfStyle w:val="000000000000" w:firstRow="0" w:lastRow="0" w:firstColumn="0" w:lastColumn="0" w:oddVBand="0" w:evenVBand="0" w:oddHBand="0" w:evenHBand="0" w:firstRowFirstColumn="0" w:firstRowLastColumn="0" w:lastRowFirstColumn="0" w:lastRowLastColumn="0"/>
              <w:rPr>
                <w:sz w:val="20"/>
                <w:szCs w:val="20"/>
                <w:lang w:eastAsia="en-US"/>
              </w:rPr>
            </w:pPr>
            <w:r w:rsidRPr="00122A1F">
              <w:rPr>
                <w:sz w:val="20"/>
                <w:szCs w:val="20"/>
                <w:lang w:eastAsia="en-US"/>
              </w:rPr>
              <w:t>16</w:t>
            </w:r>
            <w:r>
              <w:rPr>
                <w:sz w:val="20"/>
                <w:szCs w:val="20"/>
                <w:lang w:eastAsia="en-US"/>
              </w:rPr>
              <w:t> </w:t>
            </w:r>
            <w:r w:rsidRPr="00122A1F">
              <w:rPr>
                <w:sz w:val="20"/>
                <w:szCs w:val="20"/>
                <w:lang w:eastAsia="en-US"/>
              </w:rPr>
              <w:t xml:space="preserve">640 </w:t>
            </w:r>
          </w:p>
        </w:tc>
        <w:tc>
          <w:tcPr>
            <w:tcW w:w="1418" w:type="dxa"/>
          </w:tcPr>
          <w:p w:rsidR="00122A1F" w:rsidRPr="00122A1F" w:rsidRDefault="00122A1F" w:rsidP="00122A1F">
            <w:pPr>
              <w:spacing w:before="60" w:after="60"/>
              <w:ind w:left="0"/>
              <w:jc w:val="center"/>
              <w:cnfStyle w:val="000000000000" w:firstRow="0" w:lastRow="0" w:firstColumn="0" w:lastColumn="0" w:oddVBand="0" w:evenVBand="0" w:oddHBand="0" w:evenHBand="0" w:firstRowFirstColumn="0" w:firstRowLastColumn="0" w:lastRowFirstColumn="0" w:lastRowLastColumn="0"/>
              <w:rPr>
                <w:sz w:val="20"/>
                <w:szCs w:val="20"/>
                <w:lang w:eastAsia="en-US"/>
              </w:rPr>
            </w:pPr>
            <w:r w:rsidRPr="00122A1F">
              <w:rPr>
                <w:sz w:val="20"/>
                <w:szCs w:val="20"/>
                <w:lang w:eastAsia="en-US"/>
              </w:rPr>
              <w:t>24</w:t>
            </w:r>
            <w:r w:rsidR="00365514">
              <w:rPr>
                <w:sz w:val="20"/>
                <w:szCs w:val="20"/>
                <w:lang w:eastAsia="en-US"/>
              </w:rPr>
              <w:t> </w:t>
            </w:r>
            <w:r w:rsidRPr="00122A1F">
              <w:rPr>
                <w:sz w:val="20"/>
                <w:szCs w:val="20"/>
                <w:lang w:eastAsia="en-US"/>
              </w:rPr>
              <w:t xml:space="preserve">960 </w:t>
            </w:r>
          </w:p>
        </w:tc>
        <w:tc>
          <w:tcPr>
            <w:tcW w:w="1417" w:type="dxa"/>
          </w:tcPr>
          <w:p w:rsidR="00122A1F" w:rsidRPr="00122A1F" w:rsidRDefault="00122A1F" w:rsidP="00122A1F">
            <w:pPr>
              <w:spacing w:before="60" w:after="60"/>
              <w:ind w:left="0"/>
              <w:jc w:val="center"/>
              <w:cnfStyle w:val="000000000000" w:firstRow="0" w:lastRow="0" w:firstColumn="0" w:lastColumn="0" w:oddVBand="0" w:evenVBand="0" w:oddHBand="0" w:evenHBand="0" w:firstRowFirstColumn="0" w:firstRowLastColumn="0" w:lastRowFirstColumn="0" w:lastRowLastColumn="0"/>
              <w:rPr>
                <w:sz w:val="20"/>
                <w:szCs w:val="20"/>
                <w:lang w:eastAsia="en-US"/>
              </w:rPr>
            </w:pPr>
            <w:r w:rsidRPr="00122A1F">
              <w:rPr>
                <w:sz w:val="20"/>
                <w:szCs w:val="20"/>
                <w:lang w:eastAsia="en-US"/>
              </w:rPr>
              <w:t>33</w:t>
            </w:r>
            <w:r w:rsidR="00365514">
              <w:rPr>
                <w:sz w:val="20"/>
                <w:szCs w:val="20"/>
                <w:lang w:eastAsia="en-US"/>
              </w:rPr>
              <w:t> </w:t>
            </w:r>
            <w:r w:rsidRPr="00122A1F">
              <w:rPr>
                <w:sz w:val="20"/>
                <w:szCs w:val="20"/>
                <w:lang w:eastAsia="en-US"/>
              </w:rPr>
              <w:t xml:space="preserve">280 </w:t>
            </w:r>
          </w:p>
        </w:tc>
        <w:tc>
          <w:tcPr>
            <w:tcW w:w="1418" w:type="dxa"/>
          </w:tcPr>
          <w:p w:rsidR="00122A1F" w:rsidRPr="00122A1F" w:rsidRDefault="00122A1F" w:rsidP="00122A1F">
            <w:pPr>
              <w:spacing w:before="60" w:after="60"/>
              <w:ind w:left="0"/>
              <w:jc w:val="center"/>
              <w:cnfStyle w:val="000000000000" w:firstRow="0" w:lastRow="0" w:firstColumn="0" w:lastColumn="0" w:oddVBand="0" w:evenVBand="0" w:oddHBand="0" w:evenHBand="0" w:firstRowFirstColumn="0" w:firstRowLastColumn="0" w:lastRowFirstColumn="0" w:lastRowLastColumn="0"/>
              <w:rPr>
                <w:sz w:val="20"/>
                <w:szCs w:val="20"/>
                <w:lang w:eastAsia="en-US"/>
              </w:rPr>
            </w:pPr>
            <w:r w:rsidRPr="00122A1F">
              <w:rPr>
                <w:sz w:val="20"/>
                <w:szCs w:val="20"/>
                <w:lang w:eastAsia="en-US"/>
              </w:rPr>
              <w:t>41</w:t>
            </w:r>
            <w:r w:rsidR="00365514">
              <w:rPr>
                <w:sz w:val="20"/>
                <w:szCs w:val="20"/>
                <w:lang w:eastAsia="en-US"/>
              </w:rPr>
              <w:t> </w:t>
            </w:r>
            <w:r w:rsidRPr="00122A1F">
              <w:rPr>
                <w:sz w:val="20"/>
                <w:szCs w:val="20"/>
                <w:lang w:eastAsia="en-US"/>
              </w:rPr>
              <w:t xml:space="preserve">600 </w:t>
            </w:r>
          </w:p>
        </w:tc>
      </w:tr>
    </w:tbl>
    <w:p w:rsidR="00470CA0" w:rsidRPr="00470CA0" w:rsidRDefault="00B61A29" w:rsidP="00717ACB">
      <w:pPr>
        <w:pStyle w:val="Heading3"/>
        <w:spacing w:before="360"/>
      </w:pPr>
      <w:bookmarkStart w:id="28" w:name="_Toc356830869"/>
      <w:r>
        <w:t>Option D</w:t>
      </w:r>
      <w:r w:rsidR="00EF60D3">
        <w:t xml:space="preserve"> – F</w:t>
      </w:r>
      <w:r w:rsidR="00470CA0" w:rsidRPr="00470CA0">
        <w:t>ixed fee per entitlement</w:t>
      </w:r>
      <w:bookmarkEnd w:id="28"/>
      <w:r w:rsidR="00470CA0" w:rsidRPr="00470CA0">
        <w:t xml:space="preserve"> </w:t>
      </w:r>
    </w:p>
    <w:p w:rsidR="003C5D33" w:rsidRPr="003C5D33" w:rsidRDefault="003C5D33" w:rsidP="003C5D33">
      <w:pPr>
        <w:spacing w:before="240" w:after="240"/>
        <w:rPr>
          <w:szCs w:val="24"/>
          <w:lang w:eastAsia="en-US"/>
        </w:rPr>
      </w:pPr>
      <w:r w:rsidRPr="003C5D33">
        <w:rPr>
          <w:szCs w:val="24"/>
          <w:lang w:eastAsia="en-US"/>
        </w:rPr>
        <w:t>Option D proposes a fixed fee per entitlement denominated in Victorian fee units.</w:t>
      </w:r>
    </w:p>
    <w:p w:rsidR="003C5D33" w:rsidRPr="003C5D33" w:rsidRDefault="00EF60D3" w:rsidP="003C5D33">
      <w:pPr>
        <w:spacing w:before="240" w:after="240"/>
        <w:rPr>
          <w:szCs w:val="24"/>
          <w:lang w:eastAsia="en-US"/>
        </w:rPr>
      </w:pPr>
      <w:r>
        <w:rPr>
          <w:szCs w:val="24"/>
          <w:lang w:eastAsia="en-US"/>
        </w:rPr>
        <w:t>The G</w:t>
      </w:r>
      <w:r w:rsidR="003C5D33" w:rsidRPr="003C5D33">
        <w:rPr>
          <w:szCs w:val="24"/>
          <w:lang w:eastAsia="en-US"/>
        </w:rPr>
        <w:t>overnment has a policy of automatically indexing certain fees each year for inflation so that their value is maintained. To achieve this objective without the need to amend regulations every year, fees are denominated in certain numbers of fee units. Fee units are indexed annually by an amount set by the Treasurer, with a 2012-13 fee unit set at $12.53.</w:t>
      </w:r>
    </w:p>
    <w:p w:rsidR="000A52AF" w:rsidRDefault="003C5D33" w:rsidP="00E36889">
      <w:pPr>
        <w:spacing w:before="240" w:after="240"/>
        <w:rPr>
          <w:szCs w:val="24"/>
          <w:lang w:eastAsia="en-US"/>
        </w:rPr>
      </w:pPr>
      <w:r w:rsidRPr="003C5D33">
        <w:rPr>
          <w:szCs w:val="24"/>
          <w:lang w:eastAsia="en-US"/>
        </w:rPr>
        <w:t>Option D fixes the real value of the supervision charge in 2012-13, and uses fee units to allow the charge to grow in nominal terms in line with inflation. This would remove the need for VCGLR to calculate its regulatory costs every year.</w:t>
      </w:r>
      <w:r w:rsidR="000A52AF">
        <w:rPr>
          <w:szCs w:val="24"/>
          <w:lang w:eastAsia="en-US"/>
        </w:rPr>
        <w:br w:type="page"/>
      </w:r>
    </w:p>
    <w:p w:rsidR="003C5D33" w:rsidRDefault="003C5D33" w:rsidP="003C5D33">
      <w:pPr>
        <w:spacing w:before="240" w:after="240"/>
        <w:rPr>
          <w:szCs w:val="24"/>
          <w:lang w:eastAsia="en-US"/>
        </w:rPr>
      </w:pPr>
      <w:r w:rsidRPr="002A6200">
        <w:rPr>
          <w:b/>
          <w:szCs w:val="24"/>
          <w:lang w:eastAsia="en-US"/>
        </w:rPr>
        <w:t xml:space="preserve">In 2012-13, the </w:t>
      </w:r>
      <w:r w:rsidR="002A6200">
        <w:rPr>
          <w:b/>
          <w:szCs w:val="24"/>
          <w:lang w:eastAsia="en-US"/>
        </w:rPr>
        <w:t xml:space="preserve">estimated </w:t>
      </w:r>
      <w:r w:rsidRPr="002A6200">
        <w:rPr>
          <w:b/>
          <w:szCs w:val="24"/>
          <w:lang w:eastAsia="en-US"/>
        </w:rPr>
        <w:t>charge would be set at 15.62</w:t>
      </w:r>
      <w:r w:rsidR="00E773D3">
        <w:rPr>
          <w:b/>
          <w:szCs w:val="24"/>
          <w:lang w:eastAsia="en-US"/>
        </w:rPr>
        <w:t>25</w:t>
      </w:r>
      <w:r w:rsidRPr="002A6200">
        <w:rPr>
          <w:b/>
          <w:szCs w:val="24"/>
          <w:lang w:eastAsia="en-US"/>
        </w:rPr>
        <w:t xml:space="preserve"> fee units</w:t>
      </w:r>
      <w:r w:rsidRPr="003C5D33">
        <w:rPr>
          <w:szCs w:val="24"/>
          <w:lang w:eastAsia="en-US"/>
        </w:rPr>
        <w:t xml:space="preserve">. This is calculated by dividing the $195.75 per entitlement charge as per Option B by the value of a 2012-13 fee unit ($12.53). In future years, the supervision charge would be </w:t>
      </w:r>
      <w:r w:rsidR="00237B86" w:rsidRPr="003C5D33">
        <w:rPr>
          <w:szCs w:val="24"/>
          <w:lang w:eastAsia="en-US"/>
        </w:rPr>
        <w:t>fixed at</w:t>
      </w:r>
      <w:r w:rsidRPr="003C5D33">
        <w:rPr>
          <w:szCs w:val="24"/>
          <w:lang w:eastAsia="en-US"/>
        </w:rPr>
        <w:t xml:space="preserve"> 15.62</w:t>
      </w:r>
      <w:r w:rsidR="00E773D3">
        <w:rPr>
          <w:szCs w:val="24"/>
          <w:lang w:eastAsia="en-US"/>
        </w:rPr>
        <w:t>25</w:t>
      </w:r>
      <w:r w:rsidRPr="003C5D33">
        <w:rPr>
          <w:szCs w:val="24"/>
          <w:lang w:eastAsia="en-US"/>
        </w:rPr>
        <w:t xml:space="preserve"> fee units. As the value of fee units rises, so too would the per-entitlement supervision charge. </w:t>
      </w:r>
    </w:p>
    <w:p w:rsidR="00470CA0" w:rsidRPr="00F4021E" w:rsidRDefault="00470CA0" w:rsidP="003C5D33">
      <w:pPr>
        <w:spacing w:before="240" w:after="240"/>
        <w:rPr>
          <w:szCs w:val="24"/>
          <w:lang w:eastAsia="en-US"/>
        </w:rPr>
      </w:pPr>
      <w:r w:rsidRPr="00F4021E">
        <w:rPr>
          <w:szCs w:val="24"/>
          <w:lang w:eastAsia="en-US"/>
        </w:rPr>
        <w:t xml:space="preserve">The supervision charge for a </w:t>
      </w:r>
      <w:r w:rsidR="00F13192">
        <w:rPr>
          <w:szCs w:val="24"/>
          <w:lang w:eastAsia="en-US"/>
        </w:rPr>
        <w:t>venue o</w:t>
      </w:r>
      <w:r w:rsidR="00472069">
        <w:rPr>
          <w:szCs w:val="24"/>
          <w:lang w:eastAsia="en-US"/>
        </w:rPr>
        <w:t>perator</w:t>
      </w:r>
      <w:r w:rsidRPr="00F4021E">
        <w:rPr>
          <w:szCs w:val="24"/>
          <w:lang w:eastAsia="en-US"/>
        </w:rPr>
        <w:t xml:space="preserve"> would be expressed as: </w:t>
      </w:r>
    </w:p>
    <w:p w:rsidR="00470CA0" w:rsidRPr="00470CA0" w:rsidRDefault="00470CA0" w:rsidP="00470CA0">
      <w:pPr>
        <w:spacing w:before="240" w:after="240"/>
        <w:rPr>
          <w:lang w:eastAsia="en-US"/>
        </w:rPr>
      </w:pPr>
      <m:oMathPara>
        <m:oMath>
          <m:r>
            <m:rPr>
              <m:sty m:val="bi"/>
            </m:rPr>
            <w:rPr>
              <w:rFonts w:ascii="Cambria Math" w:hAnsi="Cambria Math"/>
              <w:lang w:eastAsia="en-US"/>
            </w:rPr>
            <m:t>Supervision charge</m:t>
          </m:r>
          <m:r>
            <w:rPr>
              <w:rFonts w:ascii="Cambria Math" w:hAnsi="Cambria Math"/>
              <w:lang w:eastAsia="en-US"/>
            </w:rPr>
            <m:t>=15.6225 ×fee unit ×no. of entitlements</m:t>
          </m:r>
        </m:oMath>
      </m:oMathPara>
    </w:p>
    <w:p w:rsidR="00AF698A" w:rsidRDefault="00AF698A" w:rsidP="00470CA0">
      <w:pPr>
        <w:rPr>
          <w:lang w:eastAsia="en-US"/>
        </w:rPr>
      </w:pPr>
      <w:r w:rsidRPr="00470CA0">
        <w:rPr>
          <w:noProof/>
        </w:rPr>
        <mc:AlternateContent>
          <mc:Choice Requires="wps">
            <w:drawing>
              <wp:anchor distT="0" distB="0" distL="114300" distR="114300" simplePos="0" relativeHeight="251687936" behindDoc="0" locked="0" layoutInCell="1" allowOverlap="1" wp14:anchorId="54AFEF85" wp14:editId="7C84AF28">
                <wp:simplePos x="0" y="0"/>
                <wp:positionH relativeFrom="column">
                  <wp:posOffset>504190</wp:posOffset>
                </wp:positionH>
                <wp:positionV relativeFrom="paragraph">
                  <wp:posOffset>26882</wp:posOffset>
                </wp:positionV>
                <wp:extent cx="5347970" cy="2190750"/>
                <wp:effectExtent l="0" t="0" r="5080" b="0"/>
                <wp:wrapNone/>
                <wp:docPr id="6" name="Text Box 6"/>
                <wp:cNvGraphicFramePr/>
                <a:graphic xmlns:a="http://schemas.openxmlformats.org/drawingml/2006/main">
                  <a:graphicData uri="http://schemas.microsoft.com/office/word/2010/wordprocessingShape">
                    <wps:wsp>
                      <wps:cNvSpPr txBox="1"/>
                      <wps:spPr>
                        <a:xfrm>
                          <a:off x="0" y="0"/>
                          <a:ext cx="5347970" cy="2190750"/>
                        </a:xfrm>
                        <a:prstGeom prst="rect">
                          <a:avLst/>
                        </a:prstGeom>
                        <a:solidFill>
                          <a:sysClr val="window" lastClr="FFFFFF">
                            <a:lumMod val="85000"/>
                          </a:sysClr>
                        </a:solidFill>
                        <a:ln w="6350">
                          <a:noFill/>
                        </a:ln>
                        <a:effectLst/>
                      </wps:spPr>
                      <wps:txbx>
                        <w:txbxContent>
                          <w:p w:rsidR="004F14D1" w:rsidRPr="00470CA0" w:rsidRDefault="004F14D1" w:rsidP="00470CA0">
                            <w:pPr>
                              <w:ind w:left="0"/>
                              <w:rPr>
                                <w:b/>
                              </w:rPr>
                            </w:pPr>
                            <w:r w:rsidRPr="00470CA0">
                              <w:rPr>
                                <w:b/>
                              </w:rPr>
                              <w:t>Box 5.4: Fixed fee charge worked example</w:t>
                            </w:r>
                          </w:p>
                          <w:p w:rsidR="004F14D1" w:rsidRPr="00CB3C02" w:rsidRDefault="004F14D1" w:rsidP="00470CA0">
                            <w:pPr>
                              <w:ind w:left="0"/>
                            </w:pPr>
                            <w:r>
                              <w:t xml:space="preserve">Consider a venue operator </w:t>
                            </w:r>
                            <w:r w:rsidRPr="00284AB8">
                              <w:t xml:space="preserve">that owns a total of 50 gaming machine entitlements. The venue </w:t>
                            </w:r>
                            <w:r>
                              <w:t>is currently using</w:t>
                            </w:r>
                            <w:r w:rsidRPr="00284AB8">
                              <w:t xml:space="preserve"> 40 entitlements by attaching and operating </w:t>
                            </w:r>
                            <w:r>
                              <w:t>a gaming machine</w:t>
                            </w:r>
                            <w:r w:rsidRPr="00284AB8">
                              <w:t xml:space="preserve">, leaving 10 unused entitlements. </w:t>
                            </w:r>
                            <w:r>
                              <w:t>Option D</w:t>
                            </w:r>
                            <w:r w:rsidRPr="00CB3C02">
                              <w:t xml:space="preserve"> accounts for used and unused </w:t>
                            </w:r>
                            <w:r>
                              <w:t>entitlement</w:t>
                            </w:r>
                            <w:r w:rsidRPr="00CB3C02">
                              <w:t>s in the same way</w:t>
                            </w:r>
                            <w:r>
                              <w:t xml:space="preserve"> as Option B</w:t>
                            </w:r>
                            <w:r w:rsidRPr="00CB3C02">
                              <w:t>.</w:t>
                            </w:r>
                          </w:p>
                          <w:p w:rsidR="004F14D1" w:rsidRPr="00CB3C02" w:rsidRDefault="004F14D1" w:rsidP="00470CA0">
                            <w:pPr>
                              <w:ind w:left="0"/>
                            </w:pPr>
                            <w:r w:rsidRPr="00CB3C02">
                              <w:t>The venue would face a supervision charge of $</w:t>
                            </w:r>
                            <w:r>
                              <w:t>9 786 for the operating gaming machines</w:t>
                            </w:r>
                            <w:r w:rsidRPr="00CB3C02">
                              <w:t xml:space="preserve"> and is calculated as follows:</w:t>
                            </w:r>
                          </w:p>
                          <w:p w:rsidR="004F14D1" w:rsidRPr="00284AB8" w:rsidRDefault="004F14D1" w:rsidP="00F4021E">
                            <w:pPr>
                              <w:ind w:left="567"/>
                              <w:contextualSpacing/>
                              <w:rPr>
                                <w:i/>
                              </w:rPr>
                            </w:pPr>
                            <w:r w:rsidRPr="00284AB8">
                              <w:rPr>
                                <w:i/>
                              </w:rPr>
                              <w:t xml:space="preserve">Supervision charge = </w:t>
                            </w:r>
                            <w:r>
                              <w:rPr>
                                <w:i/>
                              </w:rPr>
                              <w:t>(15.6225 fee units X $12.53 per fee unit) X 50 entitlements held</w:t>
                            </w:r>
                          </w:p>
                          <w:p w:rsidR="004F14D1" w:rsidRDefault="004F14D1" w:rsidP="00F4021E">
                            <w:pPr>
                              <w:ind w:left="2268"/>
                              <w:contextualSpacing/>
                              <w:rPr>
                                <w:i/>
                              </w:rPr>
                            </w:pPr>
                            <w:r>
                              <w:rPr>
                                <w:i/>
                              </w:rPr>
                              <w:t xml:space="preserve"> = $195.75 X 50 entitlements</w:t>
                            </w:r>
                          </w:p>
                          <w:p w:rsidR="004F14D1" w:rsidRDefault="004F14D1" w:rsidP="00F4021E">
                            <w:pPr>
                              <w:ind w:left="2268"/>
                              <w:contextualSpacing/>
                              <w:rPr>
                                <w:i/>
                              </w:rPr>
                            </w:pPr>
                            <w:r>
                              <w:rPr>
                                <w:i/>
                              </w:rPr>
                              <w:t>= $9 786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35" type="#_x0000_t202" style="position:absolute;left:0;text-align:left;margin-left:39.7pt;margin-top:2.1pt;width:421.1pt;height:172.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" fillcolor="#d9d9d9" stroked="f" strokeweight=".5pt">
                <v:textbox>
                  <w:txbxContent>
                    <w:p w:rsidR="004F14D1" w:rsidRPr="00470CA0" w:rsidRDefault="004F14D1" w:rsidP="00470CA0">
                      <w:pPr>
                        <w:ind w:left="0"/>
                        <w:rPr>
                          <w:b/>
                        </w:rPr>
                      </w:pPr>
                      <w:r w:rsidRPr="00470CA0">
                        <w:rPr>
                          <w:b/>
                        </w:rPr>
                        <w:t>Box 5.4: Fixed fee charge worked example</w:t>
                      </w:r>
                    </w:p>
                    <w:p w:rsidR="004F14D1" w:rsidRPr="00CB3C02" w:rsidRDefault="004F14D1" w:rsidP="00470CA0">
                      <w:pPr>
                        <w:ind w:left="0"/>
                      </w:pPr>
                      <w:r>
                        <w:t xml:space="preserve">Consider a venue operator </w:t>
                      </w:r>
                      <w:r w:rsidRPr="00284AB8">
                        <w:t xml:space="preserve">that owns a total of 50 gaming machine entitlements. The venue </w:t>
                      </w:r>
                      <w:r>
                        <w:t>is currently using</w:t>
                      </w:r>
                      <w:r w:rsidRPr="00284AB8">
                        <w:t xml:space="preserve"> 40 entitlements by attaching and operating </w:t>
                      </w:r>
                      <w:r>
                        <w:t>a gaming machine</w:t>
                      </w:r>
                      <w:r w:rsidRPr="00284AB8">
                        <w:t xml:space="preserve">, leaving 10 unused entitlements. </w:t>
                      </w:r>
                      <w:r>
                        <w:t>Option D</w:t>
                      </w:r>
                      <w:r w:rsidRPr="00CB3C02">
                        <w:t xml:space="preserve"> accounts for used and unused </w:t>
                      </w:r>
                      <w:r>
                        <w:t>entitlement</w:t>
                      </w:r>
                      <w:r w:rsidRPr="00CB3C02">
                        <w:t>s in the same way</w:t>
                      </w:r>
                      <w:r>
                        <w:t xml:space="preserve"> as Option B</w:t>
                      </w:r>
                      <w:r w:rsidRPr="00CB3C02">
                        <w:t>.</w:t>
                      </w:r>
                    </w:p>
                    <w:p w:rsidR="004F14D1" w:rsidRPr="00CB3C02" w:rsidRDefault="004F14D1" w:rsidP="00470CA0">
                      <w:pPr>
                        <w:ind w:left="0"/>
                      </w:pPr>
                      <w:r w:rsidRPr="00CB3C02">
                        <w:t>The venue would face a supervision charge of $</w:t>
                      </w:r>
                      <w:r>
                        <w:t>9 786 for the operating gaming machines</w:t>
                      </w:r>
                      <w:r w:rsidRPr="00CB3C02">
                        <w:t xml:space="preserve"> and is calculated as follows:</w:t>
                      </w:r>
                    </w:p>
                    <w:p w:rsidR="004F14D1" w:rsidRPr="00284AB8" w:rsidRDefault="004F14D1" w:rsidP="00F4021E">
                      <w:pPr>
                        <w:ind w:left="567"/>
                        <w:contextualSpacing/>
                        <w:rPr>
                          <w:i/>
                        </w:rPr>
                      </w:pPr>
                      <w:r w:rsidRPr="00284AB8">
                        <w:rPr>
                          <w:i/>
                        </w:rPr>
                        <w:t xml:space="preserve">Supervision charge = </w:t>
                      </w:r>
                      <w:r>
                        <w:rPr>
                          <w:i/>
                        </w:rPr>
                        <w:t>(15.6225 fee units X $12.53 per fee unit) X 50 entitlements held</w:t>
                      </w:r>
                    </w:p>
                    <w:p w:rsidR="004F14D1" w:rsidRDefault="004F14D1" w:rsidP="00F4021E">
                      <w:pPr>
                        <w:ind w:left="2268"/>
                        <w:contextualSpacing/>
                        <w:rPr>
                          <w:i/>
                        </w:rPr>
                      </w:pPr>
                      <w:r>
                        <w:rPr>
                          <w:i/>
                        </w:rPr>
                        <w:t xml:space="preserve"> = $195.75 X 50 entitlements</w:t>
                      </w:r>
                    </w:p>
                    <w:p w:rsidR="004F14D1" w:rsidRDefault="004F14D1" w:rsidP="00F4021E">
                      <w:pPr>
                        <w:ind w:left="2268"/>
                        <w:contextualSpacing/>
                        <w:rPr>
                          <w:i/>
                        </w:rPr>
                      </w:pPr>
                      <w:r>
                        <w:rPr>
                          <w:i/>
                        </w:rPr>
                        <w:t>= $9 786</w:t>
                      </w:r>
                    </w:p>
                  </w:txbxContent>
                </v:textbox>
              </v:shape>
            </w:pict>
          </mc:Fallback>
        </mc:AlternateContent>
      </w:r>
    </w:p>
    <w:p w:rsidR="00AF698A" w:rsidRDefault="00AF698A" w:rsidP="00470CA0">
      <w:pPr>
        <w:rPr>
          <w:lang w:eastAsia="en-US"/>
        </w:rPr>
      </w:pPr>
    </w:p>
    <w:p w:rsidR="00AF698A" w:rsidRDefault="00AF698A" w:rsidP="00470CA0">
      <w:pPr>
        <w:rPr>
          <w:lang w:eastAsia="en-US"/>
        </w:rPr>
      </w:pPr>
    </w:p>
    <w:p w:rsidR="00470CA0" w:rsidRPr="00470CA0" w:rsidRDefault="00470CA0" w:rsidP="00470CA0">
      <w:pPr>
        <w:rPr>
          <w:lang w:eastAsia="en-US"/>
        </w:rPr>
      </w:pPr>
    </w:p>
    <w:p w:rsidR="00470CA0" w:rsidRPr="00470CA0" w:rsidRDefault="00470CA0" w:rsidP="00470CA0">
      <w:pPr>
        <w:rPr>
          <w:lang w:eastAsia="en-US"/>
        </w:rPr>
      </w:pPr>
    </w:p>
    <w:p w:rsidR="00470CA0" w:rsidRPr="00470CA0" w:rsidRDefault="00470CA0" w:rsidP="00470CA0">
      <w:pPr>
        <w:rPr>
          <w:lang w:eastAsia="en-US"/>
        </w:rPr>
      </w:pPr>
    </w:p>
    <w:p w:rsidR="00470CA0" w:rsidRPr="00470CA0" w:rsidRDefault="00470CA0" w:rsidP="00470CA0">
      <w:pPr>
        <w:rPr>
          <w:lang w:eastAsia="en-US"/>
        </w:rPr>
      </w:pPr>
    </w:p>
    <w:p w:rsidR="00470CA0" w:rsidRPr="00470CA0" w:rsidRDefault="00470CA0" w:rsidP="00470CA0">
      <w:pPr>
        <w:rPr>
          <w:lang w:eastAsia="en-US"/>
        </w:rPr>
      </w:pPr>
    </w:p>
    <w:p w:rsidR="00470CA0" w:rsidRPr="00470CA0" w:rsidRDefault="00470CA0" w:rsidP="00470CA0">
      <w:pPr>
        <w:rPr>
          <w:lang w:eastAsia="en-US"/>
        </w:rPr>
      </w:pPr>
    </w:p>
    <w:p w:rsidR="00470CA0" w:rsidRPr="004C07A0" w:rsidRDefault="00470CA0" w:rsidP="00EF0A45">
      <w:pPr>
        <w:spacing w:before="480" w:after="240"/>
        <w:rPr>
          <w:szCs w:val="24"/>
        </w:rPr>
      </w:pPr>
      <w:r w:rsidRPr="004C07A0">
        <w:rPr>
          <w:szCs w:val="24"/>
        </w:rPr>
        <w:t>The table below sets out the indicative supervision charge for venues in 2012-13.</w:t>
      </w:r>
    </w:p>
    <w:p w:rsidR="00470CA0" w:rsidRPr="00470CA0" w:rsidRDefault="00470CA0" w:rsidP="00470CA0">
      <w:pPr>
        <w:pStyle w:val="Heading5"/>
      </w:pPr>
      <w:r w:rsidRPr="00470CA0">
        <w:t>Table 5.</w:t>
      </w:r>
      <w:r w:rsidR="00A100F3">
        <w:t>5</w:t>
      </w:r>
      <w:r w:rsidRPr="00470CA0">
        <w:t xml:space="preserve">: Estimated supervision charge – </w:t>
      </w:r>
      <w:r w:rsidR="00B61A29">
        <w:t>Option D</w:t>
      </w:r>
      <w:r w:rsidRPr="00470CA0">
        <w:t xml:space="preserve"> ($)</w:t>
      </w:r>
    </w:p>
    <w:tbl>
      <w:tblPr>
        <w:tblStyle w:val="TableGrid10"/>
        <w:tblW w:w="8363" w:type="dxa"/>
        <w:tblInd w:w="964" w:type="dxa"/>
        <w:tblLayout w:type="fixed"/>
        <w:tblLook w:val="04A0" w:firstRow="1" w:lastRow="0" w:firstColumn="1" w:lastColumn="0" w:noHBand="0" w:noVBand="1"/>
      </w:tblPr>
      <w:tblGrid>
        <w:gridCol w:w="1393"/>
        <w:gridCol w:w="1394"/>
        <w:gridCol w:w="1394"/>
        <w:gridCol w:w="1394"/>
        <w:gridCol w:w="1394"/>
        <w:gridCol w:w="1394"/>
      </w:tblGrid>
      <w:tr w:rsidR="00E773D3" w:rsidRPr="00470CA0" w:rsidTr="004F14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3" w:type="dxa"/>
            <w:gridSpan w:val="6"/>
            <w:tcBorders>
              <w:top w:val="nil"/>
            </w:tcBorders>
            <w:shd w:val="clear" w:color="auto" w:fill="FFFFFF" w:themeFill="background1"/>
            <w:vAlign w:val="center"/>
          </w:tcPr>
          <w:p w:rsidR="00E773D3" w:rsidRPr="00470CA0" w:rsidRDefault="00E773D3" w:rsidP="004F14D1">
            <w:pPr>
              <w:spacing w:before="60" w:after="60"/>
              <w:ind w:left="0"/>
              <w:jc w:val="center"/>
              <w:rPr>
                <w:i/>
                <w:lang w:eastAsia="en-US"/>
              </w:rPr>
            </w:pPr>
            <w:r w:rsidRPr="00470CA0">
              <w:rPr>
                <w:i/>
                <w:lang w:eastAsia="en-US"/>
              </w:rPr>
              <w:t>Number of entitlements held</w:t>
            </w:r>
          </w:p>
        </w:tc>
      </w:tr>
      <w:tr w:rsidR="00E773D3" w:rsidRPr="00470CA0" w:rsidTr="004F14D1">
        <w:tc>
          <w:tcPr>
            <w:cnfStyle w:val="001000000000" w:firstRow="0" w:lastRow="0" w:firstColumn="1" w:lastColumn="0" w:oddVBand="0" w:evenVBand="0" w:oddHBand="0" w:evenHBand="0" w:firstRowFirstColumn="0" w:firstRowLastColumn="0" w:lastRowFirstColumn="0" w:lastRowLastColumn="0"/>
            <w:tcW w:w="1393" w:type="dxa"/>
            <w:shd w:val="clear" w:color="auto" w:fill="D9D9D9" w:themeFill="background1" w:themeFillShade="D9"/>
            <w:vAlign w:val="center"/>
          </w:tcPr>
          <w:p w:rsidR="00E773D3" w:rsidRPr="00470CA0" w:rsidRDefault="00E773D3" w:rsidP="004F14D1">
            <w:pPr>
              <w:spacing w:before="60" w:after="60"/>
              <w:ind w:left="0"/>
              <w:jc w:val="center"/>
              <w:rPr>
                <w:sz w:val="20"/>
                <w:szCs w:val="20"/>
                <w:lang w:eastAsia="en-US"/>
              </w:rPr>
            </w:pPr>
            <w:r w:rsidRPr="00470CA0">
              <w:rPr>
                <w:sz w:val="20"/>
                <w:szCs w:val="20"/>
                <w:lang w:eastAsia="en-US"/>
              </w:rPr>
              <w:t>10</w:t>
            </w:r>
          </w:p>
        </w:tc>
        <w:tc>
          <w:tcPr>
            <w:tcW w:w="1394" w:type="dxa"/>
            <w:shd w:val="clear" w:color="auto" w:fill="D9D9D9" w:themeFill="background1" w:themeFillShade="D9"/>
            <w:vAlign w:val="center"/>
          </w:tcPr>
          <w:p w:rsidR="00E773D3" w:rsidRPr="00470CA0" w:rsidRDefault="00E773D3" w:rsidP="004F14D1">
            <w:pPr>
              <w:spacing w:before="60" w:after="60"/>
              <w:ind w:left="0"/>
              <w:jc w:val="center"/>
              <w:cnfStyle w:val="000000000000" w:firstRow="0" w:lastRow="0" w:firstColumn="0" w:lastColumn="0" w:oddVBand="0" w:evenVBand="0" w:oddHBand="0" w:evenHBand="0" w:firstRowFirstColumn="0" w:firstRowLastColumn="0" w:lastRowFirstColumn="0" w:lastRowLastColumn="0"/>
              <w:rPr>
                <w:sz w:val="20"/>
                <w:szCs w:val="20"/>
                <w:lang w:eastAsia="en-US"/>
              </w:rPr>
            </w:pPr>
            <w:r w:rsidRPr="00470CA0">
              <w:rPr>
                <w:sz w:val="20"/>
                <w:szCs w:val="20"/>
                <w:lang w:eastAsia="en-US"/>
              </w:rPr>
              <w:t>20</w:t>
            </w:r>
          </w:p>
        </w:tc>
        <w:tc>
          <w:tcPr>
            <w:tcW w:w="1394" w:type="dxa"/>
            <w:shd w:val="clear" w:color="auto" w:fill="D9D9D9" w:themeFill="background1" w:themeFillShade="D9"/>
            <w:vAlign w:val="center"/>
          </w:tcPr>
          <w:p w:rsidR="00E773D3" w:rsidRPr="00470CA0" w:rsidRDefault="00E773D3" w:rsidP="004F14D1">
            <w:pPr>
              <w:spacing w:before="60" w:after="60"/>
              <w:ind w:left="0"/>
              <w:jc w:val="center"/>
              <w:cnfStyle w:val="000000000000" w:firstRow="0" w:lastRow="0" w:firstColumn="0" w:lastColumn="0" w:oddVBand="0" w:evenVBand="0" w:oddHBand="0" w:evenHBand="0" w:firstRowFirstColumn="0" w:firstRowLastColumn="0" w:lastRowFirstColumn="0" w:lastRowLastColumn="0"/>
              <w:rPr>
                <w:sz w:val="20"/>
                <w:szCs w:val="20"/>
                <w:lang w:eastAsia="en-US"/>
              </w:rPr>
            </w:pPr>
            <w:r w:rsidRPr="00470CA0">
              <w:rPr>
                <w:sz w:val="20"/>
                <w:szCs w:val="20"/>
                <w:lang w:eastAsia="en-US"/>
              </w:rPr>
              <w:t>40</w:t>
            </w:r>
          </w:p>
        </w:tc>
        <w:tc>
          <w:tcPr>
            <w:tcW w:w="1394" w:type="dxa"/>
            <w:shd w:val="clear" w:color="auto" w:fill="D9D9D9" w:themeFill="background1" w:themeFillShade="D9"/>
            <w:vAlign w:val="center"/>
          </w:tcPr>
          <w:p w:rsidR="00E773D3" w:rsidRPr="00470CA0" w:rsidRDefault="00E773D3" w:rsidP="004F14D1">
            <w:pPr>
              <w:spacing w:before="60" w:after="60"/>
              <w:ind w:left="0"/>
              <w:jc w:val="center"/>
              <w:cnfStyle w:val="000000000000" w:firstRow="0" w:lastRow="0" w:firstColumn="0" w:lastColumn="0" w:oddVBand="0" w:evenVBand="0" w:oddHBand="0" w:evenHBand="0" w:firstRowFirstColumn="0" w:firstRowLastColumn="0" w:lastRowFirstColumn="0" w:lastRowLastColumn="0"/>
              <w:rPr>
                <w:sz w:val="20"/>
                <w:szCs w:val="20"/>
                <w:lang w:eastAsia="en-US"/>
              </w:rPr>
            </w:pPr>
            <w:r w:rsidRPr="00470CA0">
              <w:rPr>
                <w:sz w:val="20"/>
                <w:szCs w:val="20"/>
                <w:lang w:eastAsia="en-US"/>
              </w:rPr>
              <w:t>60</w:t>
            </w:r>
          </w:p>
        </w:tc>
        <w:tc>
          <w:tcPr>
            <w:tcW w:w="1394" w:type="dxa"/>
            <w:shd w:val="clear" w:color="auto" w:fill="D9D9D9" w:themeFill="background1" w:themeFillShade="D9"/>
            <w:vAlign w:val="center"/>
          </w:tcPr>
          <w:p w:rsidR="00E773D3" w:rsidRPr="00470CA0" w:rsidRDefault="00E773D3" w:rsidP="004F14D1">
            <w:pPr>
              <w:spacing w:before="60" w:after="60"/>
              <w:ind w:left="0"/>
              <w:jc w:val="center"/>
              <w:cnfStyle w:val="000000000000" w:firstRow="0" w:lastRow="0" w:firstColumn="0" w:lastColumn="0" w:oddVBand="0" w:evenVBand="0" w:oddHBand="0" w:evenHBand="0" w:firstRowFirstColumn="0" w:firstRowLastColumn="0" w:lastRowFirstColumn="0" w:lastRowLastColumn="0"/>
              <w:rPr>
                <w:sz w:val="20"/>
                <w:szCs w:val="20"/>
                <w:lang w:eastAsia="en-US"/>
              </w:rPr>
            </w:pPr>
            <w:r w:rsidRPr="00470CA0">
              <w:rPr>
                <w:sz w:val="20"/>
                <w:szCs w:val="20"/>
                <w:lang w:eastAsia="en-US"/>
              </w:rPr>
              <w:t>80</w:t>
            </w:r>
          </w:p>
        </w:tc>
        <w:tc>
          <w:tcPr>
            <w:tcW w:w="1394" w:type="dxa"/>
            <w:shd w:val="clear" w:color="auto" w:fill="D9D9D9" w:themeFill="background1" w:themeFillShade="D9"/>
            <w:vAlign w:val="center"/>
          </w:tcPr>
          <w:p w:rsidR="00E773D3" w:rsidRPr="00470CA0" w:rsidRDefault="00E773D3" w:rsidP="004F14D1">
            <w:pPr>
              <w:spacing w:before="60" w:after="60"/>
              <w:ind w:left="0"/>
              <w:jc w:val="center"/>
              <w:cnfStyle w:val="000000000000" w:firstRow="0" w:lastRow="0" w:firstColumn="0" w:lastColumn="0" w:oddVBand="0" w:evenVBand="0" w:oddHBand="0" w:evenHBand="0" w:firstRowFirstColumn="0" w:firstRowLastColumn="0" w:lastRowFirstColumn="0" w:lastRowLastColumn="0"/>
              <w:rPr>
                <w:sz w:val="20"/>
                <w:szCs w:val="20"/>
                <w:lang w:eastAsia="en-US"/>
              </w:rPr>
            </w:pPr>
            <w:r w:rsidRPr="00470CA0">
              <w:rPr>
                <w:sz w:val="20"/>
                <w:szCs w:val="20"/>
                <w:lang w:eastAsia="en-US"/>
              </w:rPr>
              <w:t>100</w:t>
            </w:r>
          </w:p>
        </w:tc>
      </w:tr>
      <w:tr w:rsidR="00E773D3" w:rsidRPr="00470CA0" w:rsidTr="004F14D1">
        <w:tc>
          <w:tcPr>
            <w:cnfStyle w:val="001000000000" w:firstRow="0" w:lastRow="0" w:firstColumn="1" w:lastColumn="0" w:oddVBand="0" w:evenVBand="0" w:oddHBand="0" w:evenHBand="0" w:firstRowFirstColumn="0" w:firstRowLastColumn="0" w:lastRowFirstColumn="0" w:lastRowLastColumn="0"/>
            <w:tcW w:w="1393" w:type="dxa"/>
          </w:tcPr>
          <w:p w:rsidR="00E773D3" w:rsidRPr="00122A1F" w:rsidRDefault="00E773D3" w:rsidP="004F14D1">
            <w:pPr>
              <w:spacing w:before="60" w:after="60"/>
              <w:ind w:left="0"/>
              <w:jc w:val="center"/>
              <w:rPr>
                <w:sz w:val="20"/>
                <w:szCs w:val="20"/>
                <w:lang w:eastAsia="en-US"/>
              </w:rPr>
            </w:pPr>
            <w:r w:rsidRPr="00122A1F">
              <w:rPr>
                <w:sz w:val="20"/>
                <w:szCs w:val="20"/>
                <w:lang w:eastAsia="en-US"/>
              </w:rPr>
              <w:t>1</w:t>
            </w:r>
            <w:r>
              <w:rPr>
                <w:sz w:val="20"/>
                <w:szCs w:val="20"/>
                <w:lang w:eastAsia="en-US"/>
              </w:rPr>
              <w:t> </w:t>
            </w:r>
            <w:r w:rsidRPr="00122A1F">
              <w:rPr>
                <w:sz w:val="20"/>
                <w:szCs w:val="20"/>
                <w:lang w:eastAsia="en-US"/>
              </w:rPr>
              <w:t xml:space="preserve">958 </w:t>
            </w:r>
          </w:p>
        </w:tc>
        <w:tc>
          <w:tcPr>
            <w:tcW w:w="1394" w:type="dxa"/>
          </w:tcPr>
          <w:p w:rsidR="00E773D3" w:rsidRPr="00122A1F" w:rsidRDefault="00E773D3" w:rsidP="004F14D1">
            <w:pPr>
              <w:spacing w:before="60" w:after="60"/>
              <w:ind w:left="0"/>
              <w:jc w:val="center"/>
              <w:cnfStyle w:val="000000000000" w:firstRow="0" w:lastRow="0" w:firstColumn="0" w:lastColumn="0" w:oddVBand="0" w:evenVBand="0" w:oddHBand="0" w:evenHBand="0" w:firstRowFirstColumn="0" w:firstRowLastColumn="0" w:lastRowFirstColumn="0" w:lastRowLastColumn="0"/>
              <w:rPr>
                <w:sz w:val="20"/>
                <w:szCs w:val="20"/>
                <w:lang w:eastAsia="en-US"/>
              </w:rPr>
            </w:pPr>
            <w:r w:rsidRPr="00122A1F">
              <w:rPr>
                <w:sz w:val="20"/>
                <w:szCs w:val="20"/>
                <w:lang w:eastAsia="en-US"/>
              </w:rPr>
              <w:t>3</w:t>
            </w:r>
            <w:r>
              <w:rPr>
                <w:sz w:val="20"/>
                <w:szCs w:val="20"/>
                <w:lang w:eastAsia="en-US"/>
              </w:rPr>
              <w:t> </w:t>
            </w:r>
            <w:r w:rsidRPr="00122A1F">
              <w:rPr>
                <w:sz w:val="20"/>
                <w:szCs w:val="20"/>
                <w:lang w:eastAsia="en-US"/>
              </w:rPr>
              <w:t xml:space="preserve">915 </w:t>
            </w:r>
          </w:p>
        </w:tc>
        <w:tc>
          <w:tcPr>
            <w:tcW w:w="1394" w:type="dxa"/>
          </w:tcPr>
          <w:p w:rsidR="00E773D3" w:rsidRPr="00122A1F" w:rsidRDefault="00E773D3" w:rsidP="004F14D1">
            <w:pPr>
              <w:spacing w:before="60" w:after="60"/>
              <w:ind w:left="0"/>
              <w:jc w:val="center"/>
              <w:cnfStyle w:val="000000000000" w:firstRow="0" w:lastRow="0" w:firstColumn="0" w:lastColumn="0" w:oddVBand="0" w:evenVBand="0" w:oddHBand="0" w:evenHBand="0" w:firstRowFirstColumn="0" w:firstRowLastColumn="0" w:lastRowFirstColumn="0" w:lastRowLastColumn="0"/>
              <w:rPr>
                <w:sz w:val="20"/>
                <w:szCs w:val="20"/>
                <w:lang w:eastAsia="en-US"/>
              </w:rPr>
            </w:pPr>
            <w:r w:rsidRPr="00122A1F">
              <w:rPr>
                <w:sz w:val="20"/>
                <w:szCs w:val="20"/>
                <w:lang w:eastAsia="en-US"/>
              </w:rPr>
              <w:t>7</w:t>
            </w:r>
            <w:r>
              <w:rPr>
                <w:sz w:val="20"/>
                <w:szCs w:val="20"/>
                <w:lang w:eastAsia="en-US"/>
              </w:rPr>
              <w:t> </w:t>
            </w:r>
            <w:r w:rsidRPr="00122A1F">
              <w:rPr>
                <w:sz w:val="20"/>
                <w:szCs w:val="20"/>
                <w:lang w:eastAsia="en-US"/>
              </w:rPr>
              <w:t xml:space="preserve">830 </w:t>
            </w:r>
          </w:p>
        </w:tc>
        <w:tc>
          <w:tcPr>
            <w:tcW w:w="1394" w:type="dxa"/>
          </w:tcPr>
          <w:p w:rsidR="00E773D3" w:rsidRPr="00122A1F" w:rsidRDefault="00E773D3" w:rsidP="004F14D1">
            <w:pPr>
              <w:spacing w:before="60" w:after="60"/>
              <w:ind w:left="0"/>
              <w:jc w:val="center"/>
              <w:cnfStyle w:val="000000000000" w:firstRow="0" w:lastRow="0" w:firstColumn="0" w:lastColumn="0" w:oddVBand="0" w:evenVBand="0" w:oddHBand="0" w:evenHBand="0" w:firstRowFirstColumn="0" w:firstRowLastColumn="0" w:lastRowFirstColumn="0" w:lastRowLastColumn="0"/>
              <w:rPr>
                <w:sz w:val="20"/>
                <w:szCs w:val="20"/>
                <w:lang w:eastAsia="en-US"/>
              </w:rPr>
            </w:pPr>
            <w:r w:rsidRPr="00122A1F">
              <w:rPr>
                <w:sz w:val="20"/>
                <w:szCs w:val="20"/>
                <w:lang w:eastAsia="en-US"/>
              </w:rPr>
              <w:t>11</w:t>
            </w:r>
            <w:r>
              <w:rPr>
                <w:sz w:val="20"/>
                <w:szCs w:val="20"/>
                <w:lang w:eastAsia="en-US"/>
              </w:rPr>
              <w:t> </w:t>
            </w:r>
            <w:r w:rsidRPr="00122A1F">
              <w:rPr>
                <w:sz w:val="20"/>
                <w:szCs w:val="20"/>
                <w:lang w:eastAsia="en-US"/>
              </w:rPr>
              <w:t xml:space="preserve">745 </w:t>
            </w:r>
          </w:p>
        </w:tc>
        <w:tc>
          <w:tcPr>
            <w:tcW w:w="1394" w:type="dxa"/>
          </w:tcPr>
          <w:p w:rsidR="00E773D3" w:rsidRPr="00122A1F" w:rsidRDefault="00E773D3" w:rsidP="004F14D1">
            <w:pPr>
              <w:spacing w:before="60" w:after="60"/>
              <w:ind w:left="0"/>
              <w:jc w:val="center"/>
              <w:cnfStyle w:val="000000000000" w:firstRow="0" w:lastRow="0" w:firstColumn="0" w:lastColumn="0" w:oddVBand="0" w:evenVBand="0" w:oddHBand="0" w:evenHBand="0" w:firstRowFirstColumn="0" w:firstRowLastColumn="0" w:lastRowFirstColumn="0" w:lastRowLastColumn="0"/>
              <w:rPr>
                <w:sz w:val="20"/>
                <w:szCs w:val="20"/>
                <w:lang w:eastAsia="en-US"/>
              </w:rPr>
            </w:pPr>
            <w:r w:rsidRPr="00122A1F">
              <w:rPr>
                <w:sz w:val="20"/>
                <w:szCs w:val="20"/>
                <w:lang w:eastAsia="en-US"/>
              </w:rPr>
              <w:t>15</w:t>
            </w:r>
            <w:r>
              <w:rPr>
                <w:sz w:val="20"/>
                <w:szCs w:val="20"/>
                <w:lang w:eastAsia="en-US"/>
              </w:rPr>
              <w:t> </w:t>
            </w:r>
            <w:r w:rsidRPr="00122A1F">
              <w:rPr>
                <w:sz w:val="20"/>
                <w:szCs w:val="20"/>
                <w:lang w:eastAsia="en-US"/>
              </w:rPr>
              <w:t xml:space="preserve">660 </w:t>
            </w:r>
          </w:p>
        </w:tc>
        <w:tc>
          <w:tcPr>
            <w:tcW w:w="1394" w:type="dxa"/>
          </w:tcPr>
          <w:p w:rsidR="00E773D3" w:rsidRPr="00122A1F" w:rsidRDefault="00E773D3" w:rsidP="004F14D1">
            <w:pPr>
              <w:spacing w:before="60" w:after="60"/>
              <w:ind w:left="0"/>
              <w:jc w:val="center"/>
              <w:cnfStyle w:val="000000000000" w:firstRow="0" w:lastRow="0" w:firstColumn="0" w:lastColumn="0" w:oddVBand="0" w:evenVBand="0" w:oddHBand="0" w:evenHBand="0" w:firstRowFirstColumn="0" w:firstRowLastColumn="0" w:lastRowFirstColumn="0" w:lastRowLastColumn="0"/>
              <w:rPr>
                <w:sz w:val="20"/>
                <w:szCs w:val="20"/>
                <w:lang w:eastAsia="en-US"/>
              </w:rPr>
            </w:pPr>
            <w:r w:rsidRPr="00122A1F">
              <w:rPr>
                <w:sz w:val="20"/>
                <w:szCs w:val="20"/>
                <w:lang w:eastAsia="en-US"/>
              </w:rPr>
              <w:t>19</w:t>
            </w:r>
            <w:r>
              <w:rPr>
                <w:sz w:val="20"/>
                <w:szCs w:val="20"/>
                <w:lang w:eastAsia="en-US"/>
              </w:rPr>
              <w:t> </w:t>
            </w:r>
            <w:r w:rsidRPr="00122A1F">
              <w:rPr>
                <w:sz w:val="20"/>
                <w:szCs w:val="20"/>
                <w:lang w:eastAsia="en-US"/>
              </w:rPr>
              <w:t xml:space="preserve">575 </w:t>
            </w:r>
          </w:p>
        </w:tc>
      </w:tr>
    </w:tbl>
    <w:p w:rsidR="00470CA0" w:rsidRPr="00F4021E" w:rsidRDefault="00470CA0" w:rsidP="00470CA0">
      <w:pPr>
        <w:spacing w:before="240" w:after="240"/>
        <w:rPr>
          <w:szCs w:val="24"/>
          <w:lang w:eastAsia="en-US"/>
        </w:rPr>
      </w:pPr>
      <w:r w:rsidRPr="00F4021E">
        <w:rPr>
          <w:szCs w:val="24"/>
          <w:lang w:eastAsia="en-US"/>
        </w:rPr>
        <w:t xml:space="preserve">This option would provide a more predictable charge each year, and over time could be reviewed to ensure revenues collected do not diverge from the VCGLR’s long run cost of supervising the gaming industry. </w:t>
      </w:r>
    </w:p>
    <w:p w:rsidR="00470CA0" w:rsidRPr="00470CA0" w:rsidRDefault="00470CA0" w:rsidP="00470CA0">
      <w:pPr>
        <w:pStyle w:val="Heading2"/>
      </w:pPr>
      <w:bookmarkStart w:id="29" w:name="_Toc356830870"/>
      <w:r w:rsidRPr="00470CA0">
        <w:t>Financial impact of options</w:t>
      </w:r>
      <w:bookmarkEnd w:id="29"/>
    </w:p>
    <w:p w:rsidR="00470CA0" w:rsidRPr="00F4021E" w:rsidRDefault="00470CA0" w:rsidP="00470CA0">
      <w:pPr>
        <w:spacing w:before="240" w:after="240"/>
        <w:rPr>
          <w:bCs/>
          <w:iCs/>
          <w:kern w:val="28"/>
          <w:szCs w:val="24"/>
          <w:lang w:eastAsia="en-US"/>
        </w:rPr>
      </w:pPr>
      <w:r w:rsidRPr="00F4021E">
        <w:rPr>
          <w:bCs/>
          <w:iCs/>
          <w:kern w:val="28"/>
          <w:szCs w:val="24"/>
          <w:lang w:eastAsia="en-US"/>
        </w:rPr>
        <w:t xml:space="preserve">Chart 5.1 compares the financial impacts for venues that predominantly use all or most of the gaming entitlements (i.e. attach and operate a gaming machine). In comparison, Chart 5.2 shows the likely financial impact for venues that do not use most or all of their gaming entitlements. </w:t>
      </w:r>
    </w:p>
    <w:p w:rsidR="00470CA0" w:rsidRDefault="00470CA0" w:rsidP="00470CA0">
      <w:pPr>
        <w:spacing w:before="240" w:after="240"/>
        <w:rPr>
          <w:bCs/>
          <w:iCs/>
          <w:kern w:val="28"/>
          <w:szCs w:val="24"/>
          <w:lang w:eastAsia="en-US"/>
        </w:rPr>
      </w:pPr>
      <w:r w:rsidRPr="00F4021E">
        <w:rPr>
          <w:bCs/>
          <w:iCs/>
          <w:kern w:val="28"/>
          <w:szCs w:val="24"/>
          <w:lang w:eastAsia="en-US"/>
        </w:rPr>
        <w:t>Options A and C impose a comparatively lower burden on venues that use most or all of their entitlements because a greater proportion of the VCGLR’s costs are borne by venues with a greater number of unused entitlements.</w:t>
      </w:r>
    </w:p>
    <w:p w:rsidR="00470CA0" w:rsidRPr="00470CA0" w:rsidRDefault="00470CA0" w:rsidP="00470CA0">
      <w:pPr>
        <w:pStyle w:val="Heading5"/>
      </w:pPr>
      <w:r w:rsidRPr="00470CA0">
        <w:t xml:space="preserve">Chart 5.1: Indicative impact for venues with operating </w:t>
      </w:r>
      <w:r w:rsidR="00EF0A45">
        <w:t>gaming machine</w:t>
      </w:r>
      <w:r w:rsidRPr="00470CA0">
        <w:t>s</w:t>
      </w:r>
    </w:p>
    <w:p w:rsidR="00470CA0" w:rsidRDefault="00D209DF" w:rsidP="004C07A0">
      <w:pPr>
        <w:spacing w:after="0"/>
        <w:rPr>
          <w:lang w:eastAsia="en-US"/>
        </w:rPr>
      </w:pPr>
      <w:r>
        <w:rPr>
          <w:noProof/>
        </w:rPr>
        <w:drawing>
          <wp:inline distT="0" distB="0" distL="0" distR="0" wp14:anchorId="1E26A54C" wp14:editId="4BA01B44">
            <wp:extent cx="4572000" cy="27432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4C07A0" w:rsidRDefault="004C07A0" w:rsidP="004C07A0">
      <w:pPr>
        <w:spacing w:before="0" w:after="0"/>
        <w:rPr>
          <w:i/>
          <w:sz w:val="18"/>
          <w:szCs w:val="20"/>
        </w:rPr>
      </w:pPr>
      <w:r>
        <w:rPr>
          <w:i/>
          <w:sz w:val="18"/>
          <w:szCs w:val="20"/>
        </w:rPr>
        <w:t xml:space="preserve">Source: </w:t>
      </w:r>
      <w:r w:rsidR="00C46DDC">
        <w:rPr>
          <w:i/>
          <w:sz w:val="18"/>
          <w:szCs w:val="20"/>
        </w:rPr>
        <w:t>DTF</w:t>
      </w:r>
    </w:p>
    <w:p w:rsidR="004C07A0" w:rsidRPr="00470CA0" w:rsidRDefault="004C07A0" w:rsidP="00470CA0">
      <w:pPr>
        <w:rPr>
          <w:lang w:eastAsia="en-US"/>
        </w:rPr>
      </w:pPr>
    </w:p>
    <w:p w:rsidR="00470CA0" w:rsidRPr="00470CA0" w:rsidRDefault="00470CA0" w:rsidP="00470CA0">
      <w:pPr>
        <w:pStyle w:val="Heading5"/>
      </w:pPr>
      <w:r w:rsidRPr="00470CA0">
        <w:t>Chart 5.2: Indicative impact for venues with unused entitlements</w:t>
      </w:r>
    </w:p>
    <w:p w:rsidR="00470CA0" w:rsidRDefault="00D209DF" w:rsidP="004C07A0">
      <w:pPr>
        <w:spacing w:after="0"/>
        <w:rPr>
          <w:lang w:eastAsia="en-US"/>
        </w:rPr>
      </w:pPr>
      <w:r>
        <w:rPr>
          <w:noProof/>
        </w:rPr>
        <w:drawing>
          <wp:inline distT="0" distB="0" distL="0" distR="0" wp14:anchorId="5842E48E" wp14:editId="19470829">
            <wp:extent cx="4572000" cy="27432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4C07A0" w:rsidRDefault="004C07A0" w:rsidP="004C07A0">
      <w:pPr>
        <w:spacing w:before="0" w:after="240"/>
        <w:rPr>
          <w:i/>
          <w:sz w:val="18"/>
          <w:szCs w:val="20"/>
        </w:rPr>
      </w:pPr>
      <w:r>
        <w:rPr>
          <w:i/>
          <w:sz w:val="18"/>
          <w:szCs w:val="20"/>
        </w:rPr>
        <w:t xml:space="preserve">Source: </w:t>
      </w:r>
      <w:r w:rsidR="00C46DDC">
        <w:rPr>
          <w:i/>
          <w:sz w:val="18"/>
          <w:szCs w:val="20"/>
        </w:rPr>
        <w:t>DTF</w:t>
      </w:r>
    </w:p>
    <w:p w:rsidR="00AF698A" w:rsidRDefault="00AF698A" w:rsidP="004C07A0">
      <w:pPr>
        <w:spacing w:before="0" w:after="240"/>
        <w:rPr>
          <w:i/>
          <w:sz w:val="18"/>
          <w:szCs w:val="20"/>
        </w:rPr>
      </w:pPr>
    </w:p>
    <w:p w:rsidR="00AF698A" w:rsidRDefault="00AF698A">
      <w:pPr>
        <w:spacing w:before="0" w:after="0"/>
        <w:ind w:left="0"/>
        <w:rPr>
          <w:i/>
          <w:sz w:val="18"/>
          <w:szCs w:val="20"/>
        </w:rPr>
      </w:pPr>
      <w:r>
        <w:rPr>
          <w:i/>
          <w:sz w:val="18"/>
          <w:szCs w:val="20"/>
        </w:rPr>
        <w:br w:type="page"/>
      </w:r>
    </w:p>
    <w:p w:rsidR="00470CA0" w:rsidRPr="00470CA0" w:rsidRDefault="00470CA0" w:rsidP="00470CA0">
      <w:pPr>
        <w:pStyle w:val="Heading2"/>
      </w:pPr>
      <w:bookmarkStart w:id="30" w:name="_Toc356830871"/>
      <w:r w:rsidRPr="00470CA0">
        <w:t>Other options considered</w:t>
      </w:r>
      <w:bookmarkEnd w:id="30"/>
    </w:p>
    <w:p w:rsidR="00470CA0" w:rsidRPr="00F4021E" w:rsidRDefault="00470CA0" w:rsidP="00470CA0">
      <w:pPr>
        <w:spacing w:before="240" w:after="240"/>
        <w:rPr>
          <w:szCs w:val="24"/>
          <w:lang w:eastAsia="en-US"/>
        </w:rPr>
      </w:pPr>
      <w:r w:rsidRPr="00F4021E">
        <w:rPr>
          <w:szCs w:val="24"/>
          <w:lang w:eastAsia="en-US"/>
        </w:rPr>
        <w:t xml:space="preserve">A number of other options were canvassed, but were not deemed sufficiently practicable to be assessed in further detail in the following chapter of the RIS. They are, however, listed here for completeness. </w:t>
      </w:r>
    </w:p>
    <w:p w:rsidR="00470CA0" w:rsidRPr="00470CA0" w:rsidRDefault="00470CA0" w:rsidP="00470CA0">
      <w:pPr>
        <w:spacing w:before="240" w:after="240"/>
        <w:rPr>
          <w:b/>
          <w:bCs/>
          <w:i/>
          <w:iCs/>
          <w:kern w:val="28"/>
          <w:sz w:val="24"/>
          <w:szCs w:val="24"/>
          <w:lang w:eastAsia="en-US"/>
        </w:rPr>
      </w:pPr>
      <w:r w:rsidRPr="00470CA0">
        <w:rPr>
          <w:b/>
          <w:bCs/>
          <w:i/>
          <w:iCs/>
          <w:kern w:val="28"/>
          <w:sz w:val="24"/>
          <w:szCs w:val="24"/>
          <w:lang w:eastAsia="en-US"/>
        </w:rPr>
        <w:t>Activity based charge</w:t>
      </w:r>
    </w:p>
    <w:p w:rsidR="00470CA0" w:rsidRPr="00F4021E" w:rsidRDefault="00470CA0" w:rsidP="00470CA0">
      <w:pPr>
        <w:spacing w:before="240" w:after="240"/>
        <w:rPr>
          <w:szCs w:val="24"/>
          <w:lang w:eastAsia="en-US"/>
        </w:rPr>
      </w:pPr>
      <w:r w:rsidRPr="00F4021E">
        <w:rPr>
          <w:szCs w:val="24"/>
          <w:lang w:eastAsia="en-US"/>
        </w:rPr>
        <w:t>Under this option, venues and in some instances their employees would pay individual charges for all activities they are subject to by the VCGLR, and these charges would reflect the VCGLR’s costs of undertaking these activities. Charges would include fees for licence applications, inspections, investigations and enforcement activities. Venues subject to more regulatory activities would pay more than those that were subject to fewer activities.</w:t>
      </w:r>
    </w:p>
    <w:p w:rsidR="00470CA0" w:rsidRPr="00F4021E" w:rsidRDefault="00470CA0" w:rsidP="00470CA0">
      <w:pPr>
        <w:spacing w:before="240" w:after="240"/>
        <w:rPr>
          <w:szCs w:val="24"/>
          <w:lang w:eastAsia="en-US"/>
        </w:rPr>
      </w:pPr>
      <w:r w:rsidRPr="00F4021E">
        <w:rPr>
          <w:szCs w:val="24"/>
          <w:lang w:eastAsia="en-US"/>
        </w:rPr>
        <w:t xml:space="preserve">This option would expand Victoria’s existing activity based licence fee system and ensure that each such fee fully recovered costs for that activity. This would involve a greater number of fees on regulatory activities and processes undertaken by the VCGLR, and a realignment of current fee levels for certain activities. </w:t>
      </w:r>
    </w:p>
    <w:p w:rsidR="00470CA0" w:rsidRPr="00F4021E" w:rsidRDefault="00470CA0" w:rsidP="00470CA0">
      <w:pPr>
        <w:spacing w:before="240" w:after="240"/>
        <w:rPr>
          <w:szCs w:val="24"/>
          <w:lang w:eastAsia="en-US"/>
        </w:rPr>
      </w:pPr>
      <w:r w:rsidRPr="00F4021E">
        <w:rPr>
          <w:szCs w:val="24"/>
          <w:lang w:eastAsia="en-US"/>
        </w:rPr>
        <w:t>Victoria, along with every other state and territory, levies activity based licence fees on the sector. In general, these fees apply to their relevant gaming machine licensees, venues or other service delivery intermediaries (e.g. venue employees, machine repairers, machine manufacturers etc</w:t>
      </w:r>
      <w:r w:rsidR="0047054C">
        <w:rPr>
          <w:szCs w:val="24"/>
          <w:lang w:eastAsia="en-US"/>
        </w:rPr>
        <w:t>)</w:t>
      </w:r>
      <w:r w:rsidRPr="00F4021E">
        <w:rPr>
          <w:szCs w:val="24"/>
          <w:lang w:eastAsia="en-US"/>
        </w:rPr>
        <w:t xml:space="preserve">. </w:t>
      </w:r>
      <w:r w:rsidR="00222B1B">
        <w:rPr>
          <w:szCs w:val="24"/>
          <w:lang w:eastAsia="en-US"/>
        </w:rPr>
        <w:t xml:space="preserve">A full list of these fees is provided in Table 2.2 in chapter 2 of this RIS. </w:t>
      </w:r>
      <w:r w:rsidRPr="00F4021E">
        <w:rPr>
          <w:szCs w:val="24"/>
          <w:lang w:eastAsia="en-US"/>
        </w:rPr>
        <w:t xml:space="preserve">Currently, these fees only partially cover VCGLR’s costs, with the remainder covered through the supervision charge. </w:t>
      </w:r>
    </w:p>
    <w:p w:rsidR="00470CA0" w:rsidRPr="00F4021E" w:rsidRDefault="00222B1B" w:rsidP="00470CA0">
      <w:pPr>
        <w:spacing w:before="240" w:after="240"/>
        <w:rPr>
          <w:szCs w:val="24"/>
          <w:lang w:eastAsia="en-US"/>
        </w:rPr>
      </w:pPr>
      <w:r>
        <w:rPr>
          <w:szCs w:val="24"/>
          <w:lang w:eastAsia="en-US"/>
        </w:rPr>
        <w:t>Extending VCGLR’s current fees to all of VCGLR’s regulatory activities has a number of problems, including:</w:t>
      </w:r>
    </w:p>
    <w:p w:rsidR="00470CA0" w:rsidRPr="00F4021E" w:rsidRDefault="009A164B" w:rsidP="003F7272">
      <w:pPr>
        <w:numPr>
          <w:ilvl w:val="0"/>
          <w:numId w:val="31"/>
        </w:numPr>
        <w:spacing w:before="240" w:after="240"/>
        <w:ind w:hanging="357"/>
        <w:rPr>
          <w:szCs w:val="24"/>
          <w:lang w:eastAsia="en-US"/>
        </w:rPr>
      </w:pPr>
      <w:r>
        <w:rPr>
          <w:szCs w:val="24"/>
          <w:lang w:eastAsia="en-US"/>
        </w:rPr>
        <w:t>t</w:t>
      </w:r>
      <w:r w:rsidR="00470CA0" w:rsidRPr="00F4021E">
        <w:rPr>
          <w:szCs w:val="24"/>
          <w:lang w:eastAsia="en-US"/>
        </w:rPr>
        <w:t xml:space="preserve">he assessment of appropriate payments for </w:t>
      </w:r>
      <w:r w:rsidR="00222B1B">
        <w:rPr>
          <w:szCs w:val="24"/>
          <w:lang w:eastAsia="en-US"/>
        </w:rPr>
        <w:t xml:space="preserve">certain </w:t>
      </w:r>
      <w:r w:rsidR="00470CA0" w:rsidRPr="00F4021E">
        <w:rPr>
          <w:szCs w:val="24"/>
          <w:lang w:eastAsia="en-US"/>
        </w:rPr>
        <w:t xml:space="preserve">activities, especially when the cost of regulation may </w:t>
      </w:r>
      <w:r w:rsidR="00222B1B">
        <w:rPr>
          <w:szCs w:val="24"/>
          <w:lang w:eastAsia="en-US"/>
        </w:rPr>
        <w:t>be vastly different</w:t>
      </w:r>
      <w:r w:rsidR="00222B1B" w:rsidRPr="00F4021E">
        <w:rPr>
          <w:szCs w:val="24"/>
          <w:lang w:eastAsia="en-US"/>
        </w:rPr>
        <w:t xml:space="preserve"> </w:t>
      </w:r>
      <w:r w:rsidR="00222B1B">
        <w:rPr>
          <w:szCs w:val="24"/>
          <w:lang w:eastAsia="en-US"/>
        </w:rPr>
        <w:t>between venues</w:t>
      </w:r>
      <w:r w:rsidR="00470CA0" w:rsidRPr="00F4021E">
        <w:rPr>
          <w:szCs w:val="24"/>
          <w:lang w:eastAsia="en-US"/>
        </w:rPr>
        <w:t>;</w:t>
      </w:r>
    </w:p>
    <w:p w:rsidR="00470CA0" w:rsidRPr="00F4021E" w:rsidRDefault="009A164B" w:rsidP="003F7272">
      <w:pPr>
        <w:numPr>
          <w:ilvl w:val="0"/>
          <w:numId w:val="31"/>
        </w:numPr>
        <w:spacing w:before="240" w:after="240"/>
        <w:ind w:hanging="357"/>
        <w:rPr>
          <w:szCs w:val="24"/>
          <w:lang w:eastAsia="en-US"/>
        </w:rPr>
      </w:pPr>
      <w:r>
        <w:rPr>
          <w:szCs w:val="24"/>
          <w:lang w:eastAsia="en-US"/>
        </w:rPr>
        <w:t>a</w:t>
      </w:r>
      <w:r w:rsidR="00470CA0" w:rsidRPr="00F4021E">
        <w:rPr>
          <w:szCs w:val="24"/>
          <w:lang w:eastAsia="en-US"/>
        </w:rPr>
        <w:t>ctivity based charges may create a moral hazard for venues, who would have a stronger incentive to avoid interaction with VCGLR;</w:t>
      </w:r>
      <w:r>
        <w:rPr>
          <w:szCs w:val="24"/>
          <w:lang w:eastAsia="en-US"/>
        </w:rPr>
        <w:t xml:space="preserve"> and</w:t>
      </w:r>
    </w:p>
    <w:p w:rsidR="00470CA0" w:rsidRPr="00F4021E" w:rsidRDefault="009A164B" w:rsidP="003F7272">
      <w:pPr>
        <w:numPr>
          <w:ilvl w:val="0"/>
          <w:numId w:val="31"/>
        </w:numPr>
        <w:spacing w:before="240" w:after="240"/>
        <w:ind w:hanging="357"/>
        <w:rPr>
          <w:szCs w:val="24"/>
          <w:lang w:eastAsia="en-US"/>
        </w:rPr>
      </w:pPr>
      <w:r>
        <w:rPr>
          <w:szCs w:val="24"/>
          <w:lang w:eastAsia="en-US"/>
        </w:rPr>
        <w:t>a</w:t>
      </w:r>
      <w:r w:rsidR="005D0F51">
        <w:rPr>
          <w:szCs w:val="24"/>
          <w:lang w:eastAsia="en-US"/>
        </w:rPr>
        <w:t xml:space="preserve"> lack of fairness where</w:t>
      </w:r>
      <w:r w:rsidR="00470CA0" w:rsidRPr="00F4021E">
        <w:rPr>
          <w:szCs w:val="24"/>
          <w:lang w:eastAsia="en-US"/>
        </w:rPr>
        <w:t xml:space="preserve"> a venue would pay an activity based charge </w:t>
      </w:r>
      <w:r w:rsidR="005D0F51">
        <w:rPr>
          <w:szCs w:val="24"/>
          <w:lang w:eastAsia="en-US"/>
        </w:rPr>
        <w:t>as a result of an</w:t>
      </w:r>
      <w:r w:rsidR="00470CA0" w:rsidRPr="00F4021E">
        <w:rPr>
          <w:szCs w:val="24"/>
          <w:lang w:eastAsia="en-US"/>
        </w:rPr>
        <w:t xml:space="preserve"> investigation </w:t>
      </w:r>
      <w:r w:rsidR="005D0F51">
        <w:rPr>
          <w:szCs w:val="24"/>
          <w:lang w:eastAsia="en-US"/>
        </w:rPr>
        <w:t>being</w:t>
      </w:r>
      <w:r w:rsidR="005D0F51" w:rsidRPr="00F4021E">
        <w:rPr>
          <w:szCs w:val="24"/>
          <w:lang w:eastAsia="en-US"/>
        </w:rPr>
        <w:t xml:space="preserve"> </w:t>
      </w:r>
      <w:r w:rsidR="00470CA0" w:rsidRPr="00F4021E">
        <w:rPr>
          <w:szCs w:val="24"/>
          <w:lang w:eastAsia="en-US"/>
        </w:rPr>
        <w:t xml:space="preserve">undertaken </w:t>
      </w:r>
      <w:r w:rsidR="002F2E2E">
        <w:rPr>
          <w:szCs w:val="24"/>
          <w:lang w:eastAsia="en-US"/>
        </w:rPr>
        <w:t xml:space="preserve">(random or otherwise) </w:t>
      </w:r>
      <w:r w:rsidR="005D0F51">
        <w:rPr>
          <w:szCs w:val="24"/>
          <w:lang w:eastAsia="en-US"/>
        </w:rPr>
        <w:t xml:space="preserve">which </w:t>
      </w:r>
      <w:r w:rsidR="00470CA0" w:rsidRPr="00F4021E">
        <w:rPr>
          <w:szCs w:val="24"/>
          <w:lang w:eastAsia="en-US"/>
        </w:rPr>
        <w:t>finds no wrongdoing</w:t>
      </w:r>
      <w:r w:rsidR="002F2E2E">
        <w:rPr>
          <w:szCs w:val="24"/>
          <w:lang w:eastAsia="en-US"/>
        </w:rPr>
        <w:t xml:space="preserve"> on the part of the venue</w:t>
      </w:r>
      <w:r w:rsidR="005D0F51">
        <w:rPr>
          <w:szCs w:val="24"/>
          <w:lang w:eastAsia="en-US"/>
        </w:rPr>
        <w:t>.</w:t>
      </w:r>
      <w:r w:rsidR="00470CA0" w:rsidRPr="00F4021E">
        <w:rPr>
          <w:szCs w:val="24"/>
          <w:lang w:eastAsia="en-US"/>
        </w:rPr>
        <w:t xml:space="preserve"> </w:t>
      </w:r>
    </w:p>
    <w:p w:rsidR="00222B1B" w:rsidRDefault="00222B1B" w:rsidP="00470CA0">
      <w:pPr>
        <w:spacing w:before="240" w:after="240"/>
        <w:rPr>
          <w:szCs w:val="24"/>
          <w:lang w:eastAsia="en-US"/>
        </w:rPr>
      </w:pPr>
      <w:r>
        <w:rPr>
          <w:szCs w:val="24"/>
          <w:lang w:eastAsia="en-US"/>
        </w:rPr>
        <w:t>On account of these issues, this option has not been considered further in this RIS.</w:t>
      </w:r>
    </w:p>
    <w:p w:rsidR="00470CA0" w:rsidRPr="00470CA0" w:rsidRDefault="0078188C" w:rsidP="00470CA0">
      <w:pPr>
        <w:spacing w:before="240" w:after="240"/>
        <w:rPr>
          <w:b/>
          <w:bCs/>
          <w:i/>
          <w:iCs/>
          <w:kern w:val="28"/>
          <w:sz w:val="24"/>
          <w:szCs w:val="24"/>
          <w:lang w:eastAsia="en-US"/>
        </w:rPr>
      </w:pPr>
      <w:r>
        <w:rPr>
          <w:b/>
          <w:bCs/>
          <w:i/>
          <w:iCs/>
          <w:kern w:val="28"/>
          <w:sz w:val="24"/>
          <w:szCs w:val="24"/>
          <w:lang w:eastAsia="en-US"/>
        </w:rPr>
        <w:t>Gaming machine</w:t>
      </w:r>
      <w:r w:rsidR="00470CA0" w:rsidRPr="00470CA0">
        <w:rPr>
          <w:b/>
          <w:bCs/>
          <w:i/>
          <w:iCs/>
          <w:kern w:val="28"/>
          <w:sz w:val="24"/>
          <w:szCs w:val="24"/>
          <w:lang w:eastAsia="en-US"/>
        </w:rPr>
        <w:t xml:space="preserve"> tax surcharge </w:t>
      </w:r>
    </w:p>
    <w:p w:rsidR="00470CA0" w:rsidRPr="00F4021E" w:rsidRDefault="0078188C" w:rsidP="00470CA0">
      <w:pPr>
        <w:spacing w:before="240" w:after="240"/>
        <w:rPr>
          <w:szCs w:val="24"/>
          <w:lang w:eastAsia="en-US"/>
        </w:rPr>
      </w:pPr>
      <w:r>
        <w:rPr>
          <w:szCs w:val="24"/>
          <w:lang w:eastAsia="en-US"/>
        </w:rPr>
        <w:t xml:space="preserve">A gaming machine </w:t>
      </w:r>
      <w:r w:rsidR="00470CA0" w:rsidRPr="00F4021E">
        <w:rPr>
          <w:szCs w:val="24"/>
          <w:lang w:eastAsia="en-US"/>
        </w:rPr>
        <w:t xml:space="preserve">tax surcharge would place a surcharge on </w:t>
      </w:r>
      <w:r>
        <w:rPr>
          <w:szCs w:val="24"/>
          <w:lang w:eastAsia="en-US"/>
        </w:rPr>
        <w:t>gaming machine</w:t>
      </w:r>
      <w:r w:rsidR="00470CA0" w:rsidRPr="00F4021E">
        <w:rPr>
          <w:szCs w:val="24"/>
          <w:lang w:eastAsia="en-US"/>
        </w:rPr>
        <w:t xml:space="preserve"> tax paid by </w:t>
      </w:r>
      <w:r w:rsidR="00F13192">
        <w:rPr>
          <w:szCs w:val="24"/>
          <w:lang w:eastAsia="en-US"/>
        </w:rPr>
        <w:t>venue o</w:t>
      </w:r>
      <w:r w:rsidR="00472069">
        <w:rPr>
          <w:szCs w:val="24"/>
          <w:lang w:eastAsia="en-US"/>
        </w:rPr>
        <w:t>perator</w:t>
      </w:r>
      <w:r w:rsidR="00470CA0" w:rsidRPr="00F4021E">
        <w:rPr>
          <w:szCs w:val="24"/>
          <w:lang w:eastAsia="en-US"/>
        </w:rPr>
        <w:t xml:space="preserve">s. This surcharge would be levied as a percentage rate, collected in addition to general </w:t>
      </w:r>
      <w:r>
        <w:rPr>
          <w:szCs w:val="24"/>
          <w:lang w:eastAsia="en-US"/>
        </w:rPr>
        <w:t>gaming machine</w:t>
      </w:r>
      <w:r w:rsidR="00470CA0" w:rsidRPr="00F4021E">
        <w:rPr>
          <w:szCs w:val="24"/>
          <w:lang w:eastAsia="en-US"/>
        </w:rPr>
        <w:t xml:space="preserve"> taxes.</w:t>
      </w:r>
    </w:p>
    <w:p w:rsidR="00470CA0" w:rsidRPr="00F4021E" w:rsidRDefault="00470CA0" w:rsidP="00470CA0">
      <w:pPr>
        <w:spacing w:before="240" w:after="240"/>
        <w:rPr>
          <w:szCs w:val="24"/>
          <w:lang w:eastAsia="en-US"/>
        </w:rPr>
      </w:pPr>
      <w:r w:rsidRPr="00F4021E">
        <w:rPr>
          <w:szCs w:val="24"/>
          <w:lang w:eastAsia="en-US"/>
        </w:rPr>
        <w:t>This option has not been considered in further detail for two reasons:</w:t>
      </w:r>
    </w:p>
    <w:p w:rsidR="00470CA0" w:rsidRPr="00F4021E" w:rsidRDefault="009A164B" w:rsidP="003F7272">
      <w:pPr>
        <w:numPr>
          <w:ilvl w:val="0"/>
          <w:numId w:val="30"/>
        </w:numPr>
        <w:spacing w:before="240" w:after="240"/>
        <w:contextualSpacing/>
        <w:rPr>
          <w:szCs w:val="24"/>
          <w:lang w:eastAsia="en-US"/>
        </w:rPr>
      </w:pPr>
      <w:r>
        <w:rPr>
          <w:szCs w:val="24"/>
          <w:lang w:eastAsia="en-US"/>
        </w:rPr>
        <w:t>T</w:t>
      </w:r>
      <w:r w:rsidR="00470CA0" w:rsidRPr="00F4021E">
        <w:rPr>
          <w:szCs w:val="24"/>
          <w:lang w:eastAsia="en-US"/>
        </w:rPr>
        <w:t xml:space="preserve">his charge, if levied in arrears, would be functionally similar to </w:t>
      </w:r>
      <w:r w:rsidR="00B61A29">
        <w:rPr>
          <w:szCs w:val="24"/>
          <w:lang w:eastAsia="en-US"/>
        </w:rPr>
        <w:t>Option C</w:t>
      </w:r>
      <w:r w:rsidR="00470CA0" w:rsidRPr="00F4021E">
        <w:rPr>
          <w:szCs w:val="24"/>
          <w:lang w:eastAsia="en-US"/>
        </w:rPr>
        <w:t xml:space="preserve">, which is being considered in detail in Chapter </w:t>
      </w:r>
      <w:r>
        <w:rPr>
          <w:szCs w:val="24"/>
          <w:lang w:eastAsia="en-US"/>
        </w:rPr>
        <w:t>6</w:t>
      </w:r>
      <w:r w:rsidR="00470CA0" w:rsidRPr="00F4021E">
        <w:rPr>
          <w:szCs w:val="24"/>
          <w:lang w:eastAsia="en-US"/>
        </w:rPr>
        <w:t>.</w:t>
      </w:r>
    </w:p>
    <w:p w:rsidR="00470CA0" w:rsidRPr="00F4021E" w:rsidRDefault="00470CA0" w:rsidP="00470CA0">
      <w:pPr>
        <w:spacing w:before="240" w:after="240"/>
        <w:ind w:left="1514"/>
        <w:contextualSpacing/>
        <w:rPr>
          <w:szCs w:val="24"/>
          <w:lang w:eastAsia="en-US"/>
        </w:rPr>
      </w:pPr>
    </w:p>
    <w:p w:rsidR="00470CA0" w:rsidRPr="00F4021E" w:rsidRDefault="009A164B" w:rsidP="003F7272">
      <w:pPr>
        <w:numPr>
          <w:ilvl w:val="0"/>
          <w:numId w:val="30"/>
        </w:numPr>
        <w:spacing w:before="240" w:after="240"/>
        <w:ind w:hanging="357"/>
        <w:rPr>
          <w:szCs w:val="24"/>
          <w:lang w:eastAsia="en-US"/>
        </w:rPr>
      </w:pPr>
      <w:r>
        <w:rPr>
          <w:szCs w:val="24"/>
          <w:lang w:eastAsia="en-US"/>
        </w:rPr>
        <w:t>T</w:t>
      </w:r>
      <w:r w:rsidR="00EF202F">
        <w:rPr>
          <w:szCs w:val="24"/>
          <w:lang w:eastAsia="en-US"/>
        </w:rPr>
        <w:t xml:space="preserve">his </w:t>
      </w:r>
      <w:r w:rsidR="00470CA0" w:rsidRPr="00F4021E">
        <w:rPr>
          <w:szCs w:val="24"/>
          <w:lang w:eastAsia="en-US"/>
        </w:rPr>
        <w:t xml:space="preserve">would in practice appear similar to </w:t>
      </w:r>
      <w:r w:rsidR="0078188C">
        <w:rPr>
          <w:szCs w:val="24"/>
          <w:lang w:eastAsia="en-US"/>
        </w:rPr>
        <w:t>gaming machine</w:t>
      </w:r>
      <w:r w:rsidR="00470CA0" w:rsidRPr="00F4021E">
        <w:rPr>
          <w:szCs w:val="24"/>
          <w:lang w:eastAsia="en-US"/>
        </w:rPr>
        <w:t xml:space="preserve"> taxation with a portion hypothecated to the VCGLR. </w:t>
      </w:r>
    </w:p>
    <w:p w:rsidR="00470CA0" w:rsidRPr="00470CA0" w:rsidRDefault="00470CA0" w:rsidP="00470CA0">
      <w:pPr>
        <w:spacing w:before="240" w:after="240"/>
        <w:rPr>
          <w:b/>
          <w:bCs/>
          <w:i/>
          <w:iCs/>
          <w:kern w:val="28"/>
          <w:sz w:val="24"/>
          <w:szCs w:val="24"/>
          <w:lang w:eastAsia="en-US"/>
        </w:rPr>
      </w:pPr>
      <w:r w:rsidRPr="00470CA0">
        <w:rPr>
          <w:b/>
          <w:bCs/>
          <w:i/>
          <w:iCs/>
          <w:kern w:val="28"/>
          <w:sz w:val="24"/>
          <w:szCs w:val="24"/>
          <w:lang w:eastAsia="en-US"/>
        </w:rPr>
        <w:t xml:space="preserve">Risk based charge </w:t>
      </w:r>
    </w:p>
    <w:p w:rsidR="00470CA0" w:rsidRPr="00F4021E" w:rsidRDefault="00470CA0" w:rsidP="00470CA0">
      <w:pPr>
        <w:spacing w:before="240" w:after="240"/>
        <w:rPr>
          <w:szCs w:val="24"/>
          <w:lang w:eastAsia="en-US"/>
        </w:rPr>
      </w:pPr>
      <w:r w:rsidRPr="00F4021E">
        <w:rPr>
          <w:szCs w:val="24"/>
          <w:lang w:eastAsia="en-US"/>
        </w:rPr>
        <w:t>A risk based charge would apportion the cost of supervision to venues based on their risk profile determined by their compliance with regulatory requirements, including type and number of breaches or disciplinary matters, such as failing to provide required information or allowing a minor into a gaming venue. High risk venues would pay a higher proportion of the supervision charge. Lower risk venues would still contribute to the charge, but to a lesser extent.</w:t>
      </w:r>
    </w:p>
    <w:p w:rsidR="00470CA0" w:rsidRDefault="00E773D3" w:rsidP="005D0F51">
      <w:pPr>
        <w:spacing w:before="240" w:after="240"/>
        <w:rPr>
          <w:szCs w:val="24"/>
          <w:lang w:eastAsia="en-US"/>
        </w:rPr>
      </w:pPr>
      <w:r>
        <w:rPr>
          <w:szCs w:val="24"/>
          <w:lang w:eastAsia="en-US"/>
        </w:rPr>
        <w:t>I</w:t>
      </w:r>
      <w:r w:rsidR="005D0F51">
        <w:rPr>
          <w:szCs w:val="24"/>
          <w:lang w:eastAsia="en-US"/>
        </w:rPr>
        <w:t>t is unclear whether there is a direct relationship between the risk of</w:t>
      </w:r>
      <w:r w:rsidR="00AD2AA3">
        <w:rPr>
          <w:szCs w:val="24"/>
          <w:lang w:eastAsia="en-US"/>
        </w:rPr>
        <w:t xml:space="preserve">, for </w:t>
      </w:r>
      <w:r w:rsidR="00D87911">
        <w:rPr>
          <w:szCs w:val="24"/>
          <w:lang w:eastAsia="en-US"/>
        </w:rPr>
        <w:t>instance</w:t>
      </w:r>
      <w:r w:rsidR="005D0F51">
        <w:rPr>
          <w:szCs w:val="24"/>
          <w:lang w:eastAsia="en-US"/>
        </w:rPr>
        <w:t xml:space="preserve"> problem gambling</w:t>
      </w:r>
      <w:r w:rsidR="00D87911">
        <w:rPr>
          <w:szCs w:val="24"/>
          <w:lang w:eastAsia="en-US"/>
        </w:rPr>
        <w:t>,</w:t>
      </w:r>
      <w:r w:rsidR="005D0F51">
        <w:rPr>
          <w:szCs w:val="24"/>
          <w:lang w:eastAsia="en-US"/>
        </w:rPr>
        <w:t xml:space="preserve"> and VCGLR’s regulatory costs. As a result, a risk based charge </w:t>
      </w:r>
      <w:r w:rsidR="00EF202F">
        <w:rPr>
          <w:szCs w:val="24"/>
          <w:lang w:eastAsia="en-US"/>
        </w:rPr>
        <w:t xml:space="preserve">was not </w:t>
      </w:r>
      <w:r w:rsidR="00237B86">
        <w:rPr>
          <w:szCs w:val="24"/>
          <w:lang w:eastAsia="en-US"/>
        </w:rPr>
        <w:t>considered a</w:t>
      </w:r>
      <w:r w:rsidR="00470CA0" w:rsidRPr="00F4021E">
        <w:rPr>
          <w:szCs w:val="24"/>
          <w:lang w:eastAsia="en-US"/>
        </w:rPr>
        <w:t xml:space="preserve"> viable option for in </w:t>
      </w:r>
      <w:r w:rsidR="005D0F51">
        <w:rPr>
          <w:szCs w:val="24"/>
          <w:lang w:eastAsia="en-US"/>
        </w:rPr>
        <w:t>2012-13</w:t>
      </w:r>
      <w:r w:rsidR="00470CA0" w:rsidRPr="00F4021E">
        <w:rPr>
          <w:szCs w:val="24"/>
          <w:lang w:eastAsia="en-US"/>
        </w:rPr>
        <w:t xml:space="preserve">. </w:t>
      </w:r>
      <w:r w:rsidR="003D2865" w:rsidRPr="00F4021E">
        <w:rPr>
          <w:szCs w:val="24"/>
          <w:lang w:eastAsia="en-US"/>
        </w:rPr>
        <w:t xml:space="preserve">As more data becomes available in the future, it may be prudent to revisit </w:t>
      </w:r>
      <w:r w:rsidR="003D2865">
        <w:rPr>
          <w:szCs w:val="24"/>
          <w:lang w:eastAsia="en-US"/>
        </w:rPr>
        <w:t>the</w:t>
      </w:r>
      <w:r w:rsidR="00D87911">
        <w:rPr>
          <w:szCs w:val="24"/>
          <w:lang w:eastAsia="en-US"/>
        </w:rPr>
        <w:t xml:space="preserve"> relationship between the risk profiles of venue operators </w:t>
      </w:r>
      <w:r w:rsidR="003D2865">
        <w:rPr>
          <w:szCs w:val="24"/>
          <w:lang w:eastAsia="en-US"/>
        </w:rPr>
        <w:t>and the VCGLR’s regulatory costs</w:t>
      </w:r>
      <w:r w:rsidR="003D2865" w:rsidRPr="00F4021E">
        <w:rPr>
          <w:szCs w:val="24"/>
          <w:lang w:eastAsia="en-US"/>
        </w:rPr>
        <w:t>.</w:t>
      </w:r>
    </w:p>
    <w:p w:rsidR="00470CA0" w:rsidRPr="00470CA0" w:rsidRDefault="00470CA0" w:rsidP="00470CA0">
      <w:pPr>
        <w:spacing w:before="240" w:after="240"/>
        <w:rPr>
          <w:b/>
          <w:bCs/>
          <w:i/>
          <w:iCs/>
          <w:kern w:val="28"/>
          <w:sz w:val="24"/>
          <w:szCs w:val="24"/>
          <w:lang w:eastAsia="en-US"/>
        </w:rPr>
      </w:pPr>
      <w:r w:rsidRPr="00470CA0">
        <w:rPr>
          <w:b/>
          <w:bCs/>
          <w:i/>
          <w:iCs/>
          <w:kern w:val="28"/>
          <w:sz w:val="24"/>
          <w:szCs w:val="24"/>
          <w:lang w:eastAsia="en-US"/>
        </w:rPr>
        <w:t>Flat fee per venue</w:t>
      </w:r>
    </w:p>
    <w:p w:rsidR="00470CA0" w:rsidRPr="00F4021E" w:rsidRDefault="00470CA0" w:rsidP="00470CA0">
      <w:pPr>
        <w:spacing w:before="240" w:after="240"/>
        <w:rPr>
          <w:sz w:val="18"/>
          <w:szCs w:val="20"/>
          <w:lang w:eastAsia="en-US"/>
        </w:rPr>
      </w:pPr>
      <w:r w:rsidRPr="00F4021E">
        <w:rPr>
          <w:szCs w:val="24"/>
          <w:lang w:eastAsia="en-US"/>
        </w:rPr>
        <w:t>A flat fee per venue would equally divide the supervision charge between venues thus:</w:t>
      </w:r>
    </w:p>
    <w:p w:rsidR="00470CA0" w:rsidRPr="00470CA0" w:rsidRDefault="00470CA0" w:rsidP="00470CA0">
      <w:pPr>
        <w:spacing w:before="240" w:after="0"/>
        <w:ind w:left="425"/>
        <w:rPr>
          <w:sz w:val="20"/>
          <w:szCs w:val="20"/>
          <w:lang w:eastAsia="en-US"/>
        </w:rPr>
      </w:pPr>
      <m:oMathPara>
        <m:oMath>
          <m:r>
            <m:rPr>
              <m:sty m:val="bi"/>
            </m:rPr>
            <w:rPr>
              <w:rFonts w:ascii="Cambria Math" w:hAnsi="Cambria Math"/>
              <w:sz w:val="20"/>
              <w:szCs w:val="20"/>
              <w:lang w:eastAsia="en-US"/>
            </w:rPr>
            <m:t>supervision charge flat fee amount per venue</m:t>
          </m:r>
          <m:r>
            <w:rPr>
              <w:rFonts w:ascii="Cambria Math" w:hAnsi="Cambria Math"/>
              <w:sz w:val="20"/>
              <w:szCs w:val="20"/>
              <w:lang w:eastAsia="en-US"/>
            </w:rPr>
            <m:t>=</m:t>
          </m:r>
          <m:f>
            <m:fPr>
              <m:ctrlPr>
                <w:rPr>
                  <w:rFonts w:ascii="Cambria Math" w:hAnsi="Cambria Math"/>
                  <w:i/>
                  <w:sz w:val="20"/>
                  <w:szCs w:val="20"/>
                  <w:lang w:eastAsia="en-US"/>
                </w:rPr>
              </m:ctrlPr>
            </m:fPr>
            <m:num>
              <m:r>
                <w:rPr>
                  <w:rFonts w:ascii="Cambria Math" w:hAnsi="Cambria Math"/>
                  <w:sz w:val="20"/>
                  <w:szCs w:val="20"/>
                  <w:lang w:eastAsia="en-US"/>
                </w:rPr>
                <m:t>VCGL</m:t>
              </m:r>
              <m:sSup>
                <m:sSupPr>
                  <m:ctrlPr>
                    <w:rPr>
                      <w:rFonts w:ascii="Cambria Math" w:hAnsi="Cambria Math"/>
                      <w:i/>
                      <w:sz w:val="20"/>
                      <w:szCs w:val="20"/>
                      <w:lang w:eastAsia="en-US"/>
                    </w:rPr>
                  </m:ctrlPr>
                </m:sSupPr>
                <m:e>
                  <m:r>
                    <w:rPr>
                      <w:rFonts w:ascii="Cambria Math" w:hAnsi="Cambria Math"/>
                      <w:sz w:val="20"/>
                      <w:szCs w:val="20"/>
                      <w:lang w:eastAsia="en-US"/>
                    </w:rPr>
                    <m:t>R</m:t>
                  </m:r>
                </m:e>
                <m:sup>
                  <m:r>
                    <w:rPr>
                      <w:rFonts w:ascii="Cambria Math" w:hAnsi="Cambria Math"/>
                      <w:sz w:val="20"/>
                      <w:szCs w:val="20"/>
                      <w:lang w:eastAsia="en-US"/>
                    </w:rPr>
                    <m:t>'</m:t>
                  </m:r>
                </m:sup>
              </m:sSup>
              <m:r>
                <w:rPr>
                  <w:rFonts w:ascii="Cambria Math" w:hAnsi="Cambria Math"/>
                  <w:sz w:val="20"/>
                  <w:szCs w:val="20"/>
                  <w:lang w:eastAsia="en-US"/>
                </w:rPr>
                <m:t>s entitlement and EGM related regulatory costs</m:t>
              </m:r>
            </m:num>
            <m:den>
              <m:r>
                <w:rPr>
                  <w:rFonts w:ascii="Cambria Math" w:hAnsi="Cambria Math"/>
                  <w:sz w:val="20"/>
                  <w:szCs w:val="20"/>
                  <w:lang w:eastAsia="en-US"/>
                </w:rPr>
                <m:t>total number of venue operators in Victoria</m:t>
              </m:r>
            </m:den>
          </m:f>
        </m:oMath>
      </m:oMathPara>
    </w:p>
    <w:p w:rsidR="00470CA0" w:rsidRDefault="00470CA0" w:rsidP="00470CA0">
      <w:pPr>
        <w:spacing w:before="240" w:after="240"/>
        <w:rPr>
          <w:szCs w:val="24"/>
          <w:lang w:eastAsia="en-US"/>
        </w:rPr>
      </w:pPr>
      <w:r w:rsidRPr="00F4021E">
        <w:rPr>
          <w:szCs w:val="24"/>
          <w:lang w:eastAsia="en-US"/>
        </w:rPr>
        <w:t>This option has not been considered in further detail as it would create unacceptably large cross subsidies from small venues to large venues.</w:t>
      </w:r>
    </w:p>
    <w:p w:rsidR="00470CA0" w:rsidRPr="00470CA0" w:rsidRDefault="00470CA0" w:rsidP="00470CA0">
      <w:pPr>
        <w:spacing w:before="240" w:after="240"/>
        <w:rPr>
          <w:b/>
          <w:bCs/>
          <w:i/>
          <w:iCs/>
          <w:kern w:val="28"/>
          <w:sz w:val="24"/>
          <w:szCs w:val="24"/>
          <w:lang w:eastAsia="en-US"/>
        </w:rPr>
      </w:pPr>
      <w:r w:rsidRPr="00470CA0">
        <w:rPr>
          <w:b/>
          <w:bCs/>
          <w:i/>
          <w:iCs/>
          <w:kern w:val="28"/>
          <w:sz w:val="24"/>
          <w:szCs w:val="24"/>
          <w:lang w:eastAsia="en-US"/>
        </w:rPr>
        <w:t>Player charges</w:t>
      </w:r>
    </w:p>
    <w:p w:rsidR="00670895" w:rsidRDefault="00E652A0" w:rsidP="00470CA0">
      <w:pPr>
        <w:spacing w:before="240" w:after="240"/>
        <w:rPr>
          <w:szCs w:val="24"/>
          <w:lang w:eastAsia="en-US"/>
        </w:rPr>
      </w:pPr>
      <w:r w:rsidRPr="00E652A0">
        <w:rPr>
          <w:szCs w:val="24"/>
          <w:lang w:eastAsia="en-US"/>
        </w:rPr>
        <w:t xml:space="preserve">There are a number of options for the implementation of a player surcharge. These options can generally be categorised as flag fall charges on player winnings. These options have not been considered in further detail. This is because they are not consistent with the requirement under DTF’s cost recovery guidelines that the industry that gives rise to the need for regulation should pay the associated cost. In addition, player charges may have prohibitively large implementation costs. </w:t>
      </w:r>
    </w:p>
    <w:p w:rsidR="00470CA0" w:rsidRPr="00470CA0" w:rsidRDefault="00470CA0" w:rsidP="00470CA0">
      <w:pPr>
        <w:spacing w:before="240" w:after="240"/>
        <w:rPr>
          <w:b/>
          <w:bCs/>
          <w:i/>
          <w:iCs/>
          <w:kern w:val="28"/>
          <w:sz w:val="24"/>
          <w:szCs w:val="24"/>
          <w:lang w:eastAsia="en-US"/>
        </w:rPr>
      </w:pPr>
      <w:r w:rsidRPr="00470CA0">
        <w:rPr>
          <w:b/>
          <w:bCs/>
          <w:i/>
          <w:iCs/>
          <w:kern w:val="28"/>
          <w:sz w:val="24"/>
          <w:szCs w:val="24"/>
          <w:lang w:eastAsia="en-US"/>
        </w:rPr>
        <w:t xml:space="preserve">Fees on unrelated goods or services </w:t>
      </w:r>
    </w:p>
    <w:p w:rsidR="00470CA0" w:rsidRPr="00F4021E" w:rsidRDefault="00470CA0" w:rsidP="00470CA0">
      <w:pPr>
        <w:spacing w:before="240" w:after="240"/>
        <w:rPr>
          <w:szCs w:val="24"/>
          <w:lang w:eastAsia="en-US"/>
        </w:rPr>
      </w:pPr>
      <w:r w:rsidRPr="00F4021E">
        <w:rPr>
          <w:szCs w:val="24"/>
          <w:lang w:eastAsia="en-US"/>
        </w:rPr>
        <w:t xml:space="preserve">A variety of fees could be imposed on unrelated goods and services to recover VCGLR’s regulatory costs. For example, the </w:t>
      </w:r>
      <w:r w:rsidR="00E773D3">
        <w:rPr>
          <w:szCs w:val="24"/>
          <w:lang w:eastAsia="en-US"/>
        </w:rPr>
        <w:t>S</w:t>
      </w:r>
      <w:r w:rsidRPr="00F4021E">
        <w:rPr>
          <w:szCs w:val="24"/>
          <w:lang w:eastAsia="en-US"/>
        </w:rPr>
        <w:t>tate could introduce a charge on motor vehicle registrations to cover VCGLR’s costs. These options have not been considered further because they do not meet the standards of DTF’s Cost Recovery Guidelines</w:t>
      </w:r>
      <w:r w:rsidR="00EF202F">
        <w:rPr>
          <w:szCs w:val="24"/>
          <w:lang w:eastAsia="en-US"/>
        </w:rPr>
        <w:t>. This</w:t>
      </w:r>
      <w:r w:rsidRPr="00F4021E">
        <w:rPr>
          <w:szCs w:val="24"/>
          <w:lang w:eastAsia="en-US"/>
        </w:rPr>
        <w:t xml:space="preserve"> introduce</w:t>
      </w:r>
      <w:r w:rsidR="00EF202F">
        <w:rPr>
          <w:szCs w:val="24"/>
          <w:lang w:eastAsia="en-US"/>
        </w:rPr>
        <w:t>s</w:t>
      </w:r>
      <w:r w:rsidRPr="00F4021E">
        <w:rPr>
          <w:szCs w:val="24"/>
          <w:lang w:eastAsia="en-US"/>
        </w:rPr>
        <w:t xml:space="preserve"> large cross subsidies and </w:t>
      </w:r>
      <w:r w:rsidR="005D0F51">
        <w:rPr>
          <w:szCs w:val="24"/>
          <w:lang w:eastAsia="en-US"/>
        </w:rPr>
        <w:t>may potentially</w:t>
      </w:r>
      <w:r w:rsidRPr="00F4021E">
        <w:rPr>
          <w:szCs w:val="24"/>
          <w:lang w:eastAsia="en-US"/>
        </w:rPr>
        <w:t xml:space="preserve"> be considered an excise duty under Section 90 of the </w:t>
      </w:r>
      <w:r w:rsidRPr="00F4021E">
        <w:rPr>
          <w:i/>
          <w:szCs w:val="24"/>
          <w:lang w:eastAsia="en-US"/>
        </w:rPr>
        <w:t>Commonwealth of Australia Constitution Act</w:t>
      </w:r>
      <w:r w:rsidRPr="00F4021E">
        <w:rPr>
          <w:szCs w:val="24"/>
          <w:lang w:eastAsia="en-US"/>
        </w:rPr>
        <w:t xml:space="preserve">. </w:t>
      </w:r>
    </w:p>
    <w:p w:rsidR="00552B8F" w:rsidRDefault="00552B8F" w:rsidP="00C27A13">
      <w:pPr>
        <w:pStyle w:val="Heading2"/>
      </w:pPr>
      <w:bookmarkStart w:id="31" w:name="_Toc356830872"/>
      <w:r>
        <w:t>Implement</w:t>
      </w:r>
      <w:r w:rsidR="00E77318">
        <w:t xml:space="preserve">ing </w:t>
      </w:r>
      <w:r>
        <w:t xml:space="preserve">the </w:t>
      </w:r>
      <w:r w:rsidR="00C27A13">
        <w:t>s</w:t>
      </w:r>
      <w:r w:rsidR="00BD0CF3">
        <w:t xml:space="preserve">upervision </w:t>
      </w:r>
      <w:r w:rsidR="00C27A13">
        <w:t>c</w:t>
      </w:r>
      <w:r w:rsidR="00BD0CF3">
        <w:t>harge</w:t>
      </w:r>
      <w:bookmarkEnd w:id="31"/>
    </w:p>
    <w:p w:rsidR="00552B8F" w:rsidRDefault="00552B8F" w:rsidP="00552B8F">
      <w:pPr>
        <w:spacing w:before="240" w:after="240"/>
        <w:rPr>
          <w:szCs w:val="24"/>
          <w:lang w:eastAsia="en-US"/>
        </w:rPr>
      </w:pPr>
      <w:r>
        <w:rPr>
          <w:szCs w:val="24"/>
          <w:lang w:eastAsia="en-US"/>
        </w:rPr>
        <w:t xml:space="preserve">The determination and calculation process of the supervision charge will be driven by government, through the Treasurer, </w:t>
      </w:r>
      <w:r w:rsidR="00C46DDC">
        <w:rPr>
          <w:szCs w:val="24"/>
          <w:lang w:eastAsia="en-US"/>
        </w:rPr>
        <w:t xml:space="preserve">DTF </w:t>
      </w:r>
      <w:r>
        <w:rPr>
          <w:szCs w:val="24"/>
          <w:lang w:eastAsia="en-US"/>
        </w:rPr>
        <w:t xml:space="preserve">and the VCGLR. The payer of the charge, </w:t>
      </w:r>
      <w:r w:rsidR="00F13192">
        <w:rPr>
          <w:szCs w:val="24"/>
          <w:lang w:eastAsia="en-US"/>
        </w:rPr>
        <w:t>venue o</w:t>
      </w:r>
      <w:r w:rsidR="00472069">
        <w:rPr>
          <w:szCs w:val="24"/>
          <w:lang w:eastAsia="en-US"/>
        </w:rPr>
        <w:t>perator</w:t>
      </w:r>
      <w:r>
        <w:rPr>
          <w:szCs w:val="24"/>
          <w:lang w:eastAsia="en-US"/>
        </w:rPr>
        <w:t xml:space="preserve">s holding gaming machine entitlements, </w:t>
      </w:r>
      <w:r w:rsidR="003B088B">
        <w:rPr>
          <w:szCs w:val="24"/>
          <w:lang w:eastAsia="en-US"/>
        </w:rPr>
        <w:t xml:space="preserve">will have no obligations during the determination process </w:t>
      </w:r>
      <w:r w:rsidR="003B088B" w:rsidRPr="00BD0CF3">
        <w:rPr>
          <w:szCs w:val="24"/>
          <w:u w:val="single"/>
          <w:lang w:eastAsia="en-US"/>
        </w:rPr>
        <w:t>until</w:t>
      </w:r>
      <w:r w:rsidR="003B088B">
        <w:rPr>
          <w:szCs w:val="24"/>
          <w:lang w:eastAsia="en-US"/>
        </w:rPr>
        <w:t xml:space="preserve"> they</w:t>
      </w:r>
      <w:r>
        <w:rPr>
          <w:szCs w:val="24"/>
          <w:lang w:eastAsia="en-US"/>
        </w:rPr>
        <w:t xml:space="preserve"> receive an invoice to pay the charge.</w:t>
      </w:r>
    </w:p>
    <w:p w:rsidR="00552B8F" w:rsidRDefault="00552B8F" w:rsidP="000C79CE">
      <w:pPr>
        <w:spacing w:before="240" w:after="120"/>
        <w:rPr>
          <w:szCs w:val="24"/>
          <w:lang w:eastAsia="en-US"/>
        </w:rPr>
      </w:pPr>
      <w:r>
        <w:rPr>
          <w:szCs w:val="24"/>
          <w:lang w:eastAsia="en-US"/>
        </w:rPr>
        <w:t>The process for determining the 2012-13 supervision charge within government is as follows:</w:t>
      </w:r>
    </w:p>
    <w:p w:rsidR="00552B8F" w:rsidRDefault="00552B8F" w:rsidP="000C79CE">
      <w:pPr>
        <w:pStyle w:val="ListParagraph"/>
        <w:numPr>
          <w:ilvl w:val="0"/>
          <w:numId w:val="39"/>
        </w:numPr>
        <w:spacing w:before="120" w:after="120"/>
        <w:ind w:hanging="357"/>
        <w:contextualSpacing w:val="0"/>
        <w:rPr>
          <w:szCs w:val="24"/>
          <w:lang w:eastAsia="en-US"/>
        </w:rPr>
      </w:pPr>
      <w:r>
        <w:rPr>
          <w:szCs w:val="24"/>
          <w:lang w:eastAsia="en-US"/>
        </w:rPr>
        <w:t>The VCGLR will calculate its actual costs incurred as per the process outlined in Chapter 4, which will be subject to review and verification via standard auditing processes, and advise the Minister f</w:t>
      </w:r>
      <w:r w:rsidR="009A164B">
        <w:rPr>
          <w:szCs w:val="24"/>
          <w:lang w:eastAsia="en-US"/>
        </w:rPr>
        <w:t>or Liquor and Gaming Regulation.</w:t>
      </w:r>
    </w:p>
    <w:p w:rsidR="00552B8F" w:rsidRDefault="00552B8F" w:rsidP="000C79CE">
      <w:pPr>
        <w:pStyle w:val="ListParagraph"/>
        <w:numPr>
          <w:ilvl w:val="0"/>
          <w:numId w:val="39"/>
        </w:numPr>
        <w:spacing w:before="120" w:after="120"/>
        <w:ind w:hanging="357"/>
        <w:contextualSpacing w:val="0"/>
        <w:rPr>
          <w:szCs w:val="24"/>
          <w:lang w:eastAsia="en-US"/>
        </w:rPr>
      </w:pPr>
      <w:r>
        <w:rPr>
          <w:szCs w:val="24"/>
          <w:lang w:eastAsia="en-US"/>
        </w:rPr>
        <w:t xml:space="preserve">The Minister for </w:t>
      </w:r>
      <w:r w:rsidR="001E4B8A">
        <w:rPr>
          <w:szCs w:val="24"/>
          <w:lang w:eastAsia="en-US"/>
        </w:rPr>
        <w:t xml:space="preserve">Liquor and </w:t>
      </w:r>
      <w:r>
        <w:rPr>
          <w:szCs w:val="24"/>
          <w:lang w:eastAsia="en-US"/>
        </w:rPr>
        <w:t>Gaming Regulation will advise the Treasurer of the actual costs incurred by the VCGLR in relation to its gamin</w:t>
      </w:r>
      <w:r w:rsidR="009A164B">
        <w:rPr>
          <w:szCs w:val="24"/>
          <w:lang w:eastAsia="en-US"/>
        </w:rPr>
        <w:t>g related regulatory activities.</w:t>
      </w:r>
    </w:p>
    <w:p w:rsidR="00552B8F" w:rsidRDefault="00552B8F" w:rsidP="000C79CE">
      <w:pPr>
        <w:pStyle w:val="ListParagraph"/>
        <w:numPr>
          <w:ilvl w:val="0"/>
          <w:numId w:val="39"/>
        </w:numPr>
        <w:spacing w:before="120" w:after="120"/>
        <w:ind w:hanging="357"/>
        <w:contextualSpacing w:val="0"/>
        <w:rPr>
          <w:szCs w:val="24"/>
          <w:lang w:eastAsia="en-US"/>
        </w:rPr>
      </w:pPr>
      <w:r>
        <w:rPr>
          <w:szCs w:val="24"/>
          <w:lang w:eastAsia="en-US"/>
        </w:rPr>
        <w:t xml:space="preserve">Upon advice from </w:t>
      </w:r>
      <w:r w:rsidR="00C46DDC">
        <w:rPr>
          <w:szCs w:val="24"/>
          <w:lang w:eastAsia="en-US"/>
        </w:rPr>
        <w:t>DTF</w:t>
      </w:r>
      <w:r>
        <w:rPr>
          <w:szCs w:val="24"/>
          <w:lang w:eastAsia="en-US"/>
        </w:rPr>
        <w:t>, the Treasurer will determine the unit charge</w:t>
      </w:r>
      <w:r w:rsidR="00E773D3">
        <w:rPr>
          <w:rStyle w:val="FootnoteReference"/>
          <w:szCs w:val="24"/>
          <w:lang w:eastAsia="en-US"/>
        </w:rPr>
        <w:footnoteReference w:id="7"/>
      </w:r>
      <w:r>
        <w:rPr>
          <w:szCs w:val="24"/>
          <w:lang w:eastAsia="en-US"/>
        </w:rPr>
        <w:t xml:space="preserve"> that will apply for the 2012-13 superv</w:t>
      </w:r>
      <w:r w:rsidR="009A164B">
        <w:rPr>
          <w:szCs w:val="24"/>
          <w:lang w:eastAsia="en-US"/>
        </w:rPr>
        <w:t>ision charge year.</w:t>
      </w:r>
    </w:p>
    <w:p w:rsidR="00552B8F" w:rsidRDefault="00552B8F" w:rsidP="000C79CE">
      <w:pPr>
        <w:pStyle w:val="ListParagraph"/>
        <w:numPr>
          <w:ilvl w:val="0"/>
          <w:numId w:val="39"/>
        </w:numPr>
        <w:spacing w:before="120" w:after="120"/>
        <w:ind w:hanging="357"/>
        <w:contextualSpacing w:val="0"/>
        <w:rPr>
          <w:szCs w:val="24"/>
          <w:lang w:eastAsia="en-US"/>
        </w:rPr>
      </w:pPr>
      <w:r>
        <w:rPr>
          <w:szCs w:val="24"/>
          <w:lang w:eastAsia="en-US"/>
        </w:rPr>
        <w:t xml:space="preserve">The VCGLR will apply the unit charge determined by the Treasurer </w:t>
      </w:r>
      <w:r w:rsidR="005E4A59">
        <w:rPr>
          <w:szCs w:val="24"/>
          <w:lang w:eastAsia="en-US"/>
        </w:rPr>
        <w:t>in order to</w:t>
      </w:r>
      <w:r>
        <w:rPr>
          <w:szCs w:val="24"/>
          <w:lang w:eastAsia="en-US"/>
        </w:rPr>
        <w:t xml:space="preserve"> calculate each venue’s total supervision charge payable for 2012-13</w:t>
      </w:r>
      <w:r w:rsidR="009A164B">
        <w:rPr>
          <w:szCs w:val="24"/>
          <w:lang w:eastAsia="en-US"/>
        </w:rPr>
        <w:t>.</w:t>
      </w:r>
    </w:p>
    <w:p w:rsidR="00552B8F" w:rsidRPr="007E2400" w:rsidRDefault="00552B8F" w:rsidP="000C79CE">
      <w:pPr>
        <w:pStyle w:val="ListParagraph"/>
        <w:numPr>
          <w:ilvl w:val="0"/>
          <w:numId w:val="39"/>
        </w:numPr>
        <w:spacing w:before="120" w:after="240"/>
        <w:ind w:hanging="357"/>
        <w:contextualSpacing w:val="0"/>
        <w:rPr>
          <w:szCs w:val="24"/>
          <w:lang w:eastAsia="en-US"/>
        </w:rPr>
      </w:pPr>
      <w:r>
        <w:rPr>
          <w:szCs w:val="24"/>
          <w:lang w:eastAsia="en-US"/>
        </w:rPr>
        <w:t xml:space="preserve">Invoices </w:t>
      </w:r>
      <w:r w:rsidR="005D0F51">
        <w:rPr>
          <w:szCs w:val="24"/>
          <w:lang w:eastAsia="en-US"/>
        </w:rPr>
        <w:t xml:space="preserve">will be </w:t>
      </w:r>
      <w:r>
        <w:rPr>
          <w:szCs w:val="24"/>
          <w:lang w:eastAsia="en-US"/>
        </w:rPr>
        <w:t xml:space="preserve">created and sent to </w:t>
      </w:r>
      <w:r w:rsidR="00F13192">
        <w:rPr>
          <w:szCs w:val="24"/>
          <w:lang w:eastAsia="en-US"/>
        </w:rPr>
        <w:t>venue o</w:t>
      </w:r>
      <w:r w:rsidR="00472069">
        <w:rPr>
          <w:szCs w:val="24"/>
          <w:lang w:eastAsia="en-US"/>
        </w:rPr>
        <w:t>perator</w:t>
      </w:r>
      <w:r>
        <w:rPr>
          <w:szCs w:val="24"/>
          <w:lang w:eastAsia="en-US"/>
        </w:rPr>
        <w:t>s</w:t>
      </w:r>
      <w:r w:rsidR="00C55A29">
        <w:rPr>
          <w:szCs w:val="24"/>
          <w:lang w:eastAsia="en-US"/>
        </w:rPr>
        <w:t xml:space="preserve"> by the VCGLR</w:t>
      </w:r>
      <w:r>
        <w:rPr>
          <w:szCs w:val="24"/>
          <w:lang w:eastAsia="en-US"/>
        </w:rPr>
        <w:t>.</w:t>
      </w:r>
    </w:p>
    <w:p w:rsidR="003F0F97" w:rsidRDefault="003B088B" w:rsidP="00BD0CF3">
      <w:pPr>
        <w:spacing w:before="240" w:after="240"/>
        <w:rPr>
          <w:szCs w:val="24"/>
          <w:lang w:eastAsia="en-US"/>
        </w:rPr>
      </w:pPr>
      <w:r>
        <w:rPr>
          <w:szCs w:val="24"/>
          <w:lang w:eastAsia="en-US"/>
        </w:rPr>
        <w:t>In applying</w:t>
      </w:r>
      <w:r w:rsidR="00552B8F">
        <w:rPr>
          <w:szCs w:val="24"/>
          <w:lang w:eastAsia="en-US"/>
        </w:rPr>
        <w:t xml:space="preserve"> the unit charge</w:t>
      </w:r>
      <w:r>
        <w:rPr>
          <w:szCs w:val="24"/>
          <w:lang w:eastAsia="en-US"/>
        </w:rPr>
        <w:t xml:space="preserve"> to derive each venue’s supervision charge payable</w:t>
      </w:r>
      <w:r w:rsidR="00BD0CF3">
        <w:rPr>
          <w:szCs w:val="24"/>
          <w:lang w:eastAsia="en-US"/>
        </w:rPr>
        <w:t xml:space="preserve"> (</w:t>
      </w:r>
      <w:r w:rsidR="00552B8F">
        <w:rPr>
          <w:szCs w:val="24"/>
          <w:lang w:eastAsia="en-US"/>
        </w:rPr>
        <w:t>step 4 above</w:t>
      </w:r>
      <w:r w:rsidR="00BD0CF3">
        <w:rPr>
          <w:szCs w:val="24"/>
          <w:lang w:eastAsia="en-US"/>
        </w:rPr>
        <w:t>)</w:t>
      </w:r>
      <w:r>
        <w:rPr>
          <w:szCs w:val="24"/>
          <w:lang w:eastAsia="en-US"/>
        </w:rPr>
        <w:t>,</w:t>
      </w:r>
      <w:r w:rsidR="00552B8F">
        <w:rPr>
          <w:szCs w:val="24"/>
          <w:lang w:eastAsia="en-US"/>
        </w:rPr>
        <w:t xml:space="preserve"> the VCGLR </w:t>
      </w:r>
      <w:r>
        <w:rPr>
          <w:szCs w:val="24"/>
          <w:lang w:eastAsia="en-US"/>
        </w:rPr>
        <w:t xml:space="preserve">will need </w:t>
      </w:r>
      <w:r w:rsidR="00552B8F">
        <w:rPr>
          <w:szCs w:val="24"/>
          <w:lang w:eastAsia="en-US"/>
        </w:rPr>
        <w:t xml:space="preserve">to calculate the </w:t>
      </w:r>
      <w:r w:rsidR="00BD0CF3">
        <w:rPr>
          <w:szCs w:val="24"/>
          <w:lang w:eastAsia="en-US"/>
        </w:rPr>
        <w:t>‘</w:t>
      </w:r>
      <w:r w:rsidR="00552B8F">
        <w:rPr>
          <w:szCs w:val="24"/>
          <w:lang w:eastAsia="en-US"/>
        </w:rPr>
        <w:t>chargeable variable</w:t>
      </w:r>
      <w:r w:rsidR="00BD0CF3">
        <w:rPr>
          <w:szCs w:val="24"/>
          <w:lang w:eastAsia="en-US"/>
        </w:rPr>
        <w:t>’</w:t>
      </w:r>
      <w:r w:rsidR="00552B8F">
        <w:rPr>
          <w:szCs w:val="24"/>
          <w:lang w:eastAsia="en-US"/>
        </w:rPr>
        <w:t xml:space="preserve"> – i.e. depending on the option adopted this means either the number of gaming entitlements held and/or the number of gaming machines operated, or the sum of </w:t>
      </w:r>
      <w:r w:rsidR="00887FE5">
        <w:rPr>
          <w:szCs w:val="24"/>
          <w:lang w:eastAsia="en-US"/>
        </w:rPr>
        <w:t>gaming machine</w:t>
      </w:r>
      <w:r w:rsidR="00552B8F">
        <w:rPr>
          <w:szCs w:val="24"/>
          <w:lang w:eastAsia="en-US"/>
        </w:rPr>
        <w:t xml:space="preserve"> pre-tax gaming machine revenue. </w:t>
      </w:r>
    </w:p>
    <w:p w:rsidR="00552B8F" w:rsidRDefault="00B83B07" w:rsidP="00BD0CF3">
      <w:pPr>
        <w:spacing w:before="240" w:after="240"/>
        <w:rPr>
          <w:szCs w:val="24"/>
          <w:lang w:eastAsia="en-US"/>
        </w:rPr>
      </w:pPr>
      <w:r>
        <w:rPr>
          <w:szCs w:val="24"/>
          <w:lang w:eastAsia="en-US"/>
        </w:rPr>
        <w:t>The number of</w:t>
      </w:r>
      <w:r w:rsidR="00552B8F">
        <w:rPr>
          <w:szCs w:val="24"/>
          <w:lang w:eastAsia="en-US"/>
        </w:rPr>
        <w:t xml:space="preserve"> entitlements</w:t>
      </w:r>
      <w:r>
        <w:rPr>
          <w:szCs w:val="24"/>
          <w:lang w:eastAsia="en-US"/>
        </w:rPr>
        <w:t xml:space="preserve"> held</w:t>
      </w:r>
      <w:r w:rsidR="00552B8F">
        <w:rPr>
          <w:szCs w:val="24"/>
          <w:lang w:eastAsia="en-US"/>
        </w:rPr>
        <w:t xml:space="preserve"> and/or gaming machines </w:t>
      </w:r>
      <w:r>
        <w:rPr>
          <w:szCs w:val="24"/>
          <w:lang w:eastAsia="en-US"/>
        </w:rPr>
        <w:t>operated will be a function of</w:t>
      </w:r>
      <w:r w:rsidR="003B088B">
        <w:rPr>
          <w:szCs w:val="24"/>
          <w:lang w:eastAsia="en-US"/>
        </w:rPr>
        <w:t xml:space="preserve"> and calculated by taking each venue’s</w:t>
      </w:r>
      <w:r>
        <w:rPr>
          <w:szCs w:val="24"/>
          <w:lang w:eastAsia="en-US"/>
        </w:rPr>
        <w:t xml:space="preserve"> monthly average over the 2012-13 financial year.</w:t>
      </w:r>
      <w:r>
        <w:rPr>
          <w:rStyle w:val="FootnoteReference"/>
          <w:szCs w:val="24"/>
          <w:lang w:eastAsia="en-US"/>
        </w:rPr>
        <w:footnoteReference w:id="8"/>
      </w:r>
      <w:r w:rsidR="003B088B">
        <w:rPr>
          <w:szCs w:val="24"/>
          <w:lang w:eastAsia="en-US"/>
        </w:rPr>
        <w:t xml:space="preserve"> This approach will allow the VCGLR to account for any changes in </w:t>
      </w:r>
      <w:r w:rsidR="00C55A29">
        <w:rPr>
          <w:szCs w:val="24"/>
          <w:lang w:eastAsia="en-US"/>
        </w:rPr>
        <w:t xml:space="preserve">the number of </w:t>
      </w:r>
      <w:r w:rsidR="003B088B">
        <w:rPr>
          <w:szCs w:val="24"/>
          <w:lang w:eastAsia="en-US"/>
        </w:rPr>
        <w:t>gaming entitlement</w:t>
      </w:r>
      <w:r w:rsidR="00C55A29">
        <w:rPr>
          <w:szCs w:val="24"/>
          <w:lang w:eastAsia="en-US"/>
        </w:rPr>
        <w:t>s</w:t>
      </w:r>
      <w:r w:rsidR="003B088B">
        <w:rPr>
          <w:szCs w:val="24"/>
          <w:lang w:eastAsia="en-US"/>
        </w:rPr>
        <w:t xml:space="preserve"> owne</w:t>
      </w:r>
      <w:r w:rsidR="00C55A29">
        <w:rPr>
          <w:szCs w:val="24"/>
          <w:lang w:eastAsia="en-US"/>
        </w:rPr>
        <w:t>d</w:t>
      </w:r>
      <w:r w:rsidR="003B088B">
        <w:rPr>
          <w:szCs w:val="24"/>
          <w:lang w:eastAsia="en-US"/>
        </w:rPr>
        <w:t xml:space="preserve"> and</w:t>
      </w:r>
      <w:r w:rsidR="00C55A29">
        <w:rPr>
          <w:szCs w:val="24"/>
          <w:lang w:eastAsia="en-US"/>
        </w:rPr>
        <w:t>/or</w:t>
      </w:r>
      <w:r w:rsidR="003B088B">
        <w:rPr>
          <w:szCs w:val="24"/>
          <w:lang w:eastAsia="en-US"/>
        </w:rPr>
        <w:t xml:space="preserve"> the number of gaming machines operated during 2012-13. It is also consistent with the approach taken to calculating </w:t>
      </w:r>
      <w:r w:rsidR="00887FE5">
        <w:rPr>
          <w:szCs w:val="24"/>
          <w:lang w:eastAsia="en-US"/>
        </w:rPr>
        <w:t>gaming machine</w:t>
      </w:r>
      <w:r w:rsidR="003B088B">
        <w:rPr>
          <w:szCs w:val="24"/>
          <w:lang w:eastAsia="en-US"/>
        </w:rPr>
        <w:t xml:space="preserve"> taxation.  </w:t>
      </w:r>
    </w:p>
    <w:p w:rsidR="00B45961" w:rsidRDefault="007C58EF" w:rsidP="00BD0CF3">
      <w:pPr>
        <w:spacing w:before="240" w:after="240"/>
        <w:rPr>
          <w:szCs w:val="24"/>
          <w:lang w:eastAsia="en-US"/>
        </w:rPr>
      </w:pPr>
      <w:r>
        <w:rPr>
          <w:szCs w:val="24"/>
          <w:lang w:eastAsia="en-US"/>
        </w:rPr>
        <w:t>T</w:t>
      </w:r>
      <w:r w:rsidR="00B45961">
        <w:rPr>
          <w:szCs w:val="24"/>
          <w:lang w:eastAsia="en-US"/>
        </w:rPr>
        <w:t>he supervision charge will be</w:t>
      </w:r>
      <w:r w:rsidR="00E773D3">
        <w:rPr>
          <w:szCs w:val="24"/>
          <w:lang w:eastAsia="en-US"/>
        </w:rPr>
        <w:t xml:space="preserve"> applied on a</w:t>
      </w:r>
      <w:r w:rsidR="00B45961">
        <w:rPr>
          <w:szCs w:val="24"/>
          <w:lang w:eastAsia="en-US"/>
        </w:rPr>
        <w:t xml:space="preserve"> pro-rat</w:t>
      </w:r>
      <w:r w:rsidR="00E773D3">
        <w:rPr>
          <w:szCs w:val="24"/>
          <w:lang w:eastAsia="en-US"/>
        </w:rPr>
        <w:t>a basis</w:t>
      </w:r>
      <w:r w:rsidRPr="007C58EF">
        <w:t xml:space="preserve"> </w:t>
      </w:r>
      <w:r>
        <w:rPr>
          <w:szCs w:val="24"/>
          <w:lang w:eastAsia="en-US"/>
        </w:rPr>
        <w:t>where there are c</w:t>
      </w:r>
      <w:r w:rsidRPr="007C58EF">
        <w:rPr>
          <w:szCs w:val="24"/>
          <w:lang w:eastAsia="en-US"/>
        </w:rPr>
        <w:t>hanges to venue operator licences within the financial year</w:t>
      </w:r>
      <w:r w:rsidR="00FC7279">
        <w:rPr>
          <w:szCs w:val="24"/>
          <w:lang w:eastAsia="en-US"/>
        </w:rPr>
        <w:t xml:space="preserve"> (e.g. a venue operator licence ceases).</w:t>
      </w:r>
      <w:r w:rsidR="00B45961">
        <w:rPr>
          <w:szCs w:val="24"/>
          <w:lang w:eastAsia="en-US"/>
        </w:rPr>
        <w:t xml:space="preserve"> </w:t>
      </w:r>
      <w:r>
        <w:rPr>
          <w:szCs w:val="24"/>
          <w:lang w:eastAsia="en-US"/>
        </w:rPr>
        <w:t xml:space="preserve">This is illustrated further in </w:t>
      </w:r>
      <w:r w:rsidRPr="007C58EF">
        <w:rPr>
          <w:b/>
          <w:szCs w:val="24"/>
          <w:lang w:eastAsia="en-US"/>
        </w:rPr>
        <w:t xml:space="preserve">Appendix </w:t>
      </w:r>
      <w:r>
        <w:rPr>
          <w:b/>
          <w:szCs w:val="24"/>
          <w:lang w:eastAsia="en-US"/>
        </w:rPr>
        <w:t>3</w:t>
      </w:r>
      <w:r w:rsidR="00B45961">
        <w:rPr>
          <w:szCs w:val="24"/>
          <w:lang w:eastAsia="en-US"/>
        </w:rPr>
        <w:t>.</w:t>
      </w:r>
    </w:p>
    <w:p w:rsidR="00E77318" w:rsidRPr="00E77318" w:rsidRDefault="00E77318" w:rsidP="00E77318">
      <w:pPr>
        <w:spacing w:before="240" w:after="240"/>
        <w:rPr>
          <w:rFonts w:asciiTheme="minorHAnsi" w:hAnsiTheme="minorHAnsi" w:cstheme="minorHAnsi"/>
          <w:szCs w:val="20"/>
          <w:lang w:eastAsia="en-US"/>
        </w:rPr>
      </w:pPr>
      <w:r w:rsidRPr="00E77318">
        <w:rPr>
          <w:rFonts w:asciiTheme="minorHAnsi" w:hAnsiTheme="minorHAnsi" w:cstheme="minorHAnsi"/>
          <w:color w:val="000000"/>
          <w:szCs w:val="20"/>
        </w:rPr>
        <w:t xml:space="preserve">While </w:t>
      </w:r>
      <w:r>
        <w:rPr>
          <w:rFonts w:asciiTheme="minorHAnsi" w:hAnsiTheme="minorHAnsi" w:cstheme="minorHAnsi"/>
          <w:color w:val="000000"/>
          <w:szCs w:val="20"/>
        </w:rPr>
        <w:t>t</w:t>
      </w:r>
      <w:r w:rsidRPr="00E77318">
        <w:rPr>
          <w:rFonts w:asciiTheme="minorHAnsi" w:hAnsiTheme="minorHAnsi" w:cstheme="minorHAnsi"/>
          <w:color w:val="000000"/>
          <w:szCs w:val="20"/>
        </w:rPr>
        <w:t xml:space="preserve">he administrative costs </w:t>
      </w:r>
      <w:r w:rsidRPr="00E77318">
        <w:rPr>
          <w:szCs w:val="24"/>
          <w:lang w:eastAsia="en-US"/>
        </w:rPr>
        <w:t xml:space="preserve">of calculating and invoicing the supervision charge </w:t>
      </w:r>
      <w:r w:rsidRPr="00E77318">
        <w:rPr>
          <w:rFonts w:asciiTheme="minorHAnsi" w:hAnsiTheme="minorHAnsi" w:cstheme="minorHAnsi"/>
          <w:color w:val="000000"/>
          <w:szCs w:val="20"/>
        </w:rPr>
        <w:t xml:space="preserve">would </w:t>
      </w:r>
      <w:r w:rsidR="003F0F97">
        <w:rPr>
          <w:rFonts w:asciiTheme="minorHAnsi" w:hAnsiTheme="minorHAnsi" w:cstheme="minorHAnsi"/>
          <w:color w:val="000000"/>
          <w:szCs w:val="20"/>
        </w:rPr>
        <w:t>depend</w:t>
      </w:r>
      <w:r w:rsidRPr="00E77318">
        <w:rPr>
          <w:rFonts w:asciiTheme="minorHAnsi" w:hAnsiTheme="minorHAnsi" w:cstheme="minorHAnsi"/>
          <w:color w:val="000000"/>
          <w:szCs w:val="20"/>
        </w:rPr>
        <w:t xml:space="preserve"> on </w:t>
      </w:r>
      <w:r>
        <w:rPr>
          <w:rFonts w:asciiTheme="minorHAnsi" w:hAnsiTheme="minorHAnsi" w:cstheme="minorHAnsi"/>
          <w:color w:val="000000"/>
          <w:szCs w:val="20"/>
        </w:rPr>
        <w:t>which option is selected</w:t>
      </w:r>
      <w:r>
        <w:rPr>
          <w:szCs w:val="24"/>
          <w:lang w:eastAsia="en-US"/>
        </w:rPr>
        <w:t xml:space="preserve">, they </w:t>
      </w:r>
      <w:r w:rsidRPr="00E77318">
        <w:rPr>
          <w:szCs w:val="24"/>
          <w:lang w:eastAsia="en-US"/>
        </w:rPr>
        <w:t>are</w:t>
      </w:r>
      <w:r w:rsidR="003F0F97">
        <w:rPr>
          <w:szCs w:val="24"/>
          <w:lang w:eastAsia="en-US"/>
        </w:rPr>
        <w:t xml:space="preserve"> generally</w:t>
      </w:r>
      <w:r w:rsidRPr="00E77318">
        <w:rPr>
          <w:szCs w:val="24"/>
          <w:lang w:eastAsia="en-US"/>
        </w:rPr>
        <w:t xml:space="preserve"> expected to be minimal across all options. As outlined in Chapter 4, the data to calculate VCGLR’s total costs is derived from already established processes implemented by the VCGLR for</w:t>
      </w:r>
      <w:r w:rsidR="0069155F" w:rsidRPr="0069155F">
        <w:t xml:space="preserve"> </w:t>
      </w:r>
      <w:r w:rsidR="0069155F" w:rsidRPr="0069155F">
        <w:rPr>
          <w:szCs w:val="24"/>
          <w:lang w:eastAsia="en-US"/>
        </w:rPr>
        <w:t>other existing supervision charges and</w:t>
      </w:r>
      <w:r w:rsidRPr="00E77318">
        <w:rPr>
          <w:szCs w:val="24"/>
          <w:lang w:eastAsia="en-US"/>
        </w:rPr>
        <w:t xml:space="preserve"> its general corporate and financial planning requirements. The data to calculate the number of gaming entitlements, </w:t>
      </w:r>
      <w:r w:rsidRPr="003F0F97">
        <w:rPr>
          <w:szCs w:val="24"/>
          <w:lang w:eastAsia="en-US"/>
        </w:rPr>
        <w:t xml:space="preserve">and/or operating gaming machines and/or pre-tax </w:t>
      </w:r>
      <w:r w:rsidR="0078188C">
        <w:rPr>
          <w:szCs w:val="24"/>
          <w:lang w:eastAsia="en-US"/>
        </w:rPr>
        <w:t>gaming machine</w:t>
      </w:r>
      <w:r w:rsidRPr="003F0F97">
        <w:rPr>
          <w:szCs w:val="24"/>
          <w:lang w:eastAsia="en-US"/>
        </w:rPr>
        <w:t xml:space="preserve"> revenue is derived from data already collected by the VCGLR under other gaming related </w:t>
      </w:r>
      <w:r w:rsidRPr="00E77318">
        <w:rPr>
          <w:rFonts w:asciiTheme="minorHAnsi" w:hAnsiTheme="minorHAnsi" w:cstheme="minorHAnsi"/>
          <w:szCs w:val="20"/>
          <w:lang w:eastAsia="en-US"/>
        </w:rPr>
        <w:t xml:space="preserve">regulatory requirements (i.e. financial analysis and auditing </w:t>
      </w:r>
      <w:r w:rsidR="00F13192">
        <w:rPr>
          <w:rFonts w:asciiTheme="minorHAnsi" w:hAnsiTheme="minorHAnsi" w:cstheme="minorHAnsi"/>
          <w:szCs w:val="20"/>
          <w:lang w:eastAsia="en-US"/>
        </w:rPr>
        <w:t>of v</w:t>
      </w:r>
      <w:r w:rsidR="00237B86" w:rsidRPr="00E77318">
        <w:rPr>
          <w:rFonts w:asciiTheme="minorHAnsi" w:hAnsiTheme="minorHAnsi" w:cstheme="minorHAnsi"/>
          <w:szCs w:val="20"/>
          <w:lang w:eastAsia="en-US"/>
        </w:rPr>
        <w:t>enue</w:t>
      </w:r>
      <w:r w:rsidR="00F13192">
        <w:rPr>
          <w:rFonts w:asciiTheme="minorHAnsi" w:hAnsiTheme="minorHAnsi" w:cstheme="minorHAnsi"/>
          <w:szCs w:val="20"/>
          <w:lang w:eastAsia="en-US"/>
        </w:rPr>
        <w:t xml:space="preserve"> o</w:t>
      </w:r>
      <w:r w:rsidR="00472069">
        <w:rPr>
          <w:rFonts w:asciiTheme="minorHAnsi" w:hAnsiTheme="minorHAnsi" w:cstheme="minorHAnsi"/>
          <w:szCs w:val="20"/>
          <w:lang w:eastAsia="en-US"/>
        </w:rPr>
        <w:t>perator</w:t>
      </w:r>
      <w:r w:rsidRPr="00E77318">
        <w:rPr>
          <w:rFonts w:asciiTheme="minorHAnsi" w:hAnsiTheme="minorHAnsi" w:cstheme="minorHAnsi"/>
          <w:szCs w:val="20"/>
          <w:lang w:eastAsia="en-US"/>
        </w:rPr>
        <w:t xml:space="preserve">s). </w:t>
      </w:r>
      <w:r>
        <w:rPr>
          <w:rFonts w:asciiTheme="minorHAnsi" w:hAnsiTheme="minorHAnsi" w:cstheme="minorHAnsi"/>
          <w:color w:val="000000"/>
          <w:szCs w:val="20"/>
        </w:rPr>
        <w:t xml:space="preserve">It is estimated that the </w:t>
      </w:r>
      <w:r w:rsidR="003F0F97">
        <w:rPr>
          <w:rFonts w:asciiTheme="minorHAnsi" w:hAnsiTheme="minorHAnsi" w:cstheme="minorHAnsi"/>
          <w:color w:val="000000"/>
          <w:szCs w:val="20"/>
        </w:rPr>
        <w:t>labour c</w:t>
      </w:r>
      <w:r w:rsidRPr="00E77318">
        <w:rPr>
          <w:rFonts w:asciiTheme="minorHAnsi" w:hAnsiTheme="minorHAnsi" w:cstheme="minorHAnsi"/>
          <w:color w:val="000000"/>
          <w:szCs w:val="20"/>
        </w:rPr>
        <w:t>ost</w:t>
      </w:r>
      <w:r>
        <w:rPr>
          <w:rFonts w:asciiTheme="minorHAnsi" w:hAnsiTheme="minorHAnsi" w:cstheme="minorHAnsi"/>
          <w:color w:val="000000"/>
          <w:szCs w:val="20"/>
        </w:rPr>
        <w:t>s</w:t>
      </w:r>
      <w:r w:rsidRPr="00E77318">
        <w:rPr>
          <w:rFonts w:asciiTheme="minorHAnsi" w:hAnsiTheme="minorHAnsi" w:cstheme="minorHAnsi"/>
          <w:color w:val="000000"/>
          <w:szCs w:val="20"/>
        </w:rPr>
        <w:t xml:space="preserve"> would </w:t>
      </w:r>
      <w:r>
        <w:rPr>
          <w:rFonts w:asciiTheme="minorHAnsi" w:hAnsiTheme="minorHAnsi" w:cstheme="minorHAnsi"/>
          <w:color w:val="000000"/>
          <w:szCs w:val="20"/>
        </w:rPr>
        <w:t xml:space="preserve">generally </w:t>
      </w:r>
      <w:r w:rsidRPr="00E77318">
        <w:rPr>
          <w:rFonts w:asciiTheme="minorHAnsi" w:hAnsiTheme="minorHAnsi" w:cstheme="minorHAnsi"/>
          <w:color w:val="000000"/>
          <w:szCs w:val="20"/>
        </w:rPr>
        <w:t xml:space="preserve">equate to approximately </w:t>
      </w:r>
      <w:r w:rsidR="0069155F">
        <w:rPr>
          <w:rFonts w:asciiTheme="minorHAnsi" w:hAnsiTheme="minorHAnsi" w:cstheme="minorHAnsi"/>
          <w:color w:val="000000"/>
          <w:szCs w:val="20"/>
        </w:rPr>
        <w:t>10</w:t>
      </w:r>
      <w:r w:rsidR="0069155F" w:rsidRPr="00E77318">
        <w:rPr>
          <w:rFonts w:asciiTheme="minorHAnsi" w:hAnsiTheme="minorHAnsi" w:cstheme="minorHAnsi"/>
          <w:color w:val="000000"/>
          <w:szCs w:val="20"/>
        </w:rPr>
        <w:t xml:space="preserve"> </w:t>
      </w:r>
      <w:r w:rsidRPr="00E77318">
        <w:rPr>
          <w:rFonts w:asciiTheme="minorHAnsi" w:hAnsiTheme="minorHAnsi" w:cstheme="minorHAnsi"/>
          <w:color w:val="000000"/>
          <w:szCs w:val="20"/>
        </w:rPr>
        <w:t xml:space="preserve">days for one FTE for each </w:t>
      </w:r>
      <w:r>
        <w:rPr>
          <w:rFonts w:asciiTheme="minorHAnsi" w:hAnsiTheme="minorHAnsi" w:cstheme="minorHAnsi"/>
          <w:color w:val="000000"/>
          <w:szCs w:val="20"/>
        </w:rPr>
        <w:t>supervision charge year</w:t>
      </w:r>
      <w:r w:rsidR="003F0F97">
        <w:rPr>
          <w:rFonts w:asciiTheme="minorHAnsi" w:hAnsiTheme="minorHAnsi" w:cstheme="minorHAnsi"/>
          <w:color w:val="000000"/>
          <w:szCs w:val="20"/>
        </w:rPr>
        <w:t xml:space="preserve"> (around $</w:t>
      </w:r>
      <w:r w:rsidR="004A4CF4">
        <w:rPr>
          <w:rFonts w:asciiTheme="minorHAnsi" w:hAnsiTheme="minorHAnsi" w:cstheme="minorHAnsi"/>
          <w:color w:val="000000"/>
          <w:szCs w:val="20"/>
        </w:rPr>
        <w:t>5 </w:t>
      </w:r>
      <w:r w:rsidR="0069155F">
        <w:rPr>
          <w:rFonts w:asciiTheme="minorHAnsi" w:hAnsiTheme="minorHAnsi" w:cstheme="minorHAnsi"/>
          <w:color w:val="000000"/>
          <w:szCs w:val="20"/>
        </w:rPr>
        <w:t>741</w:t>
      </w:r>
      <w:r w:rsidR="003F0F97">
        <w:rPr>
          <w:rFonts w:asciiTheme="minorHAnsi" w:hAnsiTheme="minorHAnsi" w:cstheme="minorHAnsi"/>
          <w:color w:val="000000"/>
          <w:szCs w:val="20"/>
        </w:rPr>
        <w:t xml:space="preserve"> in 2012-13)</w:t>
      </w:r>
      <w:r w:rsidRPr="00E77318">
        <w:rPr>
          <w:rFonts w:asciiTheme="minorHAnsi" w:hAnsiTheme="minorHAnsi" w:cstheme="minorHAnsi"/>
          <w:color w:val="000000"/>
          <w:szCs w:val="20"/>
        </w:rPr>
        <w:t xml:space="preserve">.  </w:t>
      </w:r>
    </w:p>
    <w:p w:rsidR="00130AEA" w:rsidRDefault="00E77318" w:rsidP="00FC7279">
      <w:pPr>
        <w:spacing w:before="240" w:after="240"/>
        <w:rPr>
          <w:lang w:eastAsia="en-US"/>
        </w:rPr>
      </w:pPr>
      <w:r>
        <w:rPr>
          <w:rFonts w:asciiTheme="minorHAnsi" w:hAnsiTheme="minorHAnsi" w:cstheme="minorHAnsi"/>
          <w:color w:val="000000"/>
          <w:szCs w:val="20"/>
        </w:rPr>
        <w:t>Any venues that default</w:t>
      </w:r>
      <w:r w:rsidRPr="00E77318">
        <w:rPr>
          <w:rFonts w:asciiTheme="minorHAnsi" w:hAnsiTheme="minorHAnsi" w:cstheme="minorHAnsi"/>
          <w:color w:val="000000"/>
          <w:szCs w:val="20"/>
        </w:rPr>
        <w:t xml:space="preserve"> on </w:t>
      </w:r>
      <w:r>
        <w:rPr>
          <w:rFonts w:asciiTheme="minorHAnsi" w:hAnsiTheme="minorHAnsi" w:cstheme="minorHAnsi"/>
          <w:color w:val="000000"/>
          <w:szCs w:val="20"/>
        </w:rPr>
        <w:t xml:space="preserve">supervision charge </w:t>
      </w:r>
      <w:r w:rsidRPr="00E77318">
        <w:rPr>
          <w:rFonts w:asciiTheme="minorHAnsi" w:hAnsiTheme="minorHAnsi" w:cstheme="minorHAnsi"/>
          <w:color w:val="000000"/>
          <w:szCs w:val="20"/>
        </w:rPr>
        <w:t>payments would add to the administrative costs.</w:t>
      </w:r>
      <w:r>
        <w:rPr>
          <w:rFonts w:asciiTheme="minorHAnsi" w:hAnsiTheme="minorHAnsi" w:cstheme="minorHAnsi"/>
          <w:szCs w:val="20"/>
          <w:lang w:eastAsia="en-US"/>
        </w:rPr>
        <w:t xml:space="preserve"> </w:t>
      </w:r>
      <w:r>
        <w:rPr>
          <w:szCs w:val="24"/>
          <w:lang w:eastAsia="en-US"/>
        </w:rPr>
        <w:t>More i</w:t>
      </w:r>
      <w:r w:rsidR="00BD0CF3">
        <w:rPr>
          <w:szCs w:val="24"/>
          <w:lang w:eastAsia="en-US"/>
        </w:rPr>
        <w:t>nformation on the enforcement of the supervision charge can be found in Chapter 8.</w:t>
      </w:r>
      <w:r w:rsidR="00130AEA">
        <w:rPr>
          <w:lang w:eastAsia="en-US"/>
        </w:rPr>
        <w:br w:type="page"/>
      </w:r>
    </w:p>
    <w:bookmarkStart w:id="32" w:name="_Toc356830873"/>
    <w:p w:rsidR="00390E23" w:rsidRDefault="00390E23" w:rsidP="00390E23">
      <w:pPr>
        <w:pStyle w:val="Heading1"/>
      </w:pPr>
      <w:r>
        <w:rPr>
          <w:noProof/>
          <w:lang w:eastAsia="en-AU"/>
        </w:rPr>
        <mc:AlternateContent>
          <mc:Choice Requires="wps">
            <w:drawing>
              <wp:anchor distT="0" distB="0" distL="114300" distR="114300" simplePos="0" relativeHeight="251691008" behindDoc="0" locked="0" layoutInCell="1" allowOverlap="1" wp14:anchorId="6C0DFF1A" wp14:editId="70006D12">
                <wp:simplePos x="0" y="0"/>
                <wp:positionH relativeFrom="column">
                  <wp:posOffset>-27305</wp:posOffset>
                </wp:positionH>
                <wp:positionV relativeFrom="paragraph">
                  <wp:posOffset>891540</wp:posOffset>
                </wp:positionV>
                <wp:extent cx="5884545" cy="3505200"/>
                <wp:effectExtent l="0" t="0" r="1905"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4545" cy="3505200"/>
                        </a:xfrm>
                        <a:prstGeom prst="rect">
                          <a:avLst/>
                        </a:prstGeom>
                        <a:solidFill>
                          <a:srgbClr val="DBE5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F14D1" w:rsidRPr="00407CB9" w:rsidRDefault="004F14D1" w:rsidP="00390E23">
                            <w:pPr>
                              <w:spacing w:before="240" w:after="240"/>
                              <w:ind w:left="0"/>
                              <w:rPr>
                                <w:sz w:val="26"/>
                                <w:szCs w:val="26"/>
                              </w:rPr>
                            </w:pPr>
                            <w:r>
                              <w:rPr>
                                <w:sz w:val="26"/>
                                <w:szCs w:val="26"/>
                              </w:rPr>
                              <w:t>Key p</w:t>
                            </w:r>
                            <w:r w:rsidRPr="00407CB9">
                              <w:rPr>
                                <w:sz w:val="26"/>
                                <w:szCs w:val="26"/>
                              </w:rPr>
                              <w:t>oints</w:t>
                            </w:r>
                          </w:p>
                          <w:p w:rsidR="004F14D1" w:rsidRPr="00390E23" w:rsidRDefault="004F14D1" w:rsidP="003F7272">
                            <w:pPr>
                              <w:numPr>
                                <w:ilvl w:val="0"/>
                                <w:numId w:val="18"/>
                              </w:numPr>
                              <w:spacing w:before="240" w:after="240"/>
                            </w:pPr>
                            <w:r w:rsidRPr="00390E23">
                              <w:t xml:space="preserve">The RIS must consider the benefits and costs of the various practicable means of achieving the objectives of the supervision charge. </w:t>
                            </w:r>
                          </w:p>
                          <w:p w:rsidR="004F14D1" w:rsidRPr="00390E23" w:rsidRDefault="004F14D1" w:rsidP="003F7272">
                            <w:pPr>
                              <w:numPr>
                                <w:ilvl w:val="0"/>
                                <w:numId w:val="18"/>
                              </w:numPr>
                              <w:spacing w:before="240" w:after="240"/>
                            </w:pPr>
                            <w:r w:rsidRPr="00390E23">
                              <w:t>The assessment criteria used in this RIS to assess the options are efficiency, equity, cost-effectiveness and transparency.</w:t>
                            </w:r>
                          </w:p>
                          <w:p w:rsidR="004F14D1" w:rsidRPr="00390E23" w:rsidRDefault="004F14D1" w:rsidP="003F7272">
                            <w:pPr>
                              <w:numPr>
                                <w:ilvl w:val="0"/>
                                <w:numId w:val="18"/>
                              </w:numPr>
                              <w:spacing w:before="240" w:after="240"/>
                            </w:pPr>
                            <w:r w:rsidRPr="00390E23">
                              <w:t xml:space="preserve">Venue operators are directly affected by all options considered except for the base case. From an indirect impact perspective, venues </w:t>
                            </w:r>
                            <w:r>
                              <w:t>may be</w:t>
                            </w:r>
                            <w:r w:rsidRPr="00390E23">
                              <w:t xml:space="preserve"> constrained from passing on the cost of the charge, although there are some limited circumstances where they could do so.</w:t>
                            </w:r>
                          </w:p>
                          <w:p w:rsidR="004F14D1" w:rsidRPr="00390E23" w:rsidRDefault="004F14D1" w:rsidP="003F7272">
                            <w:pPr>
                              <w:numPr>
                                <w:ilvl w:val="0"/>
                                <w:numId w:val="18"/>
                              </w:numPr>
                              <w:spacing w:before="240" w:after="240"/>
                            </w:pPr>
                            <w:r w:rsidRPr="00390E23">
                              <w:t xml:space="preserve">In this instance, cost benefit analysis was not a practicable decision tool because the costs and benefits of the options are not readily or reliably quantifiable. Multi-criteria analysis was employed instead. </w:t>
                            </w:r>
                          </w:p>
                          <w:p w:rsidR="004F14D1" w:rsidRPr="00390E23" w:rsidRDefault="004F14D1" w:rsidP="003F7272">
                            <w:pPr>
                              <w:numPr>
                                <w:ilvl w:val="0"/>
                                <w:numId w:val="18"/>
                              </w:numPr>
                              <w:spacing w:before="240" w:after="240"/>
                            </w:pPr>
                            <w:r>
                              <w:t>Option A</w:t>
                            </w:r>
                            <w:r w:rsidRPr="00390E23">
                              <w:t xml:space="preserve">, i.e. a two-tiered charge on entitlements and </w:t>
                            </w:r>
                            <w:r>
                              <w:t>gaming machine</w:t>
                            </w:r>
                            <w:r w:rsidRPr="00390E23">
                              <w:t>s, received the highest score, scoring +</w:t>
                            </w:r>
                            <w:r>
                              <w:t>6.9</w:t>
                            </w:r>
                            <w:r w:rsidRPr="00390E23">
                              <w:t xml:space="preserve"> out of a possible score of 10.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6" type="#_x0000_t202" style="position:absolute;left:0;text-align:left;margin-left:-2.15pt;margin-top:70.2pt;width:463.35pt;height:27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" fillcolor="#dbe5f1" stroked="f">
                <v:textbox>
                  <w:txbxContent>
                    <w:p w:rsidR="004F14D1" w:rsidRPr="00407CB9" w:rsidRDefault="004F14D1" w:rsidP="00390E23">
                      <w:pPr>
                        <w:spacing w:before="240" w:after="240"/>
                        <w:ind w:left="0"/>
                        <w:rPr>
                          <w:sz w:val="26"/>
                          <w:szCs w:val="26"/>
                        </w:rPr>
                      </w:pPr>
                      <w:r>
                        <w:rPr>
                          <w:sz w:val="26"/>
                          <w:szCs w:val="26"/>
                        </w:rPr>
                        <w:t>Key p</w:t>
                      </w:r>
                      <w:r w:rsidRPr="00407CB9">
                        <w:rPr>
                          <w:sz w:val="26"/>
                          <w:szCs w:val="26"/>
                        </w:rPr>
                        <w:t>oints</w:t>
                      </w:r>
                    </w:p>
                    <w:p w:rsidR="004F14D1" w:rsidRPr="00390E23" w:rsidRDefault="004F14D1" w:rsidP="003F7272">
                      <w:pPr>
                        <w:numPr>
                          <w:ilvl w:val="0"/>
                          <w:numId w:val="18"/>
                        </w:numPr>
                        <w:spacing w:before="240" w:after="240"/>
                      </w:pPr>
                      <w:r w:rsidRPr="00390E23">
                        <w:t xml:space="preserve">The RIS must consider the benefits and costs of the various practicable means of achieving the objectives of the supervision charge. </w:t>
                      </w:r>
                    </w:p>
                    <w:p w:rsidR="004F14D1" w:rsidRPr="00390E23" w:rsidRDefault="004F14D1" w:rsidP="003F7272">
                      <w:pPr>
                        <w:numPr>
                          <w:ilvl w:val="0"/>
                          <w:numId w:val="18"/>
                        </w:numPr>
                        <w:spacing w:before="240" w:after="240"/>
                      </w:pPr>
                      <w:r w:rsidRPr="00390E23">
                        <w:t>The assessment criteria used in this RIS to assess the options are efficiency, equity, cost-effectiveness and transparency.</w:t>
                      </w:r>
                    </w:p>
                    <w:p w:rsidR="004F14D1" w:rsidRPr="00390E23" w:rsidRDefault="004F14D1" w:rsidP="003F7272">
                      <w:pPr>
                        <w:numPr>
                          <w:ilvl w:val="0"/>
                          <w:numId w:val="18"/>
                        </w:numPr>
                        <w:spacing w:before="240" w:after="240"/>
                      </w:pPr>
                      <w:r w:rsidRPr="00390E23">
                        <w:t xml:space="preserve">Venue operators are directly affected by all options considered except for the base case. From an indirect impact perspective, venues </w:t>
                      </w:r>
                      <w:r>
                        <w:t>may be</w:t>
                      </w:r>
                      <w:r w:rsidRPr="00390E23">
                        <w:t xml:space="preserve"> constrained from passing on the cost of the charge, although there are some limited circumstances where they could do so.</w:t>
                      </w:r>
                    </w:p>
                    <w:p w:rsidR="004F14D1" w:rsidRPr="00390E23" w:rsidRDefault="004F14D1" w:rsidP="003F7272">
                      <w:pPr>
                        <w:numPr>
                          <w:ilvl w:val="0"/>
                          <w:numId w:val="18"/>
                        </w:numPr>
                        <w:spacing w:before="240" w:after="240"/>
                      </w:pPr>
                      <w:r w:rsidRPr="00390E23">
                        <w:t xml:space="preserve">In this instance, cost benefit analysis was not a practicable decision tool because the costs and benefits of the options are not readily or reliably quantifiable. Multi-criteria analysis was employed instead. </w:t>
                      </w:r>
                    </w:p>
                    <w:p w:rsidR="004F14D1" w:rsidRPr="00390E23" w:rsidRDefault="004F14D1" w:rsidP="003F7272">
                      <w:pPr>
                        <w:numPr>
                          <w:ilvl w:val="0"/>
                          <w:numId w:val="18"/>
                        </w:numPr>
                        <w:spacing w:before="240" w:after="240"/>
                      </w:pPr>
                      <w:r>
                        <w:t>Option A</w:t>
                      </w:r>
                      <w:r w:rsidRPr="00390E23">
                        <w:t xml:space="preserve">, i.e. a two-tiered charge on entitlements and </w:t>
                      </w:r>
                      <w:r>
                        <w:t>gaming machine</w:t>
                      </w:r>
                      <w:r w:rsidRPr="00390E23">
                        <w:t>s, received the highest score, scoring +</w:t>
                      </w:r>
                      <w:r>
                        <w:t>6.9</w:t>
                      </w:r>
                      <w:r w:rsidRPr="00390E23">
                        <w:t xml:space="preserve"> out of a possible score of 10. </w:t>
                      </w:r>
                    </w:p>
                  </w:txbxContent>
                </v:textbox>
              </v:shape>
            </w:pict>
          </mc:Fallback>
        </mc:AlternateContent>
      </w:r>
      <w:r w:rsidRPr="00390E23">
        <w:t xml:space="preserve">Comparative </w:t>
      </w:r>
      <w:r w:rsidR="00C27A13">
        <w:t>a</w:t>
      </w:r>
      <w:r w:rsidRPr="00390E23">
        <w:t xml:space="preserve">nalysis and </w:t>
      </w:r>
      <w:r w:rsidR="00C27A13">
        <w:t>a</w:t>
      </w:r>
      <w:r w:rsidRPr="00390E23">
        <w:t xml:space="preserve">ssessment of </w:t>
      </w:r>
      <w:r w:rsidR="00C27A13">
        <w:t>o</w:t>
      </w:r>
      <w:r w:rsidRPr="00390E23">
        <w:t>ptions</w:t>
      </w:r>
      <w:bookmarkEnd w:id="32"/>
    </w:p>
    <w:p w:rsidR="00390E23" w:rsidRDefault="00390E23" w:rsidP="00390E23">
      <w:pPr>
        <w:rPr>
          <w:lang w:eastAsia="en-US"/>
        </w:rPr>
      </w:pPr>
    </w:p>
    <w:p w:rsidR="00390E23" w:rsidRDefault="00390E23" w:rsidP="00390E23">
      <w:pPr>
        <w:rPr>
          <w:lang w:eastAsia="en-US"/>
        </w:rPr>
      </w:pPr>
    </w:p>
    <w:p w:rsidR="00390E23" w:rsidRDefault="00390E23" w:rsidP="00390E23">
      <w:pPr>
        <w:rPr>
          <w:lang w:eastAsia="en-US"/>
        </w:rPr>
      </w:pPr>
    </w:p>
    <w:p w:rsidR="00390E23" w:rsidRDefault="00390E23" w:rsidP="00390E23">
      <w:pPr>
        <w:rPr>
          <w:lang w:eastAsia="en-US"/>
        </w:rPr>
      </w:pPr>
    </w:p>
    <w:p w:rsidR="00390E23" w:rsidRDefault="00390E23" w:rsidP="00390E23">
      <w:pPr>
        <w:rPr>
          <w:lang w:eastAsia="en-US"/>
        </w:rPr>
      </w:pPr>
    </w:p>
    <w:p w:rsidR="00390E23" w:rsidRDefault="00390E23" w:rsidP="00390E23">
      <w:pPr>
        <w:rPr>
          <w:lang w:eastAsia="en-US"/>
        </w:rPr>
      </w:pPr>
    </w:p>
    <w:p w:rsidR="00390E23" w:rsidRDefault="00390E23" w:rsidP="00390E23">
      <w:pPr>
        <w:rPr>
          <w:lang w:eastAsia="en-US"/>
        </w:rPr>
      </w:pPr>
    </w:p>
    <w:p w:rsidR="00390E23" w:rsidRDefault="00390E23" w:rsidP="00390E23">
      <w:pPr>
        <w:rPr>
          <w:lang w:eastAsia="en-US"/>
        </w:rPr>
      </w:pPr>
    </w:p>
    <w:p w:rsidR="00390E23" w:rsidRDefault="00390E23" w:rsidP="00390E23">
      <w:pPr>
        <w:rPr>
          <w:lang w:eastAsia="en-US"/>
        </w:rPr>
      </w:pPr>
    </w:p>
    <w:p w:rsidR="00390E23" w:rsidRDefault="00390E23" w:rsidP="00390E23">
      <w:pPr>
        <w:rPr>
          <w:lang w:eastAsia="en-US"/>
        </w:rPr>
      </w:pPr>
    </w:p>
    <w:p w:rsidR="00390E23" w:rsidRDefault="00390E23" w:rsidP="00390E23">
      <w:pPr>
        <w:rPr>
          <w:lang w:eastAsia="en-US"/>
        </w:rPr>
      </w:pPr>
    </w:p>
    <w:p w:rsidR="00390E23" w:rsidRDefault="00390E23" w:rsidP="00390E23">
      <w:pPr>
        <w:rPr>
          <w:lang w:eastAsia="en-US"/>
        </w:rPr>
      </w:pPr>
    </w:p>
    <w:p w:rsidR="00390E23" w:rsidRDefault="00390E23" w:rsidP="00390E23">
      <w:pPr>
        <w:rPr>
          <w:lang w:eastAsia="en-US"/>
        </w:rPr>
      </w:pPr>
    </w:p>
    <w:p w:rsidR="00390E23" w:rsidRDefault="00390E23" w:rsidP="00390E23">
      <w:pPr>
        <w:rPr>
          <w:lang w:eastAsia="en-US"/>
        </w:rPr>
      </w:pPr>
    </w:p>
    <w:p w:rsidR="00390E23" w:rsidRPr="00390E23" w:rsidRDefault="00390E23" w:rsidP="00390E23">
      <w:pPr>
        <w:rPr>
          <w:lang w:eastAsia="en-US"/>
        </w:rPr>
      </w:pPr>
    </w:p>
    <w:p w:rsidR="00390E23" w:rsidRDefault="00390E23" w:rsidP="00390E23">
      <w:pPr>
        <w:pStyle w:val="Heading2"/>
      </w:pPr>
      <w:bookmarkStart w:id="33" w:name="_Toc356830874"/>
      <w:r w:rsidRPr="00390E23">
        <w:t>Methodology</w:t>
      </w:r>
      <w:bookmarkEnd w:id="33"/>
    </w:p>
    <w:p w:rsidR="00390E23" w:rsidRPr="00DD162A" w:rsidRDefault="00390E23" w:rsidP="00390E23">
      <w:pPr>
        <w:pStyle w:val="Heading3"/>
      </w:pPr>
      <w:bookmarkStart w:id="34" w:name="_Toc356830875"/>
      <w:r w:rsidRPr="00DD162A">
        <w:t>Multi-criteria analysis</w:t>
      </w:r>
      <w:bookmarkEnd w:id="34"/>
      <w:r w:rsidRPr="00DD162A">
        <w:t xml:space="preserve"> </w:t>
      </w:r>
    </w:p>
    <w:p w:rsidR="00390E23" w:rsidRPr="00F4021E" w:rsidRDefault="00390E23" w:rsidP="00390E23">
      <w:pPr>
        <w:spacing w:before="240" w:after="240"/>
        <w:rPr>
          <w:szCs w:val="24"/>
          <w:lang w:eastAsia="en-US"/>
        </w:rPr>
      </w:pPr>
      <w:r w:rsidRPr="00F4021E">
        <w:rPr>
          <w:szCs w:val="24"/>
          <w:lang w:eastAsia="en-US"/>
        </w:rPr>
        <w:t xml:space="preserve">The </w:t>
      </w:r>
      <w:r w:rsidRPr="00F4021E">
        <w:rPr>
          <w:i/>
          <w:szCs w:val="24"/>
          <w:lang w:eastAsia="en-US"/>
        </w:rPr>
        <w:t>Victorian Guide to Regulation</w:t>
      </w:r>
      <w:r w:rsidRPr="00F4021E">
        <w:rPr>
          <w:szCs w:val="24"/>
          <w:lang w:eastAsia="en-US"/>
        </w:rPr>
        <w:t xml:space="preserve"> requires that a decision tool be used to determine whether the benefits of a regulatory option outweigh its costs, and to rank different options.</w:t>
      </w:r>
      <w:r w:rsidRPr="00F4021E">
        <w:rPr>
          <w:szCs w:val="24"/>
          <w:vertAlign w:val="superscript"/>
        </w:rPr>
        <w:footnoteReference w:id="9"/>
      </w:r>
    </w:p>
    <w:p w:rsidR="00390E23" w:rsidRPr="00F4021E" w:rsidRDefault="003119C6" w:rsidP="00390E23">
      <w:pPr>
        <w:spacing w:before="240" w:after="240"/>
        <w:rPr>
          <w:szCs w:val="24"/>
          <w:lang w:eastAsia="en-US"/>
        </w:rPr>
      </w:pPr>
      <w:r>
        <w:rPr>
          <w:szCs w:val="24"/>
          <w:lang w:eastAsia="en-US"/>
        </w:rPr>
        <w:t>C</w:t>
      </w:r>
      <w:r w:rsidR="00390E23" w:rsidRPr="00F4021E">
        <w:rPr>
          <w:szCs w:val="24"/>
          <w:lang w:eastAsia="en-US"/>
        </w:rPr>
        <w:t xml:space="preserve">ost–benefit analysis (CBA) is </w:t>
      </w:r>
      <w:r>
        <w:rPr>
          <w:szCs w:val="24"/>
          <w:lang w:eastAsia="en-US"/>
        </w:rPr>
        <w:t xml:space="preserve">usually </w:t>
      </w:r>
      <w:r w:rsidR="00390E23" w:rsidRPr="00F4021E">
        <w:rPr>
          <w:szCs w:val="24"/>
          <w:lang w:eastAsia="en-US"/>
        </w:rPr>
        <w:t xml:space="preserve">applied as the default decision tool for a RIS. A CBA has not been applied in this RIS due to the difficulty in meaningfully and accurately quantifying the costs and benefit of the identified options. </w:t>
      </w:r>
    </w:p>
    <w:p w:rsidR="00390E23" w:rsidRPr="00F4021E" w:rsidRDefault="00390E23" w:rsidP="00390E23">
      <w:pPr>
        <w:spacing w:before="240" w:after="0"/>
        <w:rPr>
          <w:szCs w:val="24"/>
          <w:lang w:eastAsia="en-US"/>
        </w:rPr>
      </w:pPr>
      <w:r w:rsidRPr="00F4021E">
        <w:rPr>
          <w:szCs w:val="24"/>
          <w:lang w:eastAsia="en-US"/>
        </w:rPr>
        <w:t>In the absence of undertaking a CBA, this RIS applies multi-criteria analysis (MCA) to qualitatively assess the main costs and benefits of each option. MCA involves:</w:t>
      </w:r>
    </w:p>
    <w:p w:rsidR="00390E23" w:rsidRPr="00F4021E" w:rsidRDefault="00390E23" w:rsidP="003F7272">
      <w:pPr>
        <w:numPr>
          <w:ilvl w:val="0"/>
          <w:numId w:val="32"/>
        </w:numPr>
        <w:spacing w:before="240" w:after="0"/>
        <w:rPr>
          <w:szCs w:val="24"/>
          <w:lang w:eastAsia="en-US"/>
        </w:rPr>
      </w:pPr>
      <w:r w:rsidRPr="00F4021E">
        <w:rPr>
          <w:szCs w:val="24"/>
          <w:lang w:eastAsia="en-US"/>
        </w:rPr>
        <w:t>specifying a number of assessment criteria;</w:t>
      </w:r>
    </w:p>
    <w:p w:rsidR="00390E23" w:rsidRPr="00F4021E" w:rsidRDefault="00390E23" w:rsidP="003F7272">
      <w:pPr>
        <w:numPr>
          <w:ilvl w:val="0"/>
          <w:numId w:val="32"/>
        </w:numPr>
        <w:spacing w:before="240" w:after="0"/>
        <w:rPr>
          <w:szCs w:val="24"/>
          <w:lang w:eastAsia="en-US"/>
        </w:rPr>
      </w:pPr>
      <w:r w:rsidRPr="00F4021E">
        <w:rPr>
          <w:szCs w:val="24"/>
          <w:lang w:eastAsia="en-US"/>
        </w:rPr>
        <w:t>assigning a weighting to each criterion;</w:t>
      </w:r>
    </w:p>
    <w:p w:rsidR="00390E23" w:rsidRPr="00F4021E" w:rsidRDefault="00390E23" w:rsidP="003F7272">
      <w:pPr>
        <w:numPr>
          <w:ilvl w:val="0"/>
          <w:numId w:val="32"/>
        </w:numPr>
        <w:spacing w:before="240" w:after="0"/>
        <w:rPr>
          <w:szCs w:val="24"/>
          <w:lang w:eastAsia="en-US"/>
        </w:rPr>
      </w:pPr>
      <w:r w:rsidRPr="00F4021E">
        <w:rPr>
          <w:szCs w:val="24"/>
          <w:lang w:eastAsia="en-US"/>
        </w:rPr>
        <w:t>assigning scores for each option in relation to each criterion; and</w:t>
      </w:r>
    </w:p>
    <w:p w:rsidR="00390E23" w:rsidRPr="00F4021E" w:rsidRDefault="00390E23" w:rsidP="003F7272">
      <w:pPr>
        <w:numPr>
          <w:ilvl w:val="0"/>
          <w:numId w:val="32"/>
        </w:numPr>
        <w:spacing w:before="240" w:after="240"/>
        <w:rPr>
          <w:szCs w:val="24"/>
          <w:lang w:eastAsia="en-US"/>
        </w:rPr>
      </w:pPr>
      <w:r w:rsidRPr="00F4021E">
        <w:rPr>
          <w:szCs w:val="24"/>
          <w:lang w:eastAsia="en-US"/>
        </w:rPr>
        <w:t>calculating a weighted score for each option.</w:t>
      </w:r>
    </w:p>
    <w:p w:rsidR="00390E23" w:rsidRPr="00F4021E" w:rsidRDefault="00390E23" w:rsidP="00390E23">
      <w:pPr>
        <w:spacing w:before="240" w:after="240"/>
        <w:rPr>
          <w:szCs w:val="24"/>
          <w:lang w:eastAsia="en-US"/>
        </w:rPr>
      </w:pPr>
      <w:r w:rsidRPr="00F4021E">
        <w:rPr>
          <w:szCs w:val="24"/>
          <w:lang w:eastAsia="en-US"/>
        </w:rPr>
        <w:t>A decision is made based on the weighted scores.</w:t>
      </w:r>
    </w:p>
    <w:p w:rsidR="00390E23" w:rsidRPr="00390E23" w:rsidRDefault="00390E23" w:rsidP="00390E23">
      <w:pPr>
        <w:pStyle w:val="Heading3"/>
      </w:pPr>
      <w:bookmarkStart w:id="35" w:name="_Toc356830876"/>
      <w:r w:rsidRPr="00390E23">
        <w:t>Assessment criteria</w:t>
      </w:r>
      <w:bookmarkEnd w:id="35"/>
    </w:p>
    <w:p w:rsidR="00390E23" w:rsidRPr="00F4021E" w:rsidRDefault="00390E23" w:rsidP="00390E23">
      <w:pPr>
        <w:spacing w:before="240" w:after="240"/>
        <w:rPr>
          <w:szCs w:val="24"/>
          <w:lang w:eastAsia="en-US"/>
        </w:rPr>
      </w:pPr>
      <w:r w:rsidRPr="00F4021E">
        <w:rPr>
          <w:szCs w:val="24"/>
          <w:lang w:eastAsia="en-US"/>
        </w:rPr>
        <w:t xml:space="preserve">Criteria are based on </w:t>
      </w:r>
      <w:r w:rsidRPr="003C5D33">
        <w:rPr>
          <w:i/>
          <w:szCs w:val="24"/>
          <w:lang w:eastAsia="en-US"/>
        </w:rPr>
        <w:t>DTF’s Cost Recovery Guidelines</w:t>
      </w:r>
      <w:r w:rsidR="000C79CE">
        <w:rPr>
          <w:i/>
          <w:szCs w:val="24"/>
          <w:lang w:eastAsia="en-US"/>
        </w:rPr>
        <w:t xml:space="preserve"> </w:t>
      </w:r>
      <w:r w:rsidRPr="00F4021E">
        <w:rPr>
          <w:szCs w:val="24"/>
          <w:lang w:eastAsia="en-US"/>
        </w:rPr>
        <w:t xml:space="preserve">- efficiency, equity, cost effectiveness and transparency. These were set out in Chapter 3. These criteria are weighted at 30 per cent each for efficiency and equity, and 20 per cent each for cost-effectiveness and transparency. Efficiency and equity are weighted more heavily because avoiding distortions in </w:t>
      </w:r>
      <w:r w:rsidR="00F13192">
        <w:rPr>
          <w:szCs w:val="24"/>
          <w:lang w:eastAsia="en-US"/>
        </w:rPr>
        <w:t>venue o</w:t>
      </w:r>
      <w:r w:rsidR="00472069">
        <w:rPr>
          <w:szCs w:val="24"/>
          <w:lang w:eastAsia="en-US"/>
        </w:rPr>
        <w:t>perator</w:t>
      </w:r>
      <w:r w:rsidRPr="00F4021E">
        <w:rPr>
          <w:szCs w:val="24"/>
          <w:lang w:eastAsia="en-US"/>
        </w:rPr>
        <w:t xml:space="preserve"> behaviour (i.e. changing business decisions in response to the charge that wouldn’t have occurred in the absence of the charge) and minimising cross subsidies between different gaming venues are considered primary considerations. </w:t>
      </w:r>
    </w:p>
    <w:p w:rsidR="00390E23" w:rsidRPr="00390E23" w:rsidRDefault="00390E23" w:rsidP="00390E23">
      <w:pPr>
        <w:pStyle w:val="Heading5"/>
      </w:pPr>
      <w:r w:rsidRPr="00390E23">
        <w:t>Table 6.1: Criteria and weightings for assessment</w:t>
      </w:r>
    </w:p>
    <w:tbl>
      <w:tblPr>
        <w:tblW w:w="8347" w:type="dxa"/>
        <w:tblInd w:w="964" w:type="dxa"/>
        <w:tblBorders>
          <w:top w:val="single" w:sz="2" w:space="0" w:color="auto"/>
          <w:bottom w:val="single" w:sz="2" w:space="0" w:color="auto"/>
          <w:insideH w:val="single" w:sz="2" w:space="0" w:color="auto"/>
        </w:tblBorders>
        <w:tblCellMar>
          <w:left w:w="113" w:type="dxa"/>
          <w:right w:w="113" w:type="dxa"/>
        </w:tblCellMar>
        <w:tblLook w:val="04A0" w:firstRow="1" w:lastRow="0" w:firstColumn="1" w:lastColumn="0" w:noHBand="0" w:noVBand="1"/>
      </w:tblPr>
      <w:tblGrid>
        <w:gridCol w:w="1984"/>
        <w:gridCol w:w="4962"/>
        <w:gridCol w:w="1401"/>
      </w:tblGrid>
      <w:tr w:rsidR="00390E23" w:rsidRPr="00390E23" w:rsidTr="00390E23">
        <w:trPr>
          <w:cantSplit/>
        </w:trPr>
        <w:tc>
          <w:tcPr>
            <w:tcW w:w="1984" w:type="dxa"/>
            <w:tcBorders>
              <w:top w:val="single" w:sz="2" w:space="0" w:color="auto"/>
              <w:left w:val="nil"/>
              <w:bottom w:val="single" w:sz="2" w:space="0" w:color="auto"/>
              <w:right w:val="nil"/>
              <w:tl2br w:val="nil"/>
              <w:tr2bl w:val="nil"/>
            </w:tcBorders>
            <w:shd w:val="clear" w:color="auto" w:fill="D9D9D9"/>
          </w:tcPr>
          <w:p w:rsidR="00390E23" w:rsidRPr="00390E23" w:rsidRDefault="00390E23" w:rsidP="00390E23">
            <w:pPr>
              <w:spacing w:before="80" w:after="80"/>
              <w:ind w:left="0"/>
              <w:rPr>
                <w:b/>
                <w:sz w:val="20"/>
                <w:szCs w:val="20"/>
                <w:lang w:eastAsia="en-US"/>
              </w:rPr>
            </w:pPr>
            <w:r w:rsidRPr="00390E23">
              <w:rPr>
                <w:b/>
                <w:sz w:val="20"/>
                <w:szCs w:val="20"/>
                <w:lang w:eastAsia="en-US"/>
              </w:rPr>
              <w:t>Criterion</w:t>
            </w:r>
          </w:p>
        </w:tc>
        <w:tc>
          <w:tcPr>
            <w:tcW w:w="4962" w:type="dxa"/>
            <w:tcBorders>
              <w:top w:val="single" w:sz="2" w:space="0" w:color="auto"/>
              <w:left w:val="nil"/>
              <w:bottom w:val="single" w:sz="2" w:space="0" w:color="auto"/>
              <w:right w:val="nil"/>
              <w:tl2br w:val="nil"/>
              <w:tr2bl w:val="nil"/>
            </w:tcBorders>
            <w:shd w:val="clear" w:color="auto" w:fill="D9D9D9"/>
          </w:tcPr>
          <w:p w:rsidR="00390E23" w:rsidRPr="00390E23" w:rsidRDefault="00390E23" w:rsidP="00390E23">
            <w:pPr>
              <w:spacing w:before="80" w:after="80"/>
              <w:ind w:left="0"/>
              <w:rPr>
                <w:b/>
                <w:sz w:val="20"/>
                <w:szCs w:val="20"/>
                <w:lang w:eastAsia="en-US"/>
              </w:rPr>
            </w:pPr>
            <w:r w:rsidRPr="00390E23">
              <w:rPr>
                <w:b/>
                <w:sz w:val="20"/>
                <w:szCs w:val="20"/>
                <w:lang w:eastAsia="en-US"/>
              </w:rPr>
              <w:t xml:space="preserve">Description </w:t>
            </w:r>
          </w:p>
        </w:tc>
        <w:tc>
          <w:tcPr>
            <w:tcW w:w="1401" w:type="dxa"/>
            <w:tcBorders>
              <w:top w:val="single" w:sz="2" w:space="0" w:color="auto"/>
              <w:left w:val="nil"/>
              <w:bottom w:val="single" w:sz="2" w:space="0" w:color="auto"/>
              <w:right w:val="nil"/>
              <w:tl2br w:val="nil"/>
              <w:tr2bl w:val="nil"/>
            </w:tcBorders>
            <w:shd w:val="clear" w:color="auto" w:fill="D9D9D9"/>
          </w:tcPr>
          <w:p w:rsidR="00390E23" w:rsidRPr="00390E23" w:rsidRDefault="00390E23" w:rsidP="00390E23">
            <w:pPr>
              <w:spacing w:before="80" w:after="80"/>
              <w:ind w:left="0"/>
              <w:rPr>
                <w:b/>
                <w:sz w:val="20"/>
                <w:szCs w:val="20"/>
                <w:lang w:eastAsia="en-US"/>
              </w:rPr>
            </w:pPr>
            <w:r w:rsidRPr="00390E23">
              <w:rPr>
                <w:b/>
                <w:sz w:val="20"/>
                <w:szCs w:val="20"/>
                <w:lang w:eastAsia="en-US"/>
              </w:rPr>
              <w:t>Per cent weighting</w:t>
            </w:r>
          </w:p>
        </w:tc>
      </w:tr>
      <w:tr w:rsidR="00390E23" w:rsidRPr="00390E23" w:rsidTr="00390E23">
        <w:trPr>
          <w:cantSplit/>
        </w:trPr>
        <w:tc>
          <w:tcPr>
            <w:tcW w:w="1984" w:type="dxa"/>
            <w:shd w:val="clear" w:color="auto" w:fill="auto"/>
          </w:tcPr>
          <w:p w:rsidR="00390E23" w:rsidRPr="00390E23" w:rsidRDefault="00390E23" w:rsidP="00390E23">
            <w:pPr>
              <w:spacing w:before="80" w:after="80"/>
              <w:ind w:left="0"/>
              <w:rPr>
                <w:b/>
                <w:sz w:val="20"/>
                <w:szCs w:val="20"/>
                <w:lang w:eastAsia="en-US"/>
              </w:rPr>
            </w:pPr>
            <w:r w:rsidRPr="00390E23">
              <w:rPr>
                <w:b/>
                <w:sz w:val="20"/>
                <w:szCs w:val="20"/>
                <w:lang w:eastAsia="en-US"/>
              </w:rPr>
              <w:t>Efficiency</w:t>
            </w:r>
          </w:p>
        </w:tc>
        <w:tc>
          <w:tcPr>
            <w:tcW w:w="4962" w:type="dxa"/>
            <w:shd w:val="clear" w:color="auto" w:fill="auto"/>
          </w:tcPr>
          <w:p w:rsidR="00390E23" w:rsidRPr="00390E23" w:rsidRDefault="00390E23" w:rsidP="00390E23">
            <w:pPr>
              <w:spacing w:before="80" w:after="80"/>
              <w:ind w:left="0"/>
              <w:rPr>
                <w:sz w:val="20"/>
                <w:szCs w:val="20"/>
                <w:lang w:eastAsia="en-US"/>
              </w:rPr>
            </w:pPr>
            <w:r w:rsidRPr="00390E23">
              <w:rPr>
                <w:sz w:val="20"/>
                <w:szCs w:val="20"/>
              </w:rPr>
              <w:t>The gaming industry’s business decisions</w:t>
            </w:r>
            <w:r w:rsidR="00152AC5">
              <w:rPr>
                <w:sz w:val="20"/>
                <w:szCs w:val="20"/>
              </w:rPr>
              <w:t>, as well as player decisions,</w:t>
            </w:r>
            <w:r w:rsidRPr="00390E23">
              <w:rPr>
                <w:sz w:val="20"/>
                <w:szCs w:val="20"/>
              </w:rPr>
              <w:t xml:space="preserve"> should not be distorted by the design and implementation of the charge.</w:t>
            </w:r>
          </w:p>
        </w:tc>
        <w:tc>
          <w:tcPr>
            <w:tcW w:w="1401" w:type="dxa"/>
            <w:shd w:val="clear" w:color="auto" w:fill="auto"/>
          </w:tcPr>
          <w:p w:rsidR="00390E23" w:rsidRPr="00390E23" w:rsidRDefault="00390E23" w:rsidP="00390E23">
            <w:pPr>
              <w:spacing w:before="80" w:after="80"/>
              <w:ind w:left="0"/>
              <w:rPr>
                <w:sz w:val="20"/>
                <w:szCs w:val="20"/>
                <w:lang w:eastAsia="en-US"/>
              </w:rPr>
            </w:pPr>
            <w:r w:rsidRPr="00390E23">
              <w:rPr>
                <w:sz w:val="20"/>
                <w:szCs w:val="20"/>
                <w:lang w:eastAsia="en-US"/>
              </w:rPr>
              <w:t>30</w:t>
            </w:r>
          </w:p>
        </w:tc>
      </w:tr>
      <w:tr w:rsidR="00390E23" w:rsidRPr="00390E23" w:rsidTr="00390E23">
        <w:trPr>
          <w:cantSplit/>
        </w:trPr>
        <w:tc>
          <w:tcPr>
            <w:tcW w:w="1984" w:type="dxa"/>
            <w:shd w:val="clear" w:color="auto" w:fill="auto"/>
          </w:tcPr>
          <w:p w:rsidR="00390E23" w:rsidRPr="00390E23" w:rsidRDefault="00390E23" w:rsidP="00390E23">
            <w:pPr>
              <w:spacing w:before="80" w:after="80"/>
              <w:ind w:left="0"/>
              <w:rPr>
                <w:b/>
                <w:sz w:val="20"/>
                <w:szCs w:val="20"/>
                <w:lang w:eastAsia="en-US"/>
              </w:rPr>
            </w:pPr>
            <w:r w:rsidRPr="00390E23">
              <w:rPr>
                <w:b/>
                <w:sz w:val="20"/>
                <w:szCs w:val="20"/>
                <w:lang w:eastAsia="en-US"/>
              </w:rPr>
              <w:t>Equity</w:t>
            </w:r>
          </w:p>
        </w:tc>
        <w:tc>
          <w:tcPr>
            <w:tcW w:w="4962" w:type="dxa"/>
            <w:shd w:val="clear" w:color="auto" w:fill="auto"/>
          </w:tcPr>
          <w:p w:rsidR="00390E23" w:rsidRPr="00390E23" w:rsidRDefault="00390E23" w:rsidP="00390E23">
            <w:pPr>
              <w:spacing w:before="80" w:after="80"/>
              <w:ind w:left="0"/>
              <w:rPr>
                <w:sz w:val="20"/>
                <w:szCs w:val="20"/>
                <w:lang w:eastAsia="en-US"/>
              </w:rPr>
            </w:pPr>
            <w:r w:rsidRPr="00390E23">
              <w:rPr>
                <w:sz w:val="20"/>
                <w:szCs w:val="20"/>
                <w:lang w:eastAsia="en-US"/>
              </w:rPr>
              <w:t xml:space="preserve">Those who benefit from government activities, or contribute to the need for government regulation (i.e. </w:t>
            </w:r>
            <w:r w:rsidR="00F13192">
              <w:rPr>
                <w:sz w:val="20"/>
                <w:szCs w:val="20"/>
                <w:lang w:eastAsia="en-US"/>
              </w:rPr>
              <w:t>venue o</w:t>
            </w:r>
            <w:r w:rsidR="00472069">
              <w:rPr>
                <w:sz w:val="20"/>
                <w:szCs w:val="20"/>
                <w:lang w:eastAsia="en-US"/>
              </w:rPr>
              <w:t>perator</w:t>
            </w:r>
            <w:r w:rsidRPr="00390E23">
              <w:rPr>
                <w:sz w:val="20"/>
                <w:szCs w:val="20"/>
                <w:lang w:eastAsia="en-US"/>
              </w:rPr>
              <w:t>s</w:t>
            </w:r>
            <w:r w:rsidR="00CE62C8">
              <w:rPr>
                <w:sz w:val="20"/>
                <w:szCs w:val="20"/>
                <w:lang w:eastAsia="en-US"/>
              </w:rPr>
              <w:t xml:space="preserve"> and players</w:t>
            </w:r>
            <w:r w:rsidRPr="00390E23">
              <w:rPr>
                <w:sz w:val="20"/>
                <w:szCs w:val="20"/>
                <w:lang w:eastAsia="en-US"/>
              </w:rPr>
              <w:t>), should pay the associated costs. Cross subsidies should be minimised.</w:t>
            </w:r>
          </w:p>
        </w:tc>
        <w:tc>
          <w:tcPr>
            <w:tcW w:w="1401" w:type="dxa"/>
            <w:shd w:val="clear" w:color="auto" w:fill="auto"/>
          </w:tcPr>
          <w:p w:rsidR="00390E23" w:rsidRPr="00390E23" w:rsidRDefault="00390E23" w:rsidP="00390E23">
            <w:pPr>
              <w:spacing w:before="80" w:after="80"/>
              <w:ind w:left="0"/>
              <w:rPr>
                <w:sz w:val="20"/>
                <w:szCs w:val="20"/>
                <w:lang w:eastAsia="en-US"/>
              </w:rPr>
            </w:pPr>
            <w:r w:rsidRPr="00390E23">
              <w:rPr>
                <w:sz w:val="20"/>
                <w:szCs w:val="20"/>
                <w:lang w:eastAsia="en-US"/>
              </w:rPr>
              <w:t>30</w:t>
            </w:r>
          </w:p>
        </w:tc>
      </w:tr>
      <w:tr w:rsidR="00390E23" w:rsidRPr="00390E23" w:rsidTr="00390E23">
        <w:trPr>
          <w:cantSplit/>
        </w:trPr>
        <w:tc>
          <w:tcPr>
            <w:tcW w:w="1984" w:type="dxa"/>
            <w:shd w:val="clear" w:color="auto" w:fill="auto"/>
          </w:tcPr>
          <w:p w:rsidR="00390E23" w:rsidRPr="00390E23" w:rsidRDefault="00390E23" w:rsidP="00390E23">
            <w:pPr>
              <w:spacing w:before="80" w:after="80"/>
              <w:ind w:left="0"/>
              <w:rPr>
                <w:b/>
                <w:sz w:val="20"/>
                <w:szCs w:val="20"/>
                <w:lang w:eastAsia="en-US"/>
              </w:rPr>
            </w:pPr>
            <w:r w:rsidRPr="00390E23">
              <w:rPr>
                <w:b/>
                <w:sz w:val="20"/>
                <w:szCs w:val="20"/>
                <w:lang w:eastAsia="en-US"/>
              </w:rPr>
              <w:t>Cost-effectiveness</w:t>
            </w:r>
          </w:p>
        </w:tc>
        <w:tc>
          <w:tcPr>
            <w:tcW w:w="4962" w:type="dxa"/>
            <w:shd w:val="clear" w:color="auto" w:fill="auto"/>
          </w:tcPr>
          <w:p w:rsidR="00390E23" w:rsidRPr="00390E23" w:rsidRDefault="00390E23" w:rsidP="00390E23">
            <w:pPr>
              <w:spacing w:before="80" w:after="80"/>
              <w:ind w:left="0"/>
              <w:rPr>
                <w:sz w:val="20"/>
                <w:szCs w:val="20"/>
                <w:lang w:eastAsia="en-US"/>
              </w:rPr>
            </w:pPr>
            <w:r w:rsidRPr="00390E23">
              <w:rPr>
                <w:sz w:val="20"/>
                <w:szCs w:val="20"/>
                <w:lang w:eastAsia="en-US"/>
              </w:rPr>
              <w:t xml:space="preserve">The cost to the VCGLR administering and venues complying with cost recovery arrangements should be as low as possible for a given level of revenue collected. </w:t>
            </w:r>
          </w:p>
        </w:tc>
        <w:tc>
          <w:tcPr>
            <w:tcW w:w="1401" w:type="dxa"/>
            <w:shd w:val="clear" w:color="auto" w:fill="auto"/>
          </w:tcPr>
          <w:p w:rsidR="00390E23" w:rsidRPr="00390E23" w:rsidRDefault="00390E23" w:rsidP="00390E23">
            <w:pPr>
              <w:spacing w:before="80" w:after="80"/>
              <w:ind w:left="0"/>
              <w:rPr>
                <w:sz w:val="20"/>
                <w:szCs w:val="20"/>
                <w:lang w:eastAsia="en-US"/>
              </w:rPr>
            </w:pPr>
            <w:r w:rsidRPr="00390E23">
              <w:rPr>
                <w:sz w:val="20"/>
                <w:szCs w:val="20"/>
                <w:lang w:eastAsia="en-US"/>
              </w:rPr>
              <w:t>20</w:t>
            </w:r>
          </w:p>
        </w:tc>
      </w:tr>
      <w:tr w:rsidR="00390E23" w:rsidRPr="00390E23" w:rsidTr="00390E23">
        <w:trPr>
          <w:cantSplit/>
        </w:trPr>
        <w:tc>
          <w:tcPr>
            <w:tcW w:w="1984" w:type="dxa"/>
            <w:shd w:val="clear" w:color="auto" w:fill="auto"/>
          </w:tcPr>
          <w:p w:rsidR="00390E23" w:rsidRPr="00390E23" w:rsidRDefault="00390E23" w:rsidP="00390E23">
            <w:pPr>
              <w:spacing w:before="80" w:after="80"/>
              <w:ind w:left="0"/>
              <w:rPr>
                <w:b/>
                <w:sz w:val="20"/>
                <w:szCs w:val="20"/>
                <w:lang w:eastAsia="en-US"/>
              </w:rPr>
            </w:pPr>
            <w:r w:rsidRPr="00390E23">
              <w:rPr>
                <w:b/>
                <w:sz w:val="20"/>
                <w:szCs w:val="20"/>
                <w:lang w:eastAsia="en-US"/>
              </w:rPr>
              <w:t>Transparency</w:t>
            </w:r>
          </w:p>
        </w:tc>
        <w:tc>
          <w:tcPr>
            <w:tcW w:w="4962" w:type="dxa"/>
            <w:shd w:val="clear" w:color="auto" w:fill="auto"/>
          </w:tcPr>
          <w:p w:rsidR="00390E23" w:rsidRPr="00390E23" w:rsidRDefault="00390E23" w:rsidP="00390E23">
            <w:pPr>
              <w:spacing w:before="80" w:after="80"/>
              <w:ind w:left="0"/>
              <w:rPr>
                <w:sz w:val="20"/>
                <w:szCs w:val="20"/>
                <w:lang w:eastAsia="en-US"/>
              </w:rPr>
            </w:pPr>
            <w:r w:rsidRPr="00390E23">
              <w:rPr>
                <w:sz w:val="20"/>
                <w:szCs w:val="20"/>
                <w:lang w:eastAsia="en-US"/>
              </w:rPr>
              <w:t>The underlying purpose and principles behind the design of the charge are clearly identified. It should be clear what is being charged, who is liable, and how their liability is calculated. The charge should be predictable over time, and venues should be able to develop reasonable expectations on the level of the charge in future years.</w:t>
            </w:r>
          </w:p>
        </w:tc>
        <w:tc>
          <w:tcPr>
            <w:tcW w:w="1401" w:type="dxa"/>
            <w:shd w:val="clear" w:color="auto" w:fill="auto"/>
          </w:tcPr>
          <w:p w:rsidR="00390E23" w:rsidRPr="00390E23" w:rsidRDefault="00390E23" w:rsidP="00390E23">
            <w:pPr>
              <w:spacing w:before="80" w:after="80"/>
              <w:ind w:left="0"/>
              <w:rPr>
                <w:sz w:val="20"/>
                <w:szCs w:val="20"/>
                <w:lang w:eastAsia="en-US"/>
              </w:rPr>
            </w:pPr>
            <w:r w:rsidRPr="00390E23">
              <w:rPr>
                <w:sz w:val="20"/>
                <w:szCs w:val="20"/>
                <w:lang w:eastAsia="en-US"/>
              </w:rPr>
              <w:t>20</w:t>
            </w:r>
          </w:p>
        </w:tc>
      </w:tr>
    </w:tbl>
    <w:p w:rsidR="00390E23" w:rsidRPr="00F4021E" w:rsidRDefault="00390E23" w:rsidP="00390E23">
      <w:pPr>
        <w:spacing w:before="240" w:after="240"/>
        <w:rPr>
          <w:szCs w:val="24"/>
          <w:lang w:eastAsia="en-US"/>
        </w:rPr>
      </w:pPr>
      <w:r w:rsidRPr="00F4021E">
        <w:rPr>
          <w:szCs w:val="24"/>
          <w:lang w:eastAsia="en-US"/>
        </w:rPr>
        <w:t>Th</w:t>
      </w:r>
      <w:r w:rsidR="000C79CE">
        <w:rPr>
          <w:szCs w:val="24"/>
          <w:lang w:eastAsia="en-US"/>
        </w:rPr>
        <w:t xml:space="preserve">e scoring system adheres to </w:t>
      </w:r>
      <w:r w:rsidRPr="00F4021E">
        <w:rPr>
          <w:szCs w:val="24"/>
          <w:lang w:eastAsia="en-US"/>
        </w:rPr>
        <w:t xml:space="preserve">VCEC’s MCA guidelines. Each criterion is assigned a score from -10 to +10, with -10 being the lowest score, and +10 being the highest. </w:t>
      </w:r>
      <w:r w:rsidR="00CE62C8" w:rsidRPr="00F4021E">
        <w:rPr>
          <w:szCs w:val="24"/>
          <w:lang w:eastAsia="en-US"/>
        </w:rPr>
        <w:t xml:space="preserve">The final score is determined by applying the weightings to individual scores to create a score ranging from -10 to +10. </w:t>
      </w:r>
      <w:r w:rsidRPr="00F4021E">
        <w:rPr>
          <w:szCs w:val="24"/>
          <w:lang w:eastAsia="en-US"/>
        </w:rPr>
        <w:t xml:space="preserve">The relative scores assigned are consistent with the relative effects for each criterion, i.e. a score of 10 would indicate that the option has twice the impact of a score of five. </w:t>
      </w:r>
      <w:r w:rsidR="00032998">
        <w:rPr>
          <w:szCs w:val="24"/>
          <w:lang w:eastAsia="en-US"/>
        </w:rPr>
        <w:t>As all scores are awarded relative to the base case, the base case has a score of zero.</w:t>
      </w:r>
      <w:r w:rsidR="00996969">
        <w:rPr>
          <w:szCs w:val="24"/>
          <w:lang w:eastAsia="en-US"/>
        </w:rPr>
        <w:t xml:space="preserve"> </w:t>
      </w:r>
      <w:r w:rsidRPr="00F4021E">
        <w:rPr>
          <w:szCs w:val="24"/>
          <w:lang w:eastAsia="en-US"/>
        </w:rPr>
        <w:t xml:space="preserve">The scoring system is set out below. </w:t>
      </w:r>
    </w:p>
    <w:p w:rsidR="00390E23" w:rsidRPr="00390E23" w:rsidRDefault="004A4CF4" w:rsidP="00390E23">
      <w:pPr>
        <w:pStyle w:val="Heading5"/>
      </w:pPr>
      <w:r>
        <w:t>Table 6.2: Total s</w:t>
      </w:r>
      <w:r w:rsidR="00390E23" w:rsidRPr="00390E23">
        <w:t>core</w:t>
      </w:r>
    </w:p>
    <w:tbl>
      <w:tblPr>
        <w:tblW w:w="8080" w:type="dxa"/>
        <w:tblInd w:w="964" w:type="dxa"/>
        <w:tblBorders>
          <w:top w:val="single" w:sz="2" w:space="0" w:color="auto"/>
          <w:bottom w:val="single" w:sz="2" w:space="0" w:color="auto"/>
          <w:insideH w:val="single" w:sz="2" w:space="0" w:color="auto"/>
        </w:tblBorders>
        <w:tblCellMar>
          <w:left w:w="113" w:type="dxa"/>
          <w:right w:w="113" w:type="dxa"/>
        </w:tblCellMar>
        <w:tblLook w:val="04A0" w:firstRow="1" w:lastRow="0" w:firstColumn="1" w:lastColumn="0" w:noHBand="0" w:noVBand="1"/>
      </w:tblPr>
      <w:tblGrid>
        <w:gridCol w:w="1559"/>
        <w:gridCol w:w="1701"/>
        <w:gridCol w:w="1549"/>
        <w:gridCol w:w="1570"/>
        <w:gridCol w:w="1701"/>
      </w:tblGrid>
      <w:tr w:rsidR="00390E23" w:rsidRPr="00390E23" w:rsidTr="00390E23">
        <w:trPr>
          <w:cantSplit/>
        </w:trPr>
        <w:tc>
          <w:tcPr>
            <w:tcW w:w="1559" w:type="dxa"/>
            <w:tcBorders>
              <w:top w:val="single" w:sz="2" w:space="0" w:color="auto"/>
              <w:left w:val="nil"/>
              <w:bottom w:val="single" w:sz="2" w:space="0" w:color="auto"/>
              <w:right w:val="nil"/>
              <w:tl2br w:val="nil"/>
              <w:tr2bl w:val="nil"/>
            </w:tcBorders>
            <w:shd w:val="clear" w:color="auto" w:fill="D9D9D9"/>
          </w:tcPr>
          <w:p w:rsidR="00390E23" w:rsidRPr="00390E23" w:rsidRDefault="00390E23" w:rsidP="00F4021E">
            <w:pPr>
              <w:spacing w:before="60" w:after="60"/>
              <w:ind w:left="0"/>
              <w:jc w:val="center"/>
              <w:rPr>
                <w:sz w:val="20"/>
                <w:szCs w:val="20"/>
                <w:lang w:eastAsia="en-US"/>
              </w:rPr>
            </w:pPr>
            <w:r w:rsidRPr="00390E23">
              <w:rPr>
                <w:sz w:val="20"/>
                <w:szCs w:val="20"/>
                <w:lang w:eastAsia="en-US"/>
              </w:rPr>
              <w:t>-10</w:t>
            </w:r>
          </w:p>
        </w:tc>
        <w:tc>
          <w:tcPr>
            <w:tcW w:w="1701" w:type="dxa"/>
            <w:tcBorders>
              <w:top w:val="single" w:sz="2" w:space="0" w:color="auto"/>
              <w:left w:val="nil"/>
              <w:bottom w:val="single" w:sz="2" w:space="0" w:color="auto"/>
              <w:right w:val="nil"/>
              <w:tl2br w:val="nil"/>
              <w:tr2bl w:val="nil"/>
            </w:tcBorders>
            <w:shd w:val="clear" w:color="auto" w:fill="D9D9D9"/>
          </w:tcPr>
          <w:p w:rsidR="00390E23" w:rsidRPr="00390E23" w:rsidRDefault="00390E23" w:rsidP="00F4021E">
            <w:pPr>
              <w:spacing w:before="60" w:after="60"/>
              <w:ind w:left="0"/>
              <w:jc w:val="center"/>
              <w:rPr>
                <w:sz w:val="20"/>
                <w:szCs w:val="20"/>
                <w:lang w:eastAsia="en-US"/>
              </w:rPr>
            </w:pPr>
            <w:r w:rsidRPr="00390E23">
              <w:rPr>
                <w:sz w:val="20"/>
                <w:szCs w:val="20"/>
                <w:lang w:eastAsia="en-US"/>
              </w:rPr>
              <w:t>-5</w:t>
            </w:r>
          </w:p>
        </w:tc>
        <w:tc>
          <w:tcPr>
            <w:tcW w:w="1549" w:type="dxa"/>
            <w:tcBorders>
              <w:top w:val="single" w:sz="2" w:space="0" w:color="auto"/>
              <w:left w:val="nil"/>
              <w:bottom w:val="single" w:sz="2" w:space="0" w:color="auto"/>
              <w:right w:val="nil"/>
              <w:tl2br w:val="nil"/>
              <w:tr2bl w:val="nil"/>
            </w:tcBorders>
            <w:shd w:val="clear" w:color="auto" w:fill="D9D9D9"/>
          </w:tcPr>
          <w:p w:rsidR="00390E23" w:rsidRPr="00390E23" w:rsidRDefault="00390E23" w:rsidP="00F4021E">
            <w:pPr>
              <w:spacing w:before="60" w:after="60"/>
              <w:ind w:left="0"/>
              <w:jc w:val="center"/>
              <w:rPr>
                <w:sz w:val="20"/>
                <w:szCs w:val="20"/>
                <w:lang w:eastAsia="en-US"/>
              </w:rPr>
            </w:pPr>
            <w:r w:rsidRPr="00390E23">
              <w:rPr>
                <w:sz w:val="20"/>
                <w:szCs w:val="20"/>
                <w:lang w:eastAsia="en-US"/>
              </w:rPr>
              <w:t>0</w:t>
            </w:r>
          </w:p>
        </w:tc>
        <w:tc>
          <w:tcPr>
            <w:tcW w:w="1570" w:type="dxa"/>
            <w:tcBorders>
              <w:top w:val="single" w:sz="2" w:space="0" w:color="auto"/>
              <w:left w:val="nil"/>
              <w:bottom w:val="single" w:sz="2" w:space="0" w:color="auto"/>
              <w:right w:val="nil"/>
              <w:tl2br w:val="nil"/>
              <w:tr2bl w:val="nil"/>
            </w:tcBorders>
            <w:shd w:val="clear" w:color="auto" w:fill="D9D9D9"/>
          </w:tcPr>
          <w:p w:rsidR="00390E23" w:rsidRPr="00390E23" w:rsidRDefault="00390E23" w:rsidP="00F4021E">
            <w:pPr>
              <w:spacing w:before="60" w:after="60"/>
              <w:ind w:left="0"/>
              <w:jc w:val="center"/>
              <w:rPr>
                <w:sz w:val="20"/>
                <w:szCs w:val="20"/>
                <w:lang w:eastAsia="en-US"/>
              </w:rPr>
            </w:pPr>
            <w:r w:rsidRPr="00390E23">
              <w:rPr>
                <w:sz w:val="20"/>
                <w:szCs w:val="20"/>
                <w:lang w:eastAsia="en-US"/>
              </w:rPr>
              <w:t>+5</w:t>
            </w:r>
          </w:p>
        </w:tc>
        <w:tc>
          <w:tcPr>
            <w:tcW w:w="1701" w:type="dxa"/>
            <w:tcBorders>
              <w:top w:val="single" w:sz="2" w:space="0" w:color="auto"/>
              <w:left w:val="nil"/>
              <w:bottom w:val="single" w:sz="2" w:space="0" w:color="auto"/>
              <w:right w:val="nil"/>
              <w:tl2br w:val="nil"/>
              <w:tr2bl w:val="nil"/>
            </w:tcBorders>
            <w:shd w:val="clear" w:color="auto" w:fill="D9D9D9"/>
          </w:tcPr>
          <w:p w:rsidR="00390E23" w:rsidRPr="00390E23" w:rsidRDefault="00390E23" w:rsidP="00F4021E">
            <w:pPr>
              <w:spacing w:before="60" w:after="60"/>
              <w:ind w:left="0"/>
              <w:jc w:val="center"/>
              <w:rPr>
                <w:sz w:val="20"/>
                <w:szCs w:val="20"/>
                <w:lang w:eastAsia="en-US"/>
              </w:rPr>
            </w:pPr>
            <w:r w:rsidRPr="00390E23">
              <w:rPr>
                <w:sz w:val="20"/>
                <w:szCs w:val="20"/>
                <w:lang w:eastAsia="en-US"/>
              </w:rPr>
              <w:t>+10</w:t>
            </w:r>
          </w:p>
        </w:tc>
      </w:tr>
      <w:tr w:rsidR="00390E23" w:rsidRPr="00390E23" w:rsidTr="00390E23">
        <w:trPr>
          <w:cantSplit/>
        </w:trPr>
        <w:tc>
          <w:tcPr>
            <w:tcW w:w="1559" w:type="dxa"/>
            <w:shd w:val="clear" w:color="auto" w:fill="auto"/>
          </w:tcPr>
          <w:p w:rsidR="00390E23" w:rsidRPr="00390E23" w:rsidRDefault="00390E23" w:rsidP="00F4021E">
            <w:pPr>
              <w:spacing w:before="60" w:after="60"/>
              <w:ind w:left="0"/>
              <w:jc w:val="center"/>
              <w:rPr>
                <w:sz w:val="20"/>
                <w:szCs w:val="20"/>
                <w:lang w:eastAsia="en-US"/>
              </w:rPr>
            </w:pPr>
            <w:r w:rsidRPr="00390E23">
              <w:rPr>
                <w:sz w:val="20"/>
                <w:szCs w:val="20"/>
                <w:lang w:eastAsia="en-US"/>
              </w:rPr>
              <w:t>Very negative</w:t>
            </w:r>
          </w:p>
        </w:tc>
        <w:tc>
          <w:tcPr>
            <w:tcW w:w="1701" w:type="dxa"/>
            <w:shd w:val="clear" w:color="auto" w:fill="auto"/>
          </w:tcPr>
          <w:p w:rsidR="00390E23" w:rsidRPr="00390E23" w:rsidRDefault="00390E23" w:rsidP="00F4021E">
            <w:pPr>
              <w:spacing w:before="60" w:after="60"/>
              <w:ind w:left="0"/>
              <w:jc w:val="center"/>
              <w:rPr>
                <w:sz w:val="20"/>
                <w:szCs w:val="20"/>
                <w:lang w:eastAsia="en-US"/>
              </w:rPr>
            </w:pPr>
            <w:r w:rsidRPr="00390E23">
              <w:rPr>
                <w:sz w:val="20"/>
                <w:szCs w:val="20"/>
                <w:lang w:eastAsia="en-US"/>
              </w:rPr>
              <w:t>Mildly negative</w:t>
            </w:r>
          </w:p>
        </w:tc>
        <w:tc>
          <w:tcPr>
            <w:tcW w:w="1549" w:type="dxa"/>
            <w:shd w:val="clear" w:color="auto" w:fill="auto"/>
          </w:tcPr>
          <w:p w:rsidR="00390E23" w:rsidRPr="00390E23" w:rsidRDefault="00390E23" w:rsidP="00F4021E">
            <w:pPr>
              <w:spacing w:before="60" w:after="60"/>
              <w:ind w:left="0"/>
              <w:jc w:val="center"/>
              <w:rPr>
                <w:sz w:val="20"/>
                <w:szCs w:val="20"/>
                <w:lang w:eastAsia="en-US"/>
              </w:rPr>
            </w:pPr>
            <w:r w:rsidRPr="00390E23">
              <w:rPr>
                <w:sz w:val="20"/>
                <w:szCs w:val="20"/>
                <w:lang w:eastAsia="en-US"/>
              </w:rPr>
              <w:t>Neutral</w:t>
            </w:r>
          </w:p>
        </w:tc>
        <w:tc>
          <w:tcPr>
            <w:tcW w:w="1570" w:type="dxa"/>
            <w:shd w:val="clear" w:color="auto" w:fill="auto"/>
          </w:tcPr>
          <w:p w:rsidR="00390E23" w:rsidRPr="00390E23" w:rsidRDefault="00390E23" w:rsidP="00F4021E">
            <w:pPr>
              <w:spacing w:before="60" w:after="60"/>
              <w:ind w:left="0"/>
              <w:jc w:val="center"/>
              <w:rPr>
                <w:sz w:val="20"/>
                <w:szCs w:val="20"/>
                <w:lang w:eastAsia="en-US"/>
              </w:rPr>
            </w:pPr>
            <w:r w:rsidRPr="00390E23">
              <w:rPr>
                <w:sz w:val="20"/>
                <w:szCs w:val="20"/>
                <w:lang w:eastAsia="en-US"/>
              </w:rPr>
              <w:t>Mildly positive</w:t>
            </w:r>
          </w:p>
        </w:tc>
        <w:tc>
          <w:tcPr>
            <w:tcW w:w="1701" w:type="dxa"/>
            <w:shd w:val="clear" w:color="auto" w:fill="auto"/>
          </w:tcPr>
          <w:p w:rsidR="00390E23" w:rsidRPr="00390E23" w:rsidRDefault="00390E23" w:rsidP="00F4021E">
            <w:pPr>
              <w:spacing w:before="60" w:after="60"/>
              <w:ind w:left="0"/>
              <w:jc w:val="center"/>
              <w:rPr>
                <w:sz w:val="20"/>
                <w:szCs w:val="20"/>
                <w:lang w:eastAsia="en-US"/>
              </w:rPr>
            </w:pPr>
            <w:r w:rsidRPr="00390E23">
              <w:rPr>
                <w:sz w:val="20"/>
                <w:szCs w:val="20"/>
                <w:lang w:eastAsia="en-US"/>
              </w:rPr>
              <w:t>Very positive</w:t>
            </w:r>
          </w:p>
        </w:tc>
      </w:tr>
    </w:tbl>
    <w:p w:rsidR="00CE62C8" w:rsidRDefault="00CE62C8" w:rsidP="00390E23">
      <w:pPr>
        <w:spacing w:before="240" w:after="240"/>
        <w:rPr>
          <w:szCs w:val="24"/>
          <w:lang w:eastAsia="en-US"/>
        </w:rPr>
      </w:pPr>
      <w:r>
        <w:rPr>
          <w:szCs w:val="24"/>
          <w:lang w:eastAsia="en-US"/>
        </w:rPr>
        <w:t xml:space="preserve">A consequence of </w:t>
      </w:r>
      <w:r w:rsidR="003119C6">
        <w:rPr>
          <w:szCs w:val="24"/>
          <w:lang w:eastAsia="en-US"/>
        </w:rPr>
        <w:t>using</w:t>
      </w:r>
      <w:r>
        <w:rPr>
          <w:szCs w:val="24"/>
          <w:lang w:eastAsia="en-US"/>
        </w:rPr>
        <w:t xml:space="preserve"> MCA is that the scores assigned are often based on information that is difficult to quantify. This necessitates a certain level of judgement, which has been based on economic analysis by DTF, as well as consultation</w:t>
      </w:r>
      <w:r w:rsidR="000C79CE">
        <w:rPr>
          <w:szCs w:val="24"/>
          <w:lang w:eastAsia="en-US"/>
        </w:rPr>
        <w:t xml:space="preserve"> with the</w:t>
      </w:r>
      <w:r>
        <w:rPr>
          <w:szCs w:val="24"/>
          <w:lang w:eastAsia="en-US"/>
        </w:rPr>
        <w:t xml:space="preserve"> VCGLR, DOJ, DPC and VCEC.</w:t>
      </w:r>
    </w:p>
    <w:p w:rsidR="00390E23" w:rsidRPr="00390E23" w:rsidRDefault="00390E23" w:rsidP="00390E23">
      <w:pPr>
        <w:pStyle w:val="Heading2"/>
      </w:pPr>
      <w:bookmarkStart w:id="36" w:name="_Toc356830877"/>
      <w:r w:rsidRPr="00390E23">
        <w:t>Groups affected</w:t>
      </w:r>
      <w:bookmarkEnd w:id="36"/>
    </w:p>
    <w:p w:rsidR="00390E23" w:rsidRPr="00F4021E" w:rsidRDefault="00390E23" w:rsidP="00390E23">
      <w:pPr>
        <w:spacing w:before="240" w:after="240"/>
        <w:rPr>
          <w:szCs w:val="24"/>
          <w:lang w:eastAsia="en-US"/>
        </w:rPr>
      </w:pPr>
      <w:r w:rsidRPr="00F4021E">
        <w:rPr>
          <w:szCs w:val="24"/>
          <w:lang w:eastAsia="en-US"/>
        </w:rPr>
        <w:t xml:space="preserve">The </w:t>
      </w:r>
      <w:r w:rsidRPr="003C5D33">
        <w:rPr>
          <w:i/>
          <w:szCs w:val="24"/>
          <w:lang w:eastAsia="en-US"/>
        </w:rPr>
        <w:t>Victorian Guide to Regulation</w:t>
      </w:r>
      <w:r w:rsidRPr="00F4021E">
        <w:rPr>
          <w:szCs w:val="24"/>
          <w:lang w:eastAsia="en-US"/>
        </w:rPr>
        <w:t xml:space="preserve"> recommends that a RIS identifies the groups of society that are likely to be affected by the viable options, so that the impact (both costs and benefits) on these groups can be highlighted.</w:t>
      </w:r>
      <w:r w:rsidRPr="00F4021E">
        <w:rPr>
          <w:szCs w:val="24"/>
          <w:vertAlign w:val="superscript"/>
        </w:rPr>
        <w:footnoteReference w:id="10"/>
      </w:r>
      <w:r w:rsidRPr="00F4021E">
        <w:rPr>
          <w:szCs w:val="24"/>
          <w:lang w:eastAsia="en-US"/>
        </w:rPr>
        <w:t xml:space="preserve"> Given the nature of the supervision charge, only economic and financial impacts are explored in this RIS.</w:t>
      </w:r>
      <w:r w:rsidRPr="00F4021E">
        <w:rPr>
          <w:szCs w:val="24"/>
          <w:vertAlign w:val="superscript"/>
        </w:rPr>
        <w:footnoteReference w:id="11"/>
      </w:r>
    </w:p>
    <w:p w:rsidR="00390E23" w:rsidRPr="00F4021E" w:rsidRDefault="00390E23" w:rsidP="00390E23">
      <w:pPr>
        <w:spacing w:before="240" w:after="240"/>
        <w:rPr>
          <w:szCs w:val="24"/>
          <w:lang w:eastAsia="en-US"/>
        </w:rPr>
      </w:pPr>
      <w:r w:rsidRPr="00F4021E">
        <w:rPr>
          <w:szCs w:val="24"/>
          <w:lang w:eastAsia="en-US"/>
        </w:rPr>
        <w:t>Cost recovery charges usually have direct and indirect impacts on a range of groups. A direct impact involves a particular group being liable for paying the charge. An indirect impact occurs where the groups directly impacted by a cost recovery charge (i.e. legally liable for paying the charge) usually attempt to recover or pass on the cost of the charge on</w:t>
      </w:r>
      <w:r w:rsidR="003C5D33">
        <w:rPr>
          <w:szCs w:val="24"/>
          <w:lang w:eastAsia="en-US"/>
        </w:rPr>
        <w:t xml:space="preserve"> </w:t>
      </w:r>
      <w:r w:rsidRPr="00F4021E">
        <w:rPr>
          <w:szCs w:val="24"/>
          <w:lang w:eastAsia="en-US"/>
        </w:rPr>
        <w:t xml:space="preserve">to others. For example, businesses sometimes recover the cost of a charge they pay by increasing the price they charge to their customers or </w:t>
      </w:r>
      <w:r w:rsidR="003C5D33" w:rsidRPr="00F4021E">
        <w:rPr>
          <w:szCs w:val="24"/>
          <w:lang w:eastAsia="en-US"/>
        </w:rPr>
        <w:t>reduc</w:t>
      </w:r>
      <w:r w:rsidR="003C5D33">
        <w:rPr>
          <w:szCs w:val="24"/>
          <w:lang w:eastAsia="en-US"/>
        </w:rPr>
        <w:t>ing</w:t>
      </w:r>
      <w:r w:rsidR="003C5D33" w:rsidRPr="00F4021E">
        <w:rPr>
          <w:szCs w:val="24"/>
          <w:lang w:eastAsia="en-US"/>
        </w:rPr>
        <w:t xml:space="preserve"> </w:t>
      </w:r>
      <w:r w:rsidRPr="00F4021E">
        <w:rPr>
          <w:szCs w:val="24"/>
          <w:lang w:eastAsia="en-US"/>
        </w:rPr>
        <w:t xml:space="preserve">the amount they are willing to pay to suppliers. It is important to note that this </w:t>
      </w:r>
      <w:r w:rsidR="00CE62C8">
        <w:rPr>
          <w:szCs w:val="24"/>
          <w:lang w:eastAsia="en-US"/>
        </w:rPr>
        <w:t>RIS</w:t>
      </w:r>
      <w:r w:rsidR="00CE62C8" w:rsidRPr="00F4021E">
        <w:rPr>
          <w:szCs w:val="24"/>
          <w:lang w:eastAsia="en-US"/>
        </w:rPr>
        <w:t xml:space="preserve"> </w:t>
      </w:r>
      <w:r w:rsidR="00CE62C8">
        <w:rPr>
          <w:szCs w:val="24"/>
          <w:lang w:eastAsia="en-US"/>
        </w:rPr>
        <w:t xml:space="preserve">has </w:t>
      </w:r>
      <w:r w:rsidRPr="00F4021E">
        <w:rPr>
          <w:szCs w:val="24"/>
          <w:lang w:eastAsia="en-US"/>
        </w:rPr>
        <w:t>assumed that the business has the market power to do so – i.e. there are no negating competitive pressures.</w:t>
      </w:r>
    </w:p>
    <w:p w:rsidR="00390E23" w:rsidRPr="00F4021E" w:rsidRDefault="00390E23" w:rsidP="00390E23">
      <w:pPr>
        <w:spacing w:before="240" w:after="240"/>
        <w:rPr>
          <w:szCs w:val="24"/>
          <w:lang w:eastAsia="en-US"/>
        </w:rPr>
      </w:pPr>
      <w:r w:rsidRPr="00F4021E">
        <w:rPr>
          <w:szCs w:val="24"/>
          <w:lang w:eastAsia="en-US"/>
        </w:rPr>
        <w:t>In e</w:t>
      </w:r>
      <w:r w:rsidR="004A4CF4">
        <w:rPr>
          <w:szCs w:val="24"/>
          <w:lang w:eastAsia="en-US"/>
        </w:rPr>
        <w:t>very option considered in this c</w:t>
      </w:r>
      <w:r w:rsidRPr="00F4021E">
        <w:rPr>
          <w:szCs w:val="24"/>
          <w:lang w:eastAsia="en-US"/>
        </w:rPr>
        <w:t>hapter (other than the base case)</w:t>
      </w:r>
      <w:r w:rsidR="000C79CE">
        <w:rPr>
          <w:szCs w:val="24"/>
          <w:lang w:eastAsia="en-US"/>
        </w:rPr>
        <w:t>,</w:t>
      </w:r>
      <w:r w:rsidR="003C5D33">
        <w:rPr>
          <w:szCs w:val="24"/>
          <w:lang w:eastAsia="en-US"/>
        </w:rPr>
        <w:t xml:space="preserve"> </w:t>
      </w:r>
      <w:r w:rsidR="000C79CE">
        <w:rPr>
          <w:szCs w:val="24"/>
          <w:lang w:eastAsia="en-US"/>
        </w:rPr>
        <w:t>v</w:t>
      </w:r>
      <w:r w:rsidR="00F13192">
        <w:rPr>
          <w:szCs w:val="24"/>
          <w:lang w:eastAsia="en-US"/>
        </w:rPr>
        <w:t>enue o</w:t>
      </w:r>
      <w:r w:rsidR="00472069">
        <w:rPr>
          <w:szCs w:val="24"/>
          <w:lang w:eastAsia="en-US"/>
        </w:rPr>
        <w:t>perator</w:t>
      </w:r>
      <w:r w:rsidRPr="00F4021E">
        <w:rPr>
          <w:szCs w:val="24"/>
          <w:lang w:eastAsia="en-US"/>
        </w:rPr>
        <w:t xml:space="preserve">s currently holding gaming entitlements are the only group directly impacted by paying the supervision charge. In the base case, the </w:t>
      </w:r>
      <w:r w:rsidR="00237B86" w:rsidRPr="00F4021E">
        <w:rPr>
          <w:szCs w:val="24"/>
          <w:lang w:eastAsia="en-US"/>
        </w:rPr>
        <w:t>groups</w:t>
      </w:r>
      <w:r w:rsidRPr="00F4021E">
        <w:rPr>
          <w:szCs w:val="24"/>
          <w:lang w:eastAsia="en-US"/>
        </w:rPr>
        <w:t xml:space="preserve"> that directly pay for the costs of the VCGLR’s gaming related regulatory arrangements are unclear because it depends on whether the Government selects to fund the VCGLR’s gaming regulatory costs through general taxation or via expense reductions in another area of government service provision. </w:t>
      </w:r>
    </w:p>
    <w:p w:rsidR="00390E23" w:rsidRPr="00F4021E" w:rsidRDefault="00390E23" w:rsidP="00390E23">
      <w:pPr>
        <w:spacing w:before="240" w:after="240"/>
        <w:rPr>
          <w:szCs w:val="24"/>
          <w:lang w:eastAsia="en-US"/>
        </w:rPr>
      </w:pPr>
      <w:r w:rsidRPr="00F4021E">
        <w:rPr>
          <w:szCs w:val="24"/>
          <w:lang w:eastAsia="en-US"/>
        </w:rPr>
        <w:t xml:space="preserve">From an indirect impact perspective, venues may have already recouped the cost of the supervision charge by pricing in the cost of the supervision charge (i.e. reduced the amount they were prepared to bid) when bidding and purchasing gaming machine entitlements at auction. Venues were informed prior to auction that the charge would be payable every year and was likely to be $550 per gaming </w:t>
      </w:r>
      <w:r w:rsidR="00E652A0">
        <w:rPr>
          <w:szCs w:val="24"/>
          <w:lang w:eastAsia="en-US"/>
        </w:rPr>
        <w:t>machine</w:t>
      </w:r>
      <w:r w:rsidRPr="00F4021E">
        <w:rPr>
          <w:szCs w:val="24"/>
          <w:lang w:eastAsia="en-US"/>
        </w:rPr>
        <w:t>. In addition, the supervision charge long predates the new gaming entitlement system, having been paid by the previous gaming operator licensees from 1994-95.</w:t>
      </w:r>
    </w:p>
    <w:p w:rsidR="00390E23" w:rsidRPr="00F4021E" w:rsidRDefault="00390E23" w:rsidP="00390E23">
      <w:pPr>
        <w:spacing w:before="240" w:after="240"/>
        <w:rPr>
          <w:szCs w:val="24"/>
          <w:lang w:eastAsia="en-US"/>
        </w:rPr>
      </w:pPr>
      <w:r w:rsidRPr="00F4021E">
        <w:rPr>
          <w:szCs w:val="24"/>
          <w:lang w:eastAsia="en-US"/>
        </w:rPr>
        <w:t>If venues did not price in the cost of the supervision charge through the price they paid for entitlements at auction, they are largely constrained from fully passing on the cost going fo</w:t>
      </w:r>
      <w:r w:rsidR="004A4CF4">
        <w:rPr>
          <w:szCs w:val="24"/>
          <w:lang w:eastAsia="en-US"/>
        </w:rPr>
        <w:t>rward for reasons listed below.</w:t>
      </w:r>
    </w:p>
    <w:p w:rsidR="00717ACB" w:rsidRPr="00717ACB" w:rsidRDefault="00390E23" w:rsidP="003F7272">
      <w:pPr>
        <w:numPr>
          <w:ilvl w:val="0"/>
          <w:numId w:val="33"/>
        </w:numPr>
        <w:spacing w:before="240" w:after="240"/>
        <w:rPr>
          <w:szCs w:val="24"/>
          <w:lang w:eastAsia="en-US"/>
        </w:rPr>
      </w:pPr>
      <w:r w:rsidRPr="00F4021E">
        <w:rPr>
          <w:szCs w:val="24"/>
          <w:lang w:eastAsia="en-US"/>
        </w:rPr>
        <w:t xml:space="preserve">Players are unlikely to bear the cost through gaming machines because the </w:t>
      </w:r>
      <w:r w:rsidR="000C79CE">
        <w:rPr>
          <w:szCs w:val="24"/>
          <w:lang w:eastAsia="en-US"/>
        </w:rPr>
        <w:t>GRA</w:t>
      </w:r>
      <w:r w:rsidRPr="00F4021E">
        <w:rPr>
          <w:szCs w:val="24"/>
          <w:lang w:eastAsia="en-US"/>
        </w:rPr>
        <w:t xml:space="preserve"> effectively fixes the price of playing gaming machines by prescribing minimum player returns of 87 per cent. It is possible for players to be affected if a venue, which previously paid out returns in excess of 87 per cent, </w:t>
      </w:r>
      <w:r w:rsidR="004D711E" w:rsidRPr="004D711E">
        <w:rPr>
          <w:szCs w:val="24"/>
          <w:lang w:eastAsia="en-US"/>
        </w:rPr>
        <w:t>revised the returns to players downward so that the figure is closer to the minimum return prescribed in law.</w:t>
      </w:r>
      <w:r w:rsidRPr="004D711E">
        <w:rPr>
          <w:lang w:eastAsia="en-US"/>
        </w:rPr>
        <w:t xml:space="preserve"> </w:t>
      </w:r>
      <w:r w:rsidR="008E73E4" w:rsidRPr="004D711E">
        <w:rPr>
          <w:lang w:eastAsia="en-US"/>
        </w:rPr>
        <w:t>Although many games software has variations that can dictate</w:t>
      </w:r>
      <w:r w:rsidR="007913FA">
        <w:rPr>
          <w:lang w:eastAsia="en-US"/>
        </w:rPr>
        <w:t xml:space="preserve"> the return to player,</w:t>
      </w:r>
      <w:r w:rsidR="008E73E4" w:rsidRPr="004D711E">
        <w:rPr>
          <w:lang w:eastAsia="en-US"/>
        </w:rPr>
        <w:t xml:space="preserve"> venues would need to liaise with </w:t>
      </w:r>
      <w:r w:rsidR="001464E8" w:rsidRPr="004D711E">
        <w:rPr>
          <w:lang w:eastAsia="en-US"/>
        </w:rPr>
        <w:t xml:space="preserve">the </w:t>
      </w:r>
      <w:r w:rsidR="007913FA">
        <w:rPr>
          <w:lang w:eastAsia="en-US"/>
        </w:rPr>
        <w:t xml:space="preserve">gaming </w:t>
      </w:r>
      <w:r w:rsidR="001464E8" w:rsidRPr="004D711E">
        <w:rPr>
          <w:lang w:eastAsia="en-US"/>
        </w:rPr>
        <w:t>moni</w:t>
      </w:r>
      <w:r w:rsidR="001464E8" w:rsidRPr="003116C6">
        <w:rPr>
          <w:lang w:eastAsia="en-US"/>
        </w:rPr>
        <w:t xml:space="preserve">toring licensee, </w:t>
      </w:r>
      <w:r w:rsidR="008E73E4" w:rsidRPr="003116C6">
        <w:rPr>
          <w:lang w:eastAsia="en-US"/>
        </w:rPr>
        <w:t>I</w:t>
      </w:r>
      <w:r w:rsidR="001464E8" w:rsidRPr="003116C6">
        <w:rPr>
          <w:lang w:eastAsia="en-US"/>
        </w:rPr>
        <w:t xml:space="preserve">ntralot </w:t>
      </w:r>
      <w:r w:rsidR="008E73E4" w:rsidRPr="002526AB">
        <w:rPr>
          <w:lang w:eastAsia="en-US"/>
        </w:rPr>
        <w:t>G</w:t>
      </w:r>
      <w:r w:rsidR="001464E8" w:rsidRPr="002526AB">
        <w:rPr>
          <w:lang w:eastAsia="en-US"/>
        </w:rPr>
        <w:t xml:space="preserve">aming </w:t>
      </w:r>
      <w:r w:rsidR="008E73E4" w:rsidRPr="004200CE">
        <w:rPr>
          <w:lang w:eastAsia="en-US"/>
        </w:rPr>
        <w:t>S</w:t>
      </w:r>
      <w:r w:rsidR="00656118">
        <w:rPr>
          <w:lang w:eastAsia="en-US"/>
        </w:rPr>
        <w:t>ervices</w:t>
      </w:r>
      <w:r w:rsidR="007913FA">
        <w:rPr>
          <w:lang w:eastAsia="en-US"/>
        </w:rPr>
        <w:t>,</w:t>
      </w:r>
      <w:r w:rsidR="008E73E4" w:rsidRPr="004200CE">
        <w:rPr>
          <w:lang w:eastAsia="en-US"/>
        </w:rPr>
        <w:t xml:space="preserve"> to </w:t>
      </w:r>
      <w:r w:rsidR="008E73E4" w:rsidRPr="007B4CB2">
        <w:rPr>
          <w:lang w:eastAsia="en-US"/>
        </w:rPr>
        <w:t>have the variation implemented</w:t>
      </w:r>
      <w:r w:rsidR="008E73E4" w:rsidRPr="00B62163">
        <w:rPr>
          <w:lang w:eastAsia="en-US"/>
        </w:rPr>
        <w:t>.</w:t>
      </w:r>
      <w:r w:rsidR="008E73E4" w:rsidRPr="00664432">
        <w:rPr>
          <w:lang w:eastAsia="en-US"/>
        </w:rPr>
        <w:t xml:space="preserve"> Given</w:t>
      </w:r>
      <w:r w:rsidRPr="00664432">
        <w:rPr>
          <w:lang w:eastAsia="en-US"/>
        </w:rPr>
        <w:t xml:space="preserve"> </w:t>
      </w:r>
      <w:r w:rsidR="008E73E4" w:rsidRPr="00664432">
        <w:rPr>
          <w:lang w:eastAsia="en-US"/>
        </w:rPr>
        <w:t xml:space="preserve">the </w:t>
      </w:r>
      <w:r w:rsidRPr="00664432">
        <w:rPr>
          <w:lang w:eastAsia="en-US"/>
        </w:rPr>
        <w:t>relatively small magnitude of the charge</w:t>
      </w:r>
      <w:r w:rsidR="008E73E4" w:rsidRPr="00664432">
        <w:rPr>
          <w:lang w:eastAsia="en-US"/>
        </w:rPr>
        <w:t xml:space="preserve"> </w:t>
      </w:r>
      <w:r w:rsidR="008E73E4" w:rsidRPr="004D711E">
        <w:rPr>
          <w:lang w:eastAsia="en-US"/>
        </w:rPr>
        <w:t>and the relatively small variance available between the return to player already set and the minimum in legislation</w:t>
      </w:r>
      <w:r w:rsidRPr="004D711E">
        <w:rPr>
          <w:lang w:eastAsia="en-US"/>
        </w:rPr>
        <w:t>, it is questionable whether the incentive for venues is sufficient.</w:t>
      </w:r>
      <w:r w:rsidR="00717ACB">
        <w:rPr>
          <w:lang w:eastAsia="en-US"/>
        </w:rPr>
        <w:t xml:space="preserve"> </w:t>
      </w:r>
    </w:p>
    <w:p w:rsidR="00390E23" w:rsidRPr="00F4021E" w:rsidRDefault="00390E23" w:rsidP="003F7272">
      <w:pPr>
        <w:numPr>
          <w:ilvl w:val="0"/>
          <w:numId w:val="33"/>
        </w:numPr>
        <w:spacing w:before="240" w:after="240"/>
        <w:rPr>
          <w:szCs w:val="24"/>
          <w:lang w:eastAsia="en-US"/>
        </w:rPr>
      </w:pPr>
      <w:r w:rsidRPr="00F4021E">
        <w:rPr>
          <w:szCs w:val="24"/>
          <w:lang w:eastAsia="en-US"/>
        </w:rPr>
        <w:t xml:space="preserve">A competitive hospitality industry could diminish the incentive for venues to recoup the cost of the charge through other products they sell (such as meals and beverages) to players and non-playing visitors to venues. To a degree, this effect depends on the geographical location of a venue. For example, a Melbourne CBD </w:t>
      </w:r>
      <w:r w:rsidR="00CE62C8">
        <w:rPr>
          <w:szCs w:val="24"/>
          <w:lang w:eastAsia="en-US"/>
        </w:rPr>
        <w:t>venue</w:t>
      </w:r>
      <w:r w:rsidR="00CE62C8" w:rsidRPr="00F4021E">
        <w:rPr>
          <w:szCs w:val="24"/>
          <w:lang w:eastAsia="en-US"/>
        </w:rPr>
        <w:t xml:space="preserve"> </w:t>
      </w:r>
      <w:r w:rsidRPr="00F4021E">
        <w:rPr>
          <w:szCs w:val="24"/>
          <w:lang w:eastAsia="en-US"/>
        </w:rPr>
        <w:t xml:space="preserve">is more likely to face greater competitive pressures compared to a remote part of regional Victoria. Further, the level of direct competition a venue faces from non-gaming establishments could vary and be low if there are few competitors offering the types and quality of meals and beverages provided by gaming venues.  </w:t>
      </w:r>
    </w:p>
    <w:p w:rsidR="00390E23" w:rsidRPr="00F4021E" w:rsidRDefault="00390E23" w:rsidP="003F7272">
      <w:pPr>
        <w:numPr>
          <w:ilvl w:val="0"/>
          <w:numId w:val="33"/>
        </w:numPr>
        <w:spacing w:before="240" w:after="240"/>
        <w:rPr>
          <w:szCs w:val="24"/>
          <w:lang w:eastAsia="en-US"/>
        </w:rPr>
      </w:pPr>
      <w:r w:rsidRPr="00F4021E">
        <w:rPr>
          <w:szCs w:val="24"/>
          <w:lang w:eastAsia="en-US"/>
        </w:rPr>
        <w:t>Venues could theoretically recoup the charge by reducing the price they are willing to pay to input suppliers (e.g</w:t>
      </w:r>
      <w:r w:rsidRPr="001464E8">
        <w:rPr>
          <w:sz w:val="20"/>
          <w:szCs w:val="24"/>
          <w:lang w:eastAsia="en-US"/>
        </w:rPr>
        <w:t xml:space="preserve">. </w:t>
      </w:r>
      <w:r w:rsidR="001464E8" w:rsidRPr="001464E8">
        <w:rPr>
          <w:szCs w:val="24"/>
          <w:lang w:eastAsia="en-US"/>
        </w:rPr>
        <w:t>Tabcorp Gaming Solutions</w:t>
      </w:r>
      <w:r w:rsidRPr="00F4021E">
        <w:rPr>
          <w:szCs w:val="24"/>
          <w:lang w:eastAsia="en-US"/>
        </w:rPr>
        <w:t>)</w:t>
      </w:r>
      <w:r w:rsidR="00237B86" w:rsidRPr="00F4021E">
        <w:rPr>
          <w:szCs w:val="24"/>
          <w:lang w:eastAsia="en-US"/>
        </w:rPr>
        <w:t>;</w:t>
      </w:r>
      <w:r w:rsidRPr="00F4021E">
        <w:rPr>
          <w:szCs w:val="24"/>
          <w:lang w:eastAsia="en-US"/>
        </w:rPr>
        <w:t xml:space="preserve"> however existing contractual arrangements may inhibit this from occurring in the short term. </w:t>
      </w:r>
      <w:r w:rsidR="004A4CF4">
        <w:rPr>
          <w:szCs w:val="24"/>
          <w:lang w:eastAsia="en-US"/>
        </w:rPr>
        <w:t>T</w:t>
      </w:r>
      <w:r w:rsidRPr="00F4021E">
        <w:rPr>
          <w:szCs w:val="24"/>
          <w:lang w:eastAsia="en-US"/>
        </w:rPr>
        <w:t>he relative bargaining power of venues and input suppliers would influence the extent to which this could occur. For example, a relative lack of gaming machine testers could reduce venues capacity to renegotiate a reduction in prices.</w:t>
      </w:r>
    </w:p>
    <w:p w:rsidR="00390E23" w:rsidRPr="00E652A0" w:rsidRDefault="00390E23" w:rsidP="00E652A0">
      <w:pPr>
        <w:spacing w:before="240" w:after="240"/>
        <w:rPr>
          <w:szCs w:val="24"/>
          <w:lang w:eastAsia="en-US"/>
        </w:rPr>
      </w:pPr>
      <w:r w:rsidRPr="00F4021E">
        <w:rPr>
          <w:szCs w:val="24"/>
          <w:lang w:eastAsia="en-US"/>
        </w:rPr>
        <w:t xml:space="preserve">The likely total amount of the 2012-13 supervision charge, i.e. $5.3 million, is relatively small compared to total Victorian </w:t>
      </w:r>
      <w:r w:rsidR="0078188C">
        <w:rPr>
          <w:szCs w:val="24"/>
          <w:lang w:eastAsia="en-US"/>
        </w:rPr>
        <w:t>gaming machine</w:t>
      </w:r>
      <w:r w:rsidRPr="00F4021E">
        <w:rPr>
          <w:szCs w:val="24"/>
          <w:lang w:eastAsia="en-US"/>
        </w:rPr>
        <w:t xml:space="preserve"> revenue of almost $2.</w:t>
      </w:r>
      <w:r w:rsidR="005903DF">
        <w:rPr>
          <w:szCs w:val="24"/>
          <w:lang w:eastAsia="en-US"/>
        </w:rPr>
        <w:t>7</w:t>
      </w:r>
      <w:r w:rsidRPr="00F4021E">
        <w:rPr>
          <w:szCs w:val="24"/>
          <w:lang w:eastAsia="en-US"/>
        </w:rPr>
        <w:t xml:space="preserve"> billion and </w:t>
      </w:r>
      <w:r w:rsidR="0078188C">
        <w:rPr>
          <w:szCs w:val="24"/>
          <w:lang w:eastAsia="en-US"/>
        </w:rPr>
        <w:t>gaming machine</w:t>
      </w:r>
      <w:r w:rsidRPr="00F4021E">
        <w:rPr>
          <w:szCs w:val="24"/>
          <w:lang w:eastAsia="en-US"/>
        </w:rPr>
        <w:t xml:space="preserve"> tax revenue </w:t>
      </w:r>
      <w:r w:rsidR="00237B86" w:rsidRPr="00F4021E">
        <w:rPr>
          <w:szCs w:val="24"/>
          <w:lang w:eastAsia="en-US"/>
        </w:rPr>
        <w:t>of $</w:t>
      </w:r>
      <w:r w:rsidRPr="00F4021E">
        <w:rPr>
          <w:szCs w:val="24"/>
          <w:lang w:eastAsia="en-US"/>
        </w:rPr>
        <w:t>1</w:t>
      </w:r>
      <w:r w:rsidR="00E652A0">
        <w:rPr>
          <w:szCs w:val="24"/>
          <w:lang w:eastAsia="en-US"/>
        </w:rPr>
        <w:t>.1</w:t>
      </w:r>
      <w:r w:rsidRPr="00F4021E">
        <w:rPr>
          <w:szCs w:val="24"/>
          <w:lang w:eastAsia="en-US"/>
        </w:rPr>
        <w:t xml:space="preserve"> billion </w:t>
      </w:r>
      <w:r w:rsidR="00E652A0">
        <w:rPr>
          <w:szCs w:val="24"/>
          <w:lang w:eastAsia="en-US"/>
        </w:rPr>
        <w:t>in 2012-13</w:t>
      </w:r>
      <w:r w:rsidRPr="00F4021E">
        <w:rPr>
          <w:szCs w:val="24"/>
          <w:lang w:eastAsia="en-US"/>
        </w:rPr>
        <w:t xml:space="preserve"> respectively</w:t>
      </w:r>
      <w:r w:rsidR="00E652A0">
        <w:rPr>
          <w:rStyle w:val="FootnoteReference"/>
          <w:szCs w:val="24"/>
          <w:lang w:eastAsia="en-US"/>
        </w:rPr>
        <w:footnoteReference w:id="12"/>
      </w:r>
      <w:r w:rsidRPr="00F4021E">
        <w:rPr>
          <w:szCs w:val="24"/>
          <w:lang w:eastAsia="en-US"/>
        </w:rPr>
        <w:t xml:space="preserve">. As a result, a supervision charge raising revenue of this magnitude is not expected, on its own, to cause venues to exit the </w:t>
      </w:r>
      <w:r w:rsidR="0078188C">
        <w:rPr>
          <w:szCs w:val="24"/>
          <w:lang w:eastAsia="en-US"/>
        </w:rPr>
        <w:t>gaming machine</w:t>
      </w:r>
      <w:r w:rsidRPr="00F4021E">
        <w:rPr>
          <w:szCs w:val="24"/>
          <w:lang w:eastAsia="en-US"/>
        </w:rPr>
        <w:t xml:space="preserve"> market. However, this chapter considers changes venues may make at the margin between the options. For example, </w:t>
      </w:r>
      <w:r w:rsidR="008E73E4" w:rsidRPr="00067B6B">
        <w:rPr>
          <w:szCs w:val="24"/>
          <w:lang w:eastAsia="en-US"/>
        </w:rPr>
        <w:t>reducing the number of entitlements they hold or refraining from increasing the number of entitlements they operate.</w:t>
      </w:r>
    </w:p>
    <w:p w:rsidR="00390E23" w:rsidRPr="00F4021E" w:rsidRDefault="00390E23" w:rsidP="00390E23">
      <w:pPr>
        <w:spacing w:before="240" w:after="240"/>
        <w:rPr>
          <w:szCs w:val="24"/>
          <w:lang w:eastAsia="en-US"/>
        </w:rPr>
      </w:pPr>
      <w:r w:rsidRPr="00F4021E">
        <w:rPr>
          <w:szCs w:val="24"/>
          <w:lang w:eastAsia="en-US"/>
        </w:rPr>
        <w:t xml:space="preserve">Government is </w:t>
      </w:r>
      <w:r w:rsidR="00CE62C8">
        <w:rPr>
          <w:szCs w:val="24"/>
          <w:lang w:eastAsia="en-US"/>
        </w:rPr>
        <w:t xml:space="preserve">neither directly nor indirectly </w:t>
      </w:r>
      <w:r w:rsidR="00237B86" w:rsidRPr="00F4021E">
        <w:rPr>
          <w:szCs w:val="24"/>
          <w:lang w:eastAsia="en-US"/>
        </w:rPr>
        <w:t>affected under</w:t>
      </w:r>
      <w:r w:rsidRPr="00F4021E">
        <w:rPr>
          <w:szCs w:val="24"/>
          <w:lang w:eastAsia="en-US"/>
        </w:rPr>
        <w:t xml:space="preserve"> each option save for the base case where it must cover the costs of the supervision charge and </w:t>
      </w:r>
      <w:r w:rsidR="00B61A29">
        <w:rPr>
          <w:szCs w:val="24"/>
          <w:lang w:eastAsia="en-US"/>
        </w:rPr>
        <w:t>Option D</w:t>
      </w:r>
      <w:r w:rsidRPr="00F4021E">
        <w:rPr>
          <w:szCs w:val="24"/>
          <w:lang w:eastAsia="en-US"/>
        </w:rPr>
        <w:t xml:space="preserve"> where there is a risk of over or under recovery of regulatory costs.</w:t>
      </w:r>
    </w:p>
    <w:p w:rsidR="00390E23" w:rsidRPr="00F4021E" w:rsidRDefault="00390E23" w:rsidP="00390E23">
      <w:pPr>
        <w:spacing w:before="240" w:after="240"/>
        <w:rPr>
          <w:szCs w:val="24"/>
          <w:lang w:eastAsia="en-US"/>
        </w:rPr>
      </w:pPr>
      <w:r w:rsidRPr="00F4021E">
        <w:rPr>
          <w:szCs w:val="24"/>
          <w:lang w:eastAsia="en-US"/>
        </w:rPr>
        <w:t>The table below summarises the likely impact of the various options considered in this RIS.</w:t>
      </w:r>
    </w:p>
    <w:p w:rsidR="00390E23" w:rsidRPr="00390E23" w:rsidRDefault="00390E23" w:rsidP="00390E23">
      <w:pPr>
        <w:pStyle w:val="Heading5"/>
      </w:pPr>
      <w:r w:rsidRPr="00390E23">
        <w:t>Table 6.3: Summary of groups affected</w:t>
      </w:r>
    </w:p>
    <w:tbl>
      <w:tblPr>
        <w:tblW w:w="7802" w:type="dxa"/>
        <w:tblInd w:w="964" w:type="dxa"/>
        <w:tblBorders>
          <w:top w:val="single" w:sz="2" w:space="0" w:color="auto"/>
          <w:bottom w:val="single" w:sz="2" w:space="0" w:color="auto"/>
          <w:insideH w:val="single" w:sz="2" w:space="0" w:color="auto"/>
        </w:tblBorders>
        <w:tblCellMar>
          <w:left w:w="113" w:type="dxa"/>
          <w:right w:w="113" w:type="dxa"/>
        </w:tblCellMar>
        <w:tblLook w:val="04A0" w:firstRow="1" w:lastRow="0" w:firstColumn="1" w:lastColumn="0" w:noHBand="0" w:noVBand="1"/>
      </w:tblPr>
      <w:tblGrid>
        <w:gridCol w:w="1701"/>
        <w:gridCol w:w="1554"/>
        <w:gridCol w:w="1570"/>
        <w:gridCol w:w="1418"/>
        <w:gridCol w:w="1559"/>
      </w:tblGrid>
      <w:tr w:rsidR="00390E23" w:rsidRPr="00390E23" w:rsidTr="00390E23">
        <w:trPr>
          <w:cantSplit/>
        </w:trPr>
        <w:tc>
          <w:tcPr>
            <w:tcW w:w="1701" w:type="dxa"/>
            <w:tcBorders>
              <w:top w:val="single" w:sz="2" w:space="0" w:color="auto"/>
              <w:left w:val="nil"/>
              <w:bottom w:val="nil"/>
              <w:right w:val="nil"/>
              <w:tl2br w:val="nil"/>
              <w:tr2bl w:val="nil"/>
            </w:tcBorders>
            <w:shd w:val="clear" w:color="auto" w:fill="D9D9D9"/>
          </w:tcPr>
          <w:p w:rsidR="00390E23" w:rsidRPr="00390E23" w:rsidRDefault="00390E23" w:rsidP="00F4021E">
            <w:pPr>
              <w:spacing w:before="60" w:after="60"/>
              <w:ind w:left="0"/>
              <w:rPr>
                <w:b/>
                <w:sz w:val="20"/>
                <w:szCs w:val="20"/>
                <w:lang w:eastAsia="en-US"/>
              </w:rPr>
            </w:pPr>
          </w:p>
        </w:tc>
        <w:tc>
          <w:tcPr>
            <w:tcW w:w="1554" w:type="dxa"/>
            <w:vMerge w:val="restart"/>
            <w:tcBorders>
              <w:top w:val="single" w:sz="2" w:space="0" w:color="auto"/>
              <w:left w:val="nil"/>
              <w:bottom w:val="nil"/>
              <w:right w:val="nil"/>
              <w:tl2br w:val="nil"/>
              <w:tr2bl w:val="nil"/>
            </w:tcBorders>
            <w:shd w:val="clear" w:color="auto" w:fill="D9D9D9"/>
          </w:tcPr>
          <w:p w:rsidR="00390E23" w:rsidRPr="00390E23" w:rsidRDefault="00390E23" w:rsidP="00F4021E">
            <w:pPr>
              <w:spacing w:before="60" w:after="60"/>
              <w:ind w:left="0"/>
              <w:jc w:val="center"/>
              <w:rPr>
                <w:b/>
                <w:sz w:val="20"/>
                <w:szCs w:val="20"/>
                <w:lang w:eastAsia="en-US"/>
              </w:rPr>
            </w:pPr>
            <w:r w:rsidRPr="00390E23">
              <w:rPr>
                <w:b/>
                <w:sz w:val="20"/>
                <w:szCs w:val="20"/>
                <w:lang w:eastAsia="en-US"/>
              </w:rPr>
              <w:t>Consumers</w:t>
            </w:r>
          </w:p>
        </w:tc>
        <w:tc>
          <w:tcPr>
            <w:tcW w:w="2988" w:type="dxa"/>
            <w:gridSpan w:val="2"/>
            <w:tcBorders>
              <w:top w:val="single" w:sz="2" w:space="0" w:color="auto"/>
              <w:left w:val="nil"/>
              <w:bottom w:val="nil"/>
              <w:right w:val="nil"/>
              <w:tl2br w:val="nil"/>
              <w:tr2bl w:val="nil"/>
            </w:tcBorders>
            <w:shd w:val="clear" w:color="auto" w:fill="D9D9D9"/>
          </w:tcPr>
          <w:p w:rsidR="00390E23" w:rsidRPr="00390E23" w:rsidRDefault="00390E23" w:rsidP="00F4021E">
            <w:pPr>
              <w:spacing w:before="60" w:after="60"/>
              <w:ind w:left="0"/>
              <w:jc w:val="center"/>
              <w:rPr>
                <w:b/>
                <w:sz w:val="20"/>
                <w:szCs w:val="20"/>
                <w:lang w:eastAsia="en-US"/>
              </w:rPr>
            </w:pPr>
            <w:r w:rsidRPr="00390E23">
              <w:rPr>
                <w:b/>
                <w:sz w:val="20"/>
                <w:szCs w:val="20"/>
                <w:lang w:eastAsia="en-US"/>
              </w:rPr>
              <w:t>Business</w:t>
            </w:r>
          </w:p>
        </w:tc>
        <w:tc>
          <w:tcPr>
            <w:tcW w:w="1559" w:type="dxa"/>
            <w:vMerge w:val="restart"/>
            <w:tcBorders>
              <w:top w:val="single" w:sz="2" w:space="0" w:color="auto"/>
              <w:left w:val="nil"/>
              <w:bottom w:val="nil"/>
              <w:right w:val="nil"/>
              <w:tl2br w:val="nil"/>
              <w:tr2bl w:val="nil"/>
            </w:tcBorders>
            <w:shd w:val="clear" w:color="auto" w:fill="D9D9D9"/>
          </w:tcPr>
          <w:p w:rsidR="00390E23" w:rsidRPr="00390E23" w:rsidRDefault="00390E23" w:rsidP="00F4021E">
            <w:pPr>
              <w:spacing w:before="60" w:after="60"/>
              <w:ind w:left="0"/>
              <w:jc w:val="center"/>
              <w:rPr>
                <w:b/>
                <w:sz w:val="20"/>
                <w:szCs w:val="20"/>
                <w:lang w:eastAsia="en-US"/>
              </w:rPr>
            </w:pPr>
            <w:r w:rsidRPr="00390E23">
              <w:rPr>
                <w:b/>
                <w:sz w:val="20"/>
                <w:szCs w:val="20"/>
                <w:lang w:eastAsia="en-US"/>
              </w:rPr>
              <w:t>Government</w:t>
            </w:r>
          </w:p>
        </w:tc>
      </w:tr>
      <w:tr w:rsidR="00390E23" w:rsidRPr="00390E23" w:rsidTr="00390E23">
        <w:trPr>
          <w:cantSplit/>
        </w:trPr>
        <w:tc>
          <w:tcPr>
            <w:tcW w:w="1701" w:type="dxa"/>
            <w:tcBorders>
              <w:top w:val="nil"/>
              <w:left w:val="nil"/>
              <w:bottom w:val="single" w:sz="2" w:space="0" w:color="auto"/>
              <w:right w:val="nil"/>
              <w:tl2br w:val="nil"/>
              <w:tr2bl w:val="nil"/>
            </w:tcBorders>
            <w:shd w:val="clear" w:color="auto" w:fill="D9D9D9"/>
          </w:tcPr>
          <w:p w:rsidR="00390E23" w:rsidRPr="00390E23" w:rsidRDefault="00390E23" w:rsidP="00F4021E">
            <w:pPr>
              <w:spacing w:before="60" w:after="60"/>
              <w:ind w:left="0"/>
              <w:rPr>
                <w:sz w:val="20"/>
                <w:szCs w:val="20"/>
                <w:lang w:eastAsia="en-US"/>
              </w:rPr>
            </w:pPr>
          </w:p>
        </w:tc>
        <w:tc>
          <w:tcPr>
            <w:tcW w:w="1554" w:type="dxa"/>
            <w:vMerge/>
            <w:tcBorders>
              <w:top w:val="nil"/>
              <w:left w:val="nil"/>
              <w:bottom w:val="single" w:sz="2" w:space="0" w:color="auto"/>
              <w:right w:val="nil"/>
              <w:tl2br w:val="nil"/>
              <w:tr2bl w:val="nil"/>
            </w:tcBorders>
            <w:shd w:val="clear" w:color="auto" w:fill="D9D9D9"/>
          </w:tcPr>
          <w:p w:rsidR="00390E23" w:rsidRPr="00390E23" w:rsidRDefault="00390E23" w:rsidP="00F4021E">
            <w:pPr>
              <w:spacing w:before="60" w:after="60"/>
              <w:ind w:left="0"/>
              <w:rPr>
                <w:sz w:val="20"/>
                <w:szCs w:val="20"/>
                <w:lang w:eastAsia="en-US"/>
              </w:rPr>
            </w:pPr>
          </w:p>
        </w:tc>
        <w:tc>
          <w:tcPr>
            <w:tcW w:w="1570" w:type="dxa"/>
            <w:tcBorders>
              <w:top w:val="nil"/>
              <w:left w:val="nil"/>
              <w:bottom w:val="single" w:sz="2" w:space="0" w:color="auto"/>
              <w:right w:val="nil"/>
              <w:tl2br w:val="nil"/>
              <w:tr2bl w:val="nil"/>
            </w:tcBorders>
            <w:shd w:val="clear" w:color="auto" w:fill="D9D9D9"/>
          </w:tcPr>
          <w:p w:rsidR="00390E23" w:rsidRPr="00390E23" w:rsidRDefault="004A4CF4" w:rsidP="00F4021E">
            <w:pPr>
              <w:spacing w:before="60" w:after="60"/>
              <w:ind w:left="0"/>
              <w:jc w:val="center"/>
              <w:rPr>
                <w:sz w:val="20"/>
                <w:szCs w:val="20"/>
                <w:lang w:eastAsia="en-US"/>
              </w:rPr>
            </w:pPr>
            <w:r>
              <w:rPr>
                <w:sz w:val="20"/>
                <w:szCs w:val="20"/>
                <w:lang w:eastAsia="en-US"/>
              </w:rPr>
              <w:t>Gaming v</w:t>
            </w:r>
            <w:r w:rsidR="00390E23" w:rsidRPr="00390E23">
              <w:rPr>
                <w:sz w:val="20"/>
                <w:szCs w:val="20"/>
                <w:lang w:eastAsia="en-US"/>
              </w:rPr>
              <w:t>enues</w:t>
            </w:r>
          </w:p>
        </w:tc>
        <w:tc>
          <w:tcPr>
            <w:tcW w:w="1418" w:type="dxa"/>
            <w:tcBorders>
              <w:top w:val="nil"/>
              <w:left w:val="nil"/>
              <w:bottom w:val="single" w:sz="2" w:space="0" w:color="auto"/>
              <w:right w:val="nil"/>
              <w:tl2br w:val="nil"/>
              <w:tr2bl w:val="nil"/>
            </w:tcBorders>
            <w:shd w:val="clear" w:color="auto" w:fill="D9D9D9"/>
          </w:tcPr>
          <w:p w:rsidR="00390E23" w:rsidRPr="00390E23" w:rsidRDefault="00390E23" w:rsidP="00F4021E">
            <w:pPr>
              <w:spacing w:before="60" w:after="60"/>
              <w:ind w:left="0"/>
              <w:jc w:val="center"/>
              <w:rPr>
                <w:sz w:val="20"/>
                <w:szCs w:val="20"/>
                <w:lang w:eastAsia="en-US"/>
              </w:rPr>
            </w:pPr>
            <w:r w:rsidRPr="00390E23">
              <w:rPr>
                <w:sz w:val="20"/>
                <w:szCs w:val="20"/>
                <w:lang w:eastAsia="en-US"/>
              </w:rPr>
              <w:t>Other</w:t>
            </w:r>
          </w:p>
        </w:tc>
        <w:tc>
          <w:tcPr>
            <w:tcW w:w="1559" w:type="dxa"/>
            <w:vMerge/>
            <w:tcBorders>
              <w:top w:val="nil"/>
              <w:left w:val="nil"/>
              <w:bottom w:val="single" w:sz="2" w:space="0" w:color="auto"/>
              <w:right w:val="nil"/>
              <w:tl2br w:val="nil"/>
              <w:tr2bl w:val="nil"/>
            </w:tcBorders>
            <w:shd w:val="clear" w:color="auto" w:fill="D9D9D9"/>
          </w:tcPr>
          <w:p w:rsidR="00390E23" w:rsidRPr="00390E23" w:rsidRDefault="00390E23" w:rsidP="00F4021E">
            <w:pPr>
              <w:spacing w:before="60" w:after="60"/>
              <w:ind w:left="0"/>
              <w:rPr>
                <w:sz w:val="20"/>
                <w:szCs w:val="20"/>
                <w:lang w:eastAsia="en-US"/>
              </w:rPr>
            </w:pPr>
          </w:p>
        </w:tc>
      </w:tr>
      <w:tr w:rsidR="00390E23" w:rsidRPr="00390E23" w:rsidTr="00390E23">
        <w:trPr>
          <w:cantSplit/>
        </w:trPr>
        <w:tc>
          <w:tcPr>
            <w:tcW w:w="1701" w:type="dxa"/>
            <w:shd w:val="clear" w:color="auto" w:fill="auto"/>
          </w:tcPr>
          <w:p w:rsidR="00390E23" w:rsidRPr="00390E23" w:rsidRDefault="00390E23" w:rsidP="00F4021E">
            <w:pPr>
              <w:spacing w:before="60" w:after="60"/>
              <w:ind w:left="0"/>
              <w:rPr>
                <w:sz w:val="20"/>
                <w:szCs w:val="20"/>
                <w:lang w:eastAsia="en-US"/>
              </w:rPr>
            </w:pPr>
            <w:r w:rsidRPr="00390E23">
              <w:rPr>
                <w:sz w:val="20"/>
                <w:szCs w:val="20"/>
                <w:lang w:eastAsia="en-US"/>
              </w:rPr>
              <w:t>Base case</w:t>
            </w:r>
          </w:p>
        </w:tc>
        <w:tc>
          <w:tcPr>
            <w:tcW w:w="1554" w:type="dxa"/>
          </w:tcPr>
          <w:p w:rsidR="00390E23" w:rsidRPr="00390E23" w:rsidRDefault="00390E23" w:rsidP="00F4021E">
            <w:pPr>
              <w:spacing w:before="60" w:after="60"/>
              <w:ind w:left="0"/>
              <w:jc w:val="center"/>
              <w:rPr>
                <w:sz w:val="20"/>
                <w:szCs w:val="20"/>
                <w:lang w:eastAsia="en-US"/>
              </w:rPr>
            </w:pPr>
            <w:r w:rsidRPr="00390E23">
              <w:rPr>
                <w:sz w:val="20"/>
                <w:szCs w:val="20"/>
                <w:lang w:eastAsia="en-US"/>
              </w:rPr>
              <w:t>Possible</w:t>
            </w:r>
          </w:p>
        </w:tc>
        <w:tc>
          <w:tcPr>
            <w:tcW w:w="1570" w:type="dxa"/>
          </w:tcPr>
          <w:p w:rsidR="00390E23" w:rsidRPr="00390E23" w:rsidRDefault="00390E23" w:rsidP="00F4021E">
            <w:pPr>
              <w:spacing w:before="60" w:after="60"/>
              <w:ind w:left="0"/>
              <w:jc w:val="center"/>
              <w:rPr>
                <w:sz w:val="20"/>
                <w:szCs w:val="20"/>
                <w:lang w:eastAsia="en-US"/>
              </w:rPr>
            </w:pPr>
            <w:r w:rsidRPr="00390E23">
              <w:rPr>
                <w:sz w:val="20"/>
                <w:szCs w:val="20"/>
                <w:lang w:eastAsia="en-US"/>
              </w:rPr>
              <w:t>Possible</w:t>
            </w:r>
          </w:p>
        </w:tc>
        <w:tc>
          <w:tcPr>
            <w:tcW w:w="1418" w:type="dxa"/>
          </w:tcPr>
          <w:p w:rsidR="00390E23" w:rsidRPr="00390E23" w:rsidRDefault="00390E23" w:rsidP="00F4021E">
            <w:pPr>
              <w:spacing w:before="60" w:after="60"/>
              <w:ind w:left="0"/>
              <w:jc w:val="center"/>
              <w:rPr>
                <w:sz w:val="20"/>
                <w:szCs w:val="20"/>
                <w:lang w:eastAsia="en-US"/>
              </w:rPr>
            </w:pPr>
            <w:r w:rsidRPr="00390E23">
              <w:rPr>
                <w:sz w:val="20"/>
                <w:szCs w:val="20"/>
                <w:lang w:eastAsia="en-US"/>
              </w:rPr>
              <w:t>Possible</w:t>
            </w:r>
          </w:p>
        </w:tc>
        <w:tc>
          <w:tcPr>
            <w:tcW w:w="1559" w:type="dxa"/>
            <w:shd w:val="clear" w:color="auto" w:fill="auto"/>
          </w:tcPr>
          <w:p w:rsidR="00390E23" w:rsidRPr="00390E23" w:rsidRDefault="00390E23" w:rsidP="00F4021E">
            <w:pPr>
              <w:spacing w:before="60" w:after="60"/>
              <w:ind w:left="0"/>
              <w:jc w:val="center"/>
              <w:rPr>
                <w:sz w:val="20"/>
                <w:szCs w:val="20"/>
                <w:lang w:eastAsia="en-US"/>
              </w:rPr>
            </w:pPr>
            <w:r w:rsidRPr="00390E23">
              <w:rPr>
                <w:sz w:val="20"/>
                <w:szCs w:val="20"/>
                <w:lang w:eastAsia="en-US"/>
              </w:rPr>
              <w:t>Yes</w:t>
            </w:r>
          </w:p>
        </w:tc>
      </w:tr>
      <w:tr w:rsidR="00390E23" w:rsidRPr="00390E23" w:rsidTr="00390E23">
        <w:trPr>
          <w:cantSplit/>
        </w:trPr>
        <w:tc>
          <w:tcPr>
            <w:tcW w:w="1701" w:type="dxa"/>
            <w:shd w:val="clear" w:color="auto" w:fill="auto"/>
          </w:tcPr>
          <w:p w:rsidR="00390E23" w:rsidRPr="00390E23" w:rsidRDefault="00B61A29" w:rsidP="00F4021E">
            <w:pPr>
              <w:spacing w:before="60" w:after="60"/>
              <w:ind w:left="0"/>
              <w:rPr>
                <w:sz w:val="20"/>
                <w:szCs w:val="20"/>
                <w:lang w:eastAsia="en-US"/>
              </w:rPr>
            </w:pPr>
            <w:r>
              <w:rPr>
                <w:sz w:val="20"/>
                <w:szCs w:val="20"/>
                <w:lang w:eastAsia="en-US"/>
              </w:rPr>
              <w:t>Option A</w:t>
            </w:r>
          </w:p>
        </w:tc>
        <w:tc>
          <w:tcPr>
            <w:tcW w:w="1554" w:type="dxa"/>
          </w:tcPr>
          <w:p w:rsidR="00390E23" w:rsidRPr="00390E23" w:rsidRDefault="00CE62C8" w:rsidP="00F4021E">
            <w:pPr>
              <w:spacing w:before="60" w:after="60"/>
              <w:ind w:left="0"/>
              <w:jc w:val="center"/>
              <w:rPr>
                <w:sz w:val="20"/>
                <w:szCs w:val="20"/>
                <w:lang w:eastAsia="en-US"/>
              </w:rPr>
            </w:pPr>
            <w:r w:rsidRPr="00390E23">
              <w:rPr>
                <w:sz w:val="20"/>
                <w:szCs w:val="20"/>
                <w:lang w:eastAsia="en-US"/>
              </w:rPr>
              <w:t>Possible</w:t>
            </w:r>
          </w:p>
        </w:tc>
        <w:tc>
          <w:tcPr>
            <w:tcW w:w="1570" w:type="dxa"/>
          </w:tcPr>
          <w:p w:rsidR="00390E23" w:rsidRPr="00390E23" w:rsidRDefault="00390E23" w:rsidP="00F4021E">
            <w:pPr>
              <w:spacing w:before="60" w:after="60"/>
              <w:ind w:left="0"/>
              <w:jc w:val="center"/>
              <w:rPr>
                <w:sz w:val="20"/>
                <w:szCs w:val="20"/>
                <w:lang w:eastAsia="en-US"/>
              </w:rPr>
            </w:pPr>
            <w:r w:rsidRPr="00390E23">
              <w:rPr>
                <w:sz w:val="20"/>
                <w:szCs w:val="20"/>
                <w:lang w:eastAsia="en-US"/>
              </w:rPr>
              <w:t>Yes</w:t>
            </w:r>
          </w:p>
        </w:tc>
        <w:tc>
          <w:tcPr>
            <w:tcW w:w="1418" w:type="dxa"/>
          </w:tcPr>
          <w:p w:rsidR="00390E23" w:rsidRPr="00390E23" w:rsidRDefault="00390E23" w:rsidP="00F4021E">
            <w:pPr>
              <w:spacing w:before="60" w:after="60"/>
              <w:ind w:left="0"/>
              <w:jc w:val="center"/>
              <w:rPr>
                <w:sz w:val="20"/>
                <w:szCs w:val="20"/>
                <w:lang w:eastAsia="en-US"/>
              </w:rPr>
            </w:pPr>
            <w:r w:rsidRPr="00390E23">
              <w:rPr>
                <w:sz w:val="20"/>
                <w:szCs w:val="20"/>
                <w:lang w:eastAsia="en-US"/>
              </w:rPr>
              <w:t>Unlikely</w:t>
            </w:r>
          </w:p>
        </w:tc>
        <w:tc>
          <w:tcPr>
            <w:tcW w:w="1559" w:type="dxa"/>
            <w:shd w:val="clear" w:color="auto" w:fill="auto"/>
          </w:tcPr>
          <w:p w:rsidR="00390E23" w:rsidRPr="00390E23" w:rsidRDefault="00390E23" w:rsidP="00F4021E">
            <w:pPr>
              <w:spacing w:before="60" w:after="60"/>
              <w:ind w:left="0"/>
              <w:jc w:val="center"/>
              <w:rPr>
                <w:sz w:val="20"/>
                <w:szCs w:val="20"/>
                <w:lang w:eastAsia="en-US"/>
              </w:rPr>
            </w:pPr>
            <w:r w:rsidRPr="00390E23">
              <w:rPr>
                <w:sz w:val="20"/>
                <w:szCs w:val="20"/>
                <w:lang w:eastAsia="en-US"/>
              </w:rPr>
              <w:t>No</w:t>
            </w:r>
          </w:p>
        </w:tc>
      </w:tr>
      <w:tr w:rsidR="00390E23" w:rsidRPr="00390E23" w:rsidTr="00390E23">
        <w:trPr>
          <w:cantSplit/>
        </w:trPr>
        <w:tc>
          <w:tcPr>
            <w:tcW w:w="1701" w:type="dxa"/>
            <w:shd w:val="clear" w:color="auto" w:fill="auto"/>
          </w:tcPr>
          <w:p w:rsidR="00390E23" w:rsidRPr="00390E23" w:rsidRDefault="00B61A29" w:rsidP="00F4021E">
            <w:pPr>
              <w:spacing w:before="60" w:after="60"/>
              <w:ind w:left="0"/>
              <w:rPr>
                <w:sz w:val="20"/>
                <w:szCs w:val="20"/>
                <w:lang w:eastAsia="en-US"/>
              </w:rPr>
            </w:pPr>
            <w:r>
              <w:rPr>
                <w:sz w:val="20"/>
                <w:szCs w:val="20"/>
                <w:lang w:eastAsia="en-US"/>
              </w:rPr>
              <w:t>Option B</w:t>
            </w:r>
          </w:p>
        </w:tc>
        <w:tc>
          <w:tcPr>
            <w:tcW w:w="1554" w:type="dxa"/>
          </w:tcPr>
          <w:p w:rsidR="00390E23" w:rsidRPr="00390E23" w:rsidRDefault="00CE62C8" w:rsidP="00F4021E">
            <w:pPr>
              <w:spacing w:before="60" w:after="60"/>
              <w:ind w:left="0"/>
              <w:jc w:val="center"/>
              <w:rPr>
                <w:sz w:val="20"/>
                <w:szCs w:val="20"/>
                <w:lang w:eastAsia="en-US"/>
              </w:rPr>
            </w:pPr>
            <w:r w:rsidRPr="00390E23">
              <w:rPr>
                <w:sz w:val="20"/>
                <w:szCs w:val="20"/>
                <w:lang w:eastAsia="en-US"/>
              </w:rPr>
              <w:t>Possible</w:t>
            </w:r>
          </w:p>
        </w:tc>
        <w:tc>
          <w:tcPr>
            <w:tcW w:w="1570" w:type="dxa"/>
          </w:tcPr>
          <w:p w:rsidR="00390E23" w:rsidRPr="00390E23" w:rsidRDefault="00390E23" w:rsidP="00F4021E">
            <w:pPr>
              <w:spacing w:before="60" w:after="60"/>
              <w:ind w:left="0"/>
              <w:jc w:val="center"/>
              <w:rPr>
                <w:sz w:val="20"/>
                <w:szCs w:val="20"/>
                <w:lang w:eastAsia="en-US"/>
              </w:rPr>
            </w:pPr>
            <w:r w:rsidRPr="00390E23">
              <w:rPr>
                <w:sz w:val="20"/>
                <w:szCs w:val="20"/>
                <w:lang w:eastAsia="en-US"/>
              </w:rPr>
              <w:t>Yes</w:t>
            </w:r>
          </w:p>
        </w:tc>
        <w:tc>
          <w:tcPr>
            <w:tcW w:w="1418" w:type="dxa"/>
          </w:tcPr>
          <w:p w:rsidR="00390E23" w:rsidRPr="00390E23" w:rsidRDefault="00390E23" w:rsidP="00F4021E">
            <w:pPr>
              <w:spacing w:before="60" w:after="60"/>
              <w:ind w:left="0"/>
              <w:jc w:val="center"/>
              <w:rPr>
                <w:sz w:val="20"/>
                <w:szCs w:val="20"/>
                <w:lang w:eastAsia="en-US"/>
              </w:rPr>
            </w:pPr>
            <w:r w:rsidRPr="00390E23">
              <w:rPr>
                <w:sz w:val="20"/>
                <w:szCs w:val="20"/>
                <w:lang w:eastAsia="en-US"/>
              </w:rPr>
              <w:t>Unlikely</w:t>
            </w:r>
          </w:p>
        </w:tc>
        <w:tc>
          <w:tcPr>
            <w:tcW w:w="1559" w:type="dxa"/>
            <w:shd w:val="clear" w:color="auto" w:fill="auto"/>
          </w:tcPr>
          <w:p w:rsidR="00390E23" w:rsidRPr="00390E23" w:rsidRDefault="00390E23" w:rsidP="00F4021E">
            <w:pPr>
              <w:spacing w:before="60" w:after="60"/>
              <w:ind w:left="0"/>
              <w:jc w:val="center"/>
              <w:rPr>
                <w:sz w:val="20"/>
                <w:szCs w:val="20"/>
                <w:lang w:eastAsia="en-US"/>
              </w:rPr>
            </w:pPr>
            <w:r w:rsidRPr="00390E23">
              <w:rPr>
                <w:sz w:val="20"/>
                <w:szCs w:val="20"/>
                <w:lang w:eastAsia="en-US"/>
              </w:rPr>
              <w:t>No</w:t>
            </w:r>
          </w:p>
        </w:tc>
      </w:tr>
      <w:tr w:rsidR="00390E23" w:rsidRPr="00390E23" w:rsidTr="00390E23">
        <w:trPr>
          <w:cantSplit/>
        </w:trPr>
        <w:tc>
          <w:tcPr>
            <w:tcW w:w="1701" w:type="dxa"/>
            <w:shd w:val="clear" w:color="auto" w:fill="auto"/>
          </w:tcPr>
          <w:p w:rsidR="00390E23" w:rsidRPr="00390E23" w:rsidRDefault="00B61A29" w:rsidP="00F4021E">
            <w:pPr>
              <w:spacing w:before="60" w:after="60"/>
              <w:ind w:left="0"/>
              <w:rPr>
                <w:sz w:val="20"/>
                <w:szCs w:val="20"/>
                <w:lang w:eastAsia="en-US"/>
              </w:rPr>
            </w:pPr>
            <w:r>
              <w:rPr>
                <w:sz w:val="20"/>
                <w:szCs w:val="20"/>
                <w:lang w:eastAsia="en-US"/>
              </w:rPr>
              <w:t>Option C</w:t>
            </w:r>
          </w:p>
        </w:tc>
        <w:tc>
          <w:tcPr>
            <w:tcW w:w="1554" w:type="dxa"/>
          </w:tcPr>
          <w:p w:rsidR="00390E23" w:rsidRPr="00390E23" w:rsidRDefault="00CE62C8" w:rsidP="00F4021E">
            <w:pPr>
              <w:spacing w:before="60" w:after="60"/>
              <w:ind w:left="0"/>
              <w:jc w:val="center"/>
              <w:rPr>
                <w:sz w:val="20"/>
                <w:szCs w:val="20"/>
                <w:lang w:eastAsia="en-US"/>
              </w:rPr>
            </w:pPr>
            <w:r w:rsidRPr="00390E23">
              <w:rPr>
                <w:sz w:val="20"/>
                <w:szCs w:val="20"/>
                <w:lang w:eastAsia="en-US"/>
              </w:rPr>
              <w:t>Possible</w:t>
            </w:r>
          </w:p>
        </w:tc>
        <w:tc>
          <w:tcPr>
            <w:tcW w:w="1570" w:type="dxa"/>
          </w:tcPr>
          <w:p w:rsidR="00390E23" w:rsidRPr="00390E23" w:rsidRDefault="00390E23" w:rsidP="00F4021E">
            <w:pPr>
              <w:spacing w:before="60" w:after="60"/>
              <w:ind w:left="0"/>
              <w:jc w:val="center"/>
              <w:rPr>
                <w:sz w:val="20"/>
                <w:szCs w:val="20"/>
                <w:lang w:eastAsia="en-US"/>
              </w:rPr>
            </w:pPr>
            <w:r w:rsidRPr="00390E23">
              <w:rPr>
                <w:sz w:val="20"/>
                <w:szCs w:val="20"/>
                <w:lang w:eastAsia="en-US"/>
              </w:rPr>
              <w:t>Yes</w:t>
            </w:r>
          </w:p>
        </w:tc>
        <w:tc>
          <w:tcPr>
            <w:tcW w:w="1418" w:type="dxa"/>
          </w:tcPr>
          <w:p w:rsidR="00390E23" w:rsidRPr="00390E23" w:rsidRDefault="00390E23" w:rsidP="00F4021E">
            <w:pPr>
              <w:spacing w:before="60" w:after="60"/>
              <w:ind w:left="0"/>
              <w:jc w:val="center"/>
              <w:rPr>
                <w:sz w:val="20"/>
                <w:szCs w:val="20"/>
                <w:lang w:eastAsia="en-US"/>
              </w:rPr>
            </w:pPr>
            <w:r w:rsidRPr="00390E23">
              <w:rPr>
                <w:sz w:val="20"/>
                <w:szCs w:val="20"/>
                <w:lang w:eastAsia="en-US"/>
              </w:rPr>
              <w:t>Unlikely</w:t>
            </w:r>
          </w:p>
        </w:tc>
        <w:tc>
          <w:tcPr>
            <w:tcW w:w="1559" w:type="dxa"/>
            <w:shd w:val="clear" w:color="auto" w:fill="auto"/>
          </w:tcPr>
          <w:p w:rsidR="00390E23" w:rsidRPr="00390E23" w:rsidRDefault="00390E23" w:rsidP="00F4021E">
            <w:pPr>
              <w:spacing w:before="60" w:after="60"/>
              <w:ind w:left="0"/>
              <w:jc w:val="center"/>
              <w:rPr>
                <w:sz w:val="20"/>
                <w:szCs w:val="20"/>
                <w:lang w:eastAsia="en-US"/>
              </w:rPr>
            </w:pPr>
            <w:r w:rsidRPr="00390E23">
              <w:rPr>
                <w:sz w:val="20"/>
                <w:szCs w:val="20"/>
                <w:lang w:eastAsia="en-US"/>
              </w:rPr>
              <w:t>No</w:t>
            </w:r>
          </w:p>
        </w:tc>
      </w:tr>
      <w:tr w:rsidR="00390E23" w:rsidRPr="00390E23" w:rsidTr="00390E23">
        <w:trPr>
          <w:cantSplit/>
        </w:trPr>
        <w:tc>
          <w:tcPr>
            <w:tcW w:w="1701" w:type="dxa"/>
            <w:shd w:val="clear" w:color="auto" w:fill="auto"/>
          </w:tcPr>
          <w:p w:rsidR="00390E23" w:rsidRPr="00390E23" w:rsidRDefault="00B61A29" w:rsidP="00F4021E">
            <w:pPr>
              <w:spacing w:before="60" w:after="60"/>
              <w:ind w:left="0"/>
              <w:rPr>
                <w:sz w:val="20"/>
                <w:szCs w:val="20"/>
                <w:lang w:eastAsia="en-US"/>
              </w:rPr>
            </w:pPr>
            <w:r>
              <w:rPr>
                <w:sz w:val="20"/>
                <w:szCs w:val="20"/>
                <w:lang w:eastAsia="en-US"/>
              </w:rPr>
              <w:t>Option D</w:t>
            </w:r>
          </w:p>
        </w:tc>
        <w:tc>
          <w:tcPr>
            <w:tcW w:w="1554" w:type="dxa"/>
          </w:tcPr>
          <w:p w:rsidR="00390E23" w:rsidRPr="00390E23" w:rsidRDefault="00CE62C8" w:rsidP="00F4021E">
            <w:pPr>
              <w:spacing w:before="60" w:after="60"/>
              <w:ind w:left="0"/>
              <w:jc w:val="center"/>
              <w:rPr>
                <w:sz w:val="20"/>
                <w:szCs w:val="20"/>
                <w:lang w:eastAsia="en-US"/>
              </w:rPr>
            </w:pPr>
            <w:r w:rsidRPr="00390E23">
              <w:rPr>
                <w:sz w:val="20"/>
                <w:szCs w:val="20"/>
                <w:lang w:eastAsia="en-US"/>
              </w:rPr>
              <w:t>Possible</w:t>
            </w:r>
          </w:p>
        </w:tc>
        <w:tc>
          <w:tcPr>
            <w:tcW w:w="1570" w:type="dxa"/>
          </w:tcPr>
          <w:p w:rsidR="00390E23" w:rsidRPr="00390E23" w:rsidRDefault="00390E23" w:rsidP="00F4021E">
            <w:pPr>
              <w:spacing w:before="60" w:after="60"/>
              <w:ind w:left="0"/>
              <w:jc w:val="center"/>
              <w:rPr>
                <w:sz w:val="20"/>
                <w:szCs w:val="20"/>
                <w:lang w:eastAsia="en-US"/>
              </w:rPr>
            </w:pPr>
            <w:r w:rsidRPr="00390E23">
              <w:rPr>
                <w:sz w:val="20"/>
                <w:szCs w:val="20"/>
                <w:lang w:eastAsia="en-US"/>
              </w:rPr>
              <w:t>Yes</w:t>
            </w:r>
          </w:p>
        </w:tc>
        <w:tc>
          <w:tcPr>
            <w:tcW w:w="1418" w:type="dxa"/>
          </w:tcPr>
          <w:p w:rsidR="00390E23" w:rsidRPr="00390E23" w:rsidRDefault="00390E23" w:rsidP="00F4021E">
            <w:pPr>
              <w:spacing w:before="60" w:after="60"/>
              <w:ind w:left="0"/>
              <w:jc w:val="center"/>
              <w:rPr>
                <w:sz w:val="20"/>
                <w:szCs w:val="20"/>
                <w:lang w:eastAsia="en-US"/>
              </w:rPr>
            </w:pPr>
            <w:r w:rsidRPr="00390E23">
              <w:rPr>
                <w:sz w:val="20"/>
                <w:szCs w:val="20"/>
                <w:lang w:eastAsia="en-US"/>
              </w:rPr>
              <w:t>Unlikely</w:t>
            </w:r>
          </w:p>
        </w:tc>
        <w:tc>
          <w:tcPr>
            <w:tcW w:w="1559" w:type="dxa"/>
            <w:shd w:val="clear" w:color="auto" w:fill="auto"/>
          </w:tcPr>
          <w:p w:rsidR="00390E23" w:rsidRPr="00390E23" w:rsidRDefault="00390E23" w:rsidP="00F4021E">
            <w:pPr>
              <w:spacing w:before="60" w:after="60"/>
              <w:ind w:left="0"/>
              <w:jc w:val="center"/>
              <w:rPr>
                <w:sz w:val="20"/>
                <w:szCs w:val="20"/>
                <w:lang w:eastAsia="en-US"/>
              </w:rPr>
            </w:pPr>
            <w:r w:rsidRPr="00390E23">
              <w:rPr>
                <w:sz w:val="20"/>
                <w:szCs w:val="20"/>
                <w:lang w:eastAsia="en-US"/>
              </w:rPr>
              <w:t>Possible</w:t>
            </w:r>
          </w:p>
        </w:tc>
      </w:tr>
    </w:tbl>
    <w:p w:rsidR="00F4021E" w:rsidRDefault="00F4021E">
      <w:pPr>
        <w:spacing w:before="0" w:after="0"/>
        <w:ind w:left="0"/>
        <w:rPr>
          <w:color w:val="4D4D4D"/>
          <w:kern w:val="28"/>
          <w:sz w:val="30"/>
          <w:lang w:eastAsia="en-US"/>
        </w:rPr>
      </w:pPr>
    </w:p>
    <w:p w:rsidR="00390E23" w:rsidRPr="00390E23" w:rsidRDefault="00390E23" w:rsidP="00390E23">
      <w:pPr>
        <w:pStyle w:val="Heading2"/>
      </w:pPr>
      <w:bookmarkStart w:id="37" w:name="_Toc356830878"/>
      <w:r w:rsidRPr="00390E23">
        <w:t xml:space="preserve">Assessment of </w:t>
      </w:r>
      <w:r w:rsidR="00C27A13">
        <w:t>o</w:t>
      </w:r>
      <w:r w:rsidRPr="00390E23">
        <w:t>ptions</w:t>
      </w:r>
      <w:bookmarkEnd w:id="37"/>
      <w:r w:rsidRPr="00390E23">
        <w:t xml:space="preserve"> </w:t>
      </w:r>
    </w:p>
    <w:p w:rsidR="00390E23" w:rsidRPr="00390E23" w:rsidRDefault="004A4CF4" w:rsidP="00390E23">
      <w:pPr>
        <w:pStyle w:val="Heading3"/>
      </w:pPr>
      <w:bookmarkStart w:id="38" w:name="_Toc356830879"/>
      <w:r>
        <w:t>Base case – N</w:t>
      </w:r>
      <w:r w:rsidR="00390E23" w:rsidRPr="00390E23">
        <w:t>o supervision charge</w:t>
      </w:r>
      <w:bookmarkEnd w:id="38"/>
    </w:p>
    <w:p w:rsidR="00390E23" w:rsidRDefault="00390E23" w:rsidP="00390E23">
      <w:pPr>
        <w:spacing w:before="240" w:after="240"/>
        <w:rPr>
          <w:szCs w:val="24"/>
          <w:lang w:eastAsia="en-US"/>
        </w:rPr>
      </w:pPr>
      <w:r w:rsidRPr="00F4021E">
        <w:rPr>
          <w:szCs w:val="24"/>
          <w:lang w:eastAsia="en-US"/>
        </w:rPr>
        <w:t>The base case is that no supervision charge is imposed. VCGLR would still undertake its regulatory activities in the same manner; however the costs would be borne through general taxation.</w:t>
      </w:r>
    </w:p>
    <w:p w:rsidR="00717ACB" w:rsidRDefault="00717ACB" w:rsidP="00390E23">
      <w:pPr>
        <w:spacing w:before="240" w:after="240"/>
        <w:rPr>
          <w:szCs w:val="24"/>
          <w:lang w:eastAsia="en-US"/>
        </w:rPr>
      </w:pPr>
    </w:p>
    <w:p w:rsidR="00717ACB" w:rsidRPr="00390E23" w:rsidRDefault="00717ACB" w:rsidP="00717ACB">
      <w:pPr>
        <w:pStyle w:val="Heading5"/>
      </w:pPr>
      <w:r w:rsidRPr="00390E23">
        <w:t>Table 6.</w:t>
      </w:r>
      <w:r>
        <w:t>4</w:t>
      </w:r>
      <w:r w:rsidRPr="00390E23">
        <w:t xml:space="preserve">: </w:t>
      </w:r>
      <w:r w:rsidR="004A4CF4">
        <w:t>Multi-criteria a</w:t>
      </w:r>
      <w:r>
        <w:t>nalysis of Base Case Option</w:t>
      </w:r>
    </w:p>
    <w:tbl>
      <w:tblPr>
        <w:tblW w:w="0" w:type="auto"/>
        <w:tblInd w:w="907" w:type="dxa"/>
        <w:tblBorders>
          <w:top w:val="single" w:sz="2" w:space="0" w:color="auto"/>
          <w:bottom w:val="single" w:sz="2" w:space="0" w:color="auto"/>
          <w:insideH w:val="single" w:sz="2" w:space="0" w:color="auto"/>
        </w:tblBorders>
        <w:tblCellMar>
          <w:left w:w="113" w:type="dxa"/>
          <w:right w:w="113" w:type="dxa"/>
        </w:tblCellMar>
        <w:tblLook w:val="04A0" w:firstRow="1" w:lastRow="0" w:firstColumn="1" w:lastColumn="0" w:noHBand="0" w:noVBand="1"/>
      </w:tblPr>
      <w:tblGrid>
        <w:gridCol w:w="6212"/>
        <w:gridCol w:w="992"/>
        <w:gridCol w:w="1199"/>
      </w:tblGrid>
      <w:tr w:rsidR="00390E23" w:rsidRPr="00390E23" w:rsidTr="00717ACB">
        <w:trPr>
          <w:cantSplit/>
          <w:trHeight w:val="819"/>
          <w:tblHeader/>
        </w:trPr>
        <w:tc>
          <w:tcPr>
            <w:tcW w:w="6212" w:type="dxa"/>
            <w:tcBorders>
              <w:top w:val="single" w:sz="2" w:space="0" w:color="auto"/>
              <w:left w:val="nil"/>
              <w:bottom w:val="single" w:sz="2" w:space="0" w:color="auto"/>
              <w:right w:val="nil"/>
              <w:tl2br w:val="nil"/>
              <w:tr2bl w:val="nil"/>
            </w:tcBorders>
            <w:shd w:val="clear" w:color="auto" w:fill="D9D9D9"/>
          </w:tcPr>
          <w:p w:rsidR="00390E23" w:rsidRPr="00390E23" w:rsidRDefault="004A4CF4" w:rsidP="00390E23">
            <w:pPr>
              <w:spacing w:before="180" w:after="180"/>
              <w:ind w:left="0"/>
              <w:rPr>
                <w:b/>
                <w:sz w:val="20"/>
                <w:szCs w:val="20"/>
                <w:lang w:eastAsia="en-US"/>
              </w:rPr>
            </w:pPr>
            <w:r>
              <w:rPr>
                <w:b/>
                <w:sz w:val="20"/>
                <w:szCs w:val="20"/>
                <w:lang w:eastAsia="en-US"/>
              </w:rPr>
              <w:t>Criteria and c</w:t>
            </w:r>
            <w:r w:rsidR="00390E23" w:rsidRPr="00390E23">
              <w:rPr>
                <w:b/>
                <w:sz w:val="20"/>
                <w:szCs w:val="20"/>
                <w:lang w:eastAsia="en-US"/>
              </w:rPr>
              <w:t>omments</w:t>
            </w:r>
          </w:p>
        </w:tc>
        <w:tc>
          <w:tcPr>
            <w:tcW w:w="992" w:type="dxa"/>
            <w:tcBorders>
              <w:top w:val="single" w:sz="2" w:space="0" w:color="auto"/>
              <w:left w:val="nil"/>
              <w:bottom w:val="single" w:sz="2" w:space="0" w:color="auto"/>
              <w:right w:val="nil"/>
              <w:tl2br w:val="nil"/>
              <w:tr2bl w:val="nil"/>
            </w:tcBorders>
            <w:shd w:val="clear" w:color="auto" w:fill="D9D9D9"/>
          </w:tcPr>
          <w:p w:rsidR="00390E23" w:rsidRPr="00390E23" w:rsidRDefault="00390E23" w:rsidP="00390E23">
            <w:pPr>
              <w:spacing w:before="180" w:after="180"/>
              <w:ind w:left="0"/>
              <w:jc w:val="center"/>
              <w:rPr>
                <w:b/>
                <w:sz w:val="20"/>
                <w:szCs w:val="20"/>
                <w:lang w:eastAsia="en-US"/>
              </w:rPr>
            </w:pPr>
            <w:r w:rsidRPr="00390E23">
              <w:rPr>
                <w:b/>
                <w:sz w:val="20"/>
                <w:szCs w:val="20"/>
                <w:lang w:eastAsia="en-US"/>
              </w:rPr>
              <w:t>Score</w:t>
            </w:r>
          </w:p>
        </w:tc>
        <w:tc>
          <w:tcPr>
            <w:tcW w:w="1199" w:type="dxa"/>
            <w:tcBorders>
              <w:top w:val="single" w:sz="2" w:space="0" w:color="auto"/>
              <w:left w:val="nil"/>
              <w:bottom w:val="single" w:sz="2" w:space="0" w:color="auto"/>
              <w:right w:val="nil"/>
              <w:tl2br w:val="nil"/>
              <w:tr2bl w:val="nil"/>
            </w:tcBorders>
            <w:shd w:val="clear" w:color="auto" w:fill="D9D9D9"/>
          </w:tcPr>
          <w:p w:rsidR="00390E23" w:rsidRPr="00390E23" w:rsidRDefault="00390E23" w:rsidP="00390E23">
            <w:pPr>
              <w:spacing w:before="180" w:after="180"/>
              <w:ind w:left="0"/>
              <w:jc w:val="center"/>
              <w:rPr>
                <w:b/>
                <w:sz w:val="20"/>
                <w:szCs w:val="20"/>
                <w:lang w:eastAsia="en-US"/>
              </w:rPr>
            </w:pPr>
            <w:r w:rsidRPr="00390E23">
              <w:rPr>
                <w:b/>
                <w:sz w:val="20"/>
                <w:szCs w:val="20"/>
                <w:lang w:eastAsia="en-US"/>
              </w:rPr>
              <w:t>Weighted score</w:t>
            </w:r>
          </w:p>
        </w:tc>
      </w:tr>
      <w:tr w:rsidR="00390E23" w:rsidRPr="00390E23" w:rsidTr="00717ACB">
        <w:trPr>
          <w:cantSplit/>
        </w:trPr>
        <w:tc>
          <w:tcPr>
            <w:tcW w:w="6212" w:type="dxa"/>
            <w:shd w:val="clear" w:color="auto" w:fill="auto"/>
          </w:tcPr>
          <w:p w:rsidR="00390E23" w:rsidRPr="00390E23" w:rsidRDefault="00390E23" w:rsidP="00390E23">
            <w:pPr>
              <w:spacing w:before="180" w:after="180"/>
              <w:ind w:left="0"/>
              <w:rPr>
                <w:b/>
                <w:sz w:val="20"/>
                <w:szCs w:val="20"/>
                <w:lang w:eastAsia="en-US"/>
              </w:rPr>
            </w:pPr>
            <w:r w:rsidRPr="00390E23">
              <w:rPr>
                <w:b/>
                <w:sz w:val="20"/>
                <w:szCs w:val="20"/>
                <w:lang w:eastAsia="en-US"/>
              </w:rPr>
              <w:t>Efficiency</w:t>
            </w:r>
          </w:p>
          <w:p w:rsidR="00390E23" w:rsidRPr="00390E23" w:rsidRDefault="00390E23" w:rsidP="00390E23">
            <w:pPr>
              <w:spacing w:before="180" w:after="180"/>
              <w:ind w:left="0"/>
              <w:rPr>
                <w:sz w:val="20"/>
                <w:szCs w:val="20"/>
                <w:lang w:eastAsia="en-US"/>
              </w:rPr>
            </w:pPr>
            <w:r w:rsidRPr="00390E23">
              <w:rPr>
                <w:sz w:val="20"/>
                <w:szCs w:val="20"/>
                <w:lang w:eastAsia="en-US"/>
              </w:rPr>
              <w:t xml:space="preserve">VCGLR’s regulatory costs would need to be funded from other government revenue sources or spending cuts, which may have a negative impact on economic activity in Victoria more broadly. </w:t>
            </w:r>
          </w:p>
          <w:p w:rsidR="00390E23" w:rsidRPr="00390E23" w:rsidRDefault="00390E23" w:rsidP="00390E23">
            <w:pPr>
              <w:spacing w:before="180" w:after="180"/>
              <w:ind w:left="0"/>
              <w:rPr>
                <w:sz w:val="20"/>
                <w:szCs w:val="20"/>
                <w:lang w:eastAsia="en-US"/>
              </w:rPr>
            </w:pPr>
            <w:r w:rsidRPr="00390E23">
              <w:rPr>
                <w:sz w:val="20"/>
                <w:szCs w:val="20"/>
                <w:lang w:eastAsia="en-US"/>
              </w:rPr>
              <w:t>Increasing the level of general taxation needed would impose ‘deadweight losses’ to the economy – i.e. reduce the quantity of income generating economic production.</w:t>
            </w:r>
          </w:p>
        </w:tc>
        <w:tc>
          <w:tcPr>
            <w:tcW w:w="992" w:type="dxa"/>
            <w:shd w:val="clear" w:color="auto" w:fill="auto"/>
          </w:tcPr>
          <w:p w:rsidR="00390E23" w:rsidRPr="00390E23" w:rsidRDefault="008E73E4" w:rsidP="00390E23">
            <w:pPr>
              <w:spacing w:before="180" w:after="180"/>
              <w:ind w:left="0"/>
              <w:jc w:val="center"/>
              <w:rPr>
                <w:sz w:val="20"/>
                <w:szCs w:val="20"/>
                <w:lang w:eastAsia="en-US"/>
              </w:rPr>
            </w:pPr>
            <w:r>
              <w:rPr>
                <w:sz w:val="20"/>
                <w:szCs w:val="20"/>
                <w:lang w:eastAsia="en-US"/>
              </w:rPr>
              <w:t>0</w:t>
            </w:r>
          </w:p>
        </w:tc>
        <w:tc>
          <w:tcPr>
            <w:tcW w:w="1199" w:type="dxa"/>
            <w:shd w:val="clear" w:color="auto" w:fill="auto"/>
          </w:tcPr>
          <w:p w:rsidR="00390E23" w:rsidRPr="00390E23" w:rsidRDefault="008E73E4" w:rsidP="00390E23">
            <w:pPr>
              <w:spacing w:before="180" w:after="180"/>
              <w:ind w:left="0"/>
              <w:jc w:val="center"/>
              <w:rPr>
                <w:sz w:val="20"/>
                <w:szCs w:val="20"/>
                <w:lang w:eastAsia="en-US"/>
              </w:rPr>
            </w:pPr>
            <w:r>
              <w:rPr>
                <w:sz w:val="20"/>
                <w:szCs w:val="20"/>
                <w:lang w:eastAsia="en-US"/>
              </w:rPr>
              <w:t>0</w:t>
            </w:r>
          </w:p>
        </w:tc>
      </w:tr>
      <w:tr w:rsidR="00390E23" w:rsidRPr="00390E23" w:rsidTr="00717ACB">
        <w:trPr>
          <w:cantSplit/>
        </w:trPr>
        <w:tc>
          <w:tcPr>
            <w:tcW w:w="6212" w:type="dxa"/>
            <w:shd w:val="clear" w:color="auto" w:fill="auto"/>
          </w:tcPr>
          <w:p w:rsidR="00390E23" w:rsidRPr="00390E23" w:rsidRDefault="00390E23" w:rsidP="00390E23">
            <w:pPr>
              <w:spacing w:before="180" w:after="180"/>
              <w:ind w:left="0"/>
              <w:rPr>
                <w:b/>
                <w:sz w:val="20"/>
                <w:szCs w:val="20"/>
                <w:lang w:eastAsia="en-US"/>
              </w:rPr>
            </w:pPr>
            <w:r w:rsidRPr="00390E23">
              <w:rPr>
                <w:b/>
                <w:sz w:val="20"/>
                <w:szCs w:val="20"/>
                <w:lang w:eastAsia="en-US"/>
              </w:rPr>
              <w:t>Equity</w:t>
            </w:r>
          </w:p>
          <w:p w:rsidR="00390E23" w:rsidRPr="00390E23" w:rsidRDefault="00472069" w:rsidP="00390E23">
            <w:pPr>
              <w:spacing w:before="180" w:after="180"/>
              <w:ind w:left="0"/>
              <w:rPr>
                <w:sz w:val="20"/>
                <w:szCs w:val="20"/>
                <w:lang w:eastAsia="en-US"/>
              </w:rPr>
            </w:pPr>
            <w:r>
              <w:rPr>
                <w:sz w:val="20"/>
                <w:szCs w:val="20"/>
                <w:lang w:eastAsia="en-US"/>
              </w:rPr>
              <w:t>V</w:t>
            </w:r>
            <w:r w:rsidR="00F13192">
              <w:rPr>
                <w:sz w:val="20"/>
                <w:szCs w:val="20"/>
                <w:lang w:eastAsia="en-US"/>
              </w:rPr>
              <w:t>enue o</w:t>
            </w:r>
            <w:r>
              <w:rPr>
                <w:sz w:val="20"/>
                <w:szCs w:val="20"/>
                <w:lang w:eastAsia="en-US"/>
              </w:rPr>
              <w:t>perator</w:t>
            </w:r>
            <w:r w:rsidR="00390E23" w:rsidRPr="00390E23">
              <w:rPr>
                <w:sz w:val="20"/>
                <w:szCs w:val="20"/>
                <w:lang w:eastAsia="en-US"/>
              </w:rPr>
              <w:t>s, who contribute to the need for government regulation, do not directly pay for the cost of the government regulation under this option. Instead, they are significantly cross</w:t>
            </w:r>
            <w:r w:rsidR="00390E23" w:rsidRPr="00390E23">
              <w:rPr>
                <w:sz w:val="20"/>
                <w:szCs w:val="20"/>
                <w:lang w:eastAsia="en-US"/>
              </w:rPr>
              <w:noBreakHyphen/>
              <w:t>subsidised by Victorian taxpayers more generally.</w:t>
            </w:r>
          </w:p>
        </w:tc>
        <w:tc>
          <w:tcPr>
            <w:tcW w:w="992" w:type="dxa"/>
            <w:shd w:val="clear" w:color="auto" w:fill="auto"/>
          </w:tcPr>
          <w:p w:rsidR="00390E23" w:rsidRPr="00390E23" w:rsidRDefault="008E73E4" w:rsidP="008E73E4">
            <w:pPr>
              <w:spacing w:before="180" w:after="180"/>
              <w:ind w:left="0"/>
              <w:jc w:val="center"/>
              <w:rPr>
                <w:sz w:val="20"/>
                <w:szCs w:val="20"/>
                <w:lang w:eastAsia="en-US"/>
              </w:rPr>
            </w:pPr>
            <w:r>
              <w:rPr>
                <w:sz w:val="20"/>
                <w:szCs w:val="20"/>
                <w:lang w:eastAsia="en-US"/>
              </w:rPr>
              <w:t>0</w:t>
            </w:r>
          </w:p>
        </w:tc>
        <w:tc>
          <w:tcPr>
            <w:tcW w:w="1199" w:type="dxa"/>
            <w:shd w:val="clear" w:color="auto" w:fill="auto"/>
          </w:tcPr>
          <w:p w:rsidR="00390E23" w:rsidRPr="00390E23" w:rsidRDefault="008E73E4" w:rsidP="00390E23">
            <w:pPr>
              <w:spacing w:before="180" w:after="180"/>
              <w:ind w:left="0"/>
              <w:jc w:val="center"/>
              <w:rPr>
                <w:sz w:val="20"/>
                <w:szCs w:val="20"/>
                <w:lang w:eastAsia="en-US"/>
              </w:rPr>
            </w:pPr>
            <w:r>
              <w:rPr>
                <w:sz w:val="20"/>
                <w:szCs w:val="20"/>
                <w:lang w:eastAsia="en-US"/>
              </w:rPr>
              <w:t>0</w:t>
            </w:r>
          </w:p>
        </w:tc>
      </w:tr>
      <w:tr w:rsidR="00390E23" w:rsidRPr="00390E23" w:rsidTr="00717ACB">
        <w:trPr>
          <w:cantSplit/>
        </w:trPr>
        <w:tc>
          <w:tcPr>
            <w:tcW w:w="6212" w:type="dxa"/>
            <w:shd w:val="clear" w:color="auto" w:fill="auto"/>
          </w:tcPr>
          <w:p w:rsidR="00390E23" w:rsidRPr="00390E23" w:rsidRDefault="004A4CF4" w:rsidP="00390E23">
            <w:pPr>
              <w:spacing w:before="180" w:after="180"/>
              <w:ind w:left="0"/>
              <w:rPr>
                <w:b/>
                <w:sz w:val="20"/>
                <w:szCs w:val="20"/>
                <w:lang w:eastAsia="en-US"/>
              </w:rPr>
            </w:pPr>
            <w:r>
              <w:rPr>
                <w:b/>
                <w:sz w:val="20"/>
                <w:szCs w:val="20"/>
                <w:lang w:eastAsia="en-US"/>
              </w:rPr>
              <w:t>Cost e</w:t>
            </w:r>
            <w:r w:rsidR="00390E23" w:rsidRPr="00390E23">
              <w:rPr>
                <w:b/>
                <w:sz w:val="20"/>
                <w:szCs w:val="20"/>
                <w:lang w:eastAsia="en-US"/>
              </w:rPr>
              <w:t>ffectiveness</w:t>
            </w:r>
          </w:p>
          <w:p w:rsidR="00390E23" w:rsidRPr="00390E23" w:rsidRDefault="00390E23" w:rsidP="00390E23">
            <w:pPr>
              <w:spacing w:before="180" w:after="180"/>
              <w:ind w:left="0"/>
              <w:rPr>
                <w:sz w:val="20"/>
                <w:szCs w:val="20"/>
                <w:lang w:eastAsia="en-US"/>
              </w:rPr>
            </w:pPr>
            <w:r w:rsidRPr="00390E23">
              <w:rPr>
                <w:sz w:val="20"/>
                <w:szCs w:val="20"/>
                <w:lang w:eastAsia="en-US"/>
              </w:rPr>
              <w:t xml:space="preserve">As there is no supervision charge to collect revenue under this option, specific administration costs cannot be assessed. </w:t>
            </w:r>
          </w:p>
          <w:p w:rsidR="00390E23" w:rsidRPr="00390E23" w:rsidRDefault="00390E23" w:rsidP="00390E23">
            <w:pPr>
              <w:spacing w:before="180" w:after="180"/>
              <w:ind w:left="0"/>
              <w:rPr>
                <w:sz w:val="20"/>
                <w:szCs w:val="20"/>
                <w:lang w:eastAsia="en-US"/>
              </w:rPr>
            </w:pPr>
            <w:r w:rsidRPr="00390E23">
              <w:rPr>
                <w:sz w:val="20"/>
                <w:szCs w:val="20"/>
                <w:lang w:eastAsia="en-US"/>
              </w:rPr>
              <w:t>If the State increased general State tax rates, it would incur additional costs of tax</w:t>
            </w:r>
            <w:r w:rsidR="00A34D0E">
              <w:rPr>
                <w:sz w:val="20"/>
                <w:szCs w:val="20"/>
                <w:lang w:eastAsia="en-US"/>
              </w:rPr>
              <w:t xml:space="preserve"> administration and compliance.</w:t>
            </w:r>
          </w:p>
        </w:tc>
        <w:tc>
          <w:tcPr>
            <w:tcW w:w="992" w:type="dxa"/>
            <w:shd w:val="clear" w:color="auto" w:fill="auto"/>
          </w:tcPr>
          <w:p w:rsidR="00390E23" w:rsidRPr="00390E23" w:rsidRDefault="00390E23" w:rsidP="00390E23">
            <w:pPr>
              <w:spacing w:before="180" w:after="180"/>
              <w:ind w:left="0"/>
              <w:jc w:val="center"/>
              <w:rPr>
                <w:sz w:val="20"/>
                <w:szCs w:val="20"/>
                <w:lang w:eastAsia="en-US"/>
              </w:rPr>
            </w:pPr>
            <w:r w:rsidRPr="00390E23">
              <w:rPr>
                <w:sz w:val="20"/>
                <w:szCs w:val="20"/>
                <w:lang w:eastAsia="en-US"/>
              </w:rPr>
              <w:t>0</w:t>
            </w:r>
          </w:p>
        </w:tc>
        <w:tc>
          <w:tcPr>
            <w:tcW w:w="1199" w:type="dxa"/>
            <w:shd w:val="clear" w:color="auto" w:fill="auto"/>
          </w:tcPr>
          <w:p w:rsidR="00390E23" w:rsidRPr="00390E23" w:rsidRDefault="00390E23" w:rsidP="00390E23">
            <w:pPr>
              <w:spacing w:before="180" w:after="180"/>
              <w:ind w:left="0"/>
              <w:jc w:val="center"/>
              <w:rPr>
                <w:sz w:val="20"/>
                <w:szCs w:val="20"/>
                <w:lang w:eastAsia="en-US"/>
              </w:rPr>
            </w:pPr>
            <w:r w:rsidRPr="00390E23">
              <w:rPr>
                <w:sz w:val="20"/>
                <w:szCs w:val="20"/>
                <w:lang w:eastAsia="en-US"/>
              </w:rPr>
              <w:t>0</w:t>
            </w:r>
          </w:p>
        </w:tc>
      </w:tr>
      <w:tr w:rsidR="00390E23" w:rsidRPr="00390E23" w:rsidTr="00717ACB">
        <w:trPr>
          <w:cantSplit/>
        </w:trPr>
        <w:tc>
          <w:tcPr>
            <w:tcW w:w="6212" w:type="dxa"/>
            <w:shd w:val="clear" w:color="auto" w:fill="auto"/>
          </w:tcPr>
          <w:p w:rsidR="00390E23" w:rsidRPr="00390E23" w:rsidRDefault="00390E23" w:rsidP="00390E23">
            <w:pPr>
              <w:spacing w:before="180" w:after="180"/>
              <w:ind w:left="0"/>
              <w:rPr>
                <w:b/>
                <w:sz w:val="20"/>
                <w:szCs w:val="20"/>
                <w:lang w:eastAsia="en-US"/>
              </w:rPr>
            </w:pPr>
            <w:r w:rsidRPr="00390E23">
              <w:rPr>
                <w:b/>
                <w:sz w:val="20"/>
                <w:szCs w:val="20"/>
                <w:lang w:eastAsia="en-US"/>
              </w:rPr>
              <w:t>Transparency</w:t>
            </w:r>
          </w:p>
          <w:p w:rsidR="00390E23" w:rsidRPr="00390E23" w:rsidRDefault="00390E23" w:rsidP="00390E23">
            <w:pPr>
              <w:spacing w:before="180" w:after="180"/>
              <w:ind w:left="0"/>
              <w:rPr>
                <w:sz w:val="20"/>
                <w:szCs w:val="20"/>
                <w:lang w:eastAsia="en-US"/>
              </w:rPr>
            </w:pPr>
            <w:r w:rsidRPr="00390E23">
              <w:rPr>
                <w:sz w:val="20"/>
                <w:szCs w:val="20"/>
                <w:lang w:eastAsia="en-US"/>
              </w:rPr>
              <w:t>It is not clear to those who specifically pay the charge (i.e. taxpayers), what is being charged, who is specifically liable and how this liability has been calculated.</w:t>
            </w:r>
          </w:p>
        </w:tc>
        <w:tc>
          <w:tcPr>
            <w:tcW w:w="992" w:type="dxa"/>
            <w:shd w:val="clear" w:color="auto" w:fill="auto"/>
          </w:tcPr>
          <w:p w:rsidR="00390E23" w:rsidRPr="00390E23" w:rsidRDefault="008E73E4" w:rsidP="00390E23">
            <w:pPr>
              <w:spacing w:before="180" w:after="180"/>
              <w:ind w:left="0"/>
              <w:jc w:val="center"/>
              <w:rPr>
                <w:sz w:val="20"/>
                <w:szCs w:val="20"/>
                <w:lang w:eastAsia="en-US"/>
              </w:rPr>
            </w:pPr>
            <w:r>
              <w:rPr>
                <w:sz w:val="20"/>
                <w:szCs w:val="20"/>
                <w:lang w:eastAsia="en-US"/>
              </w:rPr>
              <w:t>0</w:t>
            </w:r>
          </w:p>
        </w:tc>
        <w:tc>
          <w:tcPr>
            <w:tcW w:w="1199" w:type="dxa"/>
            <w:shd w:val="clear" w:color="auto" w:fill="auto"/>
          </w:tcPr>
          <w:p w:rsidR="00390E23" w:rsidRPr="00390E23" w:rsidRDefault="008E73E4" w:rsidP="008E73E4">
            <w:pPr>
              <w:spacing w:before="180" w:after="180"/>
              <w:ind w:left="0"/>
              <w:jc w:val="center"/>
              <w:rPr>
                <w:sz w:val="20"/>
                <w:szCs w:val="20"/>
                <w:lang w:eastAsia="en-US"/>
              </w:rPr>
            </w:pPr>
            <w:r>
              <w:rPr>
                <w:sz w:val="20"/>
                <w:szCs w:val="20"/>
                <w:lang w:eastAsia="en-US"/>
              </w:rPr>
              <w:t>0</w:t>
            </w:r>
          </w:p>
        </w:tc>
      </w:tr>
      <w:tr w:rsidR="00390E23" w:rsidRPr="00390E23" w:rsidTr="00717ACB">
        <w:trPr>
          <w:cantSplit/>
        </w:trPr>
        <w:tc>
          <w:tcPr>
            <w:tcW w:w="6212" w:type="dxa"/>
            <w:shd w:val="clear" w:color="auto" w:fill="auto"/>
          </w:tcPr>
          <w:p w:rsidR="00390E23" w:rsidRPr="00390E23" w:rsidRDefault="00390E23" w:rsidP="00390E23">
            <w:pPr>
              <w:spacing w:before="180" w:after="180"/>
              <w:ind w:left="0"/>
              <w:rPr>
                <w:b/>
                <w:sz w:val="20"/>
                <w:szCs w:val="20"/>
                <w:lang w:eastAsia="en-US"/>
              </w:rPr>
            </w:pPr>
            <w:r w:rsidRPr="00390E23">
              <w:rPr>
                <w:b/>
                <w:sz w:val="20"/>
                <w:szCs w:val="20"/>
                <w:lang w:eastAsia="en-US"/>
              </w:rPr>
              <w:t>Total</w:t>
            </w:r>
          </w:p>
        </w:tc>
        <w:tc>
          <w:tcPr>
            <w:tcW w:w="992" w:type="dxa"/>
            <w:shd w:val="clear" w:color="auto" w:fill="auto"/>
          </w:tcPr>
          <w:p w:rsidR="00390E23" w:rsidRPr="00390E23" w:rsidRDefault="00390E23" w:rsidP="00390E23">
            <w:pPr>
              <w:spacing w:before="180" w:after="180"/>
              <w:ind w:left="0"/>
              <w:jc w:val="center"/>
              <w:rPr>
                <w:b/>
                <w:sz w:val="20"/>
                <w:szCs w:val="20"/>
                <w:lang w:eastAsia="en-US"/>
              </w:rPr>
            </w:pPr>
          </w:p>
        </w:tc>
        <w:tc>
          <w:tcPr>
            <w:tcW w:w="1199" w:type="dxa"/>
            <w:shd w:val="clear" w:color="auto" w:fill="auto"/>
          </w:tcPr>
          <w:p w:rsidR="00390E23" w:rsidRPr="00390E23" w:rsidRDefault="008E73E4" w:rsidP="008E73E4">
            <w:pPr>
              <w:spacing w:before="180" w:after="180"/>
              <w:ind w:left="0"/>
              <w:jc w:val="center"/>
              <w:rPr>
                <w:b/>
                <w:sz w:val="20"/>
                <w:szCs w:val="20"/>
                <w:lang w:eastAsia="en-US"/>
              </w:rPr>
            </w:pPr>
            <w:r>
              <w:rPr>
                <w:b/>
                <w:sz w:val="20"/>
                <w:szCs w:val="20"/>
                <w:lang w:eastAsia="en-US"/>
              </w:rPr>
              <w:t>0</w:t>
            </w:r>
          </w:p>
        </w:tc>
      </w:tr>
    </w:tbl>
    <w:p w:rsidR="00040788" w:rsidRDefault="00040788" w:rsidP="00040788">
      <w:pPr>
        <w:rPr>
          <w:lang w:eastAsia="en-US"/>
        </w:rPr>
      </w:pPr>
    </w:p>
    <w:p w:rsidR="00390E23" w:rsidRPr="00390E23" w:rsidRDefault="00B61A29" w:rsidP="00F4021E">
      <w:pPr>
        <w:pStyle w:val="Heading3"/>
        <w:spacing w:before="360"/>
      </w:pPr>
      <w:bookmarkStart w:id="39" w:name="_Toc356830880"/>
      <w:r>
        <w:t>Option A</w:t>
      </w:r>
      <w:r w:rsidR="00390E23" w:rsidRPr="00390E23">
        <w:t xml:space="preserve"> – Two tiered charge on entitlements and </w:t>
      </w:r>
      <w:r w:rsidR="00887FE5">
        <w:t>gaming machines</w:t>
      </w:r>
      <w:bookmarkEnd w:id="39"/>
    </w:p>
    <w:p w:rsidR="00390E23" w:rsidRDefault="00B61A29" w:rsidP="00390E23">
      <w:pPr>
        <w:spacing w:before="240" w:after="240"/>
        <w:rPr>
          <w:szCs w:val="24"/>
          <w:u w:val="single"/>
          <w:lang w:eastAsia="en-US"/>
        </w:rPr>
      </w:pPr>
      <w:r>
        <w:rPr>
          <w:szCs w:val="24"/>
          <w:lang w:eastAsia="en-US"/>
        </w:rPr>
        <w:t>Option A</w:t>
      </w:r>
      <w:r w:rsidR="00390E23" w:rsidRPr="00F4021E">
        <w:rPr>
          <w:szCs w:val="24"/>
          <w:lang w:eastAsia="en-US"/>
        </w:rPr>
        <w:t xml:space="preserve"> apportions VCGLR’s regulatory costs to gaming </w:t>
      </w:r>
      <w:r w:rsidR="00F13192">
        <w:rPr>
          <w:szCs w:val="24"/>
          <w:lang w:eastAsia="en-US"/>
        </w:rPr>
        <w:t>venue o</w:t>
      </w:r>
      <w:r w:rsidR="00472069">
        <w:rPr>
          <w:szCs w:val="24"/>
          <w:lang w:eastAsia="en-US"/>
        </w:rPr>
        <w:t>perator</w:t>
      </w:r>
      <w:r w:rsidR="00390E23" w:rsidRPr="00F4021E">
        <w:rPr>
          <w:szCs w:val="24"/>
          <w:lang w:eastAsia="en-US"/>
        </w:rPr>
        <w:t xml:space="preserve">s directly based on the regulation of the gaming entitlements system. It is a two-tiered charge that accounts for the differing costs of </w:t>
      </w:r>
      <w:r w:rsidR="005F74F6">
        <w:rPr>
          <w:szCs w:val="24"/>
          <w:lang w:eastAsia="en-US"/>
        </w:rPr>
        <w:t>administering</w:t>
      </w:r>
      <w:r w:rsidR="005F74F6" w:rsidRPr="00F4021E">
        <w:rPr>
          <w:szCs w:val="24"/>
          <w:lang w:eastAsia="en-US"/>
        </w:rPr>
        <w:t xml:space="preserve"> </w:t>
      </w:r>
      <w:r w:rsidR="00390E23" w:rsidRPr="00F4021E">
        <w:rPr>
          <w:szCs w:val="24"/>
          <w:lang w:eastAsia="en-US"/>
        </w:rPr>
        <w:t>the gaming entitlements system overall (for example, managing the transfer of entitlements</w:t>
      </w:r>
      <w:r w:rsidR="00A75C74">
        <w:rPr>
          <w:szCs w:val="24"/>
          <w:lang w:eastAsia="en-US"/>
        </w:rPr>
        <w:t>,</w:t>
      </w:r>
      <w:r w:rsidR="00A75C74" w:rsidRPr="00A75C74">
        <w:t xml:space="preserve"> </w:t>
      </w:r>
      <w:r w:rsidR="00A75C74">
        <w:rPr>
          <w:szCs w:val="24"/>
          <w:lang w:eastAsia="en-US"/>
        </w:rPr>
        <w:t>c</w:t>
      </w:r>
      <w:r w:rsidR="00A75C74" w:rsidRPr="00A75C74">
        <w:rPr>
          <w:szCs w:val="24"/>
          <w:lang w:eastAsia="en-US"/>
        </w:rPr>
        <w:t>ol</w:t>
      </w:r>
      <w:r w:rsidR="00A75C74">
        <w:rPr>
          <w:szCs w:val="24"/>
          <w:lang w:eastAsia="en-US"/>
        </w:rPr>
        <w:t>lection of entitlement payments and</w:t>
      </w:r>
      <w:r w:rsidR="00A75C74" w:rsidRPr="00A75C74">
        <w:rPr>
          <w:szCs w:val="24"/>
          <w:lang w:eastAsia="en-US"/>
        </w:rPr>
        <w:t xml:space="preserve"> managing</w:t>
      </w:r>
      <w:r w:rsidR="00A75C74">
        <w:rPr>
          <w:szCs w:val="24"/>
          <w:lang w:eastAsia="en-US"/>
        </w:rPr>
        <w:t xml:space="preserve"> the</w:t>
      </w:r>
      <w:r w:rsidR="00A75C74" w:rsidRPr="00A75C74">
        <w:rPr>
          <w:szCs w:val="24"/>
          <w:lang w:eastAsia="en-US"/>
        </w:rPr>
        <w:t xml:space="preserve"> </w:t>
      </w:r>
      <w:r w:rsidR="00CE62C8">
        <w:rPr>
          <w:szCs w:val="24"/>
          <w:lang w:eastAsia="en-US"/>
        </w:rPr>
        <w:t>‘</w:t>
      </w:r>
      <w:r w:rsidR="00A75C74" w:rsidRPr="00A75C74">
        <w:rPr>
          <w:szCs w:val="24"/>
          <w:lang w:eastAsia="en-US"/>
        </w:rPr>
        <w:t>use it or lose it</w:t>
      </w:r>
      <w:r w:rsidR="00CE62C8">
        <w:rPr>
          <w:szCs w:val="24"/>
          <w:lang w:eastAsia="en-US"/>
        </w:rPr>
        <w:t>’</w:t>
      </w:r>
      <w:r w:rsidR="00A75C74">
        <w:rPr>
          <w:szCs w:val="24"/>
          <w:lang w:eastAsia="en-US"/>
        </w:rPr>
        <w:t xml:space="preserve"> provisions</w:t>
      </w:r>
      <w:r w:rsidR="00390E23" w:rsidRPr="00F4021E">
        <w:rPr>
          <w:szCs w:val="24"/>
          <w:lang w:eastAsia="en-US"/>
        </w:rPr>
        <w:t xml:space="preserve">) and the regulation/supervision of operating </w:t>
      </w:r>
      <w:r w:rsidR="00887FE5">
        <w:rPr>
          <w:szCs w:val="24"/>
          <w:lang w:eastAsia="en-US"/>
        </w:rPr>
        <w:t>gaming machine</w:t>
      </w:r>
      <w:r w:rsidR="00390E23" w:rsidRPr="00F4021E">
        <w:rPr>
          <w:szCs w:val="24"/>
          <w:lang w:eastAsia="en-US"/>
        </w:rPr>
        <w:t xml:space="preserve">s (i.e. gaming entitlements which are being actively used by the </w:t>
      </w:r>
      <w:r w:rsidR="00F13192">
        <w:rPr>
          <w:szCs w:val="24"/>
          <w:lang w:eastAsia="en-US"/>
        </w:rPr>
        <w:t>venue o</w:t>
      </w:r>
      <w:r w:rsidR="00472069">
        <w:rPr>
          <w:szCs w:val="24"/>
          <w:lang w:eastAsia="en-US"/>
        </w:rPr>
        <w:t>perator</w:t>
      </w:r>
      <w:r w:rsidR="00390E23" w:rsidRPr="00F4021E">
        <w:rPr>
          <w:szCs w:val="24"/>
          <w:lang w:eastAsia="en-US"/>
        </w:rPr>
        <w:t xml:space="preserve">). </w:t>
      </w:r>
      <w:r w:rsidR="00F50D14" w:rsidRPr="003119C6">
        <w:rPr>
          <w:b/>
          <w:szCs w:val="24"/>
          <w:lang w:eastAsia="en-US"/>
        </w:rPr>
        <w:t>Preliminary working estimates of t</w:t>
      </w:r>
      <w:r w:rsidR="006B4560" w:rsidRPr="003119C6">
        <w:rPr>
          <w:b/>
          <w:szCs w:val="24"/>
          <w:lang w:eastAsia="en-US"/>
        </w:rPr>
        <w:t>he cost of the charge per entitlement held is $</w:t>
      </w:r>
      <w:r w:rsidR="00F143D0" w:rsidRPr="003119C6">
        <w:rPr>
          <w:b/>
          <w:szCs w:val="24"/>
          <w:lang w:eastAsia="en-US"/>
        </w:rPr>
        <w:t>16.36</w:t>
      </w:r>
      <w:r w:rsidR="006B4560" w:rsidRPr="003119C6">
        <w:rPr>
          <w:b/>
          <w:szCs w:val="24"/>
          <w:lang w:eastAsia="en-US"/>
        </w:rPr>
        <w:t xml:space="preserve"> and per operating</w:t>
      </w:r>
      <w:r w:rsidR="001464E8" w:rsidRPr="003119C6">
        <w:rPr>
          <w:b/>
          <w:szCs w:val="24"/>
          <w:lang w:eastAsia="en-US"/>
        </w:rPr>
        <w:t xml:space="preserve"> gaming machine</w:t>
      </w:r>
      <w:r w:rsidR="006B4560" w:rsidRPr="003119C6">
        <w:rPr>
          <w:b/>
          <w:szCs w:val="24"/>
          <w:lang w:eastAsia="en-US"/>
        </w:rPr>
        <w:t xml:space="preserve"> is $</w:t>
      </w:r>
      <w:r w:rsidR="00F143D0" w:rsidRPr="003119C6">
        <w:rPr>
          <w:b/>
          <w:szCs w:val="24"/>
          <w:lang w:eastAsia="en-US"/>
        </w:rPr>
        <w:t>191.67</w:t>
      </w:r>
      <w:r w:rsidR="00656118">
        <w:rPr>
          <w:b/>
          <w:szCs w:val="24"/>
          <w:lang w:eastAsia="en-US"/>
        </w:rPr>
        <w:t xml:space="preserve"> for 2012-13</w:t>
      </w:r>
      <w:r w:rsidR="006B4560" w:rsidRPr="003119C6">
        <w:rPr>
          <w:b/>
          <w:szCs w:val="24"/>
          <w:lang w:eastAsia="en-US"/>
        </w:rPr>
        <w:t>.</w:t>
      </w:r>
    </w:p>
    <w:p w:rsidR="00717ACB" w:rsidRDefault="00717ACB" w:rsidP="00390E23">
      <w:pPr>
        <w:spacing w:before="240" w:after="240"/>
        <w:rPr>
          <w:szCs w:val="24"/>
          <w:lang w:eastAsia="en-US"/>
        </w:rPr>
      </w:pPr>
    </w:p>
    <w:p w:rsidR="00717ACB" w:rsidRPr="00390E23" w:rsidRDefault="00717ACB" w:rsidP="004A4CF4">
      <w:pPr>
        <w:pStyle w:val="Heading5"/>
        <w:spacing w:before="0"/>
      </w:pPr>
      <w:r w:rsidRPr="00390E23">
        <w:t>Table 6.</w:t>
      </w:r>
      <w:r>
        <w:t>5</w:t>
      </w:r>
      <w:r w:rsidRPr="00390E23">
        <w:t xml:space="preserve">: </w:t>
      </w:r>
      <w:r>
        <w:t>Multi-</w:t>
      </w:r>
      <w:r w:rsidR="004A4CF4">
        <w:t>criteria analysis of Option A (t</w:t>
      </w:r>
      <w:r>
        <w:t>w</w:t>
      </w:r>
      <w:r w:rsidR="004A4CF4">
        <w:t>o-tiered charge on entitlements and</w:t>
      </w:r>
      <w:r>
        <w:t xml:space="preserve"> </w:t>
      </w:r>
      <w:r w:rsidR="00887FE5">
        <w:t>gaming machine</w:t>
      </w:r>
      <w:r>
        <w:t>s)</w:t>
      </w:r>
    </w:p>
    <w:tbl>
      <w:tblPr>
        <w:tblW w:w="0" w:type="auto"/>
        <w:tblInd w:w="907" w:type="dxa"/>
        <w:tblBorders>
          <w:top w:val="single" w:sz="2" w:space="0" w:color="auto"/>
          <w:bottom w:val="single" w:sz="2" w:space="0" w:color="auto"/>
          <w:insideH w:val="single" w:sz="2" w:space="0" w:color="auto"/>
        </w:tblBorders>
        <w:tblCellMar>
          <w:left w:w="113" w:type="dxa"/>
          <w:right w:w="113" w:type="dxa"/>
        </w:tblCellMar>
        <w:tblLook w:val="04A0" w:firstRow="1" w:lastRow="0" w:firstColumn="1" w:lastColumn="0" w:noHBand="0" w:noVBand="1"/>
      </w:tblPr>
      <w:tblGrid>
        <w:gridCol w:w="6212"/>
        <w:gridCol w:w="992"/>
        <w:gridCol w:w="1199"/>
      </w:tblGrid>
      <w:tr w:rsidR="00390E23" w:rsidRPr="00390E23" w:rsidTr="004A4CF4">
        <w:trPr>
          <w:cantSplit/>
          <w:trHeight w:val="496"/>
          <w:tblHeader/>
        </w:trPr>
        <w:tc>
          <w:tcPr>
            <w:tcW w:w="6212" w:type="dxa"/>
            <w:tcBorders>
              <w:top w:val="single" w:sz="2" w:space="0" w:color="auto"/>
              <w:left w:val="nil"/>
              <w:bottom w:val="single" w:sz="2" w:space="0" w:color="auto"/>
              <w:right w:val="nil"/>
              <w:tl2br w:val="nil"/>
              <w:tr2bl w:val="nil"/>
            </w:tcBorders>
            <w:shd w:val="clear" w:color="auto" w:fill="D9D9D9"/>
          </w:tcPr>
          <w:p w:rsidR="00390E23" w:rsidRPr="00390E23" w:rsidRDefault="004A4CF4" w:rsidP="004A4CF4">
            <w:pPr>
              <w:spacing w:before="120" w:after="120"/>
              <w:ind w:left="0"/>
              <w:rPr>
                <w:b/>
                <w:sz w:val="20"/>
                <w:szCs w:val="20"/>
                <w:lang w:eastAsia="en-US"/>
              </w:rPr>
            </w:pPr>
            <w:r>
              <w:rPr>
                <w:b/>
                <w:sz w:val="20"/>
                <w:szCs w:val="20"/>
                <w:lang w:eastAsia="en-US"/>
              </w:rPr>
              <w:t>Criteria and</w:t>
            </w:r>
            <w:r w:rsidR="00390E23" w:rsidRPr="00390E23">
              <w:rPr>
                <w:b/>
                <w:sz w:val="20"/>
                <w:szCs w:val="20"/>
                <w:lang w:eastAsia="en-US"/>
              </w:rPr>
              <w:t xml:space="preserve"> </w:t>
            </w:r>
            <w:r>
              <w:rPr>
                <w:b/>
                <w:sz w:val="20"/>
                <w:szCs w:val="20"/>
                <w:lang w:eastAsia="en-US"/>
              </w:rPr>
              <w:t>c</w:t>
            </w:r>
            <w:r w:rsidR="00390E23" w:rsidRPr="00390E23">
              <w:rPr>
                <w:b/>
                <w:sz w:val="20"/>
                <w:szCs w:val="20"/>
                <w:lang w:eastAsia="en-US"/>
              </w:rPr>
              <w:t>omments</w:t>
            </w:r>
          </w:p>
        </w:tc>
        <w:tc>
          <w:tcPr>
            <w:tcW w:w="992" w:type="dxa"/>
            <w:tcBorders>
              <w:top w:val="single" w:sz="2" w:space="0" w:color="auto"/>
              <w:left w:val="nil"/>
              <w:bottom w:val="single" w:sz="2" w:space="0" w:color="auto"/>
              <w:right w:val="nil"/>
              <w:tl2br w:val="nil"/>
              <w:tr2bl w:val="nil"/>
            </w:tcBorders>
            <w:shd w:val="clear" w:color="auto" w:fill="D9D9D9"/>
          </w:tcPr>
          <w:p w:rsidR="00390E23" w:rsidRPr="00390E23" w:rsidRDefault="00390E23" w:rsidP="00390E23">
            <w:pPr>
              <w:spacing w:before="120" w:after="120"/>
              <w:ind w:left="0"/>
              <w:jc w:val="center"/>
              <w:rPr>
                <w:b/>
                <w:sz w:val="20"/>
                <w:szCs w:val="20"/>
                <w:lang w:eastAsia="en-US"/>
              </w:rPr>
            </w:pPr>
            <w:r w:rsidRPr="00390E23">
              <w:rPr>
                <w:b/>
                <w:sz w:val="20"/>
                <w:szCs w:val="20"/>
                <w:lang w:eastAsia="en-US"/>
              </w:rPr>
              <w:t>Score</w:t>
            </w:r>
          </w:p>
        </w:tc>
        <w:tc>
          <w:tcPr>
            <w:tcW w:w="1199" w:type="dxa"/>
            <w:tcBorders>
              <w:top w:val="single" w:sz="2" w:space="0" w:color="auto"/>
              <w:left w:val="nil"/>
              <w:bottom w:val="single" w:sz="2" w:space="0" w:color="auto"/>
              <w:right w:val="nil"/>
              <w:tl2br w:val="nil"/>
              <w:tr2bl w:val="nil"/>
            </w:tcBorders>
            <w:shd w:val="clear" w:color="auto" w:fill="D9D9D9"/>
          </w:tcPr>
          <w:p w:rsidR="00390E23" w:rsidRPr="00390E23" w:rsidRDefault="00390E23" w:rsidP="00390E23">
            <w:pPr>
              <w:spacing w:before="120" w:after="120"/>
              <w:ind w:left="0"/>
              <w:jc w:val="center"/>
              <w:rPr>
                <w:b/>
                <w:sz w:val="20"/>
                <w:szCs w:val="20"/>
                <w:lang w:eastAsia="en-US"/>
              </w:rPr>
            </w:pPr>
            <w:r w:rsidRPr="00390E23">
              <w:rPr>
                <w:b/>
                <w:sz w:val="20"/>
                <w:szCs w:val="20"/>
                <w:lang w:eastAsia="en-US"/>
              </w:rPr>
              <w:t>Weighted score</w:t>
            </w:r>
          </w:p>
        </w:tc>
      </w:tr>
      <w:tr w:rsidR="00390E23" w:rsidRPr="00390E23" w:rsidTr="00F4021E">
        <w:trPr>
          <w:cantSplit/>
          <w:trHeight w:val="3234"/>
        </w:trPr>
        <w:tc>
          <w:tcPr>
            <w:tcW w:w="6212" w:type="dxa"/>
            <w:shd w:val="clear" w:color="auto" w:fill="auto"/>
          </w:tcPr>
          <w:p w:rsidR="00390E23" w:rsidRPr="00390E23" w:rsidRDefault="00390E23" w:rsidP="004A4CF4">
            <w:pPr>
              <w:spacing w:before="120" w:after="120"/>
              <w:ind w:left="0"/>
              <w:rPr>
                <w:b/>
                <w:sz w:val="20"/>
                <w:szCs w:val="20"/>
                <w:lang w:eastAsia="en-US"/>
              </w:rPr>
            </w:pPr>
            <w:r w:rsidRPr="00390E23">
              <w:rPr>
                <w:b/>
                <w:sz w:val="20"/>
                <w:szCs w:val="20"/>
                <w:lang w:eastAsia="en-US"/>
              </w:rPr>
              <w:t>Efficiency</w:t>
            </w:r>
          </w:p>
          <w:p w:rsidR="00390E23" w:rsidRPr="00390E23" w:rsidRDefault="00B61A29" w:rsidP="004A4CF4">
            <w:pPr>
              <w:spacing w:before="120" w:after="120"/>
              <w:ind w:left="0"/>
              <w:rPr>
                <w:sz w:val="20"/>
                <w:szCs w:val="20"/>
                <w:lang w:eastAsia="en-US"/>
              </w:rPr>
            </w:pPr>
            <w:r>
              <w:rPr>
                <w:sz w:val="20"/>
                <w:szCs w:val="20"/>
                <w:lang w:eastAsia="en-US"/>
              </w:rPr>
              <w:t>Option A</w:t>
            </w:r>
            <w:r w:rsidR="00390E23" w:rsidRPr="00390E23">
              <w:rPr>
                <w:sz w:val="20"/>
                <w:szCs w:val="20"/>
                <w:lang w:eastAsia="en-US"/>
              </w:rPr>
              <w:t xml:space="preserve"> is unlikely to influence the business decisions of </w:t>
            </w:r>
            <w:r w:rsidR="00F13192">
              <w:rPr>
                <w:sz w:val="20"/>
                <w:szCs w:val="20"/>
                <w:lang w:eastAsia="en-US"/>
              </w:rPr>
              <w:t>venue o</w:t>
            </w:r>
            <w:r w:rsidR="00472069">
              <w:rPr>
                <w:sz w:val="20"/>
                <w:szCs w:val="20"/>
                <w:lang w:eastAsia="en-US"/>
              </w:rPr>
              <w:t>perator</w:t>
            </w:r>
            <w:r w:rsidR="00390E23" w:rsidRPr="00390E23">
              <w:rPr>
                <w:sz w:val="20"/>
                <w:szCs w:val="20"/>
                <w:lang w:eastAsia="en-US"/>
              </w:rPr>
              <w:t>s (compared to had the charge not been levied).</w:t>
            </w:r>
          </w:p>
          <w:p w:rsidR="00390E23" w:rsidRPr="00390E23" w:rsidRDefault="00390E23" w:rsidP="004A4CF4">
            <w:pPr>
              <w:spacing w:before="120" w:after="120"/>
              <w:ind w:left="0"/>
              <w:rPr>
                <w:sz w:val="20"/>
                <w:szCs w:val="20"/>
                <w:lang w:eastAsia="en-US"/>
              </w:rPr>
            </w:pPr>
            <w:r w:rsidRPr="00390E23">
              <w:rPr>
                <w:sz w:val="20"/>
                <w:szCs w:val="20"/>
                <w:lang w:eastAsia="en-US"/>
              </w:rPr>
              <w:t xml:space="preserve">It is theoretically possible that a venue could choose to reduce its number of operating </w:t>
            </w:r>
            <w:r w:rsidR="00887FE5">
              <w:rPr>
                <w:sz w:val="20"/>
                <w:szCs w:val="20"/>
                <w:lang w:eastAsia="en-US"/>
              </w:rPr>
              <w:t>gaming machine</w:t>
            </w:r>
            <w:r w:rsidRPr="00390E23">
              <w:rPr>
                <w:sz w:val="20"/>
                <w:szCs w:val="20"/>
                <w:lang w:eastAsia="en-US"/>
              </w:rPr>
              <w:t xml:space="preserve">s in order to reduce their supervision charge amount. However, there is unlikely to be an incentive to do so because the benefit would be </w:t>
            </w:r>
            <w:r w:rsidR="00DB7241">
              <w:rPr>
                <w:sz w:val="20"/>
                <w:szCs w:val="20"/>
                <w:lang w:eastAsia="en-US"/>
              </w:rPr>
              <w:t>more than offset</w:t>
            </w:r>
            <w:r w:rsidRPr="00390E23">
              <w:rPr>
                <w:sz w:val="20"/>
                <w:szCs w:val="20"/>
                <w:lang w:eastAsia="en-US"/>
              </w:rPr>
              <w:t xml:space="preserve"> by </w:t>
            </w:r>
            <w:r w:rsidR="00DB7241">
              <w:rPr>
                <w:sz w:val="20"/>
                <w:szCs w:val="20"/>
                <w:lang w:eastAsia="en-US"/>
              </w:rPr>
              <w:t>substantially</w:t>
            </w:r>
            <w:r w:rsidR="00DB7241" w:rsidRPr="00390E23">
              <w:rPr>
                <w:sz w:val="20"/>
                <w:szCs w:val="20"/>
                <w:lang w:eastAsia="en-US"/>
              </w:rPr>
              <w:t xml:space="preserve"> </w:t>
            </w:r>
            <w:r w:rsidRPr="00390E23">
              <w:rPr>
                <w:sz w:val="20"/>
                <w:szCs w:val="20"/>
                <w:lang w:eastAsia="en-US"/>
              </w:rPr>
              <w:t xml:space="preserve">larger revenues forgone from not operating the </w:t>
            </w:r>
            <w:r w:rsidR="00887FE5">
              <w:rPr>
                <w:sz w:val="20"/>
                <w:szCs w:val="20"/>
                <w:lang w:eastAsia="en-US"/>
              </w:rPr>
              <w:t>gaming machine</w:t>
            </w:r>
            <w:r w:rsidRPr="00390E23">
              <w:rPr>
                <w:sz w:val="20"/>
                <w:szCs w:val="20"/>
                <w:lang w:eastAsia="en-US"/>
              </w:rPr>
              <w:t xml:space="preserve">s. </w:t>
            </w:r>
            <w:r w:rsidR="004D711E">
              <w:rPr>
                <w:sz w:val="20"/>
                <w:szCs w:val="20"/>
                <w:lang w:eastAsia="en-US"/>
              </w:rPr>
              <w:t>As e</w:t>
            </w:r>
            <w:r w:rsidR="00DB7241">
              <w:rPr>
                <w:sz w:val="20"/>
                <w:szCs w:val="20"/>
                <w:lang w:eastAsia="en-US"/>
              </w:rPr>
              <w:t xml:space="preserve">ntitlements are an asset, it would be against a venue’s interest to incur costs holding an asset but not seek to generate returns from it. </w:t>
            </w:r>
            <w:r w:rsidRPr="00390E23">
              <w:rPr>
                <w:sz w:val="20"/>
                <w:szCs w:val="20"/>
                <w:lang w:eastAsia="en-US"/>
              </w:rPr>
              <w:t>In addition</w:t>
            </w:r>
            <w:r w:rsidR="00CE62C8">
              <w:rPr>
                <w:sz w:val="20"/>
                <w:szCs w:val="20"/>
                <w:lang w:eastAsia="en-US"/>
              </w:rPr>
              <w:t>,</w:t>
            </w:r>
            <w:r w:rsidRPr="00390E23">
              <w:rPr>
                <w:sz w:val="20"/>
                <w:szCs w:val="20"/>
                <w:lang w:eastAsia="en-US"/>
              </w:rPr>
              <w:t xml:space="preserve"> the </w:t>
            </w:r>
            <w:r w:rsidR="004A4CF4">
              <w:rPr>
                <w:sz w:val="20"/>
                <w:szCs w:val="20"/>
                <w:lang w:eastAsia="en-US"/>
              </w:rPr>
              <w:t>six</w:t>
            </w:r>
            <w:r w:rsidRPr="00390E23">
              <w:rPr>
                <w:sz w:val="20"/>
                <w:szCs w:val="20"/>
                <w:lang w:eastAsia="en-US"/>
              </w:rPr>
              <w:t xml:space="preserve">-month </w:t>
            </w:r>
            <w:r w:rsidR="00DB7241">
              <w:rPr>
                <w:sz w:val="20"/>
                <w:szCs w:val="20"/>
                <w:lang w:eastAsia="en-US"/>
              </w:rPr>
              <w:t>‘</w:t>
            </w:r>
            <w:r w:rsidRPr="00390E23">
              <w:rPr>
                <w:sz w:val="20"/>
                <w:szCs w:val="20"/>
                <w:lang w:eastAsia="en-US"/>
              </w:rPr>
              <w:t>use it or lose it’ provisions in the GRA (applying to unused gaming entitlements) negate the incentive further.</w:t>
            </w:r>
            <w:r w:rsidR="00A75C74">
              <w:rPr>
                <w:sz w:val="20"/>
                <w:szCs w:val="20"/>
                <w:lang w:eastAsia="en-US"/>
              </w:rPr>
              <w:t xml:space="preserve"> </w:t>
            </w:r>
          </w:p>
        </w:tc>
        <w:tc>
          <w:tcPr>
            <w:tcW w:w="992" w:type="dxa"/>
            <w:shd w:val="clear" w:color="auto" w:fill="auto"/>
          </w:tcPr>
          <w:p w:rsidR="00390E23" w:rsidRPr="00390E23" w:rsidRDefault="00390E23" w:rsidP="004A4CF4">
            <w:pPr>
              <w:spacing w:before="120" w:after="120"/>
              <w:ind w:left="0"/>
              <w:jc w:val="center"/>
              <w:rPr>
                <w:sz w:val="20"/>
                <w:szCs w:val="20"/>
                <w:lang w:eastAsia="en-US"/>
              </w:rPr>
            </w:pPr>
            <w:r w:rsidRPr="00390E23">
              <w:rPr>
                <w:sz w:val="20"/>
                <w:szCs w:val="20"/>
                <w:lang w:eastAsia="en-US"/>
              </w:rPr>
              <w:t>+</w:t>
            </w:r>
            <w:r w:rsidR="00145527">
              <w:rPr>
                <w:sz w:val="20"/>
                <w:szCs w:val="20"/>
                <w:lang w:eastAsia="en-US"/>
              </w:rPr>
              <w:t>8</w:t>
            </w:r>
          </w:p>
        </w:tc>
        <w:tc>
          <w:tcPr>
            <w:tcW w:w="1199" w:type="dxa"/>
            <w:shd w:val="clear" w:color="auto" w:fill="auto"/>
          </w:tcPr>
          <w:p w:rsidR="00390E23" w:rsidRPr="00390E23" w:rsidRDefault="00390E23" w:rsidP="004A4CF4">
            <w:pPr>
              <w:spacing w:before="120" w:after="120"/>
              <w:ind w:left="0"/>
              <w:jc w:val="center"/>
              <w:rPr>
                <w:sz w:val="20"/>
                <w:szCs w:val="20"/>
                <w:lang w:eastAsia="en-US"/>
              </w:rPr>
            </w:pPr>
            <w:r w:rsidRPr="00390E23">
              <w:rPr>
                <w:sz w:val="20"/>
                <w:szCs w:val="20"/>
                <w:lang w:eastAsia="en-US"/>
              </w:rPr>
              <w:t>+2.</w:t>
            </w:r>
            <w:r w:rsidR="00145527">
              <w:rPr>
                <w:sz w:val="20"/>
                <w:szCs w:val="20"/>
                <w:lang w:eastAsia="en-US"/>
              </w:rPr>
              <w:t>4</w:t>
            </w:r>
          </w:p>
        </w:tc>
      </w:tr>
      <w:tr w:rsidR="00390E23" w:rsidRPr="00390E23" w:rsidTr="00F4021E">
        <w:trPr>
          <w:cantSplit/>
        </w:trPr>
        <w:tc>
          <w:tcPr>
            <w:tcW w:w="6212" w:type="dxa"/>
            <w:shd w:val="clear" w:color="auto" w:fill="auto"/>
          </w:tcPr>
          <w:p w:rsidR="00390E23" w:rsidRPr="00390E23" w:rsidRDefault="00390E23" w:rsidP="00717ACB">
            <w:pPr>
              <w:spacing w:before="180" w:after="180"/>
              <w:ind w:left="0"/>
              <w:rPr>
                <w:b/>
                <w:sz w:val="20"/>
                <w:szCs w:val="20"/>
                <w:lang w:eastAsia="en-US"/>
              </w:rPr>
            </w:pPr>
            <w:r w:rsidRPr="00390E23">
              <w:rPr>
                <w:b/>
                <w:sz w:val="20"/>
                <w:szCs w:val="20"/>
                <w:lang w:eastAsia="en-US"/>
              </w:rPr>
              <w:t>Equity</w:t>
            </w:r>
          </w:p>
          <w:p w:rsidR="00390E23" w:rsidRPr="00390E23" w:rsidRDefault="00390E23" w:rsidP="004A4CF4">
            <w:pPr>
              <w:spacing w:before="180" w:after="0"/>
              <w:ind w:left="0"/>
              <w:rPr>
                <w:sz w:val="20"/>
                <w:szCs w:val="20"/>
                <w:lang w:eastAsia="en-US"/>
              </w:rPr>
            </w:pPr>
            <w:r w:rsidRPr="00390E23">
              <w:rPr>
                <w:sz w:val="20"/>
                <w:szCs w:val="20"/>
                <w:lang w:eastAsia="en-US"/>
              </w:rPr>
              <w:t xml:space="preserve">This option minimises cross-subsidies in two ways. </w:t>
            </w:r>
          </w:p>
          <w:p w:rsidR="00390E23" w:rsidRPr="004A4CF4" w:rsidRDefault="004A4CF4" w:rsidP="004A4CF4">
            <w:pPr>
              <w:pStyle w:val="ListParagraph"/>
              <w:numPr>
                <w:ilvl w:val="0"/>
                <w:numId w:val="46"/>
              </w:numPr>
              <w:spacing w:before="0" w:after="180"/>
              <w:ind w:left="714" w:hanging="357"/>
              <w:rPr>
                <w:sz w:val="20"/>
                <w:szCs w:val="20"/>
                <w:lang w:eastAsia="en-US"/>
              </w:rPr>
            </w:pPr>
            <w:r>
              <w:rPr>
                <w:sz w:val="20"/>
                <w:szCs w:val="20"/>
                <w:lang w:eastAsia="en-US"/>
              </w:rPr>
              <w:t>T</w:t>
            </w:r>
            <w:r w:rsidR="00390E23" w:rsidRPr="004A4CF4">
              <w:rPr>
                <w:sz w:val="20"/>
                <w:szCs w:val="20"/>
                <w:lang w:eastAsia="en-US"/>
              </w:rPr>
              <w:t xml:space="preserve">his option is levied on a unit basis; i.e. per entitlement and per operating </w:t>
            </w:r>
            <w:r w:rsidR="0078188C" w:rsidRPr="004A4CF4">
              <w:rPr>
                <w:sz w:val="20"/>
                <w:szCs w:val="20"/>
                <w:lang w:eastAsia="en-US"/>
              </w:rPr>
              <w:t>gaming machine</w:t>
            </w:r>
            <w:r w:rsidR="00390E23" w:rsidRPr="004A4CF4">
              <w:rPr>
                <w:sz w:val="20"/>
                <w:szCs w:val="20"/>
                <w:lang w:eastAsia="en-US"/>
              </w:rPr>
              <w:t xml:space="preserve">. Venues with more </w:t>
            </w:r>
            <w:r w:rsidR="00887FE5" w:rsidRPr="004A4CF4">
              <w:rPr>
                <w:sz w:val="20"/>
                <w:szCs w:val="20"/>
                <w:lang w:eastAsia="en-US"/>
              </w:rPr>
              <w:t>gaming machines</w:t>
            </w:r>
            <w:r w:rsidR="00390E23" w:rsidRPr="004A4CF4">
              <w:rPr>
                <w:sz w:val="20"/>
                <w:szCs w:val="20"/>
                <w:lang w:eastAsia="en-US"/>
              </w:rPr>
              <w:t xml:space="preserve"> pay more than smaller venues with fewer </w:t>
            </w:r>
            <w:r w:rsidR="00887FE5" w:rsidRPr="004A4CF4">
              <w:rPr>
                <w:sz w:val="20"/>
                <w:szCs w:val="20"/>
                <w:lang w:eastAsia="en-US"/>
              </w:rPr>
              <w:t>gaming machines</w:t>
            </w:r>
            <w:r w:rsidR="00390E23" w:rsidRPr="004A4CF4">
              <w:rPr>
                <w:sz w:val="20"/>
                <w:szCs w:val="20"/>
                <w:lang w:eastAsia="en-US"/>
              </w:rPr>
              <w:t>.</w:t>
            </w:r>
          </w:p>
          <w:p w:rsidR="00390E23" w:rsidRPr="004A4CF4" w:rsidRDefault="004A4CF4" w:rsidP="004A4CF4">
            <w:pPr>
              <w:pStyle w:val="ListParagraph"/>
              <w:numPr>
                <w:ilvl w:val="0"/>
                <w:numId w:val="46"/>
              </w:numPr>
              <w:spacing w:before="180" w:after="180"/>
              <w:rPr>
                <w:sz w:val="20"/>
                <w:szCs w:val="20"/>
                <w:lang w:eastAsia="en-US"/>
              </w:rPr>
            </w:pPr>
            <w:r>
              <w:rPr>
                <w:sz w:val="20"/>
                <w:szCs w:val="20"/>
                <w:lang w:eastAsia="en-US"/>
              </w:rPr>
              <w:t>T</w:t>
            </w:r>
            <w:r w:rsidR="00390E23" w:rsidRPr="004A4CF4">
              <w:rPr>
                <w:sz w:val="20"/>
                <w:szCs w:val="20"/>
                <w:lang w:eastAsia="en-US"/>
              </w:rPr>
              <w:t xml:space="preserve">he costs of regulating the entitlement system overall are separated from the costs of regulating operating </w:t>
            </w:r>
            <w:r w:rsidR="00887FE5" w:rsidRPr="004A4CF4">
              <w:rPr>
                <w:sz w:val="20"/>
                <w:szCs w:val="20"/>
                <w:lang w:eastAsia="en-US"/>
              </w:rPr>
              <w:t>gaming machine</w:t>
            </w:r>
            <w:r w:rsidR="00390E23" w:rsidRPr="004A4CF4">
              <w:rPr>
                <w:sz w:val="20"/>
                <w:szCs w:val="20"/>
                <w:lang w:eastAsia="en-US"/>
              </w:rPr>
              <w:t xml:space="preserve">s. The cost of regulating the entitlement system is relatively low, with entitlement related costs consisting of around </w:t>
            </w:r>
            <w:r w:rsidR="008E73E4" w:rsidRPr="004A4CF4">
              <w:rPr>
                <w:sz w:val="20"/>
                <w:szCs w:val="20"/>
                <w:lang w:eastAsia="en-US"/>
              </w:rPr>
              <w:t xml:space="preserve">eight </w:t>
            </w:r>
            <w:r w:rsidR="00390E23" w:rsidRPr="004A4CF4">
              <w:rPr>
                <w:sz w:val="20"/>
                <w:szCs w:val="20"/>
                <w:lang w:eastAsia="en-US"/>
              </w:rPr>
              <w:t>per cent of VCGLR’s total annual regulatory costs</w:t>
            </w:r>
            <w:r w:rsidR="00CE62C8" w:rsidRPr="004A4CF4">
              <w:rPr>
                <w:sz w:val="20"/>
                <w:szCs w:val="20"/>
                <w:lang w:eastAsia="en-US"/>
              </w:rPr>
              <w:t>,</w:t>
            </w:r>
            <w:r w:rsidR="00390E23" w:rsidRPr="004A4CF4">
              <w:rPr>
                <w:sz w:val="20"/>
                <w:szCs w:val="20"/>
                <w:lang w:eastAsia="en-US"/>
              </w:rPr>
              <w:t xml:space="preserve"> </w:t>
            </w:r>
            <w:r w:rsidR="00CE62C8" w:rsidRPr="004A4CF4">
              <w:rPr>
                <w:sz w:val="20"/>
                <w:szCs w:val="20"/>
                <w:lang w:eastAsia="en-US"/>
              </w:rPr>
              <w:t>r</w:t>
            </w:r>
            <w:r w:rsidR="00390E23" w:rsidRPr="004A4CF4">
              <w:rPr>
                <w:sz w:val="20"/>
                <w:szCs w:val="20"/>
                <w:lang w:eastAsia="en-US"/>
              </w:rPr>
              <w:t>eflecting the comparatively lower costs</w:t>
            </w:r>
            <w:r w:rsidR="00A75C74" w:rsidRPr="004A4CF4">
              <w:rPr>
                <w:sz w:val="20"/>
                <w:szCs w:val="20"/>
                <w:lang w:eastAsia="en-US"/>
              </w:rPr>
              <w:t xml:space="preserve"> and substantially different cost structure </w:t>
            </w:r>
            <w:r w:rsidR="00CE62C8" w:rsidRPr="004A4CF4">
              <w:rPr>
                <w:sz w:val="20"/>
                <w:szCs w:val="20"/>
                <w:lang w:eastAsia="en-US"/>
              </w:rPr>
              <w:t>f</w:t>
            </w:r>
            <w:r w:rsidR="00A75C74" w:rsidRPr="004A4CF4">
              <w:rPr>
                <w:sz w:val="20"/>
                <w:szCs w:val="20"/>
                <w:lang w:eastAsia="en-US"/>
              </w:rPr>
              <w:t>or regulating entitlements,</w:t>
            </w:r>
            <w:r w:rsidR="00390E23" w:rsidRPr="004A4CF4">
              <w:rPr>
                <w:sz w:val="20"/>
                <w:szCs w:val="20"/>
                <w:lang w:eastAsia="en-US"/>
              </w:rPr>
              <w:t xml:space="preserve"> venues holding more entitlements than operational </w:t>
            </w:r>
            <w:r w:rsidR="00887FE5" w:rsidRPr="004A4CF4">
              <w:rPr>
                <w:sz w:val="20"/>
                <w:szCs w:val="20"/>
                <w:lang w:eastAsia="en-US"/>
              </w:rPr>
              <w:t>gaming machines</w:t>
            </w:r>
            <w:r w:rsidR="00390E23" w:rsidRPr="004A4CF4">
              <w:rPr>
                <w:sz w:val="20"/>
                <w:szCs w:val="20"/>
                <w:lang w:eastAsia="en-US"/>
              </w:rPr>
              <w:t xml:space="preserve"> pay a relatively lower supervision charge under this option.</w:t>
            </w:r>
            <w:r w:rsidR="00A75C74" w:rsidRPr="004A4CF4">
              <w:rPr>
                <w:sz w:val="20"/>
                <w:szCs w:val="20"/>
                <w:lang w:eastAsia="en-US"/>
              </w:rPr>
              <w:t xml:space="preserve"> </w:t>
            </w:r>
          </w:p>
          <w:p w:rsidR="00A75C74" w:rsidRPr="00390E23" w:rsidRDefault="004A4CF4" w:rsidP="00717ACB">
            <w:pPr>
              <w:spacing w:before="180" w:after="180"/>
              <w:ind w:left="0"/>
              <w:rPr>
                <w:sz w:val="20"/>
                <w:szCs w:val="20"/>
                <w:lang w:eastAsia="en-US"/>
              </w:rPr>
            </w:pPr>
            <w:r>
              <w:rPr>
                <w:sz w:val="20"/>
                <w:szCs w:val="20"/>
                <w:lang w:eastAsia="en-US"/>
              </w:rPr>
              <w:t>V</w:t>
            </w:r>
            <w:r w:rsidR="00A75C74">
              <w:rPr>
                <w:sz w:val="20"/>
                <w:szCs w:val="20"/>
                <w:lang w:eastAsia="en-US"/>
              </w:rPr>
              <w:t xml:space="preserve">enues </w:t>
            </w:r>
            <w:r w:rsidR="00B05627">
              <w:rPr>
                <w:sz w:val="20"/>
                <w:szCs w:val="20"/>
                <w:lang w:eastAsia="en-US"/>
              </w:rPr>
              <w:t xml:space="preserve">that have </w:t>
            </w:r>
            <w:r w:rsidR="00A75C74">
              <w:rPr>
                <w:sz w:val="20"/>
                <w:szCs w:val="20"/>
                <w:lang w:eastAsia="en-US"/>
              </w:rPr>
              <w:t xml:space="preserve">not </w:t>
            </w:r>
            <w:r w:rsidR="004D711E">
              <w:rPr>
                <w:sz w:val="20"/>
                <w:szCs w:val="20"/>
                <w:lang w:eastAsia="en-US"/>
              </w:rPr>
              <w:t>u</w:t>
            </w:r>
            <w:r w:rsidR="00B05627">
              <w:rPr>
                <w:sz w:val="20"/>
                <w:szCs w:val="20"/>
                <w:lang w:eastAsia="en-US"/>
              </w:rPr>
              <w:t>sed gaming entitlements in 2012-13</w:t>
            </w:r>
            <w:r w:rsidR="00A75C74">
              <w:rPr>
                <w:sz w:val="20"/>
                <w:szCs w:val="20"/>
                <w:lang w:eastAsia="en-US"/>
              </w:rPr>
              <w:t xml:space="preserve"> are often doing so due to factors beyond their control. For example, a new venue may purchase entitlements but then spend a number of months waiting for </w:t>
            </w:r>
            <w:r w:rsidR="00B05627">
              <w:rPr>
                <w:sz w:val="20"/>
                <w:szCs w:val="20"/>
                <w:lang w:eastAsia="en-US"/>
              </w:rPr>
              <w:t>various</w:t>
            </w:r>
            <w:r w:rsidR="00A75C74">
              <w:rPr>
                <w:sz w:val="20"/>
                <w:szCs w:val="20"/>
                <w:lang w:eastAsia="en-US"/>
              </w:rPr>
              <w:t xml:space="preserve"> regulatory and planning approvals.</w:t>
            </w:r>
            <w:r w:rsidR="00B05627">
              <w:rPr>
                <w:sz w:val="20"/>
                <w:szCs w:val="20"/>
                <w:lang w:eastAsia="en-US"/>
              </w:rPr>
              <w:t xml:space="preserve"> In addition to this, some have spent a period of time building a new venue.</w:t>
            </w:r>
            <w:r w:rsidR="00A75C74">
              <w:rPr>
                <w:sz w:val="20"/>
                <w:szCs w:val="20"/>
                <w:lang w:eastAsia="en-US"/>
              </w:rPr>
              <w:t xml:space="preserve"> Charging such venue</w:t>
            </w:r>
            <w:r w:rsidR="00B05627">
              <w:rPr>
                <w:sz w:val="20"/>
                <w:szCs w:val="20"/>
                <w:lang w:eastAsia="en-US"/>
              </w:rPr>
              <w:t>s</w:t>
            </w:r>
            <w:r w:rsidR="00A75C74">
              <w:rPr>
                <w:sz w:val="20"/>
                <w:szCs w:val="20"/>
                <w:lang w:eastAsia="en-US"/>
              </w:rPr>
              <w:t xml:space="preserve"> in such situation</w:t>
            </w:r>
            <w:r w:rsidR="00B05627">
              <w:rPr>
                <w:sz w:val="20"/>
                <w:szCs w:val="20"/>
                <w:lang w:eastAsia="en-US"/>
              </w:rPr>
              <w:t>s</w:t>
            </w:r>
            <w:r w:rsidR="00A75C74">
              <w:rPr>
                <w:sz w:val="20"/>
                <w:szCs w:val="20"/>
                <w:lang w:eastAsia="en-US"/>
              </w:rPr>
              <w:t xml:space="preserve"> </w:t>
            </w:r>
            <w:r w:rsidR="00EB15DC">
              <w:rPr>
                <w:sz w:val="20"/>
                <w:szCs w:val="20"/>
                <w:lang w:eastAsia="en-US"/>
              </w:rPr>
              <w:t>a lower amount</w:t>
            </w:r>
            <w:r w:rsidR="002526AB">
              <w:rPr>
                <w:sz w:val="20"/>
                <w:szCs w:val="20"/>
                <w:lang w:eastAsia="en-US"/>
              </w:rPr>
              <w:t xml:space="preserve"> because they hold more entitlements compared to operating </w:t>
            </w:r>
            <w:r w:rsidR="00887FE5">
              <w:rPr>
                <w:sz w:val="20"/>
                <w:szCs w:val="20"/>
                <w:lang w:eastAsia="en-US"/>
              </w:rPr>
              <w:t>gaming machines</w:t>
            </w:r>
            <w:r w:rsidR="00237B86">
              <w:rPr>
                <w:sz w:val="20"/>
                <w:szCs w:val="20"/>
                <w:lang w:eastAsia="en-US"/>
              </w:rPr>
              <w:t>, would</w:t>
            </w:r>
            <w:r w:rsidR="00A75C74">
              <w:rPr>
                <w:sz w:val="20"/>
                <w:szCs w:val="20"/>
                <w:lang w:eastAsia="en-US"/>
              </w:rPr>
              <w:t xml:space="preserve"> be </w:t>
            </w:r>
            <w:r w:rsidR="00EB15DC">
              <w:rPr>
                <w:sz w:val="20"/>
                <w:szCs w:val="20"/>
                <w:lang w:eastAsia="en-US"/>
              </w:rPr>
              <w:t>equitable as</w:t>
            </w:r>
            <w:r w:rsidR="00A75C74">
              <w:rPr>
                <w:sz w:val="20"/>
                <w:szCs w:val="20"/>
                <w:lang w:eastAsia="en-US"/>
              </w:rPr>
              <w:t xml:space="preserve"> the venue </w:t>
            </w:r>
            <w:r w:rsidR="00DD7F70">
              <w:rPr>
                <w:sz w:val="20"/>
                <w:szCs w:val="20"/>
                <w:lang w:eastAsia="en-US"/>
              </w:rPr>
              <w:t xml:space="preserve">may not have </w:t>
            </w:r>
            <w:r w:rsidR="00A75C74">
              <w:rPr>
                <w:sz w:val="20"/>
                <w:szCs w:val="20"/>
                <w:lang w:eastAsia="en-US"/>
              </w:rPr>
              <w:t>contributed to</w:t>
            </w:r>
            <w:r w:rsidR="00EB15DC">
              <w:rPr>
                <w:sz w:val="20"/>
                <w:szCs w:val="20"/>
                <w:lang w:eastAsia="en-US"/>
              </w:rPr>
              <w:t xml:space="preserve"> the regulation of operating gaming machines</w:t>
            </w:r>
            <w:r w:rsidR="00A75C74">
              <w:rPr>
                <w:sz w:val="20"/>
                <w:szCs w:val="20"/>
                <w:lang w:eastAsia="en-US"/>
              </w:rPr>
              <w:t>.</w:t>
            </w:r>
          </w:p>
          <w:p w:rsidR="00390E23" w:rsidRPr="00390E23" w:rsidRDefault="005B6FA6" w:rsidP="00887FE5">
            <w:pPr>
              <w:spacing w:before="180" w:after="180"/>
              <w:ind w:left="0"/>
              <w:rPr>
                <w:sz w:val="20"/>
                <w:szCs w:val="20"/>
                <w:lang w:eastAsia="en-US"/>
              </w:rPr>
            </w:pPr>
            <w:r w:rsidRPr="005B6FA6">
              <w:rPr>
                <w:sz w:val="20"/>
                <w:szCs w:val="20"/>
                <w:lang w:eastAsia="en-US"/>
              </w:rPr>
              <w:t>This option operates under a system whereby regulatory costs are assumed to increase in line with the number of EGMs/entitlements held. Most of the costs incurred by VCGLR are in the licensing and associates monitoring area, where costs are largely driven by the activities of the licensees involved. As explained in Chapter 4, the VCGLR’s gaming regulatory costs are primarily driven by the actual demand for VCGLR’s regulatory functions. Basing the charge on the number of entitlements helps align with costs incurred through volume</w:t>
            </w:r>
            <w:r>
              <w:rPr>
                <w:sz w:val="20"/>
                <w:szCs w:val="20"/>
                <w:lang w:eastAsia="en-US"/>
              </w:rPr>
              <w:t xml:space="preserve"> based</w:t>
            </w:r>
            <w:r w:rsidRPr="005B6FA6">
              <w:rPr>
                <w:sz w:val="20"/>
                <w:szCs w:val="20"/>
                <w:lang w:eastAsia="en-US"/>
              </w:rPr>
              <w:t xml:space="preserve"> influences on VCGLR activities (e.g. volume and nature of audits are likely to be greater when more entitlements are held).</w:t>
            </w:r>
          </w:p>
        </w:tc>
        <w:tc>
          <w:tcPr>
            <w:tcW w:w="992" w:type="dxa"/>
            <w:shd w:val="clear" w:color="auto" w:fill="auto"/>
          </w:tcPr>
          <w:p w:rsidR="00390E23" w:rsidRPr="00390E23" w:rsidRDefault="00390E23" w:rsidP="00390E23">
            <w:pPr>
              <w:spacing w:before="240" w:after="240"/>
              <w:ind w:left="0"/>
              <w:jc w:val="center"/>
              <w:rPr>
                <w:sz w:val="20"/>
                <w:szCs w:val="20"/>
                <w:lang w:eastAsia="en-US"/>
              </w:rPr>
            </w:pPr>
            <w:r w:rsidRPr="00390E23">
              <w:rPr>
                <w:sz w:val="20"/>
                <w:szCs w:val="20"/>
                <w:lang w:eastAsia="en-US"/>
              </w:rPr>
              <w:t>+</w:t>
            </w:r>
            <w:r w:rsidR="00145527">
              <w:rPr>
                <w:sz w:val="20"/>
                <w:szCs w:val="20"/>
                <w:lang w:eastAsia="en-US"/>
              </w:rPr>
              <w:t>7</w:t>
            </w:r>
          </w:p>
        </w:tc>
        <w:tc>
          <w:tcPr>
            <w:tcW w:w="1199" w:type="dxa"/>
            <w:shd w:val="clear" w:color="auto" w:fill="auto"/>
          </w:tcPr>
          <w:p w:rsidR="00390E23" w:rsidRPr="00390E23" w:rsidRDefault="00390E23" w:rsidP="00390E23">
            <w:pPr>
              <w:spacing w:before="240" w:after="240"/>
              <w:ind w:left="0"/>
              <w:jc w:val="center"/>
              <w:rPr>
                <w:sz w:val="20"/>
                <w:szCs w:val="20"/>
                <w:lang w:eastAsia="en-US"/>
              </w:rPr>
            </w:pPr>
            <w:r w:rsidRPr="00390E23">
              <w:rPr>
                <w:sz w:val="20"/>
                <w:szCs w:val="20"/>
                <w:lang w:eastAsia="en-US"/>
              </w:rPr>
              <w:t>+</w:t>
            </w:r>
            <w:r w:rsidR="00145527">
              <w:rPr>
                <w:sz w:val="20"/>
                <w:szCs w:val="20"/>
                <w:lang w:eastAsia="en-US"/>
              </w:rPr>
              <w:t>2.1</w:t>
            </w:r>
          </w:p>
        </w:tc>
      </w:tr>
      <w:tr w:rsidR="00390E23" w:rsidRPr="00390E23" w:rsidTr="00F4021E">
        <w:trPr>
          <w:cantSplit/>
        </w:trPr>
        <w:tc>
          <w:tcPr>
            <w:tcW w:w="6212" w:type="dxa"/>
            <w:shd w:val="clear" w:color="auto" w:fill="auto"/>
          </w:tcPr>
          <w:p w:rsidR="00390E23" w:rsidRPr="00390E23" w:rsidRDefault="00390E23" w:rsidP="00390E23">
            <w:pPr>
              <w:spacing w:before="240" w:after="240"/>
              <w:ind w:left="0"/>
              <w:rPr>
                <w:b/>
                <w:sz w:val="20"/>
                <w:szCs w:val="20"/>
                <w:lang w:eastAsia="en-US"/>
              </w:rPr>
            </w:pPr>
            <w:r w:rsidRPr="00390E23">
              <w:rPr>
                <w:b/>
                <w:sz w:val="20"/>
                <w:szCs w:val="20"/>
                <w:lang w:eastAsia="en-US"/>
              </w:rPr>
              <w:t>Cost Effectiveness</w:t>
            </w:r>
          </w:p>
          <w:p w:rsidR="00390E23" w:rsidRPr="00390E23" w:rsidRDefault="00390E23" w:rsidP="00390E23">
            <w:pPr>
              <w:spacing w:before="240" w:after="240"/>
              <w:ind w:left="0"/>
              <w:rPr>
                <w:sz w:val="20"/>
                <w:szCs w:val="20"/>
                <w:lang w:eastAsia="en-US"/>
              </w:rPr>
            </w:pPr>
            <w:r w:rsidRPr="00390E23">
              <w:rPr>
                <w:sz w:val="20"/>
                <w:szCs w:val="20"/>
                <w:lang w:eastAsia="en-US"/>
              </w:rPr>
              <w:t xml:space="preserve">Compliance costs to venues are minimal </w:t>
            </w:r>
            <w:r w:rsidR="00DD7F70">
              <w:rPr>
                <w:sz w:val="20"/>
                <w:szCs w:val="20"/>
                <w:lang w:eastAsia="en-US"/>
              </w:rPr>
              <w:t xml:space="preserve">relative to the base case </w:t>
            </w:r>
            <w:r w:rsidRPr="00390E23">
              <w:rPr>
                <w:sz w:val="20"/>
                <w:szCs w:val="20"/>
                <w:lang w:eastAsia="en-US"/>
              </w:rPr>
              <w:t>because the VCGLR assesses venues</w:t>
            </w:r>
            <w:r w:rsidR="00DD7F70">
              <w:rPr>
                <w:sz w:val="20"/>
                <w:szCs w:val="20"/>
                <w:lang w:eastAsia="en-US"/>
              </w:rPr>
              <w:t>’</w:t>
            </w:r>
            <w:r w:rsidRPr="00390E23">
              <w:rPr>
                <w:sz w:val="20"/>
                <w:szCs w:val="20"/>
                <w:lang w:eastAsia="en-US"/>
              </w:rPr>
              <w:t xml:space="preserve"> annual supervision charge liabilities based on information already collected via other regulatory/administrative processes. In essence, venues will simply receive an annual invoice and be required to pay within a certain time frame.</w:t>
            </w:r>
          </w:p>
          <w:p w:rsidR="00390E23" w:rsidRPr="00390E23" w:rsidRDefault="00390E23" w:rsidP="00390E23">
            <w:pPr>
              <w:spacing w:before="240" w:after="240"/>
              <w:ind w:left="0"/>
              <w:rPr>
                <w:sz w:val="20"/>
                <w:szCs w:val="20"/>
                <w:lang w:eastAsia="en-US"/>
              </w:rPr>
            </w:pPr>
            <w:r w:rsidRPr="00390E23">
              <w:rPr>
                <w:sz w:val="20"/>
                <w:szCs w:val="20"/>
                <w:lang w:eastAsia="en-US"/>
              </w:rPr>
              <w:t xml:space="preserve">The VCGLR’s administrative costs for estimating the costs of regulation rely on </w:t>
            </w:r>
            <w:r w:rsidR="003119C6">
              <w:rPr>
                <w:sz w:val="20"/>
                <w:szCs w:val="20"/>
                <w:lang w:eastAsia="en-US"/>
              </w:rPr>
              <w:t>information technology</w:t>
            </w:r>
            <w:r w:rsidR="00DD7F70">
              <w:rPr>
                <w:sz w:val="20"/>
                <w:szCs w:val="20"/>
                <w:lang w:eastAsia="en-US"/>
              </w:rPr>
              <w:t xml:space="preserve">, data and processing </w:t>
            </w:r>
            <w:r w:rsidRPr="00390E23">
              <w:rPr>
                <w:sz w:val="20"/>
                <w:szCs w:val="20"/>
                <w:lang w:eastAsia="en-US"/>
              </w:rPr>
              <w:t xml:space="preserve">systems </w:t>
            </w:r>
            <w:r w:rsidR="00DD7F70">
              <w:rPr>
                <w:sz w:val="20"/>
                <w:szCs w:val="20"/>
                <w:lang w:eastAsia="en-US"/>
              </w:rPr>
              <w:t xml:space="preserve">which have </w:t>
            </w:r>
            <w:r w:rsidRPr="00390E23">
              <w:rPr>
                <w:sz w:val="20"/>
                <w:szCs w:val="20"/>
                <w:lang w:eastAsia="en-US"/>
              </w:rPr>
              <w:t xml:space="preserve">already </w:t>
            </w:r>
            <w:r w:rsidR="00DD7F70">
              <w:rPr>
                <w:sz w:val="20"/>
                <w:szCs w:val="20"/>
                <w:lang w:eastAsia="en-US"/>
              </w:rPr>
              <w:t xml:space="preserve">been </w:t>
            </w:r>
            <w:r w:rsidRPr="00390E23">
              <w:rPr>
                <w:sz w:val="20"/>
                <w:szCs w:val="20"/>
                <w:lang w:eastAsia="en-US"/>
              </w:rPr>
              <w:t>established</w:t>
            </w:r>
            <w:r w:rsidR="00277AD7">
              <w:rPr>
                <w:sz w:val="20"/>
                <w:szCs w:val="20"/>
                <w:lang w:eastAsia="en-US"/>
              </w:rPr>
              <w:t xml:space="preserve"> and </w:t>
            </w:r>
            <w:r w:rsidR="003145D7">
              <w:rPr>
                <w:sz w:val="20"/>
                <w:szCs w:val="20"/>
                <w:lang w:eastAsia="en-US"/>
              </w:rPr>
              <w:t xml:space="preserve">recently </w:t>
            </w:r>
            <w:r w:rsidR="00277AD7">
              <w:rPr>
                <w:sz w:val="20"/>
                <w:szCs w:val="20"/>
                <w:lang w:eastAsia="en-US"/>
              </w:rPr>
              <w:t>enhanced</w:t>
            </w:r>
            <w:r w:rsidRPr="00390E23">
              <w:rPr>
                <w:sz w:val="20"/>
                <w:szCs w:val="20"/>
                <w:lang w:eastAsia="en-US"/>
              </w:rPr>
              <w:t xml:space="preserve">. </w:t>
            </w:r>
          </w:p>
          <w:p w:rsidR="00390E23" w:rsidRPr="00390E23" w:rsidRDefault="00390E23" w:rsidP="005B6FA6">
            <w:pPr>
              <w:spacing w:before="240" w:after="240"/>
              <w:ind w:left="0"/>
              <w:rPr>
                <w:sz w:val="20"/>
                <w:szCs w:val="20"/>
                <w:lang w:eastAsia="en-US"/>
              </w:rPr>
            </w:pPr>
            <w:r w:rsidRPr="00390E23">
              <w:rPr>
                <w:sz w:val="20"/>
                <w:szCs w:val="20"/>
                <w:lang w:eastAsia="en-US"/>
              </w:rPr>
              <w:t xml:space="preserve">There could be a marginal increase in VCGLR’s administrative costs as the two-tiered system requires the VCGLR to apply additional oversight and processes to ensure it is implemented correctly. In addition, the potential transferability of gaming entitlements within a financial year could complicate the charge setting process. </w:t>
            </w:r>
          </w:p>
        </w:tc>
        <w:tc>
          <w:tcPr>
            <w:tcW w:w="992" w:type="dxa"/>
            <w:shd w:val="clear" w:color="auto" w:fill="auto"/>
          </w:tcPr>
          <w:p w:rsidR="00390E23" w:rsidRPr="00390E23" w:rsidRDefault="00390E23" w:rsidP="00390E23">
            <w:pPr>
              <w:spacing w:before="240" w:after="240"/>
              <w:ind w:left="0"/>
              <w:jc w:val="center"/>
              <w:rPr>
                <w:sz w:val="20"/>
                <w:szCs w:val="20"/>
                <w:lang w:eastAsia="en-US"/>
              </w:rPr>
            </w:pPr>
            <w:r w:rsidRPr="00390E23">
              <w:rPr>
                <w:sz w:val="20"/>
                <w:szCs w:val="20"/>
                <w:lang w:eastAsia="en-US"/>
              </w:rPr>
              <w:t>+5</w:t>
            </w:r>
          </w:p>
        </w:tc>
        <w:tc>
          <w:tcPr>
            <w:tcW w:w="1199" w:type="dxa"/>
            <w:shd w:val="clear" w:color="auto" w:fill="auto"/>
          </w:tcPr>
          <w:p w:rsidR="00390E23" w:rsidRPr="00390E23" w:rsidRDefault="00390E23" w:rsidP="00390E23">
            <w:pPr>
              <w:spacing w:before="240" w:after="240"/>
              <w:ind w:left="0"/>
              <w:jc w:val="center"/>
              <w:rPr>
                <w:sz w:val="20"/>
                <w:szCs w:val="20"/>
                <w:lang w:eastAsia="en-US"/>
              </w:rPr>
            </w:pPr>
            <w:r w:rsidRPr="00390E23">
              <w:rPr>
                <w:sz w:val="20"/>
                <w:szCs w:val="20"/>
                <w:lang w:eastAsia="en-US"/>
              </w:rPr>
              <w:t>+1.0</w:t>
            </w:r>
          </w:p>
        </w:tc>
      </w:tr>
      <w:tr w:rsidR="00390E23" w:rsidRPr="00390E23" w:rsidTr="00F4021E">
        <w:trPr>
          <w:cantSplit/>
        </w:trPr>
        <w:tc>
          <w:tcPr>
            <w:tcW w:w="6212" w:type="dxa"/>
            <w:shd w:val="clear" w:color="auto" w:fill="auto"/>
          </w:tcPr>
          <w:p w:rsidR="00390E23" w:rsidRPr="00390E23" w:rsidRDefault="00390E23" w:rsidP="00390E23">
            <w:pPr>
              <w:spacing w:before="120" w:after="120"/>
              <w:ind w:left="0"/>
              <w:rPr>
                <w:b/>
                <w:sz w:val="20"/>
                <w:szCs w:val="20"/>
                <w:lang w:eastAsia="en-US"/>
              </w:rPr>
            </w:pPr>
            <w:r w:rsidRPr="00390E23">
              <w:rPr>
                <w:b/>
                <w:sz w:val="20"/>
                <w:szCs w:val="20"/>
                <w:lang w:eastAsia="en-US"/>
              </w:rPr>
              <w:t>Transparency</w:t>
            </w:r>
          </w:p>
          <w:p w:rsidR="00390E23" w:rsidRPr="00390E23" w:rsidRDefault="00390E23" w:rsidP="00390E23">
            <w:pPr>
              <w:spacing w:before="120" w:after="120"/>
              <w:ind w:left="0"/>
              <w:rPr>
                <w:sz w:val="20"/>
                <w:szCs w:val="20"/>
                <w:lang w:eastAsia="en-US"/>
              </w:rPr>
            </w:pPr>
            <w:r w:rsidRPr="00390E23">
              <w:rPr>
                <w:sz w:val="20"/>
                <w:szCs w:val="20"/>
                <w:lang w:eastAsia="en-US"/>
              </w:rPr>
              <w:t xml:space="preserve">It is clear to </w:t>
            </w:r>
            <w:r w:rsidR="00F13192">
              <w:rPr>
                <w:sz w:val="20"/>
                <w:szCs w:val="20"/>
                <w:lang w:eastAsia="en-US"/>
              </w:rPr>
              <w:t>venue o</w:t>
            </w:r>
            <w:r w:rsidR="00472069">
              <w:rPr>
                <w:sz w:val="20"/>
                <w:szCs w:val="20"/>
                <w:lang w:eastAsia="en-US"/>
              </w:rPr>
              <w:t>perator</w:t>
            </w:r>
            <w:r w:rsidRPr="00390E23">
              <w:rPr>
                <w:sz w:val="20"/>
                <w:szCs w:val="20"/>
                <w:lang w:eastAsia="en-US"/>
              </w:rPr>
              <w:t xml:space="preserve">s how much is being charged and how their liability is calculated (taking the VCGLR’s total estimated costs as a given). The underlying purpose and principles behind the design of the charge are clearly identified within VCGLR and are based on government guidance materials such as DTF’s Cost Recovery Guidelines. </w:t>
            </w:r>
          </w:p>
          <w:p w:rsidR="00390E23" w:rsidRPr="00390E23" w:rsidRDefault="00237B86" w:rsidP="00DD7F70">
            <w:pPr>
              <w:spacing w:before="120" w:after="120"/>
              <w:ind w:left="0"/>
              <w:rPr>
                <w:sz w:val="20"/>
                <w:szCs w:val="20"/>
                <w:lang w:eastAsia="en-US"/>
              </w:rPr>
            </w:pPr>
            <w:r w:rsidRPr="00390E23">
              <w:rPr>
                <w:sz w:val="20"/>
                <w:szCs w:val="20"/>
                <w:lang w:eastAsia="en-US"/>
              </w:rPr>
              <w:t xml:space="preserve">The amount of the supervision charge is expected to fluctuate every year due to this option requiring precise year by year determinations based on the VCGLR’s actual regulatory costs. </w:t>
            </w:r>
            <w:r w:rsidR="00390E23" w:rsidRPr="00390E23">
              <w:rPr>
                <w:sz w:val="20"/>
                <w:szCs w:val="20"/>
                <w:lang w:eastAsia="en-US"/>
              </w:rPr>
              <w:t xml:space="preserve">This could make it difficult for venues to precisely predict their supervision charge liabilities in future years. </w:t>
            </w:r>
          </w:p>
        </w:tc>
        <w:tc>
          <w:tcPr>
            <w:tcW w:w="992" w:type="dxa"/>
            <w:shd w:val="clear" w:color="auto" w:fill="auto"/>
          </w:tcPr>
          <w:p w:rsidR="00390E23" w:rsidRPr="00390E23" w:rsidRDefault="00390E23" w:rsidP="00390E23">
            <w:pPr>
              <w:spacing w:before="120" w:after="120"/>
              <w:ind w:left="0"/>
              <w:jc w:val="center"/>
              <w:rPr>
                <w:sz w:val="20"/>
                <w:szCs w:val="20"/>
                <w:lang w:eastAsia="en-US"/>
              </w:rPr>
            </w:pPr>
            <w:r w:rsidRPr="00390E23">
              <w:rPr>
                <w:sz w:val="20"/>
                <w:szCs w:val="20"/>
                <w:lang w:eastAsia="en-US"/>
              </w:rPr>
              <w:t>+</w:t>
            </w:r>
            <w:r w:rsidR="00145527">
              <w:rPr>
                <w:sz w:val="20"/>
                <w:szCs w:val="20"/>
                <w:lang w:eastAsia="en-US"/>
              </w:rPr>
              <w:t>7</w:t>
            </w:r>
          </w:p>
        </w:tc>
        <w:tc>
          <w:tcPr>
            <w:tcW w:w="1199" w:type="dxa"/>
            <w:shd w:val="clear" w:color="auto" w:fill="auto"/>
          </w:tcPr>
          <w:p w:rsidR="00390E23" w:rsidRPr="00390E23" w:rsidRDefault="00390E23" w:rsidP="00390E23">
            <w:pPr>
              <w:spacing w:before="120" w:after="120"/>
              <w:ind w:left="0"/>
              <w:jc w:val="center"/>
              <w:rPr>
                <w:sz w:val="20"/>
                <w:szCs w:val="20"/>
                <w:lang w:eastAsia="en-US"/>
              </w:rPr>
            </w:pPr>
            <w:r w:rsidRPr="00390E23">
              <w:rPr>
                <w:sz w:val="20"/>
                <w:szCs w:val="20"/>
                <w:lang w:eastAsia="en-US"/>
              </w:rPr>
              <w:t>+</w:t>
            </w:r>
            <w:r w:rsidR="00145527">
              <w:rPr>
                <w:sz w:val="20"/>
                <w:szCs w:val="20"/>
                <w:lang w:eastAsia="en-US"/>
              </w:rPr>
              <w:t>1.4</w:t>
            </w:r>
          </w:p>
        </w:tc>
      </w:tr>
      <w:tr w:rsidR="00390E23" w:rsidRPr="00390E23" w:rsidTr="00F4021E">
        <w:trPr>
          <w:cantSplit/>
        </w:trPr>
        <w:tc>
          <w:tcPr>
            <w:tcW w:w="6212" w:type="dxa"/>
            <w:shd w:val="clear" w:color="auto" w:fill="auto"/>
          </w:tcPr>
          <w:p w:rsidR="00390E23" w:rsidRPr="00390E23" w:rsidRDefault="00390E23" w:rsidP="00390E23">
            <w:pPr>
              <w:spacing w:before="120" w:after="120"/>
              <w:ind w:left="0"/>
              <w:rPr>
                <w:b/>
                <w:sz w:val="20"/>
                <w:szCs w:val="20"/>
                <w:lang w:eastAsia="en-US"/>
              </w:rPr>
            </w:pPr>
            <w:r w:rsidRPr="00390E23">
              <w:rPr>
                <w:b/>
                <w:sz w:val="20"/>
                <w:szCs w:val="20"/>
                <w:lang w:eastAsia="en-US"/>
              </w:rPr>
              <w:t>Total</w:t>
            </w:r>
          </w:p>
        </w:tc>
        <w:tc>
          <w:tcPr>
            <w:tcW w:w="992" w:type="dxa"/>
            <w:shd w:val="clear" w:color="auto" w:fill="auto"/>
          </w:tcPr>
          <w:p w:rsidR="00390E23" w:rsidRPr="00390E23" w:rsidRDefault="00390E23" w:rsidP="00390E23">
            <w:pPr>
              <w:spacing w:before="120" w:after="120"/>
              <w:ind w:left="0"/>
              <w:jc w:val="center"/>
              <w:rPr>
                <w:sz w:val="20"/>
                <w:szCs w:val="20"/>
                <w:lang w:eastAsia="en-US"/>
              </w:rPr>
            </w:pPr>
          </w:p>
        </w:tc>
        <w:tc>
          <w:tcPr>
            <w:tcW w:w="1199" w:type="dxa"/>
            <w:shd w:val="clear" w:color="auto" w:fill="auto"/>
          </w:tcPr>
          <w:p w:rsidR="00390E23" w:rsidRPr="00390E23" w:rsidRDefault="00390E23" w:rsidP="00390E23">
            <w:pPr>
              <w:spacing w:before="120" w:after="120"/>
              <w:ind w:left="0"/>
              <w:jc w:val="center"/>
              <w:rPr>
                <w:b/>
                <w:sz w:val="20"/>
                <w:szCs w:val="20"/>
                <w:lang w:eastAsia="en-US"/>
              </w:rPr>
            </w:pPr>
            <w:r w:rsidRPr="00390E23">
              <w:rPr>
                <w:b/>
                <w:sz w:val="20"/>
                <w:szCs w:val="20"/>
                <w:lang w:eastAsia="en-US"/>
              </w:rPr>
              <w:t>+</w:t>
            </w:r>
            <w:r w:rsidR="00145527">
              <w:rPr>
                <w:b/>
                <w:sz w:val="20"/>
                <w:szCs w:val="20"/>
                <w:lang w:eastAsia="en-US"/>
              </w:rPr>
              <w:t>6.9</w:t>
            </w:r>
          </w:p>
        </w:tc>
      </w:tr>
    </w:tbl>
    <w:p w:rsidR="00717ACB" w:rsidRDefault="00717ACB">
      <w:pPr>
        <w:spacing w:before="0" w:after="0"/>
        <w:ind w:left="0"/>
      </w:pPr>
    </w:p>
    <w:p w:rsidR="00390E23" w:rsidRPr="00390E23" w:rsidRDefault="00B61A29" w:rsidP="00A34D0E">
      <w:pPr>
        <w:pStyle w:val="Heading3"/>
        <w:spacing w:before="360"/>
      </w:pPr>
      <w:bookmarkStart w:id="40" w:name="_Toc356830881"/>
      <w:r>
        <w:t>Option B</w:t>
      </w:r>
      <w:r w:rsidR="00390E23" w:rsidRPr="00390E23">
        <w:t xml:space="preserve"> – Single tiered charge on entitlements</w:t>
      </w:r>
      <w:bookmarkEnd w:id="40"/>
    </w:p>
    <w:p w:rsidR="00390E23" w:rsidRDefault="00B61A29" w:rsidP="00390E23">
      <w:pPr>
        <w:spacing w:before="240" w:after="240"/>
        <w:rPr>
          <w:szCs w:val="24"/>
          <w:u w:val="single"/>
          <w:lang w:eastAsia="en-US"/>
        </w:rPr>
      </w:pPr>
      <w:r>
        <w:rPr>
          <w:szCs w:val="24"/>
          <w:lang w:eastAsia="en-US"/>
        </w:rPr>
        <w:t>Option B</w:t>
      </w:r>
      <w:r w:rsidR="00390E23" w:rsidRPr="00F4021E">
        <w:rPr>
          <w:szCs w:val="24"/>
          <w:lang w:eastAsia="en-US"/>
        </w:rPr>
        <w:t xml:space="preserve"> functions in the same manner as </w:t>
      </w:r>
      <w:r>
        <w:rPr>
          <w:szCs w:val="24"/>
          <w:lang w:eastAsia="en-US"/>
        </w:rPr>
        <w:t>Option A</w:t>
      </w:r>
      <w:r w:rsidR="00390E23" w:rsidRPr="00F4021E">
        <w:rPr>
          <w:szCs w:val="24"/>
          <w:lang w:eastAsia="en-US"/>
        </w:rPr>
        <w:t xml:space="preserve">, but the charge would not distinguish between the costs of </w:t>
      </w:r>
      <w:r w:rsidR="005F74F6">
        <w:rPr>
          <w:szCs w:val="24"/>
          <w:lang w:eastAsia="en-US"/>
        </w:rPr>
        <w:t>administering</w:t>
      </w:r>
      <w:r w:rsidR="005F74F6" w:rsidRPr="00F4021E">
        <w:rPr>
          <w:szCs w:val="24"/>
          <w:lang w:eastAsia="en-US"/>
        </w:rPr>
        <w:t xml:space="preserve"> </w:t>
      </w:r>
      <w:r w:rsidR="00390E23" w:rsidRPr="00F4021E">
        <w:rPr>
          <w:szCs w:val="24"/>
          <w:lang w:eastAsia="en-US"/>
        </w:rPr>
        <w:t xml:space="preserve">the entitlements system overall as opposed to operating </w:t>
      </w:r>
      <w:r w:rsidR="00887FE5">
        <w:rPr>
          <w:szCs w:val="24"/>
          <w:lang w:eastAsia="en-US"/>
        </w:rPr>
        <w:t>gaming machines</w:t>
      </w:r>
      <w:r w:rsidR="00390E23" w:rsidRPr="00F4021E">
        <w:rPr>
          <w:szCs w:val="24"/>
          <w:lang w:eastAsia="en-US"/>
        </w:rPr>
        <w:t xml:space="preserve">. It is a single-tiered charge levied on the number of entitlements held. </w:t>
      </w:r>
      <w:r w:rsidR="00F50D14" w:rsidRPr="003119C6">
        <w:rPr>
          <w:b/>
          <w:szCs w:val="24"/>
          <w:lang w:eastAsia="en-US"/>
        </w:rPr>
        <w:t>Preliminary working estimates of t</w:t>
      </w:r>
      <w:r w:rsidR="006B4560" w:rsidRPr="003119C6">
        <w:rPr>
          <w:b/>
          <w:szCs w:val="24"/>
          <w:lang w:eastAsia="en-US"/>
        </w:rPr>
        <w:t>he cost per entitlement held</w:t>
      </w:r>
      <w:r w:rsidR="001464E8" w:rsidRPr="003119C6">
        <w:rPr>
          <w:b/>
          <w:szCs w:val="24"/>
          <w:lang w:eastAsia="en-US"/>
        </w:rPr>
        <w:t xml:space="preserve"> </w:t>
      </w:r>
      <w:r w:rsidR="006B4560" w:rsidRPr="003119C6">
        <w:rPr>
          <w:b/>
          <w:szCs w:val="24"/>
          <w:lang w:eastAsia="en-US"/>
        </w:rPr>
        <w:t>is $</w:t>
      </w:r>
      <w:r w:rsidR="007E5817" w:rsidRPr="003119C6">
        <w:rPr>
          <w:b/>
          <w:szCs w:val="24"/>
          <w:lang w:eastAsia="en-US"/>
        </w:rPr>
        <w:t>195.75</w:t>
      </w:r>
      <w:r w:rsidR="00656118">
        <w:rPr>
          <w:b/>
          <w:szCs w:val="24"/>
          <w:lang w:eastAsia="en-US"/>
        </w:rPr>
        <w:t xml:space="preserve"> for 2012-13</w:t>
      </w:r>
      <w:r w:rsidR="006B4560" w:rsidRPr="003119C6">
        <w:rPr>
          <w:b/>
          <w:szCs w:val="24"/>
          <w:lang w:eastAsia="en-US"/>
        </w:rPr>
        <w:t>.</w:t>
      </w:r>
    </w:p>
    <w:p w:rsidR="00717ACB" w:rsidRDefault="00717ACB">
      <w:pPr>
        <w:spacing w:before="0" w:after="0"/>
        <w:ind w:left="0"/>
        <w:rPr>
          <w:szCs w:val="24"/>
          <w:lang w:eastAsia="en-US"/>
        </w:rPr>
      </w:pPr>
      <w:r>
        <w:rPr>
          <w:szCs w:val="24"/>
          <w:lang w:eastAsia="en-US"/>
        </w:rPr>
        <w:br w:type="page"/>
      </w:r>
    </w:p>
    <w:p w:rsidR="00717ACB" w:rsidRPr="00390E23" w:rsidRDefault="00717ACB" w:rsidP="00717ACB">
      <w:pPr>
        <w:pStyle w:val="Heading5"/>
      </w:pPr>
      <w:r w:rsidRPr="00390E23">
        <w:t>Table 6.</w:t>
      </w:r>
      <w:r>
        <w:t>6</w:t>
      </w:r>
      <w:r w:rsidRPr="00390E23">
        <w:t xml:space="preserve">: </w:t>
      </w:r>
      <w:r>
        <w:t>Multi-</w:t>
      </w:r>
      <w:r w:rsidR="004A4CF4">
        <w:t>criteria analysis of Option B (S</w:t>
      </w:r>
      <w:r>
        <w:t>ingle tiered charge on entitlements)</w:t>
      </w:r>
    </w:p>
    <w:tbl>
      <w:tblPr>
        <w:tblW w:w="0" w:type="auto"/>
        <w:tblInd w:w="907" w:type="dxa"/>
        <w:tblBorders>
          <w:top w:val="single" w:sz="2" w:space="0" w:color="auto"/>
          <w:bottom w:val="single" w:sz="2" w:space="0" w:color="auto"/>
          <w:insideH w:val="single" w:sz="2" w:space="0" w:color="auto"/>
        </w:tblBorders>
        <w:tblCellMar>
          <w:left w:w="113" w:type="dxa"/>
          <w:right w:w="113" w:type="dxa"/>
        </w:tblCellMar>
        <w:tblLook w:val="04A0" w:firstRow="1" w:lastRow="0" w:firstColumn="1" w:lastColumn="0" w:noHBand="0" w:noVBand="1"/>
      </w:tblPr>
      <w:tblGrid>
        <w:gridCol w:w="6212"/>
        <w:gridCol w:w="992"/>
        <w:gridCol w:w="1199"/>
      </w:tblGrid>
      <w:tr w:rsidR="00390E23" w:rsidRPr="00390E23" w:rsidTr="00717ACB">
        <w:trPr>
          <w:cantSplit/>
          <w:tblHeader/>
        </w:trPr>
        <w:tc>
          <w:tcPr>
            <w:tcW w:w="6212" w:type="dxa"/>
            <w:tcBorders>
              <w:top w:val="single" w:sz="2" w:space="0" w:color="auto"/>
              <w:left w:val="nil"/>
              <w:bottom w:val="single" w:sz="2" w:space="0" w:color="auto"/>
              <w:right w:val="nil"/>
              <w:tl2br w:val="nil"/>
              <w:tr2bl w:val="nil"/>
            </w:tcBorders>
            <w:shd w:val="clear" w:color="auto" w:fill="D9D9D9"/>
          </w:tcPr>
          <w:p w:rsidR="00390E23" w:rsidRPr="00390E23" w:rsidRDefault="00390E23" w:rsidP="004A4CF4">
            <w:pPr>
              <w:spacing w:before="120" w:after="120"/>
              <w:ind w:left="0"/>
              <w:rPr>
                <w:b/>
                <w:sz w:val="20"/>
                <w:szCs w:val="20"/>
                <w:lang w:eastAsia="en-US"/>
              </w:rPr>
            </w:pPr>
            <w:r w:rsidRPr="00390E23">
              <w:rPr>
                <w:b/>
                <w:sz w:val="20"/>
                <w:szCs w:val="20"/>
                <w:lang w:eastAsia="en-US"/>
              </w:rPr>
              <w:t xml:space="preserve">Criteria </w:t>
            </w:r>
            <w:r w:rsidR="004A4CF4">
              <w:rPr>
                <w:b/>
                <w:sz w:val="20"/>
                <w:szCs w:val="20"/>
                <w:lang w:eastAsia="en-US"/>
              </w:rPr>
              <w:t>and c</w:t>
            </w:r>
            <w:r w:rsidRPr="00390E23">
              <w:rPr>
                <w:b/>
                <w:sz w:val="20"/>
                <w:szCs w:val="20"/>
                <w:lang w:eastAsia="en-US"/>
              </w:rPr>
              <w:t>omments</w:t>
            </w:r>
          </w:p>
        </w:tc>
        <w:tc>
          <w:tcPr>
            <w:tcW w:w="992" w:type="dxa"/>
            <w:tcBorders>
              <w:top w:val="single" w:sz="2" w:space="0" w:color="auto"/>
              <w:left w:val="nil"/>
              <w:bottom w:val="single" w:sz="2" w:space="0" w:color="auto"/>
              <w:right w:val="nil"/>
              <w:tl2br w:val="nil"/>
              <w:tr2bl w:val="nil"/>
            </w:tcBorders>
            <w:shd w:val="clear" w:color="auto" w:fill="D9D9D9"/>
          </w:tcPr>
          <w:p w:rsidR="00390E23" w:rsidRPr="00390E23" w:rsidRDefault="00390E23" w:rsidP="00390E23">
            <w:pPr>
              <w:spacing w:before="120" w:after="120"/>
              <w:ind w:left="0"/>
              <w:jc w:val="center"/>
              <w:rPr>
                <w:b/>
                <w:sz w:val="20"/>
                <w:szCs w:val="20"/>
                <w:lang w:eastAsia="en-US"/>
              </w:rPr>
            </w:pPr>
            <w:r w:rsidRPr="00390E23">
              <w:rPr>
                <w:b/>
                <w:sz w:val="20"/>
                <w:szCs w:val="20"/>
                <w:lang w:eastAsia="en-US"/>
              </w:rPr>
              <w:t>Score</w:t>
            </w:r>
          </w:p>
        </w:tc>
        <w:tc>
          <w:tcPr>
            <w:tcW w:w="1199" w:type="dxa"/>
            <w:tcBorders>
              <w:top w:val="single" w:sz="2" w:space="0" w:color="auto"/>
              <w:left w:val="nil"/>
              <w:bottom w:val="single" w:sz="2" w:space="0" w:color="auto"/>
              <w:right w:val="nil"/>
              <w:tl2br w:val="nil"/>
              <w:tr2bl w:val="nil"/>
            </w:tcBorders>
            <w:shd w:val="clear" w:color="auto" w:fill="D9D9D9"/>
          </w:tcPr>
          <w:p w:rsidR="00390E23" w:rsidRPr="00390E23" w:rsidRDefault="00390E23" w:rsidP="00390E23">
            <w:pPr>
              <w:spacing w:before="120" w:after="120"/>
              <w:ind w:left="0"/>
              <w:jc w:val="center"/>
              <w:rPr>
                <w:b/>
                <w:sz w:val="20"/>
                <w:szCs w:val="20"/>
                <w:lang w:eastAsia="en-US"/>
              </w:rPr>
            </w:pPr>
            <w:r w:rsidRPr="00390E23">
              <w:rPr>
                <w:b/>
                <w:sz w:val="20"/>
                <w:szCs w:val="20"/>
                <w:lang w:eastAsia="en-US"/>
              </w:rPr>
              <w:t>Weighted score</w:t>
            </w:r>
          </w:p>
        </w:tc>
      </w:tr>
      <w:tr w:rsidR="00390E23" w:rsidRPr="00390E23" w:rsidTr="00717ACB">
        <w:trPr>
          <w:cantSplit/>
        </w:trPr>
        <w:tc>
          <w:tcPr>
            <w:tcW w:w="6212" w:type="dxa"/>
            <w:shd w:val="clear" w:color="auto" w:fill="auto"/>
          </w:tcPr>
          <w:p w:rsidR="00390E23" w:rsidRPr="00390E23" w:rsidRDefault="00390E23" w:rsidP="00717ACB">
            <w:pPr>
              <w:spacing w:before="160" w:after="160"/>
              <w:ind w:left="0"/>
              <w:rPr>
                <w:b/>
                <w:sz w:val="20"/>
                <w:szCs w:val="20"/>
                <w:lang w:eastAsia="en-US"/>
              </w:rPr>
            </w:pPr>
            <w:r w:rsidRPr="00390E23">
              <w:rPr>
                <w:b/>
                <w:sz w:val="20"/>
                <w:szCs w:val="20"/>
                <w:lang w:eastAsia="en-US"/>
              </w:rPr>
              <w:t>Efficiency</w:t>
            </w:r>
          </w:p>
          <w:p w:rsidR="00390E23" w:rsidRPr="00390E23" w:rsidRDefault="00390E23" w:rsidP="00717ACB">
            <w:pPr>
              <w:spacing w:before="160" w:after="160"/>
              <w:ind w:left="0"/>
              <w:rPr>
                <w:sz w:val="20"/>
                <w:szCs w:val="20"/>
                <w:lang w:eastAsia="en-US"/>
              </w:rPr>
            </w:pPr>
            <w:r w:rsidRPr="00390E23">
              <w:rPr>
                <w:sz w:val="20"/>
                <w:szCs w:val="20"/>
                <w:lang w:eastAsia="en-US"/>
              </w:rPr>
              <w:t xml:space="preserve">The efficiency impacts are mostly similar to </w:t>
            </w:r>
            <w:r w:rsidR="00B61A29">
              <w:rPr>
                <w:sz w:val="20"/>
                <w:szCs w:val="20"/>
                <w:lang w:eastAsia="en-US"/>
              </w:rPr>
              <w:t>Option A</w:t>
            </w:r>
            <w:r w:rsidRPr="00390E23">
              <w:rPr>
                <w:sz w:val="20"/>
                <w:szCs w:val="20"/>
                <w:lang w:eastAsia="en-US"/>
              </w:rPr>
              <w:t>, with the exception of the following:</w:t>
            </w:r>
          </w:p>
          <w:p w:rsidR="00390E23" w:rsidRPr="00390E23" w:rsidRDefault="00390E23" w:rsidP="00717ACB">
            <w:pPr>
              <w:numPr>
                <w:ilvl w:val="0"/>
                <w:numId w:val="34"/>
              </w:numPr>
              <w:spacing w:before="160" w:after="160"/>
              <w:ind w:left="369"/>
              <w:rPr>
                <w:sz w:val="20"/>
                <w:szCs w:val="20"/>
                <w:lang w:eastAsia="en-US"/>
              </w:rPr>
            </w:pPr>
            <w:r w:rsidRPr="00390E23">
              <w:rPr>
                <w:sz w:val="20"/>
                <w:szCs w:val="20"/>
                <w:lang w:eastAsia="en-US"/>
              </w:rPr>
              <w:t xml:space="preserve">Those holding entitlements </w:t>
            </w:r>
            <w:r w:rsidR="00E53963">
              <w:rPr>
                <w:sz w:val="20"/>
                <w:szCs w:val="20"/>
                <w:lang w:eastAsia="en-US"/>
              </w:rPr>
              <w:t>without operating them</w:t>
            </w:r>
            <w:r w:rsidRPr="00390E23">
              <w:rPr>
                <w:sz w:val="20"/>
                <w:szCs w:val="20"/>
                <w:lang w:eastAsia="en-US"/>
              </w:rPr>
              <w:t xml:space="preserve"> would pay significantly more - $</w:t>
            </w:r>
            <w:r w:rsidR="007E5817">
              <w:rPr>
                <w:sz w:val="20"/>
                <w:szCs w:val="20"/>
                <w:lang w:eastAsia="en-US"/>
              </w:rPr>
              <w:t>195.75</w:t>
            </w:r>
            <w:r w:rsidR="00E53963" w:rsidRPr="00390E23">
              <w:rPr>
                <w:sz w:val="20"/>
                <w:szCs w:val="20"/>
                <w:lang w:eastAsia="en-US"/>
              </w:rPr>
              <w:t xml:space="preserve"> </w:t>
            </w:r>
            <w:r w:rsidRPr="00390E23">
              <w:rPr>
                <w:sz w:val="20"/>
                <w:szCs w:val="20"/>
                <w:lang w:eastAsia="en-US"/>
              </w:rPr>
              <w:t>per entitlement compared to $</w:t>
            </w:r>
            <w:r w:rsidR="00F143D0">
              <w:rPr>
                <w:sz w:val="20"/>
                <w:szCs w:val="20"/>
                <w:lang w:eastAsia="en-US"/>
              </w:rPr>
              <w:t>16.36</w:t>
            </w:r>
            <w:r w:rsidR="00E53963" w:rsidRPr="00390E23">
              <w:rPr>
                <w:sz w:val="20"/>
                <w:szCs w:val="20"/>
                <w:lang w:eastAsia="en-US"/>
              </w:rPr>
              <w:t xml:space="preserve"> </w:t>
            </w:r>
            <w:r w:rsidRPr="00390E23">
              <w:rPr>
                <w:sz w:val="20"/>
                <w:szCs w:val="20"/>
                <w:lang w:eastAsia="en-US"/>
              </w:rPr>
              <w:t xml:space="preserve">per entitlement under </w:t>
            </w:r>
            <w:r w:rsidR="00B61A29">
              <w:rPr>
                <w:sz w:val="20"/>
                <w:szCs w:val="20"/>
                <w:lang w:eastAsia="en-US"/>
              </w:rPr>
              <w:t>Option A</w:t>
            </w:r>
            <w:r w:rsidRPr="00390E23">
              <w:rPr>
                <w:sz w:val="20"/>
                <w:szCs w:val="20"/>
                <w:lang w:eastAsia="en-US"/>
              </w:rPr>
              <w:t xml:space="preserve">. </w:t>
            </w:r>
          </w:p>
          <w:p w:rsidR="00390E23" w:rsidRPr="00390E23" w:rsidRDefault="00390E23" w:rsidP="00717ACB">
            <w:pPr>
              <w:numPr>
                <w:ilvl w:val="0"/>
                <w:numId w:val="34"/>
              </w:numPr>
              <w:spacing w:before="160" w:after="160"/>
              <w:ind w:left="369"/>
              <w:rPr>
                <w:sz w:val="20"/>
                <w:szCs w:val="20"/>
                <w:lang w:eastAsia="en-US"/>
              </w:rPr>
            </w:pPr>
            <w:r w:rsidRPr="00390E23">
              <w:rPr>
                <w:sz w:val="20"/>
                <w:szCs w:val="20"/>
                <w:lang w:eastAsia="en-US"/>
              </w:rPr>
              <w:t xml:space="preserve">The business decisions of some </w:t>
            </w:r>
            <w:r w:rsidR="00F13192">
              <w:rPr>
                <w:sz w:val="20"/>
                <w:szCs w:val="20"/>
                <w:lang w:eastAsia="en-US"/>
              </w:rPr>
              <w:t>venue o</w:t>
            </w:r>
            <w:r w:rsidR="00472069">
              <w:rPr>
                <w:sz w:val="20"/>
                <w:szCs w:val="20"/>
                <w:lang w:eastAsia="en-US"/>
              </w:rPr>
              <w:t>perator</w:t>
            </w:r>
            <w:r w:rsidRPr="00390E23">
              <w:rPr>
                <w:sz w:val="20"/>
                <w:szCs w:val="20"/>
                <w:lang w:eastAsia="en-US"/>
              </w:rPr>
              <w:t>s could be influenced at the margin by discouraging them from purchasing further entitlements</w:t>
            </w:r>
            <w:r w:rsidR="007913FA">
              <w:rPr>
                <w:sz w:val="20"/>
                <w:szCs w:val="20"/>
                <w:lang w:eastAsia="en-US"/>
              </w:rPr>
              <w:t xml:space="preserve"> as</w:t>
            </w:r>
            <w:r w:rsidRPr="00390E23">
              <w:rPr>
                <w:sz w:val="20"/>
                <w:szCs w:val="20"/>
                <w:lang w:eastAsia="en-US"/>
              </w:rPr>
              <w:t xml:space="preserve"> there can often be long lead times of several months between the purchase of an entitlement and its use. However, the scope of this effect is likely to be limited by the ‘use it or lose it’ provisions, which limit entitlements being unused for no more than six months</w:t>
            </w:r>
            <w:r w:rsidR="004D711E">
              <w:rPr>
                <w:sz w:val="20"/>
                <w:szCs w:val="20"/>
                <w:lang w:eastAsia="en-US"/>
              </w:rPr>
              <w:t xml:space="preserve"> (unless they have applied and received an extension)</w:t>
            </w:r>
            <w:r w:rsidRPr="00390E23">
              <w:rPr>
                <w:sz w:val="20"/>
                <w:szCs w:val="20"/>
                <w:lang w:eastAsia="en-US"/>
              </w:rPr>
              <w:t>.</w:t>
            </w:r>
          </w:p>
        </w:tc>
        <w:tc>
          <w:tcPr>
            <w:tcW w:w="992" w:type="dxa"/>
            <w:shd w:val="clear" w:color="auto" w:fill="auto"/>
          </w:tcPr>
          <w:p w:rsidR="00390E23" w:rsidRPr="00390E23" w:rsidRDefault="00390E23" w:rsidP="00390E23">
            <w:pPr>
              <w:spacing w:before="120" w:after="120"/>
              <w:ind w:left="0"/>
              <w:jc w:val="center"/>
              <w:rPr>
                <w:sz w:val="20"/>
                <w:szCs w:val="20"/>
                <w:lang w:eastAsia="en-US"/>
              </w:rPr>
            </w:pPr>
            <w:r w:rsidRPr="00390E23">
              <w:rPr>
                <w:sz w:val="20"/>
                <w:szCs w:val="20"/>
                <w:lang w:eastAsia="en-US"/>
              </w:rPr>
              <w:t>+</w:t>
            </w:r>
            <w:r w:rsidR="00145527">
              <w:rPr>
                <w:sz w:val="20"/>
                <w:szCs w:val="20"/>
                <w:lang w:eastAsia="en-US"/>
              </w:rPr>
              <w:t>6</w:t>
            </w:r>
          </w:p>
        </w:tc>
        <w:tc>
          <w:tcPr>
            <w:tcW w:w="1199" w:type="dxa"/>
            <w:shd w:val="clear" w:color="auto" w:fill="auto"/>
          </w:tcPr>
          <w:p w:rsidR="00390E23" w:rsidRPr="00390E23" w:rsidRDefault="00390E23" w:rsidP="00390E23">
            <w:pPr>
              <w:spacing w:before="120" w:after="120"/>
              <w:ind w:left="0"/>
              <w:jc w:val="center"/>
              <w:rPr>
                <w:sz w:val="20"/>
                <w:szCs w:val="20"/>
                <w:lang w:eastAsia="en-US"/>
              </w:rPr>
            </w:pPr>
            <w:r w:rsidRPr="00390E23">
              <w:rPr>
                <w:sz w:val="20"/>
                <w:szCs w:val="20"/>
                <w:lang w:eastAsia="en-US"/>
              </w:rPr>
              <w:t>+1.</w:t>
            </w:r>
            <w:r w:rsidR="00145527">
              <w:rPr>
                <w:sz w:val="20"/>
                <w:szCs w:val="20"/>
                <w:lang w:eastAsia="en-US"/>
              </w:rPr>
              <w:t>8</w:t>
            </w:r>
          </w:p>
        </w:tc>
      </w:tr>
      <w:tr w:rsidR="00390E23" w:rsidRPr="00390E23" w:rsidTr="00717ACB">
        <w:trPr>
          <w:cantSplit/>
        </w:trPr>
        <w:tc>
          <w:tcPr>
            <w:tcW w:w="6212" w:type="dxa"/>
            <w:shd w:val="clear" w:color="auto" w:fill="auto"/>
          </w:tcPr>
          <w:p w:rsidR="00390E23" w:rsidRPr="00390E23" w:rsidRDefault="00390E23" w:rsidP="00717ACB">
            <w:pPr>
              <w:spacing w:before="160" w:after="160"/>
              <w:ind w:left="0"/>
              <w:rPr>
                <w:b/>
                <w:sz w:val="20"/>
                <w:szCs w:val="20"/>
                <w:lang w:eastAsia="en-US"/>
              </w:rPr>
            </w:pPr>
            <w:r w:rsidRPr="00390E23">
              <w:rPr>
                <w:b/>
                <w:sz w:val="20"/>
                <w:szCs w:val="20"/>
                <w:lang w:eastAsia="en-US"/>
              </w:rPr>
              <w:t>Equity</w:t>
            </w:r>
          </w:p>
          <w:p w:rsidR="00390E23" w:rsidRPr="00390E23" w:rsidRDefault="00390E23" w:rsidP="00717ACB">
            <w:pPr>
              <w:spacing w:before="160" w:after="160"/>
              <w:ind w:left="0"/>
              <w:rPr>
                <w:sz w:val="20"/>
                <w:szCs w:val="20"/>
                <w:lang w:eastAsia="en-US"/>
              </w:rPr>
            </w:pPr>
            <w:r w:rsidRPr="00390E23">
              <w:rPr>
                <w:sz w:val="20"/>
                <w:szCs w:val="20"/>
                <w:lang w:eastAsia="en-US"/>
              </w:rPr>
              <w:t xml:space="preserve">The equity impacts are broadly similar to </w:t>
            </w:r>
            <w:r w:rsidR="00B61A29">
              <w:rPr>
                <w:sz w:val="20"/>
                <w:szCs w:val="20"/>
                <w:lang w:eastAsia="en-US"/>
              </w:rPr>
              <w:t>Option A</w:t>
            </w:r>
            <w:r w:rsidRPr="00390E23">
              <w:rPr>
                <w:sz w:val="20"/>
                <w:szCs w:val="20"/>
                <w:lang w:eastAsia="en-US"/>
              </w:rPr>
              <w:t>.</w:t>
            </w:r>
          </w:p>
          <w:p w:rsidR="00390E23" w:rsidRPr="00390E23" w:rsidRDefault="00390E23" w:rsidP="00717ACB">
            <w:pPr>
              <w:spacing w:before="160" w:after="160"/>
              <w:ind w:left="0"/>
              <w:rPr>
                <w:sz w:val="20"/>
                <w:szCs w:val="20"/>
                <w:lang w:eastAsia="en-US"/>
              </w:rPr>
            </w:pPr>
            <w:r w:rsidRPr="00390E23">
              <w:rPr>
                <w:sz w:val="20"/>
                <w:szCs w:val="20"/>
                <w:lang w:eastAsia="en-US"/>
              </w:rPr>
              <w:t xml:space="preserve">This option is levied on a unit basis i.e. per entitlement held. Venues with more entitlements pay more than venues with fewer entitlements. </w:t>
            </w:r>
          </w:p>
          <w:p w:rsidR="00454549" w:rsidRDefault="00390E23" w:rsidP="00717ACB">
            <w:pPr>
              <w:spacing w:before="160" w:after="160"/>
              <w:ind w:left="0"/>
              <w:rPr>
                <w:sz w:val="20"/>
                <w:szCs w:val="20"/>
                <w:lang w:eastAsia="en-US"/>
              </w:rPr>
            </w:pPr>
            <w:r w:rsidRPr="00390E23">
              <w:rPr>
                <w:sz w:val="20"/>
                <w:szCs w:val="20"/>
                <w:lang w:eastAsia="en-US"/>
              </w:rPr>
              <w:t xml:space="preserve">However, entitlement holders holding more entitlements than operational </w:t>
            </w:r>
            <w:r w:rsidR="00887FE5">
              <w:rPr>
                <w:sz w:val="20"/>
                <w:szCs w:val="20"/>
                <w:lang w:eastAsia="en-US"/>
              </w:rPr>
              <w:t>gaming machines</w:t>
            </w:r>
            <w:r w:rsidRPr="00390E23">
              <w:rPr>
                <w:sz w:val="20"/>
                <w:szCs w:val="20"/>
                <w:lang w:eastAsia="en-US"/>
              </w:rPr>
              <w:t xml:space="preserve"> pay more than</w:t>
            </w:r>
            <w:r w:rsidR="00656118">
              <w:rPr>
                <w:sz w:val="20"/>
                <w:szCs w:val="20"/>
                <w:lang w:eastAsia="en-US"/>
              </w:rPr>
              <w:t xml:space="preserve"> under</w:t>
            </w:r>
            <w:r w:rsidRPr="00390E23">
              <w:rPr>
                <w:sz w:val="20"/>
                <w:szCs w:val="20"/>
                <w:lang w:eastAsia="en-US"/>
              </w:rPr>
              <w:t xml:space="preserve"> </w:t>
            </w:r>
            <w:r w:rsidR="00B61A29">
              <w:rPr>
                <w:sz w:val="20"/>
                <w:szCs w:val="20"/>
                <w:lang w:eastAsia="en-US"/>
              </w:rPr>
              <w:t>Option A</w:t>
            </w:r>
            <w:r w:rsidR="00E53963">
              <w:rPr>
                <w:sz w:val="20"/>
                <w:szCs w:val="20"/>
                <w:lang w:eastAsia="en-US"/>
              </w:rPr>
              <w:t>. Under Option A, venues pay $</w:t>
            </w:r>
            <w:r w:rsidR="00F143D0">
              <w:rPr>
                <w:sz w:val="20"/>
                <w:szCs w:val="20"/>
                <w:lang w:eastAsia="en-US"/>
              </w:rPr>
              <w:t>16.36</w:t>
            </w:r>
            <w:r w:rsidR="00E53963">
              <w:rPr>
                <w:sz w:val="20"/>
                <w:szCs w:val="20"/>
                <w:lang w:eastAsia="en-US"/>
              </w:rPr>
              <w:t xml:space="preserve"> </w:t>
            </w:r>
            <w:r w:rsidR="00E57F58">
              <w:rPr>
                <w:sz w:val="20"/>
                <w:szCs w:val="20"/>
                <w:lang w:eastAsia="en-US"/>
              </w:rPr>
              <w:t>per</w:t>
            </w:r>
            <w:r w:rsidR="00E53963">
              <w:rPr>
                <w:sz w:val="20"/>
                <w:szCs w:val="20"/>
                <w:lang w:eastAsia="en-US"/>
              </w:rPr>
              <w:t xml:space="preserve"> entitlement h</w:t>
            </w:r>
            <w:r w:rsidR="00E57F58">
              <w:rPr>
                <w:sz w:val="20"/>
                <w:szCs w:val="20"/>
                <w:lang w:eastAsia="en-US"/>
              </w:rPr>
              <w:t>e</w:t>
            </w:r>
            <w:r w:rsidR="00E53963">
              <w:rPr>
                <w:sz w:val="20"/>
                <w:szCs w:val="20"/>
                <w:lang w:eastAsia="en-US"/>
              </w:rPr>
              <w:t>ld plus $</w:t>
            </w:r>
            <w:r w:rsidR="00F143D0">
              <w:rPr>
                <w:sz w:val="20"/>
                <w:szCs w:val="20"/>
                <w:lang w:eastAsia="en-US"/>
              </w:rPr>
              <w:t>191.67</w:t>
            </w:r>
            <w:r w:rsidR="00E53963">
              <w:rPr>
                <w:sz w:val="20"/>
                <w:szCs w:val="20"/>
                <w:lang w:eastAsia="en-US"/>
              </w:rPr>
              <w:t xml:space="preserve"> </w:t>
            </w:r>
            <w:r w:rsidR="00E57F58">
              <w:rPr>
                <w:sz w:val="20"/>
                <w:szCs w:val="20"/>
                <w:lang w:eastAsia="en-US"/>
              </w:rPr>
              <w:t>per</w:t>
            </w:r>
            <w:r w:rsidR="00454549">
              <w:rPr>
                <w:sz w:val="20"/>
                <w:szCs w:val="20"/>
                <w:lang w:eastAsia="en-US"/>
              </w:rPr>
              <w:t xml:space="preserve"> operating </w:t>
            </w:r>
            <w:r w:rsidR="0078188C">
              <w:rPr>
                <w:sz w:val="20"/>
                <w:szCs w:val="20"/>
                <w:lang w:eastAsia="en-US"/>
              </w:rPr>
              <w:t>gaming machine</w:t>
            </w:r>
            <w:r w:rsidR="00454549">
              <w:rPr>
                <w:sz w:val="20"/>
                <w:szCs w:val="20"/>
                <w:lang w:eastAsia="en-US"/>
              </w:rPr>
              <w:t>. Under Option B, venues pay $</w:t>
            </w:r>
            <w:r w:rsidR="007E5817">
              <w:rPr>
                <w:sz w:val="20"/>
                <w:szCs w:val="20"/>
                <w:lang w:eastAsia="en-US"/>
              </w:rPr>
              <w:t>195.75</w:t>
            </w:r>
            <w:r w:rsidR="00454549">
              <w:rPr>
                <w:sz w:val="20"/>
                <w:szCs w:val="20"/>
                <w:lang w:eastAsia="en-US"/>
              </w:rPr>
              <w:t xml:space="preserve"> per entitlement</w:t>
            </w:r>
            <w:r w:rsidR="00E57F58">
              <w:rPr>
                <w:sz w:val="20"/>
                <w:szCs w:val="20"/>
                <w:lang w:eastAsia="en-US"/>
              </w:rPr>
              <w:t xml:space="preserve"> held</w:t>
            </w:r>
            <w:r w:rsidR="00454549">
              <w:rPr>
                <w:sz w:val="20"/>
                <w:szCs w:val="20"/>
                <w:lang w:eastAsia="en-US"/>
              </w:rPr>
              <w:t>, irrespective of whether that entitlement is being used</w:t>
            </w:r>
            <w:r w:rsidR="00237B86">
              <w:rPr>
                <w:sz w:val="20"/>
                <w:szCs w:val="20"/>
                <w:lang w:eastAsia="en-US"/>
              </w:rPr>
              <w:t>.</w:t>
            </w:r>
            <w:r w:rsidRPr="00390E23">
              <w:rPr>
                <w:sz w:val="20"/>
                <w:szCs w:val="20"/>
                <w:lang w:eastAsia="en-US"/>
              </w:rPr>
              <w:t xml:space="preserve"> </w:t>
            </w:r>
          </w:p>
          <w:p w:rsidR="00454549" w:rsidRPr="00390E23" w:rsidRDefault="00454549" w:rsidP="007913FA">
            <w:pPr>
              <w:spacing w:before="160" w:after="160"/>
              <w:ind w:left="0"/>
              <w:rPr>
                <w:sz w:val="20"/>
                <w:szCs w:val="20"/>
                <w:lang w:eastAsia="en-US"/>
              </w:rPr>
            </w:pPr>
            <w:r>
              <w:rPr>
                <w:sz w:val="20"/>
                <w:szCs w:val="20"/>
                <w:lang w:eastAsia="en-US"/>
              </w:rPr>
              <w:t>Given that h</w:t>
            </w:r>
            <w:r w:rsidRPr="00454549">
              <w:rPr>
                <w:sz w:val="20"/>
                <w:szCs w:val="20"/>
                <w:lang w:eastAsia="en-US"/>
              </w:rPr>
              <w:t>olding entitlem</w:t>
            </w:r>
            <w:r>
              <w:rPr>
                <w:sz w:val="20"/>
                <w:szCs w:val="20"/>
                <w:lang w:eastAsia="en-US"/>
              </w:rPr>
              <w:t>ents that are not attached to</w:t>
            </w:r>
            <w:r w:rsidRPr="00454549">
              <w:rPr>
                <w:sz w:val="20"/>
                <w:szCs w:val="20"/>
                <w:lang w:eastAsia="en-US"/>
              </w:rPr>
              <w:t xml:space="preserve"> operating gaming machine</w:t>
            </w:r>
            <w:r>
              <w:rPr>
                <w:sz w:val="20"/>
                <w:szCs w:val="20"/>
                <w:lang w:eastAsia="en-US"/>
              </w:rPr>
              <w:t>s</w:t>
            </w:r>
            <w:r w:rsidRPr="00454549">
              <w:rPr>
                <w:sz w:val="20"/>
                <w:szCs w:val="20"/>
                <w:lang w:eastAsia="en-US"/>
              </w:rPr>
              <w:t xml:space="preserve"> requires a </w:t>
            </w:r>
            <w:r w:rsidR="007913FA">
              <w:rPr>
                <w:sz w:val="20"/>
                <w:szCs w:val="20"/>
                <w:lang w:eastAsia="en-US"/>
              </w:rPr>
              <w:t>l</w:t>
            </w:r>
            <w:r w:rsidRPr="00454549">
              <w:rPr>
                <w:sz w:val="20"/>
                <w:szCs w:val="20"/>
                <w:lang w:eastAsia="en-US"/>
              </w:rPr>
              <w:t xml:space="preserve">ower level of regulatory oversight than </w:t>
            </w:r>
            <w:r>
              <w:rPr>
                <w:sz w:val="20"/>
                <w:szCs w:val="20"/>
                <w:lang w:eastAsia="en-US"/>
              </w:rPr>
              <w:t xml:space="preserve">those that are </w:t>
            </w:r>
            <w:r w:rsidRPr="00454549">
              <w:rPr>
                <w:sz w:val="20"/>
                <w:szCs w:val="20"/>
                <w:lang w:eastAsia="en-US"/>
              </w:rPr>
              <w:t>attached to operating gaming machine</w:t>
            </w:r>
            <w:r>
              <w:rPr>
                <w:sz w:val="20"/>
                <w:szCs w:val="20"/>
                <w:lang w:eastAsia="en-US"/>
              </w:rPr>
              <w:t>s, a cross-subsidy would arise under Option B. The score was adjusted downwards accordingly.</w:t>
            </w:r>
          </w:p>
        </w:tc>
        <w:tc>
          <w:tcPr>
            <w:tcW w:w="992" w:type="dxa"/>
            <w:shd w:val="clear" w:color="auto" w:fill="auto"/>
          </w:tcPr>
          <w:p w:rsidR="00390E23" w:rsidRPr="00390E23" w:rsidRDefault="00390E23" w:rsidP="00390E23">
            <w:pPr>
              <w:spacing w:before="240" w:after="240"/>
              <w:ind w:left="0"/>
              <w:jc w:val="center"/>
              <w:rPr>
                <w:sz w:val="20"/>
                <w:szCs w:val="20"/>
                <w:lang w:eastAsia="en-US"/>
              </w:rPr>
            </w:pPr>
            <w:r w:rsidRPr="00390E23">
              <w:rPr>
                <w:sz w:val="20"/>
                <w:szCs w:val="20"/>
                <w:lang w:eastAsia="en-US"/>
              </w:rPr>
              <w:t>+</w:t>
            </w:r>
            <w:r w:rsidR="00145527">
              <w:rPr>
                <w:sz w:val="20"/>
                <w:szCs w:val="20"/>
                <w:lang w:eastAsia="en-US"/>
              </w:rPr>
              <w:t>3</w:t>
            </w:r>
          </w:p>
        </w:tc>
        <w:tc>
          <w:tcPr>
            <w:tcW w:w="1199" w:type="dxa"/>
            <w:shd w:val="clear" w:color="auto" w:fill="auto"/>
          </w:tcPr>
          <w:p w:rsidR="00390E23" w:rsidRPr="00390E23" w:rsidRDefault="00390E23" w:rsidP="00390E23">
            <w:pPr>
              <w:spacing w:before="240" w:after="240"/>
              <w:ind w:left="0"/>
              <w:jc w:val="center"/>
              <w:rPr>
                <w:sz w:val="20"/>
                <w:szCs w:val="20"/>
                <w:lang w:eastAsia="en-US"/>
              </w:rPr>
            </w:pPr>
            <w:r w:rsidRPr="00390E23">
              <w:rPr>
                <w:sz w:val="20"/>
                <w:szCs w:val="20"/>
                <w:lang w:eastAsia="en-US"/>
              </w:rPr>
              <w:t>+0.</w:t>
            </w:r>
            <w:r w:rsidR="00145527">
              <w:rPr>
                <w:sz w:val="20"/>
                <w:szCs w:val="20"/>
                <w:lang w:eastAsia="en-US"/>
              </w:rPr>
              <w:t>9</w:t>
            </w:r>
          </w:p>
        </w:tc>
      </w:tr>
      <w:tr w:rsidR="00390E23" w:rsidRPr="00390E23" w:rsidTr="00717ACB">
        <w:trPr>
          <w:cantSplit/>
        </w:trPr>
        <w:tc>
          <w:tcPr>
            <w:tcW w:w="6212" w:type="dxa"/>
            <w:shd w:val="clear" w:color="auto" w:fill="auto"/>
          </w:tcPr>
          <w:p w:rsidR="00390E23" w:rsidRPr="00390E23" w:rsidRDefault="004A4CF4" w:rsidP="00717ACB">
            <w:pPr>
              <w:spacing w:before="160" w:after="160"/>
              <w:ind w:left="0"/>
              <w:rPr>
                <w:b/>
                <w:sz w:val="20"/>
                <w:szCs w:val="20"/>
                <w:lang w:eastAsia="en-US"/>
              </w:rPr>
            </w:pPr>
            <w:r>
              <w:rPr>
                <w:b/>
                <w:sz w:val="20"/>
                <w:szCs w:val="20"/>
                <w:lang w:eastAsia="en-US"/>
              </w:rPr>
              <w:t>Cost e</w:t>
            </w:r>
            <w:r w:rsidR="00390E23" w:rsidRPr="00390E23">
              <w:rPr>
                <w:b/>
                <w:sz w:val="20"/>
                <w:szCs w:val="20"/>
                <w:lang w:eastAsia="en-US"/>
              </w:rPr>
              <w:t>ffectiveness</w:t>
            </w:r>
          </w:p>
          <w:p w:rsidR="00390E23" w:rsidRPr="00390E23" w:rsidRDefault="00390E23" w:rsidP="00887FE5">
            <w:pPr>
              <w:spacing w:before="160" w:after="160"/>
              <w:ind w:left="0"/>
              <w:rPr>
                <w:sz w:val="20"/>
                <w:szCs w:val="20"/>
                <w:lang w:eastAsia="en-US"/>
              </w:rPr>
            </w:pPr>
            <w:r w:rsidRPr="00390E23">
              <w:rPr>
                <w:sz w:val="20"/>
                <w:szCs w:val="20"/>
                <w:lang w:eastAsia="en-US"/>
              </w:rPr>
              <w:t xml:space="preserve">The cost-effectiveness impacts are similar to </w:t>
            </w:r>
            <w:r w:rsidR="00B61A29">
              <w:rPr>
                <w:sz w:val="20"/>
                <w:szCs w:val="20"/>
                <w:lang w:eastAsia="en-US"/>
              </w:rPr>
              <w:t>Option A</w:t>
            </w:r>
            <w:r w:rsidRPr="00390E23">
              <w:rPr>
                <w:sz w:val="20"/>
                <w:szCs w:val="20"/>
                <w:lang w:eastAsia="en-US"/>
              </w:rPr>
              <w:t xml:space="preserve"> however the score was adjusted upwards to reflect the relatively simpler administration task for the VCGLR in preparing supervision charge invoices – i.e. there would be no need to differentiate between entitlements and operating </w:t>
            </w:r>
            <w:r w:rsidR="00887FE5">
              <w:rPr>
                <w:sz w:val="20"/>
                <w:szCs w:val="20"/>
                <w:lang w:eastAsia="en-US"/>
              </w:rPr>
              <w:t>gaming machines</w:t>
            </w:r>
            <w:r w:rsidRPr="00390E23">
              <w:rPr>
                <w:sz w:val="20"/>
                <w:szCs w:val="20"/>
                <w:lang w:eastAsia="en-US"/>
              </w:rPr>
              <w:t>.</w:t>
            </w:r>
          </w:p>
        </w:tc>
        <w:tc>
          <w:tcPr>
            <w:tcW w:w="992" w:type="dxa"/>
            <w:shd w:val="clear" w:color="auto" w:fill="auto"/>
          </w:tcPr>
          <w:p w:rsidR="00390E23" w:rsidRPr="00390E23" w:rsidRDefault="00390E23" w:rsidP="00390E23">
            <w:pPr>
              <w:spacing w:before="240" w:after="240"/>
              <w:ind w:left="0"/>
              <w:jc w:val="center"/>
              <w:rPr>
                <w:sz w:val="20"/>
                <w:szCs w:val="20"/>
                <w:lang w:eastAsia="en-US"/>
              </w:rPr>
            </w:pPr>
            <w:r w:rsidRPr="00390E23">
              <w:rPr>
                <w:sz w:val="20"/>
                <w:szCs w:val="20"/>
                <w:lang w:eastAsia="en-US"/>
              </w:rPr>
              <w:t>+</w:t>
            </w:r>
            <w:r w:rsidR="00DD7F70">
              <w:rPr>
                <w:sz w:val="20"/>
                <w:szCs w:val="20"/>
                <w:lang w:eastAsia="en-US"/>
              </w:rPr>
              <w:t>6</w:t>
            </w:r>
          </w:p>
        </w:tc>
        <w:tc>
          <w:tcPr>
            <w:tcW w:w="1199" w:type="dxa"/>
            <w:shd w:val="clear" w:color="auto" w:fill="auto"/>
          </w:tcPr>
          <w:p w:rsidR="00390E23" w:rsidRPr="00390E23" w:rsidRDefault="00390E23" w:rsidP="00390E23">
            <w:pPr>
              <w:spacing w:before="240" w:after="240"/>
              <w:ind w:left="0"/>
              <w:jc w:val="center"/>
              <w:rPr>
                <w:sz w:val="20"/>
                <w:szCs w:val="20"/>
                <w:lang w:eastAsia="en-US"/>
              </w:rPr>
            </w:pPr>
            <w:r w:rsidRPr="00390E23">
              <w:rPr>
                <w:sz w:val="20"/>
                <w:szCs w:val="20"/>
                <w:lang w:eastAsia="en-US"/>
              </w:rPr>
              <w:t>+1</w:t>
            </w:r>
            <w:r w:rsidR="00145527">
              <w:rPr>
                <w:sz w:val="20"/>
                <w:szCs w:val="20"/>
                <w:lang w:eastAsia="en-US"/>
              </w:rPr>
              <w:t>.</w:t>
            </w:r>
            <w:r w:rsidR="00DD7F70">
              <w:rPr>
                <w:sz w:val="20"/>
                <w:szCs w:val="20"/>
                <w:lang w:eastAsia="en-US"/>
              </w:rPr>
              <w:t>2</w:t>
            </w:r>
          </w:p>
        </w:tc>
      </w:tr>
      <w:tr w:rsidR="00390E23" w:rsidRPr="00390E23" w:rsidTr="00717ACB">
        <w:trPr>
          <w:cantSplit/>
        </w:trPr>
        <w:tc>
          <w:tcPr>
            <w:tcW w:w="6212" w:type="dxa"/>
            <w:shd w:val="clear" w:color="auto" w:fill="auto"/>
          </w:tcPr>
          <w:p w:rsidR="00390E23" w:rsidRPr="00390E23" w:rsidRDefault="00390E23" w:rsidP="00717ACB">
            <w:pPr>
              <w:spacing w:before="160" w:after="160"/>
              <w:ind w:left="0"/>
              <w:rPr>
                <w:b/>
                <w:sz w:val="20"/>
                <w:szCs w:val="20"/>
                <w:lang w:eastAsia="en-US"/>
              </w:rPr>
            </w:pPr>
            <w:r w:rsidRPr="00390E23">
              <w:rPr>
                <w:b/>
                <w:sz w:val="20"/>
                <w:szCs w:val="20"/>
                <w:lang w:eastAsia="en-US"/>
              </w:rPr>
              <w:t>Transparency</w:t>
            </w:r>
          </w:p>
          <w:p w:rsidR="00390E23" w:rsidRPr="00390E23" w:rsidRDefault="00390E23" w:rsidP="00717ACB">
            <w:pPr>
              <w:spacing w:before="160" w:after="160"/>
              <w:ind w:left="0"/>
              <w:rPr>
                <w:sz w:val="20"/>
                <w:szCs w:val="20"/>
                <w:lang w:eastAsia="en-US"/>
              </w:rPr>
            </w:pPr>
            <w:r w:rsidRPr="00390E23">
              <w:rPr>
                <w:sz w:val="20"/>
                <w:szCs w:val="20"/>
                <w:lang w:eastAsia="en-US"/>
              </w:rPr>
              <w:t xml:space="preserve">This option has similar transparency impacts to </w:t>
            </w:r>
            <w:r w:rsidR="00B61A29">
              <w:rPr>
                <w:sz w:val="20"/>
                <w:szCs w:val="20"/>
                <w:lang w:eastAsia="en-US"/>
              </w:rPr>
              <w:t>Option A</w:t>
            </w:r>
            <w:r w:rsidRPr="00390E23">
              <w:rPr>
                <w:sz w:val="20"/>
                <w:szCs w:val="20"/>
                <w:lang w:eastAsia="en-US"/>
              </w:rPr>
              <w:t>.</w:t>
            </w:r>
          </w:p>
          <w:p w:rsidR="00390E23" w:rsidRPr="00390E23" w:rsidRDefault="00390E23" w:rsidP="00887FE5">
            <w:pPr>
              <w:spacing w:before="160" w:after="160"/>
              <w:ind w:left="0"/>
              <w:rPr>
                <w:sz w:val="20"/>
                <w:szCs w:val="20"/>
                <w:lang w:eastAsia="en-US"/>
              </w:rPr>
            </w:pPr>
            <w:r w:rsidRPr="00390E23">
              <w:rPr>
                <w:sz w:val="20"/>
                <w:szCs w:val="20"/>
                <w:lang w:eastAsia="en-US"/>
              </w:rPr>
              <w:t xml:space="preserve">However it could be more difficult for venues to identify the costs related to </w:t>
            </w:r>
            <w:r w:rsidR="005F74F6">
              <w:rPr>
                <w:sz w:val="20"/>
                <w:szCs w:val="20"/>
                <w:lang w:eastAsia="en-US"/>
              </w:rPr>
              <w:t>administering</w:t>
            </w:r>
            <w:r w:rsidR="005F74F6" w:rsidRPr="00390E23">
              <w:rPr>
                <w:sz w:val="20"/>
                <w:szCs w:val="20"/>
                <w:lang w:eastAsia="en-US"/>
              </w:rPr>
              <w:t xml:space="preserve"> </w:t>
            </w:r>
            <w:r w:rsidRPr="00390E23">
              <w:rPr>
                <w:sz w:val="20"/>
                <w:szCs w:val="20"/>
                <w:lang w:eastAsia="en-US"/>
              </w:rPr>
              <w:t xml:space="preserve">the entitlement system overall compared to the costs of regulating operating </w:t>
            </w:r>
            <w:r w:rsidR="00887FE5">
              <w:rPr>
                <w:sz w:val="20"/>
                <w:szCs w:val="20"/>
                <w:lang w:eastAsia="en-US"/>
              </w:rPr>
              <w:t>gaming machines</w:t>
            </w:r>
            <w:r w:rsidRPr="00390E23">
              <w:rPr>
                <w:sz w:val="20"/>
                <w:szCs w:val="20"/>
                <w:lang w:eastAsia="en-US"/>
              </w:rPr>
              <w:t>.</w:t>
            </w:r>
          </w:p>
        </w:tc>
        <w:tc>
          <w:tcPr>
            <w:tcW w:w="992" w:type="dxa"/>
            <w:shd w:val="clear" w:color="auto" w:fill="auto"/>
          </w:tcPr>
          <w:p w:rsidR="00390E23" w:rsidRPr="00390E23" w:rsidRDefault="00390E23" w:rsidP="00390E23">
            <w:pPr>
              <w:spacing w:before="240" w:after="240"/>
              <w:ind w:left="0"/>
              <w:jc w:val="center"/>
              <w:rPr>
                <w:sz w:val="20"/>
                <w:szCs w:val="20"/>
                <w:lang w:eastAsia="en-US"/>
              </w:rPr>
            </w:pPr>
            <w:r w:rsidRPr="00390E23">
              <w:rPr>
                <w:sz w:val="20"/>
                <w:szCs w:val="20"/>
                <w:lang w:eastAsia="en-US"/>
              </w:rPr>
              <w:t>+</w:t>
            </w:r>
            <w:r w:rsidR="00DD7F70">
              <w:rPr>
                <w:sz w:val="20"/>
                <w:szCs w:val="20"/>
                <w:lang w:eastAsia="en-US"/>
              </w:rPr>
              <w:t>6</w:t>
            </w:r>
          </w:p>
        </w:tc>
        <w:tc>
          <w:tcPr>
            <w:tcW w:w="1199" w:type="dxa"/>
            <w:shd w:val="clear" w:color="auto" w:fill="auto"/>
          </w:tcPr>
          <w:p w:rsidR="00390E23" w:rsidRPr="00390E23" w:rsidRDefault="00390E23" w:rsidP="00390E23">
            <w:pPr>
              <w:spacing w:before="240" w:after="240"/>
              <w:ind w:left="0"/>
              <w:jc w:val="center"/>
              <w:rPr>
                <w:sz w:val="20"/>
                <w:szCs w:val="20"/>
                <w:lang w:eastAsia="en-US"/>
              </w:rPr>
            </w:pPr>
            <w:r w:rsidRPr="00390E23">
              <w:rPr>
                <w:sz w:val="20"/>
                <w:szCs w:val="20"/>
                <w:lang w:eastAsia="en-US"/>
              </w:rPr>
              <w:t>+1.</w:t>
            </w:r>
            <w:r w:rsidR="00DD7F70">
              <w:rPr>
                <w:sz w:val="20"/>
                <w:szCs w:val="20"/>
                <w:lang w:eastAsia="en-US"/>
              </w:rPr>
              <w:t>2</w:t>
            </w:r>
          </w:p>
        </w:tc>
      </w:tr>
      <w:tr w:rsidR="00390E23" w:rsidRPr="00390E23" w:rsidTr="00717ACB">
        <w:trPr>
          <w:cantSplit/>
        </w:trPr>
        <w:tc>
          <w:tcPr>
            <w:tcW w:w="6212" w:type="dxa"/>
            <w:shd w:val="clear" w:color="auto" w:fill="auto"/>
          </w:tcPr>
          <w:p w:rsidR="00390E23" w:rsidRPr="00390E23" w:rsidRDefault="00390E23" w:rsidP="00717ACB">
            <w:pPr>
              <w:spacing w:before="160" w:after="160"/>
              <w:ind w:left="0"/>
              <w:rPr>
                <w:b/>
                <w:sz w:val="20"/>
                <w:szCs w:val="20"/>
                <w:lang w:eastAsia="en-US"/>
              </w:rPr>
            </w:pPr>
            <w:r w:rsidRPr="00390E23">
              <w:rPr>
                <w:b/>
                <w:sz w:val="20"/>
                <w:szCs w:val="20"/>
                <w:lang w:eastAsia="en-US"/>
              </w:rPr>
              <w:t>Total</w:t>
            </w:r>
          </w:p>
        </w:tc>
        <w:tc>
          <w:tcPr>
            <w:tcW w:w="992" w:type="dxa"/>
            <w:shd w:val="clear" w:color="auto" w:fill="auto"/>
          </w:tcPr>
          <w:p w:rsidR="00390E23" w:rsidRPr="00390E23" w:rsidRDefault="00390E23" w:rsidP="00390E23">
            <w:pPr>
              <w:spacing w:before="240" w:after="240"/>
              <w:ind w:left="0"/>
              <w:jc w:val="center"/>
              <w:rPr>
                <w:sz w:val="20"/>
                <w:szCs w:val="20"/>
                <w:lang w:eastAsia="en-US"/>
              </w:rPr>
            </w:pPr>
          </w:p>
        </w:tc>
        <w:tc>
          <w:tcPr>
            <w:tcW w:w="1199" w:type="dxa"/>
            <w:shd w:val="clear" w:color="auto" w:fill="auto"/>
          </w:tcPr>
          <w:p w:rsidR="00390E23" w:rsidRPr="00390E23" w:rsidRDefault="00390E23" w:rsidP="00390E23">
            <w:pPr>
              <w:spacing w:before="240" w:after="240"/>
              <w:ind w:left="0"/>
              <w:jc w:val="center"/>
              <w:rPr>
                <w:b/>
                <w:sz w:val="20"/>
                <w:szCs w:val="20"/>
                <w:lang w:eastAsia="en-US"/>
              </w:rPr>
            </w:pPr>
            <w:r w:rsidRPr="00390E23">
              <w:rPr>
                <w:b/>
                <w:sz w:val="20"/>
                <w:szCs w:val="20"/>
                <w:lang w:eastAsia="en-US"/>
              </w:rPr>
              <w:t>+</w:t>
            </w:r>
            <w:r w:rsidR="00145527">
              <w:rPr>
                <w:b/>
                <w:sz w:val="20"/>
                <w:szCs w:val="20"/>
                <w:lang w:eastAsia="en-US"/>
              </w:rPr>
              <w:t>5.1</w:t>
            </w:r>
          </w:p>
        </w:tc>
      </w:tr>
    </w:tbl>
    <w:p w:rsidR="00390E23" w:rsidRPr="00390E23" w:rsidRDefault="00B61A29" w:rsidP="00A34D0E">
      <w:pPr>
        <w:pStyle w:val="Heading3"/>
        <w:spacing w:before="360"/>
      </w:pPr>
      <w:bookmarkStart w:id="41" w:name="_Toc356830882"/>
      <w:r>
        <w:t>Option C</w:t>
      </w:r>
      <w:r w:rsidR="00390E23" w:rsidRPr="00390E23">
        <w:t xml:space="preserve"> –</w:t>
      </w:r>
      <w:r w:rsidR="0078188C">
        <w:t xml:space="preserve"> Gaming machine</w:t>
      </w:r>
      <w:r w:rsidR="00390E23" w:rsidRPr="00390E23">
        <w:t xml:space="preserve"> revenue based charge</w:t>
      </w:r>
      <w:bookmarkEnd w:id="41"/>
    </w:p>
    <w:p w:rsidR="00A34D0E" w:rsidRDefault="00B61A29" w:rsidP="00390E23">
      <w:pPr>
        <w:spacing w:before="240" w:after="240"/>
        <w:rPr>
          <w:szCs w:val="24"/>
          <w:u w:val="single"/>
          <w:lang w:eastAsia="en-US"/>
        </w:rPr>
      </w:pPr>
      <w:r>
        <w:rPr>
          <w:szCs w:val="24"/>
          <w:lang w:eastAsia="en-US"/>
        </w:rPr>
        <w:t>Option C</w:t>
      </w:r>
      <w:r w:rsidR="00390E23" w:rsidRPr="00040788">
        <w:rPr>
          <w:szCs w:val="24"/>
          <w:lang w:eastAsia="en-US"/>
        </w:rPr>
        <w:t xml:space="preserve"> proposes a charge levied on </w:t>
      </w:r>
      <w:r w:rsidR="00F13192">
        <w:rPr>
          <w:szCs w:val="24"/>
          <w:lang w:eastAsia="en-US"/>
        </w:rPr>
        <w:t>venue o</w:t>
      </w:r>
      <w:r w:rsidR="00472069">
        <w:rPr>
          <w:szCs w:val="24"/>
          <w:lang w:eastAsia="en-US"/>
        </w:rPr>
        <w:t>perator</w:t>
      </w:r>
      <w:r w:rsidR="00390E23" w:rsidRPr="00040788">
        <w:rPr>
          <w:szCs w:val="24"/>
          <w:lang w:eastAsia="en-US"/>
        </w:rPr>
        <w:t xml:space="preserve"> </w:t>
      </w:r>
      <w:r w:rsidR="0078188C">
        <w:rPr>
          <w:szCs w:val="24"/>
          <w:lang w:eastAsia="en-US"/>
        </w:rPr>
        <w:t>gaming machine</w:t>
      </w:r>
      <w:r w:rsidR="00390E23" w:rsidRPr="00040788">
        <w:rPr>
          <w:szCs w:val="24"/>
          <w:lang w:eastAsia="en-US"/>
        </w:rPr>
        <w:t xml:space="preserve"> revenue. VCGLR’s supervision costs would be the same as for </w:t>
      </w:r>
      <w:r>
        <w:rPr>
          <w:szCs w:val="24"/>
          <w:lang w:eastAsia="en-US"/>
        </w:rPr>
        <w:t>Option A</w:t>
      </w:r>
      <w:r w:rsidR="00390E23" w:rsidRPr="00040788">
        <w:rPr>
          <w:szCs w:val="24"/>
          <w:lang w:eastAsia="en-US"/>
        </w:rPr>
        <w:t xml:space="preserve">, but under this option the charge would be a function of </w:t>
      </w:r>
      <w:r w:rsidR="0078188C">
        <w:rPr>
          <w:szCs w:val="24"/>
          <w:lang w:eastAsia="en-US"/>
        </w:rPr>
        <w:t>gaming machine</w:t>
      </w:r>
      <w:r w:rsidR="00390E23" w:rsidRPr="00040788">
        <w:rPr>
          <w:szCs w:val="24"/>
          <w:lang w:eastAsia="en-US"/>
        </w:rPr>
        <w:t xml:space="preserve"> revenue.</w:t>
      </w:r>
      <w:r w:rsidR="006B4560">
        <w:rPr>
          <w:szCs w:val="24"/>
          <w:lang w:eastAsia="en-US"/>
        </w:rPr>
        <w:t xml:space="preserve"> </w:t>
      </w:r>
      <w:r w:rsidR="00F50D14" w:rsidRPr="00F50D14">
        <w:rPr>
          <w:szCs w:val="24"/>
          <w:lang w:eastAsia="en-US"/>
        </w:rPr>
        <w:t xml:space="preserve">Preliminary working estimates of </w:t>
      </w:r>
      <w:r w:rsidR="00F50D14" w:rsidRPr="003119C6">
        <w:rPr>
          <w:b/>
          <w:szCs w:val="24"/>
          <w:lang w:eastAsia="en-US"/>
        </w:rPr>
        <w:t>t</w:t>
      </w:r>
      <w:r w:rsidR="006B4560" w:rsidRPr="003119C6">
        <w:rPr>
          <w:b/>
          <w:szCs w:val="24"/>
          <w:lang w:eastAsia="en-US"/>
        </w:rPr>
        <w:t xml:space="preserve">he rate at which this option is charged is 0.208 per cent of pre-tax </w:t>
      </w:r>
      <w:r w:rsidR="0078188C" w:rsidRPr="003119C6">
        <w:rPr>
          <w:b/>
          <w:szCs w:val="24"/>
          <w:lang w:eastAsia="en-US"/>
        </w:rPr>
        <w:t>gaming machine</w:t>
      </w:r>
      <w:r w:rsidR="006B4560" w:rsidRPr="003119C6">
        <w:rPr>
          <w:b/>
          <w:szCs w:val="24"/>
          <w:lang w:eastAsia="en-US"/>
        </w:rPr>
        <w:t xml:space="preserve"> revenue</w:t>
      </w:r>
      <w:r w:rsidR="00656118">
        <w:rPr>
          <w:b/>
          <w:szCs w:val="24"/>
          <w:lang w:eastAsia="en-US"/>
        </w:rPr>
        <w:t xml:space="preserve"> for 2012</w:t>
      </w:r>
      <w:r w:rsidR="00656118">
        <w:rPr>
          <w:b/>
          <w:szCs w:val="24"/>
          <w:lang w:eastAsia="en-US"/>
        </w:rPr>
        <w:noBreakHyphen/>
        <w:t>13</w:t>
      </w:r>
      <w:r w:rsidR="006B4560" w:rsidRPr="003119C6">
        <w:rPr>
          <w:b/>
          <w:szCs w:val="24"/>
          <w:lang w:eastAsia="en-US"/>
        </w:rPr>
        <w:t>.</w:t>
      </w:r>
    </w:p>
    <w:p w:rsidR="00717ACB" w:rsidRPr="00390E23" w:rsidRDefault="00717ACB" w:rsidP="00717ACB">
      <w:pPr>
        <w:pStyle w:val="Heading5"/>
      </w:pPr>
      <w:r w:rsidRPr="00390E23">
        <w:t>Table 6.</w:t>
      </w:r>
      <w:r>
        <w:t>7</w:t>
      </w:r>
      <w:r w:rsidRPr="00390E23">
        <w:t xml:space="preserve">: </w:t>
      </w:r>
      <w:r>
        <w:t>Multi-criteria analysis of Option C (</w:t>
      </w:r>
      <w:r w:rsidR="0078188C">
        <w:t>gaming machine</w:t>
      </w:r>
      <w:r>
        <w:t xml:space="preserve"> revenue based charge)</w:t>
      </w:r>
    </w:p>
    <w:tbl>
      <w:tblPr>
        <w:tblW w:w="0" w:type="auto"/>
        <w:tblInd w:w="907" w:type="dxa"/>
        <w:tblBorders>
          <w:top w:val="single" w:sz="2" w:space="0" w:color="auto"/>
          <w:bottom w:val="single" w:sz="2" w:space="0" w:color="auto"/>
          <w:insideH w:val="single" w:sz="2" w:space="0" w:color="auto"/>
        </w:tblBorders>
        <w:tblCellMar>
          <w:left w:w="113" w:type="dxa"/>
          <w:right w:w="113" w:type="dxa"/>
        </w:tblCellMar>
        <w:tblLook w:val="04A0" w:firstRow="1" w:lastRow="0" w:firstColumn="1" w:lastColumn="0" w:noHBand="0" w:noVBand="1"/>
      </w:tblPr>
      <w:tblGrid>
        <w:gridCol w:w="6152"/>
        <w:gridCol w:w="992"/>
        <w:gridCol w:w="1134"/>
      </w:tblGrid>
      <w:tr w:rsidR="00390E23" w:rsidRPr="00390E23" w:rsidTr="004A4CF4">
        <w:trPr>
          <w:cantSplit/>
        </w:trPr>
        <w:tc>
          <w:tcPr>
            <w:tcW w:w="6152" w:type="dxa"/>
            <w:tcBorders>
              <w:top w:val="single" w:sz="2" w:space="0" w:color="auto"/>
              <w:left w:val="nil"/>
              <w:bottom w:val="single" w:sz="2" w:space="0" w:color="auto"/>
              <w:right w:val="nil"/>
              <w:tl2br w:val="nil"/>
              <w:tr2bl w:val="nil"/>
            </w:tcBorders>
            <w:shd w:val="clear" w:color="auto" w:fill="D9D9D9"/>
          </w:tcPr>
          <w:p w:rsidR="00390E23" w:rsidRPr="00390E23" w:rsidRDefault="00390E23" w:rsidP="004A4CF4">
            <w:pPr>
              <w:spacing w:before="120" w:after="120"/>
              <w:ind w:left="0"/>
              <w:rPr>
                <w:b/>
                <w:sz w:val="20"/>
                <w:szCs w:val="20"/>
                <w:lang w:eastAsia="en-US"/>
              </w:rPr>
            </w:pPr>
            <w:r w:rsidRPr="00390E23">
              <w:rPr>
                <w:b/>
                <w:sz w:val="20"/>
                <w:szCs w:val="20"/>
                <w:lang w:eastAsia="en-US"/>
              </w:rPr>
              <w:t xml:space="preserve">Criteria </w:t>
            </w:r>
            <w:r w:rsidR="004A4CF4">
              <w:rPr>
                <w:b/>
                <w:sz w:val="20"/>
                <w:szCs w:val="20"/>
                <w:lang w:eastAsia="en-US"/>
              </w:rPr>
              <w:t>and c</w:t>
            </w:r>
            <w:r w:rsidRPr="00390E23">
              <w:rPr>
                <w:b/>
                <w:sz w:val="20"/>
                <w:szCs w:val="20"/>
                <w:lang w:eastAsia="en-US"/>
              </w:rPr>
              <w:t>omments</w:t>
            </w:r>
          </w:p>
        </w:tc>
        <w:tc>
          <w:tcPr>
            <w:tcW w:w="992" w:type="dxa"/>
            <w:tcBorders>
              <w:top w:val="single" w:sz="2" w:space="0" w:color="auto"/>
              <w:left w:val="nil"/>
              <w:bottom w:val="single" w:sz="2" w:space="0" w:color="auto"/>
              <w:right w:val="nil"/>
              <w:tl2br w:val="nil"/>
              <w:tr2bl w:val="nil"/>
            </w:tcBorders>
            <w:shd w:val="clear" w:color="auto" w:fill="D9D9D9"/>
          </w:tcPr>
          <w:p w:rsidR="00390E23" w:rsidRPr="00390E23" w:rsidRDefault="00390E23" w:rsidP="004A4CF4">
            <w:pPr>
              <w:spacing w:before="120" w:after="120"/>
              <w:ind w:left="0"/>
              <w:jc w:val="right"/>
              <w:rPr>
                <w:b/>
                <w:sz w:val="20"/>
                <w:szCs w:val="20"/>
                <w:lang w:eastAsia="en-US"/>
              </w:rPr>
            </w:pPr>
            <w:r w:rsidRPr="00390E23">
              <w:rPr>
                <w:b/>
                <w:sz w:val="20"/>
                <w:szCs w:val="20"/>
                <w:lang w:eastAsia="en-US"/>
              </w:rPr>
              <w:t>Score</w:t>
            </w:r>
          </w:p>
        </w:tc>
        <w:tc>
          <w:tcPr>
            <w:tcW w:w="1134" w:type="dxa"/>
            <w:tcBorders>
              <w:top w:val="single" w:sz="2" w:space="0" w:color="auto"/>
              <w:left w:val="nil"/>
              <w:bottom w:val="single" w:sz="2" w:space="0" w:color="auto"/>
              <w:right w:val="nil"/>
              <w:tl2br w:val="nil"/>
              <w:tr2bl w:val="nil"/>
            </w:tcBorders>
            <w:shd w:val="clear" w:color="auto" w:fill="D9D9D9"/>
          </w:tcPr>
          <w:p w:rsidR="00390E23" w:rsidRPr="00390E23" w:rsidRDefault="00390E23" w:rsidP="004A4CF4">
            <w:pPr>
              <w:spacing w:before="120" w:after="120"/>
              <w:ind w:left="0"/>
              <w:jc w:val="right"/>
              <w:rPr>
                <w:b/>
                <w:sz w:val="20"/>
                <w:szCs w:val="20"/>
                <w:lang w:eastAsia="en-US"/>
              </w:rPr>
            </w:pPr>
            <w:r w:rsidRPr="00390E23">
              <w:rPr>
                <w:b/>
                <w:sz w:val="20"/>
                <w:szCs w:val="20"/>
                <w:lang w:eastAsia="en-US"/>
              </w:rPr>
              <w:t>Weighted score</w:t>
            </w:r>
          </w:p>
        </w:tc>
      </w:tr>
      <w:tr w:rsidR="00390E23" w:rsidRPr="00390E23" w:rsidTr="00390E23">
        <w:trPr>
          <w:cantSplit/>
        </w:trPr>
        <w:tc>
          <w:tcPr>
            <w:tcW w:w="6152" w:type="dxa"/>
            <w:shd w:val="clear" w:color="auto" w:fill="auto"/>
          </w:tcPr>
          <w:p w:rsidR="00390E23" w:rsidRPr="00390E23" w:rsidRDefault="00390E23" w:rsidP="00717ACB">
            <w:pPr>
              <w:spacing w:before="120" w:after="120"/>
              <w:ind w:left="0"/>
              <w:rPr>
                <w:b/>
                <w:sz w:val="20"/>
                <w:szCs w:val="20"/>
                <w:lang w:eastAsia="en-US"/>
              </w:rPr>
            </w:pPr>
            <w:r w:rsidRPr="00390E23">
              <w:rPr>
                <w:b/>
                <w:sz w:val="20"/>
                <w:szCs w:val="20"/>
                <w:lang w:eastAsia="en-US"/>
              </w:rPr>
              <w:t>Efficiency</w:t>
            </w:r>
          </w:p>
          <w:p w:rsidR="00390E23" w:rsidRDefault="00390E23" w:rsidP="00717ACB">
            <w:pPr>
              <w:spacing w:before="120" w:after="120"/>
              <w:ind w:left="0"/>
              <w:rPr>
                <w:sz w:val="20"/>
                <w:szCs w:val="20"/>
                <w:lang w:eastAsia="en-US"/>
              </w:rPr>
            </w:pPr>
            <w:r w:rsidRPr="00390E23">
              <w:rPr>
                <w:sz w:val="20"/>
                <w:szCs w:val="20"/>
                <w:lang w:eastAsia="en-US"/>
              </w:rPr>
              <w:t xml:space="preserve">It would be highly unlikely that venues would change their business decisions in response to this option. </w:t>
            </w:r>
          </w:p>
          <w:p w:rsidR="00042F24" w:rsidRPr="00390E23" w:rsidRDefault="00042F24" w:rsidP="00717ACB">
            <w:pPr>
              <w:spacing w:before="120" w:after="120"/>
              <w:ind w:left="0"/>
              <w:rPr>
                <w:sz w:val="20"/>
                <w:szCs w:val="20"/>
                <w:lang w:eastAsia="en-US"/>
              </w:rPr>
            </w:pPr>
            <w:r>
              <w:rPr>
                <w:sz w:val="20"/>
                <w:szCs w:val="20"/>
                <w:lang w:eastAsia="en-US"/>
              </w:rPr>
              <w:t>U</w:t>
            </w:r>
            <w:r w:rsidRPr="00390E23">
              <w:rPr>
                <w:sz w:val="20"/>
                <w:szCs w:val="20"/>
                <w:lang w:eastAsia="en-US"/>
              </w:rPr>
              <w:t xml:space="preserve">nder this option there is no guarantee that a venue removing operating </w:t>
            </w:r>
            <w:r w:rsidR="00887FE5">
              <w:rPr>
                <w:sz w:val="20"/>
                <w:szCs w:val="20"/>
                <w:lang w:eastAsia="en-US"/>
              </w:rPr>
              <w:t>gaming machines</w:t>
            </w:r>
            <w:r w:rsidRPr="00390E23">
              <w:rPr>
                <w:sz w:val="20"/>
                <w:szCs w:val="20"/>
                <w:lang w:eastAsia="en-US"/>
              </w:rPr>
              <w:t xml:space="preserve"> would reduce its amount of </w:t>
            </w:r>
            <w:r w:rsidR="00887FE5">
              <w:rPr>
                <w:sz w:val="20"/>
                <w:szCs w:val="20"/>
                <w:lang w:eastAsia="en-US"/>
              </w:rPr>
              <w:t>gaming machine</w:t>
            </w:r>
            <w:r w:rsidRPr="00390E23">
              <w:rPr>
                <w:sz w:val="20"/>
                <w:szCs w:val="20"/>
                <w:lang w:eastAsia="en-US"/>
              </w:rPr>
              <w:t xml:space="preserve"> pre-tax revenue. There is a chance revenues are maintained across a lower number of machines.</w:t>
            </w:r>
          </w:p>
          <w:p w:rsidR="00390E23" w:rsidRPr="00390E23" w:rsidRDefault="00390E23" w:rsidP="00887FE5">
            <w:pPr>
              <w:spacing w:before="120" w:after="120"/>
              <w:ind w:left="0"/>
              <w:rPr>
                <w:sz w:val="20"/>
                <w:szCs w:val="20"/>
                <w:lang w:eastAsia="en-US"/>
              </w:rPr>
            </w:pPr>
            <w:r w:rsidRPr="00390E23">
              <w:rPr>
                <w:sz w:val="20"/>
                <w:szCs w:val="20"/>
                <w:lang w:eastAsia="en-US"/>
              </w:rPr>
              <w:t xml:space="preserve">Similar to </w:t>
            </w:r>
            <w:r w:rsidR="00B61A29">
              <w:rPr>
                <w:sz w:val="20"/>
                <w:szCs w:val="20"/>
                <w:lang w:eastAsia="en-US"/>
              </w:rPr>
              <w:t>Option A</w:t>
            </w:r>
            <w:r w:rsidRPr="00390E23">
              <w:rPr>
                <w:sz w:val="20"/>
                <w:szCs w:val="20"/>
                <w:lang w:eastAsia="en-US"/>
              </w:rPr>
              <w:t xml:space="preserve"> and </w:t>
            </w:r>
            <w:r w:rsidR="00B61A29">
              <w:rPr>
                <w:sz w:val="20"/>
                <w:szCs w:val="20"/>
                <w:lang w:eastAsia="en-US"/>
              </w:rPr>
              <w:t>Option B</w:t>
            </w:r>
            <w:r w:rsidRPr="00390E23">
              <w:rPr>
                <w:sz w:val="20"/>
                <w:szCs w:val="20"/>
                <w:lang w:eastAsia="en-US"/>
              </w:rPr>
              <w:t xml:space="preserve">, venues could reduce their operating </w:t>
            </w:r>
            <w:r w:rsidR="00887FE5">
              <w:rPr>
                <w:sz w:val="20"/>
                <w:szCs w:val="20"/>
                <w:lang w:eastAsia="en-US"/>
              </w:rPr>
              <w:t>gaming machines</w:t>
            </w:r>
            <w:r w:rsidRPr="00390E23">
              <w:rPr>
                <w:sz w:val="20"/>
                <w:szCs w:val="20"/>
                <w:lang w:eastAsia="en-US"/>
              </w:rPr>
              <w:t xml:space="preserve"> to reduce their supervision charge liabilities; however the potential revenue forgone from </w:t>
            </w:r>
            <w:r w:rsidR="000A52AF">
              <w:rPr>
                <w:sz w:val="20"/>
                <w:szCs w:val="20"/>
                <w:lang w:eastAsia="en-US"/>
              </w:rPr>
              <w:t xml:space="preserve">doing so would be significant. </w:t>
            </w:r>
          </w:p>
        </w:tc>
        <w:tc>
          <w:tcPr>
            <w:tcW w:w="992" w:type="dxa"/>
            <w:shd w:val="clear" w:color="auto" w:fill="auto"/>
          </w:tcPr>
          <w:p w:rsidR="00390E23" w:rsidRPr="00390E23" w:rsidRDefault="00390E23" w:rsidP="00717ACB">
            <w:pPr>
              <w:spacing w:before="120" w:after="120"/>
              <w:ind w:left="0"/>
              <w:jc w:val="center"/>
              <w:rPr>
                <w:sz w:val="20"/>
                <w:szCs w:val="20"/>
                <w:lang w:eastAsia="en-US"/>
              </w:rPr>
            </w:pPr>
            <w:r w:rsidRPr="00390E23">
              <w:rPr>
                <w:sz w:val="20"/>
                <w:szCs w:val="20"/>
                <w:lang w:eastAsia="en-US"/>
              </w:rPr>
              <w:t>+</w:t>
            </w:r>
            <w:r w:rsidR="00145527">
              <w:rPr>
                <w:sz w:val="20"/>
                <w:szCs w:val="20"/>
                <w:lang w:eastAsia="en-US"/>
              </w:rPr>
              <w:t>9</w:t>
            </w:r>
          </w:p>
        </w:tc>
        <w:tc>
          <w:tcPr>
            <w:tcW w:w="1134" w:type="dxa"/>
            <w:shd w:val="clear" w:color="auto" w:fill="auto"/>
          </w:tcPr>
          <w:p w:rsidR="00390E23" w:rsidRPr="00390E23" w:rsidRDefault="00390E23" w:rsidP="00717ACB">
            <w:pPr>
              <w:spacing w:before="120" w:after="120"/>
              <w:ind w:left="0"/>
              <w:jc w:val="center"/>
              <w:rPr>
                <w:sz w:val="20"/>
                <w:szCs w:val="20"/>
                <w:lang w:eastAsia="en-US"/>
              </w:rPr>
            </w:pPr>
            <w:r w:rsidRPr="00390E23">
              <w:rPr>
                <w:sz w:val="20"/>
                <w:szCs w:val="20"/>
                <w:lang w:eastAsia="en-US"/>
              </w:rPr>
              <w:t>+2.</w:t>
            </w:r>
            <w:r w:rsidR="00145527">
              <w:rPr>
                <w:sz w:val="20"/>
                <w:szCs w:val="20"/>
                <w:lang w:eastAsia="en-US"/>
              </w:rPr>
              <w:t>7</w:t>
            </w:r>
          </w:p>
        </w:tc>
      </w:tr>
      <w:tr w:rsidR="00390E23" w:rsidRPr="00390E23" w:rsidTr="00390E23">
        <w:trPr>
          <w:cantSplit/>
        </w:trPr>
        <w:tc>
          <w:tcPr>
            <w:tcW w:w="6152" w:type="dxa"/>
            <w:shd w:val="clear" w:color="auto" w:fill="auto"/>
          </w:tcPr>
          <w:p w:rsidR="00390E23" w:rsidRPr="00390E23" w:rsidRDefault="00390E23" w:rsidP="00717ACB">
            <w:pPr>
              <w:spacing w:before="120" w:after="120"/>
              <w:ind w:left="0"/>
              <w:rPr>
                <w:b/>
                <w:sz w:val="20"/>
                <w:szCs w:val="20"/>
                <w:lang w:eastAsia="en-US"/>
              </w:rPr>
            </w:pPr>
            <w:r w:rsidRPr="00390E23">
              <w:rPr>
                <w:b/>
                <w:sz w:val="20"/>
                <w:szCs w:val="20"/>
                <w:lang w:eastAsia="en-US"/>
              </w:rPr>
              <w:t>Equity</w:t>
            </w:r>
          </w:p>
          <w:p w:rsidR="00390E23" w:rsidRPr="00390E23" w:rsidRDefault="00390E23" w:rsidP="00717ACB">
            <w:pPr>
              <w:spacing w:before="120" w:after="120"/>
              <w:ind w:left="0"/>
              <w:rPr>
                <w:sz w:val="20"/>
                <w:szCs w:val="20"/>
                <w:lang w:eastAsia="en-US"/>
              </w:rPr>
            </w:pPr>
            <w:r w:rsidRPr="00390E23">
              <w:rPr>
                <w:sz w:val="20"/>
                <w:szCs w:val="20"/>
                <w:lang w:eastAsia="en-US"/>
              </w:rPr>
              <w:t xml:space="preserve">Under this option, higher intensity </w:t>
            </w:r>
            <w:r w:rsidR="00887FE5">
              <w:rPr>
                <w:sz w:val="20"/>
                <w:szCs w:val="20"/>
                <w:lang w:eastAsia="en-US"/>
              </w:rPr>
              <w:t>gaming machines</w:t>
            </w:r>
            <w:r w:rsidRPr="00390E23">
              <w:rPr>
                <w:sz w:val="20"/>
                <w:szCs w:val="20"/>
                <w:lang w:eastAsia="en-US"/>
              </w:rPr>
              <w:t xml:space="preserve"> are subject to a higher supervision charge than lower intensity </w:t>
            </w:r>
            <w:r w:rsidR="00887FE5">
              <w:rPr>
                <w:sz w:val="20"/>
                <w:szCs w:val="20"/>
                <w:lang w:eastAsia="en-US"/>
              </w:rPr>
              <w:t>gaming machines</w:t>
            </w:r>
            <w:r w:rsidR="004A4CF4">
              <w:rPr>
                <w:sz w:val="20"/>
                <w:szCs w:val="20"/>
                <w:lang w:eastAsia="en-US"/>
              </w:rPr>
              <w:t xml:space="preserve">. </w:t>
            </w:r>
            <w:r w:rsidRPr="00390E23">
              <w:rPr>
                <w:sz w:val="20"/>
                <w:szCs w:val="20"/>
                <w:lang w:eastAsia="en-US"/>
              </w:rPr>
              <w:t>This option would be highly equitable if there was a relationship with the VCGLR’s regulatory costs incurred.</w:t>
            </w:r>
          </w:p>
          <w:p w:rsidR="00390E23" w:rsidRPr="00390E23" w:rsidRDefault="005B6FA6" w:rsidP="005B6FA6">
            <w:pPr>
              <w:spacing w:before="120" w:after="120"/>
              <w:ind w:left="0"/>
              <w:rPr>
                <w:sz w:val="20"/>
                <w:szCs w:val="20"/>
                <w:lang w:eastAsia="en-US"/>
              </w:rPr>
            </w:pPr>
            <w:r w:rsidRPr="005B6FA6">
              <w:rPr>
                <w:sz w:val="20"/>
                <w:szCs w:val="20"/>
                <w:lang w:eastAsia="en-US"/>
              </w:rPr>
              <w:t xml:space="preserve">As explained in Chapter 4, the relationship between the </w:t>
            </w:r>
            <w:r>
              <w:rPr>
                <w:sz w:val="20"/>
                <w:szCs w:val="20"/>
                <w:lang w:eastAsia="en-US"/>
              </w:rPr>
              <w:t>VCGLR’s regulatory costs and gaming machine</w:t>
            </w:r>
            <w:r w:rsidR="00656118">
              <w:rPr>
                <w:sz w:val="20"/>
                <w:szCs w:val="20"/>
                <w:lang w:eastAsia="en-US"/>
              </w:rPr>
              <w:t xml:space="preserve"> turnover is minimal. Most cost</w:t>
            </w:r>
            <w:r w:rsidRPr="005B6FA6">
              <w:rPr>
                <w:sz w:val="20"/>
                <w:szCs w:val="20"/>
                <w:lang w:eastAsia="en-US"/>
              </w:rPr>
              <w:t xml:space="preserve"> drivers primarily arise from the actual demand for VCGLR’s regulatory functions. None of these cost drivers necessarily relate to </w:t>
            </w:r>
            <w:r>
              <w:rPr>
                <w:sz w:val="20"/>
                <w:szCs w:val="20"/>
                <w:lang w:eastAsia="en-US"/>
              </w:rPr>
              <w:t>gaming machine</w:t>
            </w:r>
            <w:r w:rsidRPr="005B6FA6">
              <w:rPr>
                <w:sz w:val="20"/>
                <w:szCs w:val="20"/>
                <w:lang w:eastAsia="en-US"/>
              </w:rPr>
              <w:t xml:space="preserve"> revenue. As a result, imposing higher costs o</w:t>
            </w:r>
            <w:r>
              <w:rPr>
                <w:sz w:val="20"/>
                <w:szCs w:val="20"/>
                <w:lang w:eastAsia="en-US"/>
              </w:rPr>
              <w:t>n venues with higher intensity gaming machine</w:t>
            </w:r>
            <w:r w:rsidRPr="005B6FA6">
              <w:rPr>
                <w:sz w:val="20"/>
                <w:szCs w:val="20"/>
                <w:lang w:eastAsia="en-US"/>
              </w:rPr>
              <w:t xml:space="preserve">s would create a cross subsidy towards venues with lower intensity </w:t>
            </w:r>
            <w:r>
              <w:rPr>
                <w:sz w:val="20"/>
                <w:szCs w:val="20"/>
                <w:lang w:eastAsia="en-US"/>
              </w:rPr>
              <w:t>gaming machine</w:t>
            </w:r>
            <w:r w:rsidRPr="005B6FA6">
              <w:rPr>
                <w:sz w:val="20"/>
                <w:szCs w:val="20"/>
                <w:lang w:eastAsia="en-US"/>
              </w:rPr>
              <w:t>s, with an unclear and potentially tenuous link to VCGLR regulatory functions and costs.</w:t>
            </w:r>
          </w:p>
        </w:tc>
        <w:tc>
          <w:tcPr>
            <w:tcW w:w="992" w:type="dxa"/>
            <w:shd w:val="clear" w:color="auto" w:fill="auto"/>
          </w:tcPr>
          <w:p w:rsidR="00390E23" w:rsidRPr="00390E23" w:rsidRDefault="00390E23" w:rsidP="00717ACB">
            <w:pPr>
              <w:spacing w:before="120" w:after="120"/>
              <w:ind w:left="0"/>
              <w:jc w:val="center"/>
              <w:rPr>
                <w:sz w:val="20"/>
                <w:szCs w:val="20"/>
                <w:lang w:eastAsia="en-US"/>
              </w:rPr>
            </w:pPr>
            <w:r w:rsidRPr="00390E23">
              <w:rPr>
                <w:sz w:val="20"/>
                <w:szCs w:val="20"/>
                <w:lang w:eastAsia="en-US"/>
              </w:rPr>
              <w:t>+1</w:t>
            </w:r>
          </w:p>
        </w:tc>
        <w:tc>
          <w:tcPr>
            <w:tcW w:w="1134" w:type="dxa"/>
            <w:shd w:val="clear" w:color="auto" w:fill="auto"/>
          </w:tcPr>
          <w:p w:rsidR="00390E23" w:rsidRPr="00390E23" w:rsidRDefault="00390E23" w:rsidP="00717ACB">
            <w:pPr>
              <w:spacing w:before="120" w:after="120"/>
              <w:ind w:left="0"/>
              <w:jc w:val="center"/>
              <w:rPr>
                <w:sz w:val="20"/>
                <w:szCs w:val="20"/>
                <w:lang w:eastAsia="en-US"/>
              </w:rPr>
            </w:pPr>
            <w:r w:rsidRPr="00390E23">
              <w:rPr>
                <w:sz w:val="20"/>
                <w:szCs w:val="20"/>
                <w:lang w:eastAsia="en-US"/>
              </w:rPr>
              <w:t>+0.3</w:t>
            </w:r>
          </w:p>
        </w:tc>
      </w:tr>
      <w:tr w:rsidR="00390E23" w:rsidRPr="00390E23" w:rsidTr="00390E23">
        <w:trPr>
          <w:cantSplit/>
        </w:trPr>
        <w:tc>
          <w:tcPr>
            <w:tcW w:w="6152" w:type="dxa"/>
            <w:shd w:val="clear" w:color="auto" w:fill="auto"/>
          </w:tcPr>
          <w:p w:rsidR="00390E23" w:rsidRPr="00390E23" w:rsidRDefault="00390E23" w:rsidP="00717ACB">
            <w:pPr>
              <w:spacing w:before="120" w:after="120"/>
              <w:ind w:left="0"/>
              <w:rPr>
                <w:b/>
                <w:sz w:val="20"/>
                <w:szCs w:val="20"/>
                <w:lang w:eastAsia="en-US"/>
              </w:rPr>
            </w:pPr>
            <w:r w:rsidRPr="00390E23">
              <w:rPr>
                <w:b/>
                <w:sz w:val="20"/>
                <w:szCs w:val="20"/>
                <w:lang w:eastAsia="en-US"/>
              </w:rPr>
              <w:t xml:space="preserve">Cost </w:t>
            </w:r>
            <w:r w:rsidR="004A4CF4">
              <w:rPr>
                <w:b/>
                <w:sz w:val="20"/>
                <w:szCs w:val="20"/>
                <w:lang w:eastAsia="en-US"/>
              </w:rPr>
              <w:t>e</w:t>
            </w:r>
            <w:r w:rsidRPr="00390E23">
              <w:rPr>
                <w:b/>
                <w:sz w:val="20"/>
                <w:szCs w:val="20"/>
                <w:lang w:eastAsia="en-US"/>
              </w:rPr>
              <w:t>ffectiveness</w:t>
            </w:r>
          </w:p>
          <w:p w:rsidR="00390E23" w:rsidRPr="00390E23" w:rsidRDefault="00390E23" w:rsidP="004A4CF4">
            <w:pPr>
              <w:spacing w:before="120" w:after="120"/>
              <w:ind w:left="0"/>
              <w:rPr>
                <w:sz w:val="20"/>
                <w:szCs w:val="20"/>
                <w:lang w:eastAsia="en-US"/>
              </w:rPr>
            </w:pPr>
            <w:r w:rsidRPr="00390E23">
              <w:rPr>
                <w:sz w:val="20"/>
                <w:szCs w:val="20"/>
                <w:lang w:eastAsia="en-US"/>
              </w:rPr>
              <w:t xml:space="preserve">The cost-effectiveness impacts are similar to </w:t>
            </w:r>
            <w:r w:rsidR="00B61A29">
              <w:rPr>
                <w:sz w:val="20"/>
                <w:szCs w:val="20"/>
                <w:lang w:eastAsia="en-US"/>
              </w:rPr>
              <w:t>Option A</w:t>
            </w:r>
            <w:r w:rsidRPr="00390E23">
              <w:rPr>
                <w:sz w:val="20"/>
                <w:szCs w:val="20"/>
                <w:lang w:eastAsia="en-US"/>
              </w:rPr>
              <w:t xml:space="preserve">. However, due to the complicated formula described in </w:t>
            </w:r>
            <w:r w:rsidR="004A4CF4">
              <w:rPr>
                <w:sz w:val="20"/>
                <w:szCs w:val="20"/>
                <w:lang w:eastAsia="en-US"/>
              </w:rPr>
              <w:t>C</w:t>
            </w:r>
            <w:r w:rsidRPr="00390E23">
              <w:rPr>
                <w:sz w:val="20"/>
                <w:szCs w:val="20"/>
                <w:lang w:eastAsia="en-US"/>
              </w:rPr>
              <w:t xml:space="preserve">hapter 5, the VCGLR would face a slightly more complicated process in assessing venues’ supervision charge liabilities. </w:t>
            </w:r>
          </w:p>
        </w:tc>
        <w:tc>
          <w:tcPr>
            <w:tcW w:w="992" w:type="dxa"/>
            <w:shd w:val="clear" w:color="auto" w:fill="auto"/>
          </w:tcPr>
          <w:p w:rsidR="00390E23" w:rsidRPr="00390E23" w:rsidRDefault="00390E23" w:rsidP="00717ACB">
            <w:pPr>
              <w:spacing w:before="120" w:after="120"/>
              <w:ind w:left="0"/>
              <w:jc w:val="center"/>
              <w:rPr>
                <w:sz w:val="20"/>
                <w:szCs w:val="20"/>
                <w:lang w:eastAsia="en-US"/>
              </w:rPr>
            </w:pPr>
            <w:r w:rsidRPr="00390E23">
              <w:rPr>
                <w:sz w:val="20"/>
                <w:szCs w:val="20"/>
                <w:lang w:eastAsia="en-US"/>
              </w:rPr>
              <w:t>+</w:t>
            </w:r>
            <w:r w:rsidR="00042F24">
              <w:rPr>
                <w:sz w:val="20"/>
                <w:szCs w:val="20"/>
                <w:lang w:eastAsia="en-US"/>
              </w:rPr>
              <w:t>4</w:t>
            </w:r>
          </w:p>
        </w:tc>
        <w:tc>
          <w:tcPr>
            <w:tcW w:w="1134" w:type="dxa"/>
            <w:shd w:val="clear" w:color="auto" w:fill="auto"/>
          </w:tcPr>
          <w:p w:rsidR="00390E23" w:rsidRPr="00390E23" w:rsidRDefault="00390E23" w:rsidP="00717ACB">
            <w:pPr>
              <w:spacing w:before="120" w:after="120"/>
              <w:ind w:left="0"/>
              <w:jc w:val="center"/>
              <w:rPr>
                <w:sz w:val="20"/>
                <w:szCs w:val="20"/>
                <w:lang w:eastAsia="en-US"/>
              </w:rPr>
            </w:pPr>
            <w:r w:rsidRPr="00390E23">
              <w:rPr>
                <w:sz w:val="20"/>
                <w:szCs w:val="20"/>
                <w:lang w:eastAsia="en-US"/>
              </w:rPr>
              <w:t>+0</w:t>
            </w:r>
            <w:r w:rsidR="00042F24">
              <w:rPr>
                <w:sz w:val="20"/>
                <w:szCs w:val="20"/>
                <w:lang w:eastAsia="en-US"/>
              </w:rPr>
              <w:t>.8</w:t>
            </w:r>
          </w:p>
        </w:tc>
      </w:tr>
      <w:tr w:rsidR="00390E23" w:rsidRPr="00390E23" w:rsidTr="00390E23">
        <w:trPr>
          <w:cantSplit/>
        </w:trPr>
        <w:tc>
          <w:tcPr>
            <w:tcW w:w="6152" w:type="dxa"/>
            <w:shd w:val="clear" w:color="auto" w:fill="auto"/>
          </w:tcPr>
          <w:p w:rsidR="00390E23" w:rsidRPr="00390E23" w:rsidRDefault="00390E23" w:rsidP="00717ACB">
            <w:pPr>
              <w:spacing w:before="120" w:after="120"/>
              <w:ind w:left="0"/>
              <w:rPr>
                <w:b/>
                <w:sz w:val="20"/>
                <w:szCs w:val="20"/>
                <w:lang w:eastAsia="en-US"/>
              </w:rPr>
            </w:pPr>
            <w:r w:rsidRPr="00390E23">
              <w:rPr>
                <w:b/>
                <w:sz w:val="20"/>
                <w:szCs w:val="20"/>
                <w:lang w:eastAsia="en-US"/>
              </w:rPr>
              <w:t>Transparency</w:t>
            </w:r>
          </w:p>
          <w:p w:rsidR="00390E23" w:rsidRPr="00390E23" w:rsidRDefault="00390E23" w:rsidP="00717ACB">
            <w:pPr>
              <w:spacing w:before="120" w:after="120"/>
              <w:ind w:left="0"/>
              <w:rPr>
                <w:sz w:val="20"/>
                <w:szCs w:val="20"/>
                <w:lang w:eastAsia="en-US"/>
              </w:rPr>
            </w:pPr>
            <w:r w:rsidRPr="00390E23">
              <w:rPr>
                <w:sz w:val="20"/>
                <w:szCs w:val="20"/>
                <w:lang w:eastAsia="en-US"/>
              </w:rPr>
              <w:t>The formula for calculating venues’ liabilities under this option is more complex, and therefore more difficult to identify how much is being charged and how the liability is calculated. In addition, revenue is an additional variable in the formula, which makes it harder for venues to estimate their likely liabilities in future years.</w:t>
            </w:r>
            <w:r w:rsidR="00042F24">
              <w:rPr>
                <w:sz w:val="20"/>
                <w:szCs w:val="20"/>
                <w:lang w:eastAsia="en-US"/>
              </w:rPr>
              <w:t xml:space="preserve"> This option is given a score of +1 because it is slightly more transparent than the base case.</w:t>
            </w:r>
          </w:p>
        </w:tc>
        <w:tc>
          <w:tcPr>
            <w:tcW w:w="992" w:type="dxa"/>
            <w:shd w:val="clear" w:color="auto" w:fill="auto"/>
          </w:tcPr>
          <w:p w:rsidR="00390E23" w:rsidRPr="00390E23" w:rsidRDefault="00042F24" w:rsidP="00717ACB">
            <w:pPr>
              <w:spacing w:before="120" w:after="120"/>
              <w:ind w:left="0"/>
              <w:jc w:val="center"/>
              <w:rPr>
                <w:sz w:val="20"/>
                <w:szCs w:val="20"/>
                <w:lang w:eastAsia="en-US"/>
              </w:rPr>
            </w:pPr>
            <w:r>
              <w:rPr>
                <w:sz w:val="20"/>
                <w:szCs w:val="20"/>
                <w:lang w:eastAsia="en-US"/>
              </w:rPr>
              <w:t>+1</w:t>
            </w:r>
          </w:p>
        </w:tc>
        <w:tc>
          <w:tcPr>
            <w:tcW w:w="1134" w:type="dxa"/>
            <w:shd w:val="clear" w:color="auto" w:fill="auto"/>
          </w:tcPr>
          <w:p w:rsidR="00390E23" w:rsidRPr="00390E23" w:rsidRDefault="005D10A9" w:rsidP="00717ACB">
            <w:pPr>
              <w:spacing w:before="120" w:after="120"/>
              <w:ind w:left="0"/>
              <w:jc w:val="center"/>
              <w:rPr>
                <w:sz w:val="20"/>
                <w:szCs w:val="20"/>
                <w:lang w:eastAsia="en-US"/>
              </w:rPr>
            </w:pPr>
            <w:r>
              <w:rPr>
                <w:sz w:val="20"/>
                <w:szCs w:val="20"/>
                <w:lang w:eastAsia="en-US"/>
              </w:rPr>
              <w:t>+</w:t>
            </w:r>
            <w:r w:rsidR="00390E23" w:rsidRPr="00390E23">
              <w:rPr>
                <w:sz w:val="20"/>
                <w:szCs w:val="20"/>
                <w:lang w:eastAsia="en-US"/>
              </w:rPr>
              <w:t>0.</w:t>
            </w:r>
            <w:r w:rsidR="00145527">
              <w:rPr>
                <w:sz w:val="20"/>
                <w:szCs w:val="20"/>
                <w:lang w:eastAsia="en-US"/>
              </w:rPr>
              <w:t>2</w:t>
            </w:r>
          </w:p>
        </w:tc>
      </w:tr>
      <w:tr w:rsidR="00390E23" w:rsidRPr="00390E23" w:rsidTr="00390E23">
        <w:trPr>
          <w:cantSplit/>
        </w:trPr>
        <w:tc>
          <w:tcPr>
            <w:tcW w:w="6152" w:type="dxa"/>
            <w:shd w:val="clear" w:color="auto" w:fill="auto"/>
          </w:tcPr>
          <w:p w:rsidR="00390E23" w:rsidRPr="00390E23" w:rsidRDefault="00390E23" w:rsidP="00717ACB">
            <w:pPr>
              <w:spacing w:before="120" w:after="120"/>
              <w:ind w:left="0"/>
              <w:rPr>
                <w:sz w:val="20"/>
                <w:szCs w:val="20"/>
                <w:lang w:eastAsia="en-US"/>
              </w:rPr>
            </w:pPr>
            <w:r w:rsidRPr="00390E23">
              <w:rPr>
                <w:b/>
                <w:sz w:val="20"/>
                <w:szCs w:val="20"/>
                <w:lang w:eastAsia="en-US"/>
              </w:rPr>
              <w:t>Total</w:t>
            </w:r>
          </w:p>
        </w:tc>
        <w:tc>
          <w:tcPr>
            <w:tcW w:w="992" w:type="dxa"/>
            <w:shd w:val="clear" w:color="auto" w:fill="auto"/>
          </w:tcPr>
          <w:p w:rsidR="00390E23" w:rsidRPr="00390E23" w:rsidRDefault="00390E23" w:rsidP="00717ACB">
            <w:pPr>
              <w:spacing w:before="120" w:after="120"/>
              <w:ind w:left="0"/>
              <w:jc w:val="center"/>
              <w:rPr>
                <w:sz w:val="20"/>
                <w:szCs w:val="20"/>
                <w:lang w:eastAsia="en-US"/>
              </w:rPr>
            </w:pPr>
          </w:p>
        </w:tc>
        <w:tc>
          <w:tcPr>
            <w:tcW w:w="1134" w:type="dxa"/>
            <w:shd w:val="clear" w:color="auto" w:fill="auto"/>
          </w:tcPr>
          <w:p w:rsidR="00390E23" w:rsidRPr="00390E23" w:rsidRDefault="00390E23" w:rsidP="00042F24">
            <w:pPr>
              <w:spacing w:before="120" w:after="120"/>
              <w:ind w:left="0"/>
              <w:jc w:val="center"/>
              <w:rPr>
                <w:b/>
                <w:sz w:val="20"/>
                <w:szCs w:val="20"/>
                <w:lang w:eastAsia="en-US"/>
              </w:rPr>
            </w:pPr>
            <w:r w:rsidRPr="00390E23">
              <w:rPr>
                <w:b/>
                <w:sz w:val="20"/>
                <w:szCs w:val="20"/>
                <w:lang w:eastAsia="en-US"/>
              </w:rPr>
              <w:t>+</w:t>
            </w:r>
            <w:r w:rsidR="00042F24">
              <w:rPr>
                <w:b/>
                <w:sz w:val="20"/>
                <w:szCs w:val="20"/>
                <w:lang w:eastAsia="en-US"/>
              </w:rPr>
              <w:t>4.0</w:t>
            </w:r>
          </w:p>
        </w:tc>
      </w:tr>
    </w:tbl>
    <w:p w:rsidR="00390E23" w:rsidRPr="00390E23" w:rsidRDefault="00B61A29" w:rsidP="00390E23">
      <w:pPr>
        <w:pStyle w:val="Heading3"/>
      </w:pPr>
      <w:bookmarkStart w:id="42" w:name="_Toc356830883"/>
      <w:r>
        <w:t>Option D</w:t>
      </w:r>
      <w:r w:rsidR="00390E23" w:rsidRPr="00390E23">
        <w:t xml:space="preserve"> – Fixed fee on entitlements</w:t>
      </w:r>
      <w:bookmarkEnd w:id="42"/>
      <w:r w:rsidR="00390E23" w:rsidRPr="00390E23">
        <w:t xml:space="preserve">  </w:t>
      </w:r>
    </w:p>
    <w:p w:rsidR="00390E23" w:rsidRDefault="00B61A29" w:rsidP="00390E23">
      <w:pPr>
        <w:spacing w:before="240" w:after="120"/>
        <w:rPr>
          <w:szCs w:val="24"/>
          <w:lang w:eastAsia="en-US"/>
        </w:rPr>
      </w:pPr>
      <w:r>
        <w:rPr>
          <w:szCs w:val="24"/>
          <w:lang w:eastAsia="en-US"/>
        </w:rPr>
        <w:t>Option D</w:t>
      </w:r>
      <w:r w:rsidR="00390E23" w:rsidRPr="00040788">
        <w:rPr>
          <w:szCs w:val="24"/>
          <w:lang w:eastAsia="en-US"/>
        </w:rPr>
        <w:t xml:space="preserve"> proposes a fixed fee per entitlement, determined in the first year and based on the established costs of supervision. This charge would be denominated in Victorian fee units and indexed accordingly with the government’s automatic indexation policy.</w:t>
      </w:r>
      <w:r w:rsidR="006B4560">
        <w:rPr>
          <w:szCs w:val="24"/>
          <w:lang w:eastAsia="en-US"/>
        </w:rPr>
        <w:t xml:space="preserve"> </w:t>
      </w:r>
      <w:r w:rsidR="006B4560" w:rsidRPr="003119C6">
        <w:rPr>
          <w:b/>
          <w:szCs w:val="24"/>
          <w:lang w:eastAsia="en-US"/>
        </w:rPr>
        <w:t>In order to recover $</w:t>
      </w:r>
      <w:r w:rsidR="007E5817" w:rsidRPr="003119C6">
        <w:rPr>
          <w:b/>
          <w:szCs w:val="24"/>
          <w:lang w:eastAsia="en-US"/>
        </w:rPr>
        <w:t>195.75</w:t>
      </w:r>
      <w:r w:rsidR="006B4560" w:rsidRPr="003119C6">
        <w:rPr>
          <w:b/>
          <w:szCs w:val="24"/>
          <w:lang w:eastAsia="en-US"/>
        </w:rPr>
        <w:t xml:space="preserve"> per entitlement in 2012-13, </w:t>
      </w:r>
      <w:r w:rsidR="00F50D14" w:rsidRPr="003119C6">
        <w:rPr>
          <w:b/>
          <w:szCs w:val="24"/>
          <w:lang w:eastAsia="en-US"/>
        </w:rPr>
        <w:t>preliminary working estimates of the likely</w:t>
      </w:r>
      <w:r w:rsidR="00E773D3">
        <w:rPr>
          <w:b/>
          <w:szCs w:val="24"/>
          <w:lang w:eastAsia="en-US"/>
        </w:rPr>
        <w:t xml:space="preserve"> fixed fee is set at 15.</w:t>
      </w:r>
      <w:r w:rsidR="006B4560" w:rsidRPr="003119C6">
        <w:rPr>
          <w:b/>
          <w:szCs w:val="24"/>
          <w:lang w:eastAsia="en-US"/>
        </w:rPr>
        <w:t>6</w:t>
      </w:r>
      <w:r w:rsidR="00E773D3">
        <w:rPr>
          <w:b/>
          <w:szCs w:val="24"/>
          <w:lang w:eastAsia="en-US"/>
        </w:rPr>
        <w:t>225</w:t>
      </w:r>
      <w:r w:rsidR="006B4560" w:rsidRPr="003119C6">
        <w:rPr>
          <w:b/>
          <w:szCs w:val="24"/>
          <w:lang w:eastAsia="en-US"/>
        </w:rPr>
        <w:t xml:space="preserve"> fee units. </w:t>
      </w:r>
    </w:p>
    <w:p w:rsidR="00717ACB" w:rsidRPr="00390E23" w:rsidRDefault="00717ACB" w:rsidP="00717ACB">
      <w:pPr>
        <w:pStyle w:val="Heading5"/>
      </w:pPr>
      <w:r w:rsidRPr="00390E23">
        <w:t>Table 6.</w:t>
      </w:r>
      <w:r>
        <w:t>8</w:t>
      </w:r>
      <w:r w:rsidRPr="00390E23">
        <w:t xml:space="preserve">: </w:t>
      </w:r>
      <w:r>
        <w:t>Multi-criteria analysis of Option D (Fixed fee on entitlements)</w:t>
      </w:r>
    </w:p>
    <w:tbl>
      <w:tblPr>
        <w:tblW w:w="0" w:type="auto"/>
        <w:tblInd w:w="907" w:type="dxa"/>
        <w:tblBorders>
          <w:top w:val="single" w:sz="2" w:space="0" w:color="auto"/>
          <w:bottom w:val="single" w:sz="2" w:space="0" w:color="auto"/>
          <w:insideH w:val="single" w:sz="2" w:space="0" w:color="auto"/>
        </w:tblBorders>
        <w:tblCellMar>
          <w:left w:w="113" w:type="dxa"/>
          <w:right w:w="113" w:type="dxa"/>
        </w:tblCellMar>
        <w:tblLook w:val="04A0" w:firstRow="1" w:lastRow="0" w:firstColumn="1" w:lastColumn="0" w:noHBand="0" w:noVBand="1"/>
      </w:tblPr>
      <w:tblGrid>
        <w:gridCol w:w="6212"/>
        <w:gridCol w:w="992"/>
        <w:gridCol w:w="1199"/>
      </w:tblGrid>
      <w:tr w:rsidR="00390E23" w:rsidRPr="00390E23" w:rsidTr="00717ACB">
        <w:trPr>
          <w:cantSplit/>
          <w:tblHeader/>
        </w:trPr>
        <w:tc>
          <w:tcPr>
            <w:tcW w:w="6212" w:type="dxa"/>
            <w:tcBorders>
              <w:top w:val="single" w:sz="2" w:space="0" w:color="auto"/>
              <w:left w:val="nil"/>
              <w:bottom w:val="single" w:sz="2" w:space="0" w:color="auto"/>
              <w:right w:val="nil"/>
              <w:tl2br w:val="nil"/>
              <w:tr2bl w:val="nil"/>
            </w:tcBorders>
            <w:shd w:val="clear" w:color="auto" w:fill="D9D9D9"/>
          </w:tcPr>
          <w:p w:rsidR="00390E23" w:rsidRPr="00390E23" w:rsidRDefault="00390E23" w:rsidP="00390E23">
            <w:pPr>
              <w:spacing w:before="140" w:after="140"/>
              <w:ind w:left="0"/>
              <w:rPr>
                <w:b/>
                <w:sz w:val="20"/>
                <w:szCs w:val="20"/>
                <w:lang w:eastAsia="en-US"/>
              </w:rPr>
            </w:pPr>
            <w:r w:rsidRPr="00390E23">
              <w:rPr>
                <w:b/>
                <w:sz w:val="20"/>
                <w:szCs w:val="20"/>
                <w:lang w:eastAsia="en-US"/>
              </w:rPr>
              <w:t>Criteria &amp; Comments</w:t>
            </w:r>
          </w:p>
        </w:tc>
        <w:tc>
          <w:tcPr>
            <w:tcW w:w="992" w:type="dxa"/>
            <w:tcBorders>
              <w:top w:val="single" w:sz="2" w:space="0" w:color="auto"/>
              <w:left w:val="nil"/>
              <w:bottom w:val="single" w:sz="2" w:space="0" w:color="auto"/>
              <w:right w:val="nil"/>
              <w:tl2br w:val="nil"/>
              <w:tr2bl w:val="nil"/>
            </w:tcBorders>
            <w:shd w:val="clear" w:color="auto" w:fill="D9D9D9"/>
          </w:tcPr>
          <w:p w:rsidR="00390E23" w:rsidRPr="00390E23" w:rsidRDefault="00390E23" w:rsidP="00390E23">
            <w:pPr>
              <w:spacing w:before="140" w:after="140"/>
              <w:ind w:left="0"/>
              <w:jc w:val="center"/>
              <w:rPr>
                <w:b/>
                <w:sz w:val="20"/>
                <w:szCs w:val="20"/>
                <w:lang w:eastAsia="en-US"/>
              </w:rPr>
            </w:pPr>
            <w:r w:rsidRPr="00390E23">
              <w:rPr>
                <w:b/>
                <w:sz w:val="20"/>
                <w:szCs w:val="20"/>
                <w:lang w:eastAsia="en-US"/>
              </w:rPr>
              <w:t>Score</w:t>
            </w:r>
          </w:p>
        </w:tc>
        <w:tc>
          <w:tcPr>
            <w:tcW w:w="1199" w:type="dxa"/>
            <w:tcBorders>
              <w:top w:val="single" w:sz="2" w:space="0" w:color="auto"/>
              <w:left w:val="nil"/>
              <w:bottom w:val="single" w:sz="2" w:space="0" w:color="auto"/>
              <w:right w:val="nil"/>
              <w:tl2br w:val="nil"/>
              <w:tr2bl w:val="nil"/>
            </w:tcBorders>
            <w:shd w:val="clear" w:color="auto" w:fill="D9D9D9"/>
          </w:tcPr>
          <w:p w:rsidR="00390E23" w:rsidRPr="00390E23" w:rsidRDefault="00390E23" w:rsidP="00390E23">
            <w:pPr>
              <w:spacing w:before="140" w:after="140"/>
              <w:ind w:left="0"/>
              <w:jc w:val="center"/>
              <w:rPr>
                <w:b/>
                <w:sz w:val="20"/>
                <w:szCs w:val="20"/>
                <w:lang w:eastAsia="en-US"/>
              </w:rPr>
            </w:pPr>
            <w:r w:rsidRPr="00390E23">
              <w:rPr>
                <w:b/>
                <w:sz w:val="20"/>
                <w:szCs w:val="20"/>
                <w:lang w:eastAsia="en-US"/>
              </w:rPr>
              <w:t>Weighted score</w:t>
            </w:r>
          </w:p>
        </w:tc>
      </w:tr>
      <w:tr w:rsidR="00390E23" w:rsidRPr="00390E23" w:rsidTr="00717ACB">
        <w:trPr>
          <w:cantSplit/>
        </w:trPr>
        <w:tc>
          <w:tcPr>
            <w:tcW w:w="6212" w:type="dxa"/>
            <w:shd w:val="clear" w:color="auto" w:fill="auto"/>
          </w:tcPr>
          <w:p w:rsidR="00390E23" w:rsidRPr="00390E23" w:rsidRDefault="00390E23" w:rsidP="00390E23">
            <w:pPr>
              <w:spacing w:before="140" w:after="140"/>
              <w:ind w:left="0"/>
              <w:rPr>
                <w:b/>
                <w:sz w:val="20"/>
                <w:szCs w:val="20"/>
                <w:lang w:eastAsia="en-US"/>
              </w:rPr>
            </w:pPr>
            <w:r w:rsidRPr="00390E23">
              <w:rPr>
                <w:b/>
                <w:sz w:val="20"/>
                <w:szCs w:val="20"/>
                <w:lang w:eastAsia="en-US"/>
              </w:rPr>
              <w:t>Efficiency</w:t>
            </w:r>
          </w:p>
          <w:p w:rsidR="00390E23" w:rsidRPr="00390E23" w:rsidRDefault="00390E23" w:rsidP="00390E23">
            <w:pPr>
              <w:spacing w:before="140" w:after="140"/>
              <w:ind w:left="0"/>
              <w:rPr>
                <w:sz w:val="20"/>
                <w:szCs w:val="20"/>
                <w:lang w:eastAsia="en-US"/>
              </w:rPr>
            </w:pPr>
            <w:r w:rsidRPr="00390E23">
              <w:rPr>
                <w:sz w:val="20"/>
                <w:szCs w:val="20"/>
                <w:lang w:eastAsia="en-US"/>
              </w:rPr>
              <w:t xml:space="preserve">The efficiency impacts are identical to </w:t>
            </w:r>
            <w:r w:rsidR="00B61A29">
              <w:rPr>
                <w:sz w:val="20"/>
                <w:szCs w:val="20"/>
                <w:lang w:eastAsia="en-US"/>
              </w:rPr>
              <w:t>Option B</w:t>
            </w:r>
            <w:r w:rsidRPr="00390E23">
              <w:rPr>
                <w:sz w:val="20"/>
                <w:szCs w:val="20"/>
                <w:lang w:eastAsia="en-US"/>
              </w:rPr>
              <w:t>.</w:t>
            </w:r>
          </w:p>
        </w:tc>
        <w:tc>
          <w:tcPr>
            <w:tcW w:w="992" w:type="dxa"/>
            <w:shd w:val="clear" w:color="auto" w:fill="auto"/>
          </w:tcPr>
          <w:p w:rsidR="00390E23" w:rsidRPr="00390E23" w:rsidRDefault="00390E23" w:rsidP="00390E23">
            <w:pPr>
              <w:spacing w:before="140" w:after="140"/>
              <w:ind w:left="0"/>
              <w:jc w:val="center"/>
              <w:rPr>
                <w:sz w:val="20"/>
                <w:szCs w:val="20"/>
                <w:lang w:eastAsia="en-US"/>
              </w:rPr>
            </w:pPr>
            <w:r w:rsidRPr="00390E23">
              <w:rPr>
                <w:sz w:val="20"/>
                <w:szCs w:val="20"/>
                <w:lang w:eastAsia="en-US"/>
              </w:rPr>
              <w:t>+</w:t>
            </w:r>
            <w:r w:rsidR="00145527">
              <w:rPr>
                <w:sz w:val="20"/>
                <w:szCs w:val="20"/>
                <w:lang w:eastAsia="en-US"/>
              </w:rPr>
              <w:t>6</w:t>
            </w:r>
          </w:p>
        </w:tc>
        <w:tc>
          <w:tcPr>
            <w:tcW w:w="1199" w:type="dxa"/>
            <w:shd w:val="clear" w:color="auto" w:fill="auto"/>
          </w:tcPr>
          <w:p w:rsidR="00390E23" w:rsidRPr="00390E23" w:rsidRDefault="00390E23" w:rsidP="00390E23">
            <w:pPr>
              <w:spacing w:before="140" w:after="140"/>
              <w:ind w:left="0"/>
              <w:jc w:val="center"/>
              <w:rPr>
                <w:sz w:val="20"/>
                <w:szCs w:val="20"/>
                <w:lang w:eastAsia="en-US"/>
              </w:rPr>
            </w:pPr>
            <w:r w:rsidRPr="00390E23">
              <w:rPr>
                <w:sz w:val="20"/>
                <w:szCs w:val="20"/>
                <w:lang w:eastAsia="en-US"/>
              </w:rPr>
              <w:t>+1.</w:t>
            </w:r>
            <w:r w:rsidR="00145527">
              <w:rPr>
                <w:sz w:val="20"/>
                <w:szCs w:val="20"/>
                <w:lang w:eastAsia="en-US"/>
              </w:rPr>
              <w:t>8</w:t>
            </w:r>
          </w:p>
        </w:tc>
      </w:tr>
      <w:tr w:rsidR="00390E23" w:rsidRPr="00390E23" w:rsidTr="00717ACB">
        <w:trPr>
          <w:cantSplit/>
        </w:trPr>
        <w:tc>
          <w:tcPr>
            <w:tcW w:w="6212" w:type="dxa"/>
            <w:shd w:val="clear" w:color="auto" w:fill="auto"/>
          </w:tcPr>
          <w:p w:rsidR="00390E23" w:rsidRPr="00390E23" w:rsidRDefault="00390E23" w:rsidP="00390E23">
            <w:pPr>
              <w:spacing w:before="140" w:after="140"/>
              <w:ind w:left="0"/>
              <w:rPr>
                <w:b/>
                <w:sz w:val="20"/>
                <w:szCs w:val="20"/>
                <w:lang w:eastAsia="en-US"/>
              </w:rPr>
            </w:pPr>
            <w:r w:rsidRPr="00390E23">
              <w:rPr>
                <w:b/>
                <w:sz w:val="20"/>
                <w:szCs w:val="20"/>
                <w:lang w:eastAsia="en-US"/>
              </w:rPr>
              <w:t>Equity</w:t>
            </w:r>
          </w:p>
          <w:p w:rsidR="00390E23" w:rsidRPr="00390E23" w:rsidRDefault="00390E23" w:rsidP="00390E23">
            <w:pPr>
              <w:spacing w:before="140" w:after="140"/>
              <w:ind w:left="0"/>
              <w:rPr>
                <w:sz w:val="20"/>
                <w:szCs w:val="20"/>
                <w:lang w:eastAsia="en-US"/>
              </w:rPr>
            </w:pPr>
            <w:r w:rsidRPr="00390E23">
              <w:rPr>
                <w:sz w:val="20"/>
                <w:szCs w:val="20"/>
                <w:lang w:eastAsia="en-US"/>
              </w:rPr>
              <w:t xml:space="preserve">The equity impacts are broadly similar to </w:t>
            </w:r>
            <w:r w:rsidR="00B61A29">
              <w:rPr>
                <w:sz w:val="20"/>
                <w:szCs w:val="20"/>
                <w:lang w:eastAsia="en-US"/>
              </w:rPr>
              <w:t>Option B</w:t>
            </w:r>
            <w:r w:rsidRPr="00390E23">
              <w:rPr>
                <w:sz w:val="20"/>
                <w:szCs w:val="20"/>
                <w:lang w:eastAsia="en-US"/>
              </w:rPr>
              <w:t xml:space="preserve">. </w:t>
            </w:r>
          </w:p>
          <w:p w:rsidR="00390E23" w:rsidRPr="00390E23" w:rsidRDefault="00390E23" w:rsidP="00390E23">
            <w:pPr>
              <w:spacing w:before="140" w:after="140"/>
              <w:ind w:left="0"/>
              <w:rPr>
                <w:sz w:val="20"/>
                <w:szCs w:val="20"/>
                <w:lang w:eastAsia="en-US"/>
              </w:rPr>
            </w:pPr>
            <w:r w:rsidRPr="00390E23">
              <w:rPr>
                <w:sz w:val="20"/>
                <w:szCs w:val="20"/>
                <w:lang w:eastAsia="en-US"/>
              </w:rPr>
              <w:t xml:space="preserve">However, there is a risk that if the charge varies from the VCGLR’s actual regulatory costs over time, venues could be either over or under charged. The risk of under or over charging could </w:t>
            </w:r>
            <w:r w:rsidR="007913FA">
              <w:rPr>
                <w:sz w:val="20"/>
                <w:szCs w:val="20"/>
                <w:lang w:eastAsia="en-US"/>
              </w:rPr>
              <w:t xml:space="preserve">be </w:t>
            </w:r>
            <w:r w:rsidRPr="00390E23">
              <w:rPr>
                <w:sz w:val="20"/>
                <w:szCs w:val="20"/>
                <w:lang w:eastAsia="en-US"/>
              </w:rPr>
              <w:t xml:space="preserve">greater now </w:t>
            </w:r>
            <w:r w:rsidR="007913FA">
              <w:rPr>
                <w:sz w:val="20"/>
                <w:szCs w:val="20"/>
                <w:lang w:eastAsia="en-US"/>
              </w:rPr>
              <w:t>because the industry</w:t>
            </w:r>
            <w:r w:rsidRPr="00390E23">
              <w:rPr>
                <w:sz w:val="20"/>
                <w:szCs w:val="20"/>
                <w:lang w:eastAsia="en-US"/>
              </w:rPr>
              <w:t xml:space="preserve"> transitioned to a new entitlement system</w:t>
            </w:r>
            <w:r w:rsidR="007913FA">
              <w:rPr>
                <w:sz w:val="20"/>
                <w:szCs w:val="20"/>
                <w:lang w:eastAsia="en-US"/>
              </w:rPr>
              <w:t xml:space="preserve"> in 2012-13</w:t>
            </w:r>
            <w:r w:rsidRPr="00390E23">
              <w:rPr>
                <w:sz w:val="20"/>
                <w:szCs w:val="20"/>
                <w:lang w:eastAsia="en-US"/>
              </w:rPr>
              <w:t xml:space="preserve">. </w:t>
            </w:r>
          </w:p>
          <w:p w:rsidR="00390E23" w:rsidRPr="00390E23" w:rsidRDefault="005D10A9" w:rsidP="007913FA">
            <w:pPr>
              <w:spacing w:before="140" w:after="140"/>
              <w:ind w:left="0"/>
              <w:rPr>
                <w:sz w:val="20"/>
                <w:szCs w:val="20"/>
                <w:lang w:eastAsia="en-US"/>
              </w:rPr>
            </w:pPr>
            <w:r>
              <w:rPr>
                <w:sz w:val="20"/>
                <w:szCs w:val="20"/>
                <w:lang w:eastAsia="en-US"/>
              </w:rPr>
              <w:t xml:space="preserve">A fixed fee arrangement </w:t>
            </w:r>
            <w:r w:rsidR="00390E23" w:rsidRPr="00390E23">
              <w:rPr>
                <w:sz w:val="20"/>
                <w:szCs w:val="20"/>
                <w:lang w:eastAsia="en-US"/>
              </w:rPr>
              <w:t>would be best undertaken after the new industry structure and the VCGLR’s gaming related regulatory costs ha</w:t>
            </w:r>
            <w:r w:rsidR="007913FA">
              <w:rPr>
                <w:sz w:val="20"/>
                <w:szCs w:val="20"/>
                <w:lang w:eastAsia="en-US"/>
              </w:rPr>
              <w:t>ve</w:t>
            </w:r>
            <w:r w:rsidR="00390E23" w:rsidRPr="00390E23">
              <w:rPr>
                <w:sz w:val="20"/>
                <w:szCs w:val="20"/>
                <w:lang w:eastAsia="en-US"/>
              </w:rPr>
              <w:t xml:space="preserve"> settled</w:t>
            </w:r>
            <w:r w:rsidR="007913FA">
              <w:rPr>
                <w:sz w:val="20"/>
                <w:szCs w:val="20"/>
                <w:lang w:eastAsia="en-US"/>
              </w:rPr>
              <w:t xml:space="preserve"> in the future</w:t>
            </w:r>
            <w:r w:rsidR="00390E23" w:rsidRPr="00390E23">
              <w:rPr>
                <w:sz w:val="20"/>
                <w:szCs w:val="20"/>
                <w:lang w:eastAsia="en-US"/>
              </w:rPr>
              <w:t>.</w:t>
            </w:r>
            <w:r w:rsidR="006B4560">
              <w:rPr>
                <w:sz w:val="20"/>
                <w:szCs w:val="20"/>
                <w:lang w:eastAsia="en-US"/>
              </w:rPr>
              <w:t xml:space="preserve"> </w:t>
            </w:r>
          </w:p>
        </w:tc>
        <w:tc>
          <w:tcPr>
            <w:tcW w:w="992" w:type="dxa"/>
            <w:shd w:val="clear" w:color="auto" w:fill="auto"/>
          </w:tcPr>
          <w:p w:rsidR="00390E23" w:rsidRPr="00390E23" w:rsidRDefault="00390E23" w:rsidP="00390E23">
            <w:pPr>
              <w:spacing w:before="140" w:after="140"/>
              <w:ind w:left="0"/>
              <w:jc w:val="center"/>
              <w:rPr>
                <w:sz w:val="20"/>
                <w:szCs w:val="20"/>
                <w:lang w:eastAsia="en-US"/>
              </w:rPr>
            </w:pPr>
            <w:r w:rsidRPr="00390E23">
              <w:rPr>
                <w:sz w:val="20"/>
                <w:szCs w:val="20"/>
                <w:lang w:eastAsia="en-US"/>
              </w:rPr>
              <w:t>+</w:t>
            </w:r>
            <w:r w:rsidR="00042F24">
              <w:rPr>
                <w:sz w:val="20"/>
                <w:szCs w:val="20"/>
                <w:lang w:eastAsia="en-US"/>
              </w:rPr>
              <w:t>1</w:t>
            </w:r>
          </w:p>
        </w:tc>
        <w:tc>
          <w:tcPr>
            <w:tcW w:w="1199" w:type="dxa"/>
            <w:shd w:val="clear" w:color="auto" w:fill="auto"/>
          </w:tcPr>
          <w:p w:rsidR="00390E23" w:rsidRPr="00390E23" w:rsidRDefault="00390E23" w:rsidP="00042F24">
            <w:pPr>
              <w:spacing w:before="140" w:after="140"/>
              <w:ind w:left="0"/>
              <w:jc w:val="center"/>
              <w:rPr>
                <w:sz w:val="20"/>
                <w:szCs w:val="20"/>
                <w:lang w:eastAsia="en-US"/>
              </w:rPr>
            </w:pPr>
            <w:r w:rsidRPr="00390E23">
              <w:rPr>
                <w:sz w:val="20"/>
                <w:szCs w:val="20"/>
                <w:lang w:eastAsia="en-US"/>
              </w:rPr>
              <w:t>+0.</w:t>
            </w:r>
            <w:r w:rsidR="00042F24">
              <w:rPr>
                <w:sz w:val="20"/>
                <w:szCs w:val="20"/>
                <w:lang w:eastAsia="en-US"/>
              </w:rPr>
              <w:t>3</w:t>
            </w:r>
          </w:p>
        </w:tc>
      </w:tr>
      <w:tr w:rsidR="00390E23" w:rsidRPr="00390E23" w:rsidTr="00717ACB">
        <w:trPr>
          <w:cantSplit/>
        </w:trPr>
        <w:tc>
          <w:tcPr>
            <w:tcW w:w="6212" w:type="dxa"/>
            <w:shd w:val="clear" w:color="auto" w:fill="auto"/>
          </w:tcPr>
          <w:p w:rsidR="00390E23" w:rsidRPr="00390E23" w:rsidRDefault="00390E23" w:rsidP="00390E23">
            <w:pPr>
              <w:spacing w:before="140" w:after="140"/>
              <w:ind w:left="0"/>
              <w:rPr>
                <w:b/>
                <w:sz w:val="20"/>
                <w:szCs w:val="20"/>
                <w:lang w:eastAsia="en-US"/>
              </w:rPr>
            </w:pPr>
            <w:r w:rsidRPr="00390E23">
              <w:rPr>
                <w:b/>
                <w:sz w:val="20"/>
                <w:szCs w:val="20"/>
                <w:lang w:eastAsia="en-US"/>
              </w:rPr>
              <w:t>Cost Effectiveness</w:t>
            </w:r>
          </w:p>
          <w:p w:rsidR="00390E23" w:rsidRPr="00390E23" w:rsidRDefault="00390E23" w:rsidP="00390E23">
            <w:pPr>
              <w:spacing w:before="140" w:after="140"/>
              <w:ind w:left="0"/>
              <w:rPr>
                <w:sz w:val="20"/>
                <w:szCs w:val="20"/>
                <w:lang w:eastAsia="en-US"/>
              </w:rPr>
            </w:pPr>
            <w:r w:rsidRPr="00390E23">
              <w:rPr>
                <w:sz w:val="20"/>
                <w:szCs w:val="20"/>
                <w:lang w:eastAsia="en-US"/>
              </w:rPr>
              <w:t xml:space="preserve">Compliance costs for venues are identical to </w:t>
            </w:r>
            <w:r w:rsidR="00B61A29">
              <w:rPr>
                <w:sz w:val="20"/>
                <w:szCs w:val="20"/>
                <w:lang w:eastAsia="en-US"/>
              </w:rPr>
              <w:t>Option A</w:t>
            </w:r>
            <w:r w:rsidR="00042F24">
              <w:rPr>
                <w:sz w:val="20"/>
                <w:szCs w:val="20"/>
                <w:lang w:eastAsia="en-US"/>
              </w:rPr>
              <w:t xml:space="preserve"> and B</w:t>
            </w:r>
            <w:r w:rsidRPr="00390E23">
              <w:rPr>
                <w:sz w:val="20"/>
                <w:szCs w:val="20"/>
                <w:lang w:eastAsia="en-US"/>
              </w:rPr>
              <w:t>.</w:t>
            </w:r>
          </w:p>
          <w:p w:rsidR="00390E23" w:rsidRPr="00390E23" w:rsidRDefault="00390E23" w:rsidP="00390E23">
            <w:pPr>
              <w:spacing w:before="140" w:after="140"/>
              <w:ind w:left="0"/>
              <w:rPr>
                <w:sz w:val="20"/>
                <w:szCs w:val="20"/>
                <w:lang w:eastAsia="en-US"/>
              </w:rPr>
            </w:pPr>
            <w:r w:rsidRPr="00390E23">
              <w:rPr>
                <w:sz w:val="20"/>
                <w:szCs w:val="20"/>
                <w:lang w:eastAsia="en-US"/>
              </w:rPr>
              <w:t>However, this option would deliver improvements in the VCGLR’s administrative effort in preparing charge invoices</w:t>
            </w:r>
            <w:r w:rsidR="00042F24">
              <w:rPr>
                <w:sz w:val="20"/>
                <w:szCs w:val="20"/>
                <w:lang w:eastAsia="en-US"/>
              </w:rPr>
              <w:t xml:space="preserve">. </w:t>
            </w:r>
            <w:r w:rsidRPr="00390E23">
              <w:rPr>
                <w:sz w:val="20"/>
                <w:szCs w:val="20"/>
                <w:lang w:eastAsia="en-US"/>
              </w:rPr>
              <w:t xml:space="preserve"> </w:t>
            </w:r>
            <w:r w:rsidR="00042F24">
              <w:rPr>
                <w:sz w:val="20"/>
                <w:szCs w:val="20"/>
                <w:lang w:eastAsia="en-US"/>
              </w:rPr>
              <w:t xml:space="preserve">Although VCGLR would continue to collect the data required </w:t>
            </w:r>
            <w:r w:rsidR="008836B2">
              <w:rPr>
                <w:sz w:val="20"/>
                <w:szCs w:val="20"/>
                <w:lang w:eastAsia="en-US"/>
              </w:rPr>
              <w:t xml:space="preserve">to calculate annual regulatory costs for other reasons, there would be no need to collate it each year for the purpose of levying the supervision charge. This would allow for a </w:t>
            </w:r>
            <w:r w:rsidR="00237B86">
              <w:rPr>
                <w:sz w:val="20"/>
                <w:szCs w:val="20"/>
                <w:lang w:eastAsia="en-US"/>
              </w:rPr>
              <w:t>timelier</w:t>
            </w:r>
            <w:r w:rsidR="008836B2">
              <w:rPr>
                <w:sz w:val="20"/>
                <w:szCs w:val="20"/>
                <w:lang w:eastAsia="en-US"/>
              </w:rPr>
              <w:t xml:space="preserve"> and streamlined invoicing system that</w:t>
            </w:r>
            <w:r w:rsidR="00B01638">
              <w:rPr>
                <w:sz w:val="20"/>
                <w:szCs w:val="20"/>
                <w:lang w:eastAsia="en-US"/>
              </w:rPr>
              <w:t xml:space="preserve"> need not be levied in arrears.</w:t>
            </w:r>
          </w:p>
          <w:p w:rsidR="00390E23" w:rsidRPr="00390E23" w:rsidRDefault="00390E23" w:rsidP="00390E23">
            <w:pPr>
              <w:spacing w:before="140" w:after="140"/>
              <w:ind w:left="0"/>
              <w:rPr>
                <w:sz w:val="20"/>
                <w:szCs w:val="20"/>
                <w:lang w:eastAsia="en-US"/>
              </w:rPr>
            </w:pPr>
            <w:r w:rsidRPr="00390E23">
              <w:rPr>
                <w:sz w:val="20"/>
                <w:szCs w:val="20"/>
                <w:lang w:eastAsia="en-US"/>
              </w:rPr>
              <w:t>Furthermore, the fixed nature of the charge makes it relatively easy for venues to predict their supervision charge liabilities in the future.</w:t>
            </w:r>
          </w:p>
        </w:tc>
        <w:tc>
          <w:tcPr>
            <w:tcW w:w="992" w:type="dxa"/>
            <w:shd w:val="clear" w:color="auto" w:fill="auto"/>
          </w:tcPr>
          <w:p w:rsidR="00390E23" w:rsidRPr="00390E23" w:rsidRDefault="00390E23" w:rsidP="00390E23">
            <w:pPr>
              <w:spacing w:before="140" w:after="140"/>
              <w:ind w:left="0"/>
              <w:jc w:val="center"/>
              <w:rPr>
                <w:sz w:val="20"/>
                <w:szCs w:val="20"/>
                <w:lang w:eastAsia="en-US"/>
              </w:rPr>
            </w:pPr>
            <w:r w:rsidRPr="00390E23">
              <w:rPr>
                <w:sz w:val="20"/>
                <w:szCs w:val="20"/>
                <w:lang w:eastAsia="en-US"/>
              </w:rPr>
              <w:t>+</w:t>
            </w:r>
            <w:r w:rsidR="00145527">
              <w:rPr>
                <w:sz w:val="20"/>
                <w:szCs w:val="20"/>
                <w:lang w:eastAsia="en-US"/>
              </w:rPr>
              <w:t>9</w:t>
            </w:r>
          </w:p>
        </w:tc>
        <w:tc>
          <w:tcPr>
            <w:tcW w:w="1199" w:type="dxa"/>
            <w:shd w:val="clear" w:color="auto" w:fill="auto"/>
          </w:tcPr>
          <w:p w:rsidR="00390E23" w:rsidRPr="00390E23" w:rsidRDefault="00390E23" w:rsidP="00390E23">
            <w:pPr>
              <w:spacing w:before="140" w:after="140"/>
              <w:ind w:left="0"/>
              <w:jc w:val="center"/>
              <w:rPr>
                <w:sz w:val="20"/>
                <w:szCs w:val="20"/>
                <w:lang w:eastAsia="en-US"/>
              </w:rPr>
            </w:pPr>
            <w:r w:rsidRPr="00390E23">
              <w:rPr>
                <w:sz w:val="20"/>
                <w:szCs w:val="20"/>
                <w:lang w:eastAsia="en-US"/>
              </w:rPr>
              <w:t>+</w:t>
            </w:r>
            <w:r w:rsidR="00145527">
              <w:rPr>
                <w:sz w:val="20"/>
                <w:szCs w:val="20"/>
                <w:lang w:eastAsia="en-US"/>
              </w:rPr>
              <w:t>1.8</w:t>
            </w:r>
          </w:p>
        </w:tc>
      </w:tr>
      <w:tr w:rsidR="00390E23" w:rsidRPr="00390E23" w:rsidTr="00717ACB">
        <w:trPr>
          <w:cantSplit/>
        </w:trPr>
        <w:tc>
          <w:tcPr>
            <w:tcW w:w="6212" w:type="dxa"/>
            <w:shd w:val="clear" w:color="auto" w:fill="auto"/>
          </w:tcPr>
          <w:p w:rsidR="00390E23" w:rsidRPr="00390E23" w:rsidRDefault="00390E23" w:rsidP="00390E23">
            <w:pPr>
              <w:spacing w:before="140" w:after="140"/>
              <w:ind w:left="0"/>
              <w:rPr>
                <w:b/>
                <w:sz w:val="20"/>
                <w:szCs w:val="20"/>
                <w:lang w:eastAsia="en-US"/>
              </w:rPr>
            </w:pPr>
            <w:r w:rsidRPr="00390E23">
              <w:rPr>
                <w:b/>
                <w:sz w:val="20"/>
                <w:szCs w:val="20"/>
                <w:lang w:eastAsia="en-US"/>
              </w:rPr>
              <w:t>Transparency</w:t>
            </w:r>
          </w:p>
          <w:p w:rsidR="00390E23" w:rsidRPr="00390E23" w:rsidRDefault="00390E23" w:rsidP="00B61A29">
            <w:pPr>
              <w:spacing w:before="140" w:after="140"/>
              <w:ind w:left="0"/>
              <w:rPr>
                <w:sz w:val="20"/>
                <w:szCs w:val="20"/>
                <w:lang w:eastAsia="en-US"/>
              </w:rPr>
            </w:pPr>
            <w:r w:rsidRPr="00390E23">
              <w:rPr>
                <w:sz w:val="20"/>
                <w:szCs w:val="20"/>
                <w:lang w:eastAsia="en-US"/>
              </w:rPr>
              <w:t xml:space="preserve">This option is largely similar to </w:t>
            </w:r>
            <w:r w:rsidR="00B61A29">
              <w:rPr>
                <w:sz w:val="20"/>
                <w:szCs w:val="20"/>
                <w:lang w:eastAsia="en-US"/>
              </w:rPr>
              <w:t>Option A</w:t>
            </w:r>
            <w:r w:rsidRPr="00390E23">
              <w:rPr>
                <w:sz w:val="20"/>
                <w:szCs w:val="20"/>
                <w:lang w:eastAsia="en-US"/>
              </w:rPr>
              <w:t xml:space="preserve"> in the calculation of VCGLR’s regulatory costs. However, a fixed charge over future years may over time reduce or at least obscure the link between actual costs and what each </w:t>
            </w:r>
            <w:r w:rsidR="00F13192">
              <w:rPr>
                <w:sz w:val="20"/>
                <w:szCs w:val="20"/>
                <w:lang w:eastAsia="en-US"/>
              </w:rPr>
              <w:t>venue o</w:t>
            </w:r>
            <w:r w:rsidR="00472069">
              <w:rPr>
                <w:sz w:val="20"/>
                <w:szCs w:val="20"/>
                <w:lang w:eastAsia="en-US"/>
              </w:rPr>
              <w:t>perator</w:t>
            </w:r>
            <w:r w:rsidRPr="00390E23">
              <w:rPr>
                <w:sz w:val="20"/>
                <w:szCs w:val="20"/>
                <w:lang w:eastAsia="en-US"/>
              </w:rPr>
              <w:t xml:space="preserve"> is ultimately required to pay. </w:t>
            </w:r>
          </w:p>
        </w:tc>
        <w:tc>
          <w:tcPr>
            <w:tcW w:w="992" w:type="dxa"/>
            <w:shd w:val="clear" w:color="auto" w:fill="auto"/>
          </w:tcPr>
          <w:p w:rsidR="00390E23" w:rsidRPr="00390E23" w:rsidRDefault="00390E23" w:rsidP="00390E23">
            <w:pPr>
              <w:spacing w:before="140" w:after="140"/>
              <w:ind w:left="0"/>
              <w:jc w:val="center"/>
              <w:rPr>
                <w:sz w:val="20"/>
                <w:szCs w:val="20"/>
                <w:lang w:eastAsia="en-US"/>
              </w:rPr>
            </w:pPr>
            <w:r w:rsidRPr="00390E23">
              <w:rPr>
                <w:sz w:val="20"/>
                <w:szCs w:val="20"/>
                <w:lang w:eastAsia="en-US"/>
              </w:rPr>
              <w:t>+</w:t>
            </w:r>
            <w:r w:rsidR="00145527">
              <w:rPr>
                <w:sz w:val="20"/>
                <w:szCs w:val="20"/>
                <w:lang w:eastAsia="en-US"/>
              </w:rPr>
              <w:t>5</w:t>
            </w:r>
          </w:p>
        </w:tc>
        <w:tc>
          <w:tcPr>
            <w:tcW w:w="1199" w:type="dxa"/>
            <w:shd w:val="clear" w:color="auto" w:fill="auto"/>
          </w:tcPr>
          <w:p w:rsidR="00390E23" w:rsidRPr="00390E23" w:rsidRDefault="00390E23" w:rsidP="00390E23">
            <w:pPr>
              <w:spacing w:before="140" w:after="140"/>
              <w:ind w:left="0"/>
              <w:jc w:val="center"/>
              <w:rPr>
                <w:sz w:val="20"/>
                <w:szCs w:val="20"/>
                <w:lang w:eastAsia="en-US"/>
              </w:rPr>
            </w:pPr>
            <w:r w:rsidRPr="00390E23">
              <w:rPr>
                <w:sz w:val="20"/>
                <w:szCs w:val="20"/>
                <w:lang w:eastAsia="en-US"/>
              </w:rPr>
              <w:t>+</w:t>
            </w:r>
            <w:r w:rsidR="00145527">
              <w:rPr>
                <w:sz w:val="20"/>
                <w:szCs w:val="20"/>
                <w:lang w:eastAsia="en-US"/>
              </w:rPr>
              <w:t>1.0</w:t>
            </w:r>
          </w:p>
        </w:tc>
      </w:tr>
      <w:tr w:rsidR="00390E23" w:rsidRPr="00390E23" w:rsidTr="00717ACB">
        <w:trPr>
          <w:cantSplit/>
        </w:trPr>
        <w:tc>
          <w:tcPr>
            <w:tcW w:w="6212" w:type="dxa"/>
            <w:shd w:val="clear" w:color="auto" w:fill="auto"/>
          </w:tcPr>
          <w:p w:rsidR="00390E23" w:rsidRPr="00390E23" w:rsidRDefault="00390E23" w:rsidP="00390E23">
            <w:pPr>
              <w:spacing w:before="140" w:after="140"/>
              <w:ind w:left="0"/>
              <w:rPr>
                <w:sz w:val="20"/>
                <w:szCs w:val="20"/>
                <w:lang w:eastAsia="en-US"/>
              </w:rPr>
            </w:pPr>
            <w:r w:rsidRPr="00390E23">
              <w:rPr>
                <w:b/>
                <w:sz w:val="20"/>
                <w:szCs w:val="20"/>
                <w:lang w:eastAsia="en-US"/>
              </w:rPr>
              <w:t>Total</w:t>
            </w:r>
          </w:p>
        </w:tc>
        <w:tc>
          <w:tcPr>
            <w:tcW w:w="992" w:type="dxa"/>
            <w:shd w:val="clear" w:color="auto" w:fill="auto"/>
          </w:tcPr>
          <w:p w:rsidR="00390E23" w:rsidRPr="00390E23" w:rsidRDefault="00390E23" w:rsidP="00390E23">
            <w:pPr>
              <w:spacing w:before="140" w:after="140"/>
              <w:ind w:left="0"/>
              <w:jc w:val="center"/>
              <w:rPr>
                <w:sz w:val="20"/>
                <w:szCs w:val="20"/>
                <w:lang w:eastAsia="en-US"/>
              </w:rPr>
            </w:pPr>
          </w:p>
        </w:tc>
        <w:tc>
          <w:tcPr>
            <w:tcW w:w="1199" w:type="dxa"/>
            <w:shd w:val="clear" w:color="auto" w:fill="auto"/>
          </w:tcPr>
          <w:p w:rsidR="00390E23" w:rsidRPr="00390E23" w:rsidRDefault="00390E23" w:rsidP="005D10A9">
            <w:pPr>
              <w:spacing w:before="140" w:after="140"/>
              <w:ind w:left="0"/>
              <w:jc w:val="center"/>
              <w:rPr>
                <w:b/>
                <w:sz w:val="20"/>
                <w:szCs w:val="20"/>
                <w:lang w:eastAsia="en-US"/>
              </w:rPr>
            </w:pPr>
            <w:r w:rsidRPr="00390E23">
              <w:rPr>
                <w:b/>
                <w:sz w:val="20"/>
                <w:szCs w:val="20"/>
                <w:lang w:eastAsia="en-US"/>
              </w:rPr>
              <w:t>+</w:t>
            </w:r>
            <w:r w:rsidR="005D10A9">
              <w:rPr>
                <w:b/>
                <w:sz w:val="20"/>
                <w:szCs w:val="20"/>
                <w:lang w:eastAsia="en-US"/>
              </w:rPr>
              <w:t>4.9</w:t>
            </w:r>
          </w:p>
        </w:tc>
      </w:tr>
    </w:tbl>
    <w:p w:rsidR="00717ACB" w:rsidRDefault="00717ACB">
      <w:pPr>
        <w:spacing w:before="0" w:after="0"/>
        <w:ind w:left="0"/>
        <w:rPr>
          <w:color w:val="4D4D4D"/>
          <w:kern w:val="28"/>
          <w:sz w:val="30"/>
          <w:lang w:eastAsia="en-US"/>
        </w:rPr>
      </w:pPr>
      <w:r>
        <w:br w:type="page"/>
      </w:r>
    </w:p>
    <w:p w:rsidR="00390E23" w:rsidRPr="00390E23" w:rsidRDefault="00390E23" w:rsidP="00390E23">
      <w:pPr>
        <w:pStyle w:val="Heading2"/>
      </w:pPr>
      <w:bookmarkStart w:id="43" w:name="_Toc356830884"/>
      <w:r w:rsidRPr="00390E23">
        <w:t>Summary of results</w:t>
      </w:r>
      <w:bookmarkEnd w:id="43"/>
      <w:r w:rsidRPr="00390E23">
        <w:t xml:space="preserve"> </w:t>
      </w:r>
    </w:p>
    <w:p w:rsidR="00390E23" w:rsidRDefault="00B61A29" w:rsidP="00390E23">
      <w:pPr>
        <w:spacing w:before="240" w:after="240"/>
        <w:rPr>
          <w:szCs w:val="24"/>
          <w:lang w:eastAsia="en-US"/>
        </w:rPr>
      </w:pPr>
      <w:r>
        <w:rPr>
          <w:szCs w:val="24"/>
          <w:lang w:eastAsia="en-US"/>
        </w:rPr>
        <w:t>Option A</w:t>
      </w:r>
      <w:r w:rsidR="00390E23" w:rsidRPr="00040788">
        <w:rPr>
          <w:szCs w:val="24"/>
          <w:lang w:eastAsia="en-US"/>
        </w:rPr>
        <w:t xml:space="preserve"> scores the highest of all options, with a total weighted score of +</w:t>
      </w:r>
      <w:r w:rsidR="002B06B0">
        <w:rPr>
          <w:szCs w:val="24"/>
          <w:lang w:eastAsia="en-US"/>
        </w:rPr>
        <w:t>6.9</w:t>
      </w:r>
      <w:r w:rsidR="00390E23" w:rsidRPr="00040788">
        <w:rPr>
          <w:szCs w:val="24"/>
          <w:lang w:eastAsia="en-US"/>
        </w:rPr>
        <w:t xml:space="preserve">. </w:t>
      </w:r>
      <w:r w:rsidR="005D10A9">
        <w:rPr>
          <w:szCs w:val="24"/>
          <w:lang w:eastAsia="en-US"/>
        </w:rPr>
        <w:t>All other</w:t>
      </w:r>
      <w:r w:rsidR="00F270BA">
        <w:rPr>
          <w:szCs w:val="24"/>
          <w:lang w:eastAsia="en-US"/>
        </w:rPr>
        <w:t xml:space="preserve"> options</w:t>
      </w:r>
      <w:r w:rsidR="00390E23" w:rsidRPr="00040788">
        <w:rPr>
          <w:szCs w:val="24"/>
          <w:lang w:eastAsia="en-US"/>
        </w:rPr>
        <w:t xml:space="preserve"> have positive total weighted scores, ranging from +5</w:t>
      </w:r>
      <w:r w:rsidR="005D10A9">
        <w:rPr>
          <w:szCs w:val="24"/>
          <w:lang w:eastAsia="en-US"/>
        </w:rPr>
        <w:t>.1</w:t>
      </w:r>
      <w:r w:rsidR="00390E23" w:rsidRPr="00040788">
        <w:rPr>
          <w:szCs w:val="24"/>
          <w:lang w:eastAsia="en-US"/>
        </w:rPr>
        <w:t xml:space="preserve"> for </w:t>
      </w:r>
      <w:r w:rsidR="005D10A9">
        <w:rPr>
          <w:szCs w:val="24"/>
          <w:lang w:eastAsia="en-US"/>
        </w:rPr>
        <w:t>Option B</w:t>
      </w:r>
      <w:r w:rsidR="00390E23" w:rsidRPr="00040788">
        <w:rPr>
          <w:szCs w:val="24"/>
          <w:lang w:eastAsia="en-US"/>
        </w:rPr>
        <w:t xml:space="preserve"> to +</w:t>
      </w:r>
      <w:r w:rsidR="003D2865">
        <w:rPr>
          <w:szCs w:val="24"/>
          <w:lang w:eastAsia="en-US"/>
        </w:rPr>
        <w:t xml:space="preserve">4.0 </w:t>
      </w:r>
      <w:r w:rsidR="003D2865" w:rsidRPr="00040788">
        <w:rPr>
          <w:szCs w:val="24"/>
          <w:lang w:eastAsia="en-US"/>
        </w:rPr>
        <w:t>for</w:t>
      </w:r>
      <w:r w:rsidR="00390E23" w:rsidRPr="00040788">
        <w:rPr>
          <w:szCs w:val="24"/>
          <w:lang w:eastAsia="en-US"/>
        </w:rPr>
        <w:t xml:space="preserve"> </w:t>
      </w:r>
      <w:r>
        <w:rPr>
          <w:szCs w:val="24"/>
          <w:lang w:eastAsia="en-US"/>
        </w:rPr>
        <w:t>Option C</w:t>
      </w:r>
      <w:r w:rsidR="00390E23" w:rsidRPr="00040788">
        <w:rPr>
          <w:szCs w:val="24"/>
          <w:lang w:eastAsia="en-US"/>
        </w:rPr>
        <w:t xml:space="preserve">. </w:t>
      </w:r>
    </w:p>
    <w:p w:rsidR="00390E23" w:rsidRPr="00390E23" w:rsidRDefault="00390E23" w:rsidP="00390E23">
      <w:pPr>
        <w:pStyle w:val="Heading5"/>
      </w:pPr>
      <w:r w:rsidRPr="00390E23">
        <w:t>Table 6.4: Summary of results</w:t>
      </w:r>
    </w:p>
    <w:tbl>
      <w:tblPr>
        <w:tblW w:w="8347" w:type="dxa"/>
        <w:tblInd w:w="964" w:type="dxa"/>
        <w:tblBorders>
          <w:top w:val="single" w:sz="2" w:space="0" w:color="auto"/>
          <w:bottom w:val="single" w:sz="2" w:space="0" w:color="auto"/>
          <w:insideH w:val="single" w:sz="2" w:space="0" w:color="auto"/>
        </w:tblBorders>
        <w:tblCellMar>
          <w:left w:w="113" w:type="dxa"/>
          <w:right w:w="113" w:type="dxa"/>
        </w:tblCellMar>
        <w:tblLook w:val="04A0" w:firstRow="1" w:lastRow="0" w:firstColumn="1" w:lastColumn="0" w:noHBand="0" w:noVBand="1"/>
      </w:tblPr>
      <w:tblGrid>
        <w:gridCol w:w="2438"/>
        <w:gridCol w:w="2948"/>
        <w:gridCol w:w="2961"/>
      </w:tblGrid>
      <w:tr w:rsidR="00390E23" w:rsidRPr="00390E23" w:rsidTr="00390E23">
        <w:trPr>
          <w:cantSplit/>
        </w:trPr>
        <w:tc>
          <w:tcPr>
            <w:tcW w:w="2438" w:type="dxa"/>
            <w:tcBorders>
              <w:top w:val="single" w:sz="2" w:space="0" w:color="auto"/>
              <w:left w:val="nil"/>
              <w:bottom w:val="single" w:sz="2" w:space="0" w:color="auto"/>
              <w:right w:val="nil"/>
              <w:tl2br w:val="nil"/>
              <w:tr2bl w:val="nil"/>
            </w:tcBorders>
            <w:shd w:val="clear" w:color="auto" w:fill="D9D9D9"/>
          </w:tcPr>
          <w:p w:rsidR="00390E23" w:rsidRPr="00390E23" w:rsidRDefault="00390E23" w:rsidP="00390E23">
            <w:pPr>
              <w:spacing w:before="60" w:after="60"/>
              <w:ind w:left="0"/>
              <w:rPr>
                <w:sz w:val="20"/>
                <w:szCs w:val="20"/>
                <w:lang w:eastAsia="en-US"/>
              </w:rPr>
            </w:pPr>
          </w:p>
        </w:tc>
        <w:tc>
          <w:tcPr>
            <w:tcW w:w="2948" w:type="dxa"/>
            <w:tcBorders>
              <w:top w:val="single" w:sz="2" w:space="0" w:color="auto"/>
              <w:left w:val="nil"/>
              <w:bottom w:val="single" w:sz="2" w:space="0" w:color="auto"/>
              <w:right w:val="nil"/>
              <w:tl2br w:val="nil"/>
              <w:tr2bl w:val="nil"/>
            </w:tcBorders>
            <w:shd w:val="clear" w:color="auto" w:fill="D9D9D9"/>
          </w:tcPr>
          <w:p w:rsidR="00390E23" w:rsidRPr="00390E23" w:rsidRDefault="00390E23" w:rsidP="00390E23">
            <w:pPr>
              <w:spacing w:before="60" w:after="60"/>
              <w:ind w:left="0"/>
              <w:jc w:val="center"/>
              <w:rPr>
                <w:b/>
                <w:sz w:val="20"/>
                <w:szCs w:val="20"/>
                <w:lang w:eastAsia="en-US"/>
              </w:rPr>
            </w:pPr>
            <w:r w:rsidRPr="00390E23">
              <w:rPr>
                <w:b/>
                <w:sz w:val="20"/>
                <w:szCs w:val="20"/>
                <w:lang w:eastAsia="en-US"/>
              </w:rPr>
              <w:t>Total weighted score</w:t>
            </w:r>
          </w:p>
        </w:tc>
        <w:tc>
          <w:tcPr>
            <w:tcW w:w="2961" w:type="dxa"/>
            <w:tcBorders>
              <w:top w:val="single" w:sz="2" w:space="0" w:color="auto"/>
              <w:left w:val="nil"/>
              <w:bottom w:val="single" w:sz="2" w:space="0" w:color="auto"/>
              <w:right w:val="nil"/>
              <w:tl2br w:val="nil"/>
              <w:tr2bl w:val="nil"/>
            </w:tcBorders>
            <w:shd w:val="clear" w:color="auto" w:fill="D9D9D9"/>
          </w:tcPr>
          <w:p w:rsidR="00390E23" w:rsidRPr="00390E23" w:rsidRDefault="00390E23" w:rsidP="00390E23">
            <w:pPr>
              <w:spacing w:before="60" w:after="60"/>
              <w:ind w:left="0"/>
              <w:jc w:val="center"/>
              <w:rPr>
                <w:b/>
                <w:sz w:val="20"/>
                <w:szCs w:val="20"/>
                <w:lang w:eastAsia="en-US"/>
              </w:rPr>
            </w:pPr>
            <w:r w:rsidRPr="00390E23">
              <w:rPr>
                <w:b/>
                <w:sz w:val="20"/>
                <w:szCs w:val="20"/>
                <w:lang w:eastAsia="en-US"/>
              </w:rPr>
              <w:t>Rank</w:t>
            </w:r>
          </w:p>
        </w:tc>
      </w:tr>
      <w:tr w:rsidR="00390E23" w:rsidRPr="00390E23" w:rsidTr="00390E23">
        <w:trPr>
          <w:cantSplit/>
        </w:trPr>
        <w:tc>
          <w:tcPr>
            <w:tcW w:w="2438" w:type="dxa"/>
            <w:shd w:val="clear" w:color="auto" w:fill="auto"/>
          </w:tcPr>
          <w:p w:rsidR="00390E23" w:rsidRPr="00390E23" w:rsidRDefault="00390E23" w:rsidP="00390E23">
            <w:pPr>
              <w:spacing w:before="60" w:after="60"/>
              <w:ind w:left="0"/>
              <w:rPr>
                <w:b/>
                <w:sz w:val="20"/>
                <w:szCs w:val="20"/>
                <w:lang w:eastAsia="en-US"/>
              </w:rPr>
            </w:pPr>
            <w:r w:rsidRPr="00390E23">
              <w:rPr>
                <w:b/>
                <w:sz w:val="20"/>
                <w:szCs w:val="20"/>
                <w:lang w:eastAsia="en-US"/>
              </w:rPr>
              <w:t>Base case</w:t>
            </w:r>
          </w:p>
        </w:tc>
        <w:tc>
          <w:tcPr>
            <w:tcW w:w="2948" w:type="dxa"/>
          </w:tcPr>
          <w:p w:rsidR="00390E23" w:rsidRPr="00390E23" w:rsidRDefault="006B4560" w:rsidP="006B4560">
            <w:pPr>
              <w:spacing w:before="60" w:after="60"/>
              <w:ind w:left="0"/>
              <w:jc w:val="center"/>
              <w:rPr>
                <w:sz w:val="20"/>
                <w:szCs w:val="20"/>
                <w:lang w:eastAsia="en-US"/>
              </w:rPr>
            </w:pPr>
            <w:r>
              <w:rPr>
                <w:sz w:val="20"/>
                <w:szCs w:val="20"/>
                <w:lang w:eastAsia="en-US"/>
              </w:rPr>
              <w:t>0</w:t>
            </w:r>
          </w:p>
        </w:tc>
        <w:tc>
          <w:tcPr>
            <w:tcW w:w="2961" w:type="dxa"/>
            <w:shd w:val="clear" w:color="auto" w:fill="auto"/>
          </w:tcPr>
          <w:p w:rsidR="00390E23" w:rsidRPr="00390E23" w:rsidRDefault="00390E23" w:rsidP="00390E23">
            <w:pPr>
              <w:spacing w:before="60" w:after="60"/>
              <w:ind w:left="0"/>
              <w:jc w:val="center"/>
              <w:rPr>
                <w:sz w:val="20"/>
                <w:szCs w:val="20"/>
                <w:lang w:eastAsia="en-US"/>
              </w:rPr>
            </w:pPr>
            <w:r w:rsidRPr="00390E23">
              <w:rPr>
                <w:sz w:val="20"/>
                <w:szCs w:val="20"/>
                <w:lang w:eastAsia="en-US"/>
              </w:rPr>
              <w:t>5</w:t>
            </w:r>
          </w:p>
        </w:tc>
      </w:tr>
      <w:tr w:rsidR="00390E23" w:rsidRPr="00390E23" w:rsidTr="00390E23">
        <w:trPr>
          <w:cantSplit/>
        </w:trPr>
        <w:tc>
          <w:tcPr>
            <w:tcW w:w="2438" w:type="dxa"/>
            <w:shd w:val="clear" w:color="auto" w:fill="auto"/>
          </w:tcPr>
          <w:p w:rsidR="00390E23" w:rsidRPr="00390E23" w:rsidRDefault="00B61A29" w:rsidP="00390E23">
            <w:pPr>
              <w:spacing w:before="60" w:after="60"/>
              <w:ind w:left="0"/>
              <w:rPr>
                <w:b/>
                <w:sz w:val="20"/>
                <w:szCs w:val="20"/>
                <w:lang w:eastAsia="en-US"/>
              </w:rPr>
            </w:pPr>
            <w:r>
              <w:rPr>
                <w:b/>
                <w:sz w:val="20"/>
                <w:szCs w:val="20"/>
                <w:lang w:eastAsia="en-US"/>
              </w:rPr>
              <w:t>Option A</w:t>
            </w:r>
          </w:p>
        </w:tc>
        <w:tc>
          <w:tcPr>
            <w:tcW w:w="2948" w:type="dxa"/>
          </w:tcPr>
          <w:p w:rsidR="00390E23" w:rsidRPr="00390E23" w:rsidRDefault="00390E23" w:rsidP="00390E23">
            <w:pPr>
              <w:spacing w:before="60" w:after="60"/>
              <w:ind w:left="0"/>
              <w:jc w:val="center"/>
              <w:rPr>
                <w:sz w:val="20"/>
                <w:szCs w:val="20"/>
                <w:lang w:eastAsia="en-US"/>
              </w:rPr>
            </w:pPr>
            <w:r w:rsidRPr="00390E23">
              <w:rPr>
                <w:sz w:val="20"/>
                <w:szCs w:val="20"/>
                <w:lang w:eastAsia="en-US"/>
              </w:rPr>
              <w:t>+</w:t>
            </w:r>
            <w:r w:rsidR="00145527">
              <w:rPr>
                <w:sz w:val="20"/>
                <w:szCs w:val="20"/>
                <w:lang w:eastAsia="en-US"/>
              </w:rPr>
              <w:t>6.9</w:t>
            </w:r>
          </w:p>
        </w:tc>
        <w:tc>
          <w:tcPr>
            <w:tcW w:w="2961" w:type="dxa"/>
            <w:shd w:val="clear" w:color="auto" w:fill="auto"/>
          </w:tcPr>
          <w:p w:rsidR="00390E23" w:rsidRPr="00390E23" w:rsidRDefault="00390E23" w:rsidP="00390E23">
            <w:pPr>
              <w:spacing w:before="60" w:after="60"/>
              <w:ind w:left="0"/>
              <w:jc w:val="center"/>
              <w:rPr>
                <w:sz w:val="20"/>
                <w:szCs w:val="20"/>
                <w:lang w:eastAsia="en-US"/>
              </w:rPr>
            </w:pPr>
            <w:r w:rsidRPr="00390E23">
              <w:rPr>
                <w:sz w:val="20"/>
                <w:szCs w:val="20"/>
                <w:lang w:eastAsia="en-US"/>
              </w:rPr>
              <w:t>1</w:t>
            </w:r>
          </w:p>
        </w:tc>
      </w:tr>
      <w:tr w:rsidR="00390E23" w:rsidRPr="00390E23" w:rsidTr="00390E23">
        <w:trPr>
          <w:cantSplit/>
        </w:trPr>
        <w:tc>
          <w:tcPr>
            <w:tcW w:w="2438" w:type="dxa"/>
            <w:shd w:val="clear" w:color="auto" w:fill="auto"/>
          </w:tcPr>
          <w:p w:rsidR="00390E23" w:rsidRPr="00390E23" w:rsidRDefault="00B61A29" w:rsidP="00390E23">
            <w:pPr>
              <w:spacing w:before="60" w:after="60"/>
              <w:ind w:left="0"/>
              <w:rPr>
                <w:b/>
                <w:sz w:val="20"/>
                <w:szCs w:val="20"/>
                <w:lang w:eastAsia="en-US"/>
              </w:rPr>
            </w:pPr>
            <w:r>
              <w:rPr>
                <w:b/>
                <w:sz w:val="20"/>
                <w:szCs w:val="20"/>
                <w:lang w:eastAsia="en-US"/>
              </w:rPr>
              <w:t>Option B</w:t>
            </w:r>
          </w:p>
        </w:tc>
        <w:tc>
          <w:tcPr>
            <w:tcW w:w="2948" w:type="dxa"/>
          </w:tcPr>
          <w:p w:rsidR="00390E23" w:rsidRPr="00390E23" w:rsidRDefault="00390E23" w:rsidP="00390E23">
            <w:pPr>
              <w:spacing w:before="60" w:after="60"/>
              <w:ind w:left="0"/>
              <w:jc w:val="center"/>
              <w:rPr>
                <w:sz w:val="20"/>
                <w:szCs w:val="20"/>
                <w:lang w:eastAsia="en-US"/>
              </w:rPr>
            </w:pPr>
            <w:r w:rsidRPr="00390E23">
              <w:rPr>
                <w:sz w:val="20"/>
                <w:szCs w:val="20"/>
                <w:lang w:eastAsia="en-US"/>
              </w:rPr>
              <w:t>+</w:t>
            </w:r>
            <w:r w:rsidR="00145527">
              <w:rPr>
                <w:sz w:val="20"/>
                <w:szCs w:val="20"/>
                <w:lang w:eastAsia="en-US"/>
              </w:rPr>
              <w:t>5.1</w:t>
            </w:r>
          </w:p>
        </w:tc>
        <w:tc>
          <w:tcPr>
            <w:tcW w:w="2961" w:type="dxa"/>
            <w:shd w:val="clear" w:color="auto" w:fill="auto"/>
          </w:tcPr>
          <w:p w:rsidR="00390E23" w:rsidRPr="00390E23" w:rsidRDefault="00E92AA2" w:rsidP="00390E23">
            <w:pPr>
              <w:spacing w:before="60" w:after="60"/>
              <w:ind w:left="0"/>
              <w:jc w:val="center"/>
              <w:rPr>
                <w:sz w:val="20"/>
                <w:szCs w:val="20"/>
                <w:lang w:eastAsia="en-US"/>
              </w:rPr>
            </w:pPr>
            <w:r>
              <w:rPr>
                <w:sz w:val="20"/>
                <w:szCs w:val="20"/>
                <w:lang w:eastAsia="en-US"/>
              </w:rPr>
              <w:t>2</w:t>
            </w:r>
          </w:p>
        </w:tc>
      </w:tr>
      <w:tr w:rsidR="00390E23" w:rsidRPr="00390E23" w:rsidTr="00390E23">
        <w:trPr>
          <w:cantSplit/>
        </w:trPr>
        <w:tc>
          <w:tcPr>
            <w:tcW w:w="2438" w:type="dxa"/>
            <w:shd w:val="clear" w:color="auto" w:fill="auto"/>
          </w:tcPr>
          <w:p w:rsidR="00390E23" w:rsidRPr="00390E23" w:rsidRDefault="00B61A29" w:rsidP="00390E23">
            <w:pPr>
              <w:spacing w:before="60" w:after="60"/>
              <w:ind w:left="0"/>
              <w:rPr>
                <w:b/>
                <w:sz w:val="20"/>
                <w:szCs w:val="20"/>
                <w:lang w:eastAsia="en-US"/>
              </w:rPr>
            </w:pPr>
            <w:r>
              <w:rPr>
                <w:b/>
                <w:sz w:val="20"/>
                <w:szCs w:val="20"/>
                <w:lang w:eastAsia="en-US"/>
              </w:rPr>
              <w:t>Option C</w:t>
            </w:r>
          </w:p>
        </w:tc>
        <w:tc>
          <w:tcPr>
            <w:tcW w:w="2948" w:type="dxa"/>
          </w:tcPr>
          <w:p w:rsidR="00390E23" w:rsidRPr="00390E23" w:rsidRDefault="00390E23" w:rsidP="00E92AA2">
            <w:pPr>
              <w:spacing w:before="60" w:after="60"/>
              <w:ind w:left="0"/>
              <w:jc w:val="center"/>
              <w:rPr>
                <w:sz w:val="20"/>
                <w:szCs w:val="20"/>
                <w:lang w:eastAsia="en-US"/>
              </w:rPr>
            </w:pPr>
            <w:r w:rsidRPr="00390E23">
              <w:rPr>
                <w:sz w:val="20"/>
                <w:szCs w:val="20"/>
                <w:lang w:eastAsia="en-US"/>
              </w:rPr>
              <w:t>+</w:t>
            </w:r>
            <w:r w:rsidR="00E92AA2">
              <w:rPr>
                <w:sz w:val="20"/>
                <w:szCs w:val="20"/>
                <w:lang w:eastAsia="en-US"/>
              </w:rPr>
              <w:t>4.0</w:t>
            </w:r>
          </w:p>
        </w:tc>
        <w:tc>
          <w:tcPr>
            <w:tcW w:w="2961" w:type="dxa"/>
            <w:shd w:val="clear" w:color="auto" w:fill="auto"/>
          </w:tcPr>
          <w:p w:rsidR="00390E23" w:rsidRPr="00390E23" w:rsidRDefault="00390E23" w:rsidP="00390E23">
            <w:pPr>
              <w:spacing w:before="60" w:after="60"/>
              <w:ind w:left="0"/>
              <w:jc w:val="center"/>
              <w:rPr>
                <w:sz w:val="20"/>
                <w:szCs w:val="20"/>
                <w:lang w:eastAsia="en-US"/>
              </w:rPr>
            </w:pPr>
            <w:r w:rsidRPr="00390E23">
              <w:rPr>
                <w:sz w:val="20"/>
                <w:szCs w:val="20"/>
                <w:lang w:eastAsia="en-US"/>
              </w:rPr>
              <w:t>4</w:t>
            </w:r>
          </w:p>
        </w:tc>
      </w:tr>
      <w:tr w:rsidR="00390E23" w:rsidRPr="00390E23" w:rsidTr="00390E23">
        <w:trPr>
          <w:cantSplit/>
        </w:trPr>
        <w:tc>
          <w:tcPr>
            <w:tcW w:w="2438" w:type="dxa"/>
            <w:shd w:val="clear" w:color="auto" w:fill="auto"/>
          </w:tcPr>
          <w:p w:rsidR="00390E23" w:rsidRPr="00390E23" w:rsidRDefault="00B61A29" w:rsidP="00390E23">
            <w:pPr>
              <w:spacing w:before="60" w:after="60"/>
              <w:ind w:left="0"/>
              <w:rPr>
                <w:b/>
                <w:sz w:val="20"/>
                <w:szCs w:val="20"/>
                <w:lang w:eastAsia="en-US"/>
              </w:rPr>
            </w:pPr>
            <w:r>
              <w:rPr>
                <w:b/>
                <w:sz w:val="20"/>
                <w:szCs w:val="20"/>
                <w:lang w:eastAsia="en-US"/>
              </w:rPr>
              <w:t>Option D</w:t>
            </w:r>
          </w:p>
        </w:tc>
        <w:tc>
          <w:tcPr>
            <w:tcW w:w="2948" w:type="dxa"/>
          </w:tcPr>
          <w:p w:rsidR="00390E23" w:rsidRPr="00390E23" w:rsidRDefault="00390E23" w:rsidP="00E92AA2">
            <w:pPr>
              <w:spacing w:before="60" w:after="60"/>
              <w:ind w:left="0"/>
              <w:jc w:val="center"/>
              <w:rPr>
                <w:sz w:val="20"/>
                <w:szCs w:val="20"/>
                <w:lang w:eastAsia="en-US"/>
              </w:rPr>
            </w:pPr>
            <w:r w:rsidRPr="00390E23">
              <w:rPr>
                <w:sz w:val="20"/>
                <w:szCs w:val="20"/>
                <w:lang w:eastAsia="en-US"/>
              </w:rPr>
              <w:t>+</w:t>
            </w:r>
            <w:r w:rsidR="00E92AA2">
              <w:rPr>
                <w:sz w:val="20"/>
                <w:szCs w:val="20"/>
                <w:lang w:eastAsia="en-US"/>
              </w:rPr>
              <w:t>4.9</w:t>
            </w:r>
          </w:p>
        </w:tc>
        <w:tc>
          <w:tcPr>
            <w:tcW w:w="2961" w:type="dxa"/>
            <w:shd w:val="clear" w:color="auto" w:fill="auto"/>
          </w:tcPr>
          <w:p w:rsidR="00390E23" w:rsidRPr="00390E23" w:rsidRDefault="00E92AA2" w:rsidP="00390E23">
            <w:pPr>
              <w:spacing w:before="60" w:after="60"/>
              <w:ind w:left="0"/>
              <w:jc w:val="center"/>
              <w:rPr>
                <w:sz w:val="20"/>
                <w:szCs w:val="20"/>
                <w:lang w:eastAsia="en-US"/>
              </w:rPr>
            </w:pPr>
            <w:r>
              <w:rPr>
                <w:sz w:val="20"/>
                <w:szCs w:val="20"/>
                <w:lang w:eastAsia="en-US"/>
              </w:rPr>
              <w:t>3</w:t>
            </w:r>
          </w:p>
        </w:tc>
      </w:tr>
    </w:tbl>
    <w:p w:rsidR="00067B6B" w:rsidRPr="005E65FE" w:rsidRDefault="00390E23" w:rsidP="00067B6B">
      <w:pPr>
        <w:spacing w:before="240" w:after="240"/>
      </w:pPr>
      <w:r w:rsidRPr="00040788">
        <w:rPr>
          <w:szCs w:val="24"/>
          <w:lang w:eastAsia="en-US"/>
        </w:rPr>
        <w:t xml:space="preserve">Given these results, this RIS proposes that the Treasurer determine the 2012-13 supervision charge following the methodology of </w:t>
      </w:r>
      <w:r w:rsidR="00B61A29">
        <w:rPr>
          <w:szCs w:val="24"/>
          <w:lang w:eastAsia="en-US"/>
        </w:rPr>
        <w:t>Option A</w:t>
      </w:r>
      <w:r w:rsidR="00067B6B">
        <w:rPr>
          <w:szCs w:val="24"/>
          <w:lang w:eastAsia="en-US"/>
        </w:rPr>
        <w:t xml:space="preserve"> - </w:t>
      </w:r>
      <w:r w:rsidR="005B62AD">
        <w:t>T</w:t>
      </w:r>
      <w:r w:rsidR="00067B6B" w:rsidRPr="00390E23">
        <w:t xml:space="preserve">wo-tiered charge on entitlements and </w:t>
      </w:r>
      <w:r w:rsidR="00887FE5">
        <w:t>gaming machine</w:t>
      </w:r>
      <w:r w:rsidR="00067B6B" w:rsidRPr="00390E23">
        <w:t>s</w:t>
      </w:r>
      <w:r w:rsidRPr="00040788">
        <w:rPr>
          <w:szCs w:val="24"/>
          <w:lang w:eastAsia="en-US"/>
        </w:rPr>
        <w:t>.</w:t>
      </w:r>
      <w:r w:rsidR="00996969">
        <w:rPr>
          <w:szCs w:val="24"/>
          <w:lang w:eastAsia="en-US"/>
        </w:rPr>
        <w:t xml:space="preserve"> </w:t>
      </w:r>
      <w:r w:rsidR="00067B6B">
        <w:t xml:space="preserve">Separately accounting for the costs of gaming entitlements is considered appropriate in a year where Victoria has transitioned to a new gaming regulatory model. The proposed charge recognises the different costs associated with </w:t>
      </w:r>
      <w:r w:rsidR="005F74F6">
        <w:t xml:space="preserve">administering </w:t>
      </w:r>
      <w:r w:rsidR="00067B6B">
        <w:t xml:space="preserve">the entitlement system compared to operating gaming machines. Further, it accounts for the proportion of entitlements that were not in use in 2012-13 for factors </w:t>
      </w:r>
      <w:r w:rsidR="008836B2">
        <w:t>potentially beyond</w:t>
      </w:r>
      <w:r w:rsidR="00067B6B">
        <w:t xml:space="preserve"> the control of the </w:t>
      </w:r>
      <w:r w:rsidR="00F13192">
        <w:t>venue o</w:t>
      </w:r>
      <w:r w:rsidR="00472069">
        <w:t>perator</w:t>
      </w:r>
      <w:r w:rsidR="00067B6B">
        <w:t xml:space="preserve"> (e.g. building a new venue). </w:t>
      </w:r>
    </w:p>
    <w:p w:rsidR="00996969" w:rsidRPr="00040788" w:rsidRDefault="00996969" w:rsidP="00996969">
      <w:pPr>
        <w:spacing w:before="240" w:after="240"/>
        <w:rPr>
          <w:szCs w:val="24"/>
          <w:lang w:eastAsia="en-US"/>
        </w:rPr>
      </w:pPr>
      <w:r w:rsidRPr="007A071F">
        <w:rPr>
          <w:b/>
          <w:szCs w:val="24"/>
          <w:lang w:eastAsia="en-US"/>
        </w:rPr>
        <w:t>Appendix 1</w:t>
      </w:r>
      <w:r>
        <w:rPr>
          <w:szCs w:val="24"/>
          <w:lang w:eastAsia="en-US"/>
        </w:rPr>
        <w:t xml:space="preserve"> includes a draft notice to make a legislative instrument that would give effect to this option.</w:t>
      </w:r>
    </w:p>
    <w:p w:rsidR="00390E23" w:rsidRDefault="00390E23">
      <w:pPr>
        <w:spacing w:before="0" w:after="0"/>
        <w:ind w:left="0"/>
        <w:rPr>
          <w:color w:val="404040"/>
          <w:kern w:val="28"/>
          <w:sz w:val="40"/>
          <w:lang w:eastAsia="en-US"/>
        </w:rPr>
      </w:pPr>
      <w:r>
        <w:br w:type="page"/>
      </w:r>
    </w:p>
    <w:p w:rsidR="00A34D0E" w:rsidRDefault="00A34D0E" w:rsidP="00A34D0E">
      <w:pPr>
        <w:pStyle w:val="Heading1"/>
      </w:pPr>
      <w:bookmarkStart w:id="44" w:name="_Toc356830885"/>
      <w:r>
        <w:t xml:space="preserve">Statement of </w:t>
      </w:r>
      <w:r w:rsidR="00C27A13">
        <w:t>c</w:t>
      </w:r>
      <w:r>
        <w:t>ompliance with National Competition Policy</w:t>
      </w:r>
      <w:bookmarkEnd w:id="44"/>
    </w:p>
    <w:p w:rsidR="00A34D0E" w:rsidRPr="00040788" w:rsidRDefault="00A34D0E" w:rsidP="00A34D0E">
      <w:pPr>
        <w:pStyle w:val="NoteNormal"/>
        <w:spacing w:before="240" w:after="240"/>
        <w:ind w:left="720"/>
        <w:rPr>
          <w:sz w:val="22"/>
          <w:szCs w:val="28"/>
          <w:shd w:val="clear" w:color="auto" w:fill="FFFFFF"/>
        </w:rPr>
      </w:pPr>
      <w:r w:rsidRPr="00040788">
        <w:rPr>
          <w:sz w:val="22"/>
          <w:szCs w:val="28"/>
          <w:shd w:val="clear" w:color="auto" w:fill="FFFFFF"/>
        </w:rPr>
        <w:t>At the Council of Australian Governments meeting in April 1995 (and reaffirmed in April 2007), all Australian governments agreed to implement the National Competition Policy</w:t>
      </w:r>
      <w:r w:rsidR="00E9220D">
        <w:rPr>
          <w:sz w:val="22"/>
          <w:szCs w:val="28"/>
          <w:shd w:val="clear" w:color="auto" w:fill="FFFFFF"/>
        </w:rPr>
        <w:t xml:space="preserve"> (NCP)</w:t>
      </w:r>
      <w:r w:rsidRPr="00040788">
        <w:rPr>
          <w:sz w:val="22"/>
          <w:szCs w:val="28"/>
          <w:shd w:val="clear" w:color="auto" w:fill="FFFFFF"/>
        </w:rPr>
        <w:t xml:space="preserve">. The National Competition Policy Agreements (“NCPA”) set out specific requirements with regard to all new legislation adopted by jurisdictions that are party to the agreements. The Victorian Government applies the principles of the agreements. </w:t>
      </w:r>
    </w:p>
    <w:p w:rsidR="00A34D0E" w:rsidRPr="00040788" w:rsidRDefault="00A34D0E" w:rsidP="00A34D0E">
      <w:pPr>
        <w:pStyle w:val="NoteNormal"/>
        <w:spacing w:before="240" w:after="240"/>
        <w:ind w:left="720"/>
        <w:rPr>
          <w:sz w:val="22"/>
          <w:szCs w:val="28"/>
          <w:shd w:val="clear" w:color="auto" w:fill="FFFFFF"/>
        </w:rPr>
      </w:pPr>
      <w:r w:rsidRPr="00040788">
        <w:rPr>
          <w:sz w:val="22"/>
          <w:szCs w:val="28"/>
          <w:shd w:val="clear" w:color="auto" w:fill="FFFFFF"/>
        </w:rPr>
        <w:t xml:space="preserve">Clause 5(1) of the </w:t>
      </w:r>
      <w:r w:rsidRPr="00F06162">
        <w:rPr>
          <w:i/>
          <w:sz w:val="22"/>
          <w:szCs w:val="28"/>
          <w:shd w:val="clear" w:color="auto" w:fill="FFFFFF"/>
        </w:rPr>
        <w:t>Competition Principles Agreement</w:t>
      </w:r>
      <w:r w:rsidRPr="00040788">
        <w:rPr>
          <w:sz w:val="22"/>
          <w:szCs w:val="28"/>
          <w:shd w:val="clear" w:color="auto" w:fill="FFFFFF"/>
        </w:rPr>
        <w:t xml:space="preserve"> sets out the basic principle that must be applied to both existing legislation, under the legislative review process, and to proposed legislation.</w:t>
      </w:r>
    </w:p>
    <w:p w:rsidR="00A34D0E" w:rsidRDefault="00A34D0E" w:rsidP="00A34D0E">
      <w:pPr>
        <w:pStyle w:val="NoteNormal"/>
        <w:ind w:left="720"/>
        <w:rPr>
          <w:sz w:val="22"/>
          <w:shd w:val="clear" w:color="auto" w:fill="FFFFFF"/>
        </w:rPr>
      </w:pPr>
      <w:r>
        <w:rPr>
          <w:noProof/>
          <w:sz w:val="22"/>
          <w:lang w:eastAsia="en-AU"/>
        </w:rPr>
        <mc:AlternateContent>
          <mc:Choice Requires="wps">
            <w:drawing>
              <wp:anchor distT="0" distB="0" distL="114300" distR="114300" simplePos="0" relativeHeight="251693056" behindDoc="0" locked="0" layoutInCell="1" allowOverlap="1" wp14:anchorId="368F4410" wp14:editId="3132F9CC">
                <wp:simplePos x="0" y="0"/>
                <wp:positionH relativeFrom="column">
                  <wp:posOffset>475615</wp:posOffset>
                </wp:positionH>
                <wp:positionV relativeFrom="paragraph">
                  <wp:posOffset>19628</wp:posOffset>
                </wp:positionV>
                <wp:extent cx="5394960" cy="1683328"/>
                <wp:effectExtent l="0"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960" cy="1683328"/>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F14D1" w:rsidRPr="00A34D0E" w:rsidRDefault="004F14D1" w:rsidP="00A34D0E">
                            <w:pPr>
                              <w:shd w:val="clear" w:color="auto" w:fill="D9D9D9"/>
                              <w:ind w:left="0"/>
                              <w:rPr>
                                <w:b/>
                              </w:rPr>
                            </w:pPr>
                            <w:r w:rsidRPr="00A34D0E">
                              <w:rPr>
                                <w:b/>
                              </w:rPr>
                              <w:t>Text Box 7.1 - Excerpt from the Competition Principles Agreement</w:t>
                            </w:r>
                          </w:p>
                          <w:p w:rsidR="004F14D1" w:rsidRPr="003E0EBB" w:rsidRDefault="004F14D1" w:rsidP="00A34D0E">
                            <w:pPr>
                              <w:shd w:val="clear" w:color="auto" w:fill="D9D9D9"/>
                              <w:ind w:left="0"/>
                            </w:pPr>
                            <w:r w:rsidRPr="003E0EBB">
                              <w:t>Clause 5(1)</w:t>
                            </w:r>
                          </w:p>
                          <w:p w:rsidR="004F14D1" w:rsidRPr="003E0EBB" w:rsidRDefault="004F14D1" w:rsidP="00A34D0E">
                            <w:pPr>
                              <w:shd w:val="clear" w:color="auto" w:fill="D9D9D9"/>
                              <w:ind w:left="0"/>
                            </w:pPr>
                            <w:r w:rsidRPr="003E0EBB">
                              <w:t xml:space="preserve">The guiding principle is that legislation (including Acts, enactments, Ordinances or Regulations) should not restrict competition unless it can be demonstrated that: </w:t>
                            </w:r>
                          </w:p>
                          <w:p w:rsidR="004F14D1" w:rsidRPr="003E0EBB" w:rsidRDefault="004F14D1" w:rsidP="003F7272">
                            <w:pPr>
                              <w:numPr>
                                <w:ilvl w:val="0"/>
                                <w:numId w:val="35"/>
                              </w:numPr>
                              <w:shd w:val="clear" w:color="auto" w:fill="D9D9D9"/>
                            </w:pPr>
                            <w:r w:rsidRPr="003E0EBB">
                              <w:t>The benefits of the restriction to the community as a whole outweigh the costs; and</w:t>
                            </w:r>
                          </w:p>
                          <w:p w:rsidR="004F14D1" w:rsidRPr="003E0EBB" w:rsidRDefault="004F14D1" w:rsidP="003F7272">
                            <w:pPr>
                              <w:numPr>
                                <w:ilvl w:val="0"/>
                                <w:numId w:val="35"/>
                              </w:numPr>
                              <w:shd w:val="clear" w:color="auto" w:fill="D9D9D9"/>
                            </w:pPr>
                            <w:r w:rsidRPr="003E0EBB">
                              <w:t xml:space="preserve">The objectives of the legislation can only be achieved by restricting competition.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9" o:spid="_x0000_s1037" type="#_x0000_t202" style="position:absolute;left:0;text-align:left;margin-left:37.45pt;margin-top:1.55pt;width:424.8pt;height:132.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" fillcolor="#d8d8d8" stroked="f">
                <v:textbox>
                  <w:txbxContent>
                    <w:p w:rsidR="004F14D1" w:rsidRPr="00A34D0E" w:rsidRDefault="004F14D1" w:rsidP="00A34D0E">
                      <w:pPr>
                        <w:shd w:val="clear" w:color="auto" w:fill="D9D9D9"/>
                        <w:ind w:left="0"/>
                        <w:rPr>
                          <w:b/>
                        </w:rPr>
                      </w:pPr>
                      <w:r w:rsidRPr="00A34D0E">
                        <w:rPr>
                          <w:b/>
                        </w:rPr>
                        <w:t>Text Box 7.1 - Excerpt from the Competition Principles Agreement</w:t>
                      </w:r>
                    </w:p>
                    <w:p w:rsidR="004F14D1" w:rsidRPr="003E0EBB" w:rsidRDefault="004F14D1" w:rsidP="00A34D0E">
                      <w:pPr>
                        <w:shd w:val="clear" w:color="auto" w:fill="D9D9D9"/>
                        <w:ind w:left="0"/>
                      </w:pPr>
                      <w:r w:rsidRPr="003E0EBB">
                        <w:t>Clause 5(1)</w:t>
                      </w:r>
                    </w:p>
                    <w:p w:rsidR="004F14D1" w:rsidRPr="003E0EBB" w:rsidRDefault="004F14D1" w:rsidP="00A34D0E">
                      <w:pPr>
                        <w:shd w:val="clear" w:color="auto" w:fill="D9D9D9"/>
                        <w:ind w:left="0"/>
                      </w:pPr>
                      <w:r w:rsidRPr="003E0EBB">
                        <w:t xml:space="preserve">The guiding principle is that legislation (including Acts, enactments, Ordinances or Regulations) should not restrict competition unless it can be demonstrated that: </w:t>
                      </w:r>
                    </w:p>
                    <w:p w:rsidR="004F14D1" w:rsidRPr="003E0EBB" w:rsidRDefault="004F14D1" w:rsidP="003F7272">
                      <w:pPr>
                        <w:numPr>
                          <w:ilvl w:val="0"/>
                          <w:numId w:val="35"/>
                        </w:numPr>
                        <w:shd w:val="clear" w:color="auto" w:fill="D9D9D9"/>
                      </w:pPr>
                      <w:r w:rsidRPr="003E0EBB">
                        <w:t>The benefits of the restriction to the community as a whole outweigh the costs; and</w:t>
                      </w:r>
                    </w:p>
                    <w:p w:rsidR="004F14D1" w:rsidRPr="003E0EBB" w:rsidRDefault="004F14D1" w:rsidP="003F7272">
                      <w:pPr>
                        <w:numPr>
                          <w:ilvl w:val="0"/>
                          <w:numId w:val="35"/>
                        </w:numPr>
                        <w:shd w:val="clear" w:color="auto" w:fill="D9D9D9"/>
                      </w:pPr>
                      <w:r w:rsidRPr="003E0EBB">
                        <w:t xml:space="preserve">The objectives of the legislation can only be achieved by restricting competition. </w:t>
                      </w:r>
                    </w:p>
                  </w:txbxContent>
                </v:textbox>
              </v:shape>
            </w:pict>
          </mc:Fallback>
        </mc:AlternateContent>
      </w:r>
    </w:p>
    <w:p w:rsidR="00A34D0E" w:rsidRDefault="00A34D0E" w:rsidP="00A34D0E">
      <w:pPr>
        <w:pStyle w:val="NoteNormal"/>
        <w:ind w:left="720"/>
        <w:rPr>
          <w:sz w:val="22"/>
          <w:shd w:val="clear" w:color="auto" w:fill="FFFFFF"/>
        </w:rPr>
      </w:pPr>
    </w:p>
    <w:p w:rsidR="00A34D0E" w:rsidRDefault="00A34D0E" w:rsidP="00A34D0E">
      <w:pPr>
        <w:pStyle w:val="NoteNormal"/>
        <w:ind w:left="720"/>
        <w:rPr>
          <w:sz w:val="22"/>
          <w:shd w:val="clear" w:color="auto" w:fill="FFFFFF"/>
        </w:rPr>
      </w:pPr>
    </w:p>
    <w:p w:rsidR="00A34D0E" w:rsidRDefault="00A34D0E" w:rsidP="00A34D0E">
      <w:pPr>
        <w:pStyle w:val="NoteNormal"/>
        <w:ind w:left="720"/>
        <w:rPr>
          <w:sz w:val="22"/>
          <w:shd w:val="clear" w:color="auto" w:fill="FFFFFF"/>
        </w:rPr>
      </w:pPr>
    </w:p>
    <w:p w:rsidR="00A34D0E" w:rsidRDefault="00A34D0E" w:rsidP="00A34D0E">
      <w:pPr>
        <w:pStyle w:val="NoteNormal"/>
        <w:ind w:left="720"/>
        <w:rPr>
          <w:sz w:val="22"/>
          <w:shd w:val="clear" w:color="auto" w:fill="FFFFFF"/>
        </w:rPr>
      </w:pPr>
    </w:p>
    <w:p w:rsidR="00A34D0E" w:rsidRDefault="00A34D0E" w:rsidP="00A34D0E">
      <w:pPr>
        <w:pStyle w:val="NoteNormal"/>
        <w:ind w:left="720"/>
        <w:rPr>
          <w:sz w:val="22"/>
          <w:shd w:val="clear" w:color="auto" w:fill="FFFFFF"/>
        </w:rPr>
      </w:pPr>
    </w:p>
    <w:p w:rsidR="00A34D0E" w:rsidRDefault="00A34D0E" w:rsidP="00A34D0E">
      <w:pPr>
        <w:pStyle w:val="NoteNormal"/>
        <w:ind w:left="720"/>
        <w:rPr>
          <w:sz w:val="22"/>
          <w:shd w:val="clear" w:color="auto" w:fill="FFFFFF"/>
        </w:rPr>
      </w:pPr>
    </w:p>
    <w:p w:rsidR="00A34D0E" w:rsidRPr="00040788" w:rsidRDefault="00A34D0E" w:rsidP="00A34D0E">
      <w:pPr>
        <w:pStyle w:val="NoteNormal"/>
        <w:spacing w:before="480" w:after="240"/>
        <w:ind w:left="720"/>
        <w:rPr>
          <w:sz w:val="22"/>
          <w:shd w:val="clear" w:color="auto" w:fill="FFFFFF"/>
        </w:rPr>
      </w:pPr>
      <w:r w:rsidRPr="00040788">
        <w:rPr>
          <w:sz w:val="22"/>
          <w:shd w:val="clear" w:color="auto" w:fill="FFFFFF"/>
        </w:rPr>
        <w:t>Further to this, there is a specific obligation on parties to the agreement with regard to the newly proposed legislation as required by Clause 5(5).</w:t>
      </w:r>
    </w:p>
    <w:p w:rsidR="00A34D0E" w:rsidRDefault="00A34D0E" w:rsidP="00A34D0E">
      <w:pPr>
        <w:pStyle w:val="NoteNormal"/>
        <w:ind w:left="720"/>
        <w:rPr>
          <w:sz w:val="22"/>
          <w:shd w:val="clear" w:color="auto" w:fill="FFFFFF"/>
        </w:rPr>
      </w:pPr>
      <w:r>
        <w:rPr>
          <w:noProof/>
          <w:sz w:val="22"/>
          <w:lang w:eastAsia="en-AU"/>
        </w:rPr>
        <mc:AlternateContent>
          <mc:Choice Requires="wps">
            <w:drawing>
              <wp:anchor distT="0" distB="0" distL="114300" distR="114300" simplePos="0" relativeHeight="251694080" behindDoc="0" locked="0" layoutInCell="1" allowOverlap="1" wp14:anchorId="0BA5D4BD" wp14:editId="73DF1107">
                <wp:simplePos x="0" y="0"/>
                <wp:positionH relativeFrom="column">
                  <wp:posOffset>475615</wp:posOffset>
                </wp:positionH>
                <wp:positionV relativeFrom="paragraph">
                  <wp:posOffset>-866</wp:posOffset>
                </wp:positionV>
                <wp:extent cx="5394960" cy="1253836"/>
                <wp:effectExtent l="0" t="0" r="0" b="381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960" cy="1253836"/>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F14D1" w:rsidRPr="00A34D0E" w:rsidRDefault="004F14D1" w:rsidP="00A34D0E">
                            <w:pPr>
                              <w:shd w:val="clear" w:color="auto" w:fill="D9D9D9"/>
                              <w:ind w:left="0"/>
                              <w:rPr>
                                <w:b/>
                              </w:rPr>
                            </w:pPr>
                            <w:r w:rsidRPr="00A34D0E">
                              <w:rPr>
                                <w:b/>
                              </w:rPr>
                              <w:t>Text Box 7.2 - Excerpt from the Competition Principles Agreement</w:t>
                            </w:r>
                          </w:p>
                          <w:p w:rsidR="004F14D1" w:rsidRPr="003E0EBB" w:rsidRDefault="004F14D1" w:rsidP="00A34D0E">
                            <w:pPr>
                              <w:shd w:val="clear" w:color="auto" w:fill="D9D9D9"/>
                              <w:ind w:left="0"/>
                            </w:pPr>
                            <w:r w:rsidRPr="003E0EBB">
                              <w:t>Clause 5(5)</w:t>
                            </w:r>
                          </w:p>
                          <w:p w:rsidR="004F14D1" w:rsidRPr="003E0EBB" w:rsidRDefault="004F14D1" w:rsidP="00A34D0E">
                            <w:pPr>
                              <w:shd w:val="clear" w:color="auto" w:fill="D9D9D9"/>
                              <w:ind w:left="0"/>
                            </w:pPr>
                            <w:r w:rsidRPr="003E0EBB">
                              <w:t xml:space="preserve">Each party will require proposals for new legislation that restricts competition to be accompanied by evidence that the legislation is consistent with the principle set out in subclause (1).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8" o:spid="_x0000_s1038" type="#_x0000_t202" style="position:absolute;left:0;text-align:left;margin-left:37.45pt;margin-top:-.05pt;width:424.8pt;height:98.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" fillcolor="#d8d8d8" stroked="f">
                <v:textbox>
                  <w:txbxContent>
                    <w:p w:rsidR="004F14D1" w:rsidRPr="00A34D0E" w:rsidRDefault="004F14D1" w:rsidP="00A34D0E">
                      <w:pPr>
                        <w:shd w:val="clear" w:color="auto" w:fill="D9D9D9"/>
                        <w:ind w:left="0"/>
                        <w:rPr>
                          <w:b/>
                        </w:rPr>
                      </w:pPr>
                      <w:r w:rsidRPr="00A34D0E">
                        <w:rPr>
                          <w:b/>
                        </w:rPr>
                        <w:t>Text Box 7.2 - Excerpt from the Competition Principles Agreement</w:t>
                      </w:r>
                    </w:p>
                    <w:p w:rsidR="004F14D1" w:rsidRPr="003E0EBB" w:rsidRDefault="004F14D1" w:rsidP="00A34D0E">
                      <w:pPr>
                        <w:shd w:val="clear" w:color="auto" w:fill="D9D9D9"/>
                        <w:ind w:left="0"/>
                      </w:pPr>
                      <w:r w:rsidRPr="003E0EBB">
                        <w:t>Clause 5(5)</w:t>
                      </w:r>
                    </w:p>
                    <w:p w:rsidR="004F14D1" w:rsidRPr="003E0EBB" w:rsidRDefault="004F14D1" w:rsidP="00A34D0E">
                      <w:pPr>
                        <w:shd w:val="clear" w:color="auto" w:fill="D9D9D9"/>
                        <w:ind w:left="0"/>
                      </w:pPr>
                      <w:r w:rsidRPr="003E0EBB">
                        <w:t xml:space="preserve">Each party will require proposals for new legislation that restricts competition to be accompanied by evidence that the legislation is consistent with the principle set out in subclause (1). </w:t>
                      </w:r>
                    </w:p>
                  </w:txbxContent>
                </v:textbox>
              </v:shape>
            </w:pict>
          </mc:Fallback>
        </mc:AlternateContent>
      </w:r>
      <w:r>
        <w:rPr>
          <w:sz w:val="22"/>
          <w:shd w:val="clear" w:color="auto" w:fill="FFFFFF"/>
        </w:rPr>
        <w:t xml:space="preserve"> </w:t>
      </w:r>
    </w:p>
    <w:p w:rsidR="00A34D0E" w:rsidRDefault="00A34D0E" w:rsidP="00A34D0E">
      <w:pPr>
        <w:pStyle w:val="NoteNormal"/>
        <w:ind w:left="720"/>
        <w:rPr>
          <w:sz w:val="22"/>
          <w:shd w:val="clear" w:color="auto" w:fill="FFFFFF"/>
        </w:rPr>
      </w:pPr>
    </w:p>
    <w:p w:rsidR="00A34D0E" w:rsidRDefault="00A34D0E" w:rsidP="00A34D0E">
      <w:pPr>
        <w:pStyle w:val="NoteNormal"/>
        <w:ind w:left="720"/>
        <w:rPr>
          <w:sz w:val="22"/>
          <w:shd w:val="clear" w:color="auto" w:fill="FFFFFF"/>
        </w:rPr>
      </w:pPr>
    </w:p>
    <w:p w:rsidR="00A34D0E" w:rsidRDefault="00A34D0E" w:rsidP="00A34D0E">
      <w:pPr>
        <w:pStyle w:val="NoteNormal"/>
        <w:ind w:left="720"/>
        <w:rPr>
          <w:sz w:val="22"/>
          <w:shd w:val="clear" w:color="auto" w:fill="FFFFFF"/>
        </w:rPr>
      </w:pPr>
    </w:p>
    <w:p w:rsidR="00A34D0E" w:rsidRDefault="00A34D0E" w:rsidP="00A34D0E">
      <w:pPr>
        <w:pStyle w:val="NoteNormal"/>
        <w:ind w:left="720"/>
        <w:rPr>
          <w:sz w:val="22"/>
          <w:shd w:val="clear" w:color="auto" w:fill="FFFFFF"/>
        </w:rPr>
      </w:pPr>
    </w:p>
    <w:p w:rsidR="00A34D0E" w:rsidRDefault="00A34D0E" w:rsidP="00A34D0E">
      <w:pPr>
        <w:pStyle w:val="NoteNormal"/>
        <w:ind w:left="720"/>
        <w:rPr>
          <w:sz w:val="22"/>
          <w:shd w:val="clear" w:color="auto" w:fill="FFFFFF"/>
        </w:rPr>
      </w:pPr>
    </w:p>
    <w:p w:rsidR="00A34D0E" w:rsidRPr="00040788" w:rsidRDefault="00A34D0E" w:rsidP="00A34D0E">
      <w:pPr>
        <w:pStyle w:val="NoteNormal"/>
        <w:spacing w:before="0" w:after="240"/>
        <w:ind w:left="720"/>
        <w:rPr>
          <w:sz w:val="22"/>
          <w:szCs w:val="24"/>
        </w:rPr>
      </w:pPr>
      <w:r w:rsidRPr="00040788">
        <w:rPr>
          <w:sz w:val="22"/>
          <w:szCs w:val="24"/>
        </w:rPr>
        <w:t xml:space="preserve">Under the </w:t>
      </w:r>
      <w:r w:rsidR="00C46DDC">
        <w:rPr>
          <w:i/>
          <w:sz w:val="22"/>
          <w:szCs w:val="24"/>
        </w:rPr>
        <w:t>SLA</w:t>
      </w:r>
      <w:r w:rsidRPr="00040788">
        <w:rPr>
          <w:sz w:val="22"/>
          <w:szCs w:val="24"/>
        </w:rPr>
        <w:t>, every RIS must include a section providing evidence that the proposed regulatory instrument is consistent with these NCP obligations. </w:t>
      </w:r>
    </w:p>
    <w:p w:rsidR="00A34D0E" w:rsidRPr="00040788" w:rsidRDefault="00A34D0E" w:rsidP="00A34D0E">
      <w:pPr>
        <w:pStyle w:val="NoteNormal"/>
        <w:spacing w:before="240" w:after="240"/>
        <w:ind w:left="720"/>
        <w:rPr>
          <w:sz w:val="22"/>
        </w:rPr>
      </w:pPr>
      <w:r w:rsidRPr="00040788">
        <w:rPr>
          <w:sz w:val="22"/>
        </w:rPr>
        <w:t xml:space="preserve">The Victorian Guide to Regulation (VGR) provides a checklist for identifying any potentially significant negative impact on competition in the context of regulatory impact analysis. </w:t>
      </w:r>
    </w:p>
    <w:p w:rsidR="00A34D0E" w:rsidRDefault="00A34D0E" w:rsidP="00A34D0E">
      <w:pPr>
        <w:pStyle w:val="NoteNormal"/>
        <w:spacing w:before="240" w:after="240"/>
        <w:ind w:left="720"/>
        <w:rPr>
          <w:sz w:val="22"/>
        </w:rPr>
      </w:pPr>
      <w:r w:rsidRPr="00040788">
        <w:rPr>
          <w:sz w:val="22"/>
        </w:rPr>
        <w:t xml:space="preserve">The table below outlines a competition impact assessment of </w:t>
      </w:r>
      <w:r w:rsidR="00B61A29">
        <w:rPr>
          <w:sz w:val="22"/>
        </w:rPr>
        <w:t>Option A</w:t>
      </w:r>
      <w:r w:rsidRPr="00040788">
        <w:rPr>
          <w:sz w:val="22"/>
        </w:rPr>
        <w:t xml:space="preserve"> of the supervision charge (i.e. a two tiered charge that differentiates between the total number of entitlements held and the total number of operating </w:t>
      </w:r>
      <w:r w:rsidR="00887FE5">
        <w:rPr>
          <w:sz w:val="22"/>
        </w:rPr>
        <w:t>gaming machines</w:t>
      </w:r>
      <w:r w:rsidRPr="00040788">
        <w:rPr>
          <w:sz w:val="22"/>
        </w:rPr>
        <w:t>). According to the VGR, the supervision charge is likely to have an impact on competition if any of the following questions can be answered in the affirmative.</w:t>
      </w:r>
    </w:p>
    <w:p w:rsidR="000A52AF" w:rsidRDefault="000A52AF">
      <w:pPr>
        <w:spacing w:before="0" w:after="0"/>
        <w:ind w:left="0"/>
        <w:rPr>
          <w:color w:val="000000"/>
          <w:lang w:eastAsia="en-US"/>
        </w:rPr>
      </w:pPr>
      <w:r>
        <w:br w:type="page"/>
      </w:r>
    </w:p>
    <w:p w:rsidR="00A34D0E" w:rsidRPr="00A34D0E" w:rsidRDefault="00A34D0E" w:rsidP="00A34D0E">
      <w:pPr>
        <w:pStyle w:val="Heading5"/>
        <w:ind w:left="709"/>
      </w:pPr>
      <w:r w:rsidRPr="00A34D0E">
        <w:t>Table 7.1: Assessment of competition impacts</w:t>
      </w:r>
    </w:p>
    <w:tbl>
      <w:tblPr>
        <w:tblW w:w="8363" w:type="dxa"/>
        <w:tblInd w:w="822" w:type="dxa"/>
        <w:tblBorders>
          <w:top w:val="single" w:sz="2" w:space="0" w:color="auto"/>
          <w:bottom w:val="single" w:sz="2" w:space="0" w:color="auto"/>
          <w:insideH w:val="single" w:sz="2" w:space="0" w:color="auto"/>
        </w:tblBorders>
        <w:tblCellMar>
          <w:left w:w="113" w:type="dxa"/>
          <w:right w:w="113" w:type="dxa"/>
        </w:tblCellMar>
        <w:tblLook w:val="04A0" w:firstRow="1" w:lastRow="0" w:firstColumn="1" w:lastColumn="0" w:noHBand="0" w:noVBand="1"/>
      </w:tblPr>
      <w:tblGrid>
        <w:gridCol w:w="6623"/>
        <w:gridCol w:w="1740"/>
      </w:tblGrid>
      <w:tr w:rsidR="00A34D0E" w:rsidRPr="00A34D0E" w:rsidTr="005C412B">
        <w:trPr>
          <w:cantSplit/>
        </w:trPr>
        <w:tc>
          <w:tcPr>
            <w:tcW w:w="6623" w:type="dxa"/>
            <w:tcBorders>
              <w:top w:val="single" w:sz="2" w:space="0" w:color="auto"/>
              <w:left w:val="nil"/>
              <w:bottom w:val="single" w:sz="2" w:space="0" w:color="auto"/>
              <w:right w:val="nil"/>
              <w:tl2br w:val="nil"/>
              <w:tr2bl w:val="nil"/>
            </w:tcBorders>
            <w:shd w:val="clear" w:color="auto" w:fill="D9D9D9"/>
          </w:tcPr>
          <w:p w:rsidR="00A34D0E" w:rsidRPr="00A34D0E" w:rsidRDefault="00A34D0E" w:rsidP="005C412B">
            <w:pPr>
              <w:pStyle w:val="NoteNormal"/>
              <w:spacing w:before="240" w:after="240"/>
              <w:ind w:left="0"/>
              <w:rPr>
                <w:b/>
                <w:sz w:val="20"/>
                <w:szCs w:val="20"/>
              </w:rPr>
            </w:pPr>
            <w:r w:rsidRPr="00A34D0E">
              <w:rPr>
                <w:b/>
                <w:sz w:val="20"/>
                <w:szCs w:val="20"/>
              </w:rPr>
              <w:t>VGR test question</w:t>
            </w:r>
          </w:p>
        </w:tc>
        <w:tc>
          <w:tcPr>
            <w:tcW w:w="1740" w:type="dxa"/>
            <w:tcBorders>
              <w:top w:val="single" w:sz="2" w:space="0" w:color="auto"/>
              <w:left w:val="nil"/>
              <w:bottom w:val="single" w:sz="2" w:space="0" w:color="auto"/>
              <w:right w:val="nil"/>
              <w:tl2br w:val="nil"/>
              <w:tr2bl w:val="nil"/>
            </w:tcBorders>
            <w:shd w:val="clear" w:color="auto" w:fill="D9D9D9"/>
          </w:tcPr>
          <w:p w:rsidR="00A34D0E" w:rsidRPr="00A34D0E" w:rsidRDefault="00A34D0E" w:rsidP="005C412B">
            <w:pPr>
              <w:pStyle w:val="NoteNormal"/>
              <w:spacing w:before="240" w:after="240"/>
              <w:ind w:left="0"/>
              <w:jc w:val="center"/>
              <w:rPr>
                <w:b/>
                <w:sz w:val="20"/>
                <w:szCs w:val="20"/>
              </w:rPr>
            </w:pPr>
            <w:r w:rsidRPr="00A34D0E">
              <w:rPr>
                <w:b/>
                <w:sz w:val="20"/>
                <w:szCs w:val="20"/>
              </w:rPr>
              <w:t>Assessment</w:t>
            </w:r>
          </w:p>
        </w:tc>
      </w:tr>
      <w:tr w:rsidR="00A34D0E" w:rsidRPr="00A34D0E" w:rsidTr="005C412B">
        <w:trPr>
          <w:cantSplit/>
          <w:trHeight w:val="1229"/>
        </w:trPr>
        <w:tc>
          <w:tcPr>
            <w:tcW w:w="6623" w:type="dxa"/>
            <w:shd w:val="clear" w:color="auto" w:fill="auto"/>
            <w:vAlign w:val="center"/>
          </w:tcPr>
          <w:p w:rsidR="00A34D0E" w:rsidRPr="00A34D0E" w:rsidRDefault="00A34D0E" w:rsidP="005C412B">
            <w:pPr>
              <w:autoSpaceDE w:val="0"/>
              <w:autoSpaceDN w:val="0"/>
              <w:adjustRightInd w:val="0"/>
              <w:spacing w:before="0" w:after="0"/>
              <w:ind w:left="0"/>
              <w:rPr>
                <w:sz w:val="20"/>
                <w:szCs w:val="20"/>
              </w:rPr>
            </w:pPr>
            <w:r w:rsidRPr="00A34D0E">
              <w:rPr>
                <w:sz w:val="20"/>
                <w:szCs w:val="20"/>
              </w:rPr>
              <w:t>Is the proposed measure likely to affect the market structure of the affected sector(s) – i.e. will it reduce the number of participants in the market, or increase the size of incumbent firms?</w:t>
            </w:r>
          </w:p>
        </w:tc>
        <w:tc>
          <w:tcPr>
            <w:tcW w:w="1740" w:type="dxa"/>
            <w:shd w:val="clear" w:color="auto" w:fill="auto"/>
            <w:vAlign w:val="center"/>
          </w:tcPr>
          <w:p w:rsidR="00A34D0E" w:rsidRPr="00A34D0E" w:rsidRDefault="00A34D0E" w:rsidP="005C412B">
            <w:pPr>
              <w:pStyle w:val="NoteNormal"/>
              <w:spacing w:before="240" w:after="240"/>
              <w:ind w:left="0"/>
              <w:jc w:val="center"/>
              <w:rPr>
                <w:sz w:val="20"/>
                <w:szCs w:val="20"/>
              </w:rPr>
            </w:pPr>
            <w:r w:rsidRPr="00A34D0E">
              <w:rPr>
                <w:sz w:val="20"/>
                <w:szCs w:val="20"/>
              </w:rPr>
              <w:t>No</w:t>
            </w:r>
          </w:p>
        </w:tc>
      </w:tr>
      <w:tr w:rsidR="00A34D0E" w:rsidRPr="00A34D0E" w:rsidTr="005C412B">
        <w:trPr>
          <w:cantSplit/>
          <w:trHeight w:val="849"/>
        </w:trPr>
        <w:tc>
          <w:tcPr>
            <w:tcW w:w="6623" w:type="dxa"/>
            <w:shd w:val="clear" w:color="auto" w:fill="auto"/>
            <w:vAlign w:val="center"/>
          </w:tcPr>
          <w:p w:rsidR="00A34D0E" w:rsidRPr="00A34D0E" w:rsidRDefault="00A34D0E" w:rsidP="005C412B">
            <w:pPr>
              <w:autoSpaceDE w:val="0"/>
              <w:autoSpaceDN w:val="0"/>
              <w:adjustRightInd w:val="0"/>
              <w:spacing w:before="0" w:after="0"/>
              <w:ind w:left="0"/>
              <w:rPr>
                <w:sz w:val="20"/>
                <w:szCs w:val="20"/>
              </w:rPr>
            </w:pPr>
            <w:r w:rsidRPr="00A34D0E">
              <w:rPr>
                <w:sz w:val="20"/>
                <w:szCs w:val="20"/>
              </w:rPr>
              <w:t>Will it be more difficult for new firms or individuals to enter the industry after the imposition of the proposed measure?</w:t>
            </w:r>
          </w:p>
        </w:tc>
        <w:tc>
          <w:tcPr>
            <w:tcW w:w="1740" w:type="dxa"/>
            <w:shd w:val="clear" w:color="auto" w:fill="auto"/>
            <w:vAlign w:val="center"/>
          </w:tcPr>
          <w:p w:rsidR="00A34D0E" w:rsidRPr="00A34D0E" w:rsidRDefault="00A34D0E" w:rsidP="005C412B">
            <w:pPr>
              <w:pStyle w:val="NoteNormal"/>
              <w:spacing w:before="240" w:after="240"/>
              <w:ind w:left="0"/>
              <w:jc w:val="center"/>
              <w:rPr>
                <w:sz w:val="20"/>
                <w:szCs w:val="20"/>
              </w:rPr>
            </w:pPr>
            <w:r w:rsidRPr="00A34D0E">
              <w:rPr>
                <w:sz w:val="20"/>
                <w:szCs w:val="20"/>
              </w:rPr>
              <w:t>No</w:t>
            </w:r>
          </w:p>
        </w:tc>
      </w:tr>
      <w:tr w:rsidR="00A34D0E" w:rsidRPr="00A34D0E" w:rsidTr="005C412B">
        <w:trPr>
          <w:cantSplit/>
          <w:trHeight w:val="1133"/>
        </w:trPr>
        <w:tc>
          <w:tcPr>
            <w:tcW w:w="6623" w:type="dxa"/>
            <w:shd w:val="clear" w:color="auto" w:fill="auto"/>
            <w:vAlign w:val="center"/>
          </w:tcPr>
          <w:p w:rsidR="00A34D0E" w:rsidRPr="00A34D0E" w:rsidRDefault="00A34D0E" w:rsidP="005C412B">
            <w:pPr>
              <w:autoSpaceDE w:val="0"/>
              <w:autoSpaceDN w:val="0"/>
              <w:adjustRightInd w:val="0"/>
              <w:spacing w:before="0" w:after="0"/>
              <w:ind w:left="0"/>
              <w:rPr>
                <w:sz w:val="20"/>
                <w:szCs w:val="20"/>
              </w:rPr>
            </w:pPr>
            <w:r w:rsidRPr="00A34D0E">
              <w:rPr>
                <w:sz w:val="20"/>
                <w:szCs w:val="20"/>
              </w:rPr>
              <w:t>Will the costs/benefits associated with the proposed measure affect some firms or individuals substantially more than others (e.g. small firms, part‐time participants in occupations etc</w:t>
            </w:r>
            <w:r w:rsidR="004A4CF4">
              <w:rPr>
                <w:sz w:val="20"/>
                <w:szCs w:val="20"/>
              </w:rPr>
              <w:t>.</w:t>
            </w:r>
            <w:r w:rsidRPr="00A34D0E">
              <w:rPr>
                <w:sz w:val="20"/>
                <w:szCs w:val="20"/>
              </w:rPr>
              <w:t>)?</w:t>
            </w:r>
          </w:p>
        </w:tc>
        <w:tc>
          <w:tcPr>
            <w:tcW w:w="1740" w:type="dxa"/>
            <w:shd w:val="clear" w:color="auto" w:fill="auto"/>
            <w:vAlign w:val="center"/>
          </w:tcPr>
          <w:p w:rsidR="00A34D0E" w:rsidRPr="00A34D0E" w:rsidRDefault="00A34D0E" w:rsidP="005C412B">
            <w:pPr>
              <w:pStyle w:val="NoteNormal"/>
              <w:spacing w:before="240" w:after="240"/>
              <w:ind w:left="0"/>
              <w:jc w:val="center"/>
              <w:rPr>
                <w:sz w:val="20"/>
                <w:szCs w:val="20"/>
              </w:rPr>
            </w:pPr>
            <w:r w:rsidRPr="00A34D0E">
              <w:rPr>
                <w:sz w:val="20"/>
                <w:szCs w:val="20"/>
              </w:rPr>
              <w:t>No</w:t>
            </w:r>
          </w:p>
        </w:tc>
      </w:tr>
      <w:tr w:rsidR="00A34D0E" w:rsidRPr="00A34D0E" w:rsidTr="005C412B">
        <w:trPr>
          <w:cantSplit/>
          <w:trHeight w:val="852"/>
        </w:trPr>
        <w:tc>
          <w:tcPr>
            <w:tcW w:w="6623" w:type="dxa"/>
            <w:shd w:val="clear" w:color="auto" w:fill="auto"/>
            <w:vAlign w:val="center"/>
          </w:tcPr>
          <w:p w:rsidR="00A34D0E" w:rsidRPr="00A34D0E" w:rsidRDefault="00A34D0E" w:rsidP="005C412B">
            <w:pPr>
              <w:autoSpaceDE w:val="0"/>
              <w:autoSpaceDN w:val="0"/>
              <w:adjustRightInd w:val="0"/>
              <w:spacing w:before="0" w:after="0"/>
              <w:ind w:left="0"/>
              <w:rPr>
                <w:sz w:val="20"/>
                <w:szCs w:val="20"/>
              </w:rPr>
            </w:pPr>
            <w:r w:rsidRPr="00A34D0E">
              <w:rPr>
                <w:sz w:val="20"/>
                <w:szCs w:val="20"/>
              </w:rPr>
              <w:t xml:space="preserve">Will the proposed measure restrict the ability of businesses to choose the price, quality, range or location of their products? </w:t>
            </w:r>
          </w:p>
        </w:tc>
        <w:tc>
          <w:tcPr>
            <w:tcW w:w="1740" w:type="dxa"/>
            <w:shd w:val="clear" w:color="auto" w:fill="auto"/>
            <w:vAlign w:val="center"/>
          </w:tcPr>
          <w:p w:rsidR="00A34D0E" w:rsidRPr="00A34D0E" w:rsidRDefault="00A34D0E" w:rsidP="005C412B">
            <w:pPr>
              <w:pStyle w:val="NoteNormal"/>
              <w:spacing w:before="240" w:after="240"/>
              <w:ind w:left="0"/>
              <w:jc w:val="center"/>
              <w:rPr>
                <w:sz w:val="20"/>
                <w:szCs w:val="20"/>
              </w:rPr>
            </w:pPr>
            <w:r w:rsidRPr="00A34D0E">
              <w:rPr>
                <w:sz w:val="20"/>
                <w:szCs w:val="20"/>
              </w:rPr>
              <w:t>No</w:t>
            </w:r>
          </w:p>
        </w:tc>
      </w:tr>
      <w:tr w:rsidR="00A34D0E" w:rsidRPr="00A34D0E" w:rsidTr="005C412B">
        <w:trPr>
          <w:cantSplit/>
        </w:trPr>
        <w:tc>
          <w:tcPr>
            <w:tcW w:w="6623" w:type="dxa"/>
            <w:shd w:val="clear" w:color="auto" w:fill="auto"/>
            <w:vAlign w:val="center"/>
          </w:tcPr>
          <w:p w:rsidR="00A34D0E" w:rsidRPr="00A34D0E" w:rsidRDefault="00A34D0E" w:rsidP="005C412B">
            <w:pPr>
              <w:autoSpaceDE w:val="0"/>
              <w:autoSpaceDN w:val="0"/>
              <w:adjustRightInd w:val="0"/>
              <w:spacing w:before="0" w:after="0"/>
              <w:ind w:left="0"/>
              <w:rPr>
                <w:sz w:val="20"/>
                <w:szCs w:val="20"/>
              </w:rPr>
            </w:pPr>
            <w:r w:rsidRPr="00A34D0E">
              <w:rPr>
                <w:sz w:val="20"/>
                <w:szCs w:val="20"/>
              </w:rPr>
              <w:t>Will the proposed measure lead to higher ongoing costs for new entrants that existing firms do not have to meet?</w:t>
            </w:r>
          </w:p>
        </w:tc>
        <w:tc>
          <w:tcPr>
            <w:tcW w:w="1740" w:type="dxa"/>
            <w:shd w:val="clear" w:color="auto" w:fill="auto"/>
            <w:vAlign w:val="center"/>
          </w:tcPr>
          <w:p w:rsidR="00A34D0E" w:rsidRPr="00A34D0E" w:rsidRDefault="00A34D0E" w:rsidP="005C412B">
            <w:pPr>
              <w:pStyle w:val="NoteNormal"/>
              <w:spacing w:before="240" w:after="240"/>
              <w:ind w:left="0"/>
              <w:jc w:val="center"/>
              <w:rPr>
                <w:sz w:val="20"/>
                <w:szCs w:val="20"/>
              </w:rPr>
            </w:pPr>
            <w:r w:rsidRPr="00A34D0E">
              <w:rPr>
                <w:sz w:val="20"/>
                <w:szCs w:val="20"/>
              </w:rPr>
              <w:t>No</w:t>
            </w:r>
          </w:p>
        </w:tc>
      </w:tr>
      <w:tr w:rsidR="00A34D0E" w:rsidRPr="00A34D0E" w:rsidTr="005C412B">
        <w:trPr>
          <w:cantSplit/>
        </w:trPr>
        <w:tc>
          <w:tcPr>
            <w:tcW w:w="6623" w:type="dxa"/>
            <w:shd w:val="clear" w:color="auto" w:fill="auto"/>
            <w:vAlign w:val="center"/>
          </w:tcPr>
          <w:p w:rsidR="00A34D0E" w:rsidRPr="00A34D0E" w:rsidRDefault="00A34D0E" w:rsidP="005C412B">
            <w:pPr>
              <w:autoSpaceDE w:val="0"/>
              <w:autoSpaceDN w:val="0"/>
              <w:adjustRightInd w:val="0"/>
              <w:spacing w:before="0" w:after="0"/>
              <w:ind w:left="0"/>
              <w:rPr>
                <w:sz w:val="20"/>
                <w:szCs w:val="20"/>
              </w:rPr>
            </w:pPr>
            <w:r w:rsidRPr="00A34D0E">
              <w:rPr>
                <w:sz w:val="20"/>
                <w:szCs w:val="20"/>
              </w:rPr>
              <w:t>Is the ability or incentive to innovate or develop new products or services likely to be affected by the proposed measure?</w:t>
            </w:r>
          </w:p>
        </w:tc>
        <w:tc>
          <w:tcPr>
            <w:tcW w:w="1740" w:type="dxa"/>
            <w:shd w:val="clear" w:color="auto" w:fill="auto"/>
            <w:vAlign w:val="center"/>
          </w:tcPr>
          <w:p w:rsidR="00A34D0E" w:rsidRPr="00A34D0E" w:rsidRDefault="00A34D0E" w:rsidP="005C412B">
            <w:pPr>
              <w:pStyle w:val="NoteNormal"/>
              <w:spacing w:before="240" w:after="240"/>
              <w:ind w:left="0"/>
              <w:jc w:val="center"/>
              <w:rPr>
                <w:sz w:val="20"/>
                <w:szCs w:val="20"/>
              </w:rPr>
            </w:pPr>
            <w:r w:rsidRPr="00A34D0E">
              <w:rPr>
                <w:sz w:val="20"/>
                <w:szCs w:val="20"/>
              </w:rPr>
              <w:t>No</w:t>
            </w:r>
          </w:p>
        </w:tc>
      </w:tr>
    </w:tbl>
    <w:p w:rsidR="00A34D0E" w:rsidRPr="00040788" w:rsidRDefault="00A34D0E" w:rsidP="00A34D0E">
      <w:pPr>
        <w:spacing w:before="240"/>
        <w:rPr>
          <w:sz w:val="20"/>
          <w:lang w:eastAsia="en-US"/>
        </w:rPr>
      </w:pPr>
      <w:r w:rsidRPr="00040788">
        <w:rPr>
          <w:lang w:eastAsia="en-US"/>
        </w:rPr>
        <w:t>This proposed supervision charge does not act directly in any of the ways outlined above. As a result, it can be concluded that the proposed supervision charge is unlikely to have any significant negative impact on competition and is therefore fully compliant with the requirements of the National Competition Policy.</w:t>
      </w:r>
    </w:p>
    <w:p w:rsidR="00A34D0E" w:rsidRDefault="00A34D0E">
      <w:pPr>
        <w:spacing w:before="0" w:after="0"/>
        <w:ind w:left="0"/>
        <w:rPr>
          <w:color w:val="404040"/>
          <w:kern w:val="28"/>
          <w:sz w:val="40"/>
          <w:lang w:eastAsia="en-US"/>
        </w:rPr>
      </w:pPr>
      <w:r>
        <w:br w:type="page"/>
      </w:r>
    </w:p>
    <w:p w:rsidR="006E302D" w:rsidRDefault="00A34D0E" w:rsidP="006E302D">
      <w:pPr>
        <w:pStyle w:val="Heading1"/>
      </w:pPr>
      <w:bookmarkStart w:id="45" w:name="_Toc356830886"/>
      <w:r>
        <w:t xml:space="preserve">Enforcement and </w:t>
      </w:r>
      <w:r w:rsidR="00C27A13">
        <w:t>e</w:t>
      </w:r>
      <w:r>
        <w:t>valuation</w:t>
      </w:r>
      <w:bookmarkEnd w:id="45"/>
    </w:p>
    <w:p w:rsidR="005C412B" w:rsidRPr="005C412B" w:rsidRDefault="005C412B" w:rsidP="005C412B">
      <w:pPr>
        <w:pStyle w:val="Heading2"/>
        <w:rPr>
          <w:szCs w:val="30"/>
        </w:rPr>
      </w:pPr>
      <w:bookmarkStart w:id="46" w:name="_Toc356830887"/>
      <w:r w:rsidRPr="005C412B">
        <w:rPr>
          <w:szCs w:val="30"/>
        </w:rPr>
        <w:t>Enforcement mechanisms</w:t>
      </w:r>
      <w:bookmarkEnd w:id="46"/>
    </w:p>
    <w:p w:rsidR="005C412B" w:rsidRPr="00040788" w:rsidRDefault="005C412B" w:rsidP="005C412B">
      <w:pPr>
        <w:spacing w:before="240" w:after="240"/>
        <w:rPr>
          <w:szCs w:val="24"/>
        </w:rPr>
      </w:pPr>
      <w:r w:rsidRPr="00040788">
        <w:rPr>
          <w:szCs w:val="24"/>
        </w:rPr>
        <w:t xml:space="preserve">Under section 3.6.10 of the </w:t>
      </w:r>
      <w:r w:rsidR="00C46DDC">
        <w:rPr>
          <w:i/>
          <w:szCs w:val="24"/>
        </w:rPr>
        <w:t>GRA</w:t>
      </w:r>
      <w:r w:rsidRPr="00040788">
        <w:rPr>
          <w:szCs w:val="24"/>
        </w:rPr>
        <w:t>, penalty interest is payable at a rate of 20 per cent per annum for supervision charge amounts that have not been paid within the required time period.</w:t>
      </w:r>
    </w:p>
    <w:p w:rsidR="005C412B" w:rsidRPr="005C412B" w:rsidRDefault="005C412B" w:rsidP="005C412B">
      <w:pPr>
        <w:spacing w:before="240" w:after="240"/>
        <w:rPr>
          <w:sz w:val="24"/>
          <w:szCs w:val="24"/>
        </w:rPr>
      </w:pPr>
      <w:r w:rsidRPr="005C412B">
        <w:rPr>
          <w:noProof/>
        </w:rPr>
        <mc:AlternateContent>
          <mc:Choice Requires="wps">
            <w:drawing>
              <wp:anchor distT="0" distB="0" distL="114300" distR="114300" simplePos="0" relativeHeight="251701248" behindDoc="0" locked="0" layoutInCell="1" allowOverlap="1" wp14:anchorId="37964A7C" wp14:editId="1BB44919">
                <wp:simplePos x="0" y="0"/>
                <wp:positionH relativeFrom="column">
                  <wp:posOffset>483659</wp:posOffset>
                </wp:positionH>
                <wp:positionV relativeFrom="paragraph">
                  <wp:posOffset>19050</wp:posOffset>
                </wp:positionV>
                <wp:extent cx="5394960" cy="3157855"/>
                <wp:effectExtent l="0" t="0" r="0" b="4445"/>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960" cy="3157855"/>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F14D1" w:rsidRPr="009609F9" w:rsidRDefault="004F14D1" w:rsidP="005C412B">
                            <w:pPr>
                              <w:shd w:val="clear" w:color="auto" w:fill="D9D9D9"/>
                              <w:ind w:left="0"/>
                              <w:rPr>
                                <w:b/>
                              </w:rPr>
                            </w:pPr>
                            <w:r w:rsidRPr="009609F9">
                              <w:rPr>
                                <w:b/>
                              </w:rPr>
                              <w:t xml:space="preserve">Text Box 8.1 –Excerpt from the </w:t>
                            </w:r>
                            <w:r>
                              <w:rPr>
                                <w:b/>
                              </w:rPr>
                              <w:t>GRA</w:t>
                            </w:r>
                          </w:p>
                          <w:p w:rsidR="004F14D1" w:rsidRPr="009609F9" w:rsidRDefault="004F14D1" w:rsidP="005C412B">
                            <w:pPr>
                              <w:shd w:val="clear" w:color="auto" w:fill="D9D9D9"/>
                              <w:ind w:left="0"/>
                              <w:rPr>
                                <w:rFonts w:asciiTheme="minorHAnsi" w:hAnsiTheme="minorHAnsi" w:cstheme="minorHAnsi"/>
                                <w:u w:val="single"/>
                              </w:rPr>
                            </w:pPr>
                            <w:r w:rsidRPr="009609F9">
                              <w:rPr>
                                <w:u w:val="single"/>
                              </w:rPr>
                              <w:t>Section 3.6.10</w:t>
                            </w:r>
                            <w:r w:rsidRPr="009609F9">
                              <w:rPr>
                                <w:rFonts w:ascii="TimesNewRomanPS-BoldMT" w:hAnsi="TimesNewRomanPS-BoldMT" w:cs="TimesNewRomanPS-BoldMT"/>
                                <w:b/>
                                <w:bCs/>
                                <w:u w:val="single"/>
                              </w:rPr>
                              <w:t xml:space="preserve"> </w:t>
                            </w:r>
                            <w:r w:rsidRPr="009609F9">
                              <w:rPr>
                                <w:rFonts w:asciiTheme="minorHAnsi" w:hAnsiTheme="minorHAnsi" w:cstheme="minorHAnsi"/>
                                <w:bCs/>
                                <w:u w:val="single"/>
                              </w:rPr>
                              <w:t>Interest on late payment</w:t>
                            </w:r>
                          </w:p>
                          <w:p w:rsidR="004F14D1" w:rsidRPr="009609F9" w:rsidRDefault="004F14D1" w:rsidP="005C412B">
                            <w:pPr>
                              <w:shd w:val="clear" w:color="auto" w:fill="D9D9D9"/>
                              <w:ind w:left="0"/>
                            </w:pPr>
                            <w:r w:rsidRPr="009609F9">
                              <w:t>(1) If an amount payable under this Part—</w:t>
                            </w:r>
                          </w:p>
                          <w:p w:rsidR="004F14D1" w:rsidRPr="009609F9" w:rsidRDefault="004F14D1" w:rsidP="005C412B">
                            <w:pPr>
                              <w:shd w:val="clear" w:color="auto" w:fill="D9D9D9"/>
                              <w:ind w:left="567"/>
                            </w:pPr>
                            <w:r w:rsidRPr="009609F9">
                              <w:t>(a) to the Treasurer by the holder of a gaming operator's licence; or</w:t>
                            </w:r>
                          </w:p>
                          <w:p w:rsidR="004F14D1" w:rsidRPr="009609F9" w:rsidRDefault="004F14D1" w:rsidP="005C412B">
                            <w:pPr>
                              <w:shd w:val="clear" w:color="auto" w:fill="D9D9D9"/>
                              <w:ind w:left="567"/>
                            </w:pPr>
                            <w:r w:rsidRPr="009609F9">
                              <w:t>(b) to the Commission by a gaming operator or a venue operator that holds a gaming machine entitlement; or</w:t>
                            </w:r>
                          </w:p>
                          <w:p w:rsidR="004F14D1" w:rsidRPr="009609F9" w:rsidRDefault="004F14D1" w:rsidP="005C412B">
                            <w:pPr>
                              <w:shd w:val="clear" w:color="auto" w:fill="D9D9D9"/>
                              <w:ind w:left="567"/>
                            </w:pPr>
                            <w:r w:rsidRPr="009609F9">
                              <w:t>(c) to the Commission by a licence holder under section 3.6.8(2)—</w:t>
                            </w:r>
                          </w:p>
                          <w:p w:rsidR="004F14D1" w:rsidRPr="009609F9" w:rsidRDefault="004F14D1" w:rsidP="005C412B">
                            <w:pPr>
                              <w:shd w:val="clear" w:color="auto" w:fill="D9D9D9"/>
                              <w:ind w:left="0"/>
                              <w:rPr>
                                <w:rFonts w:asciiTheme="minorHAnsi" w:hAnsiTheme="minorHAnsi" w:cstheme="minorHAnsi"/>
                              </w:rPr>
                            </w:pPr>
                            <w:r w:rsidRPr="009609F9">
                              <w:t xml:space="preserve">is not paid within the period within which it is required to be paid, the licence holder, gaming operator or </w:t>
                            </w:r>
                            <w:r w:rsidRPr="009609F9">
                              <w:rPr>
                                <w:rFonts w:asciiTheme="minorHAnsi" w:hAnsiTheme="minorHAnsi" w:cstheme="minorHAnsi"/>
                              </w:rPr>
                              <w:t>venue operator is liable to pay interest at the rate of 20% per annum on that amount from the date on which the payment was due until the payment is made.</w:t>
                            </w:r>
                          </w:p>
                          <w:p w:rsidR="004F14D1" w:rsidRPr="009609F9" w:rsidRDefault="004F14D1" w:rsidP="005C412B">
                            <w:pPr>
                              <w:shd w:val="clear" w:color="auto" w:fill="D9D9D9"/>
                              <w:ind w:left="0"/>
                              <w:rPr>
                                <w:rFonts w:asciiTheme="minorHAnsi" w:hAnsiTheme="minorHAnsi" w:cstheme="minorHAnsi"/>
                              </w:rPr>
                            </w:pPr>
                            <w:r w:rsidRPr="009609F9">
                              <w:rPr>
                                <w:rFonts w:asciiTheme="minorHAnsi" w:hAnsiTheme="minorHAnsi" w:cstheme="minorHAnsi"/>
                              </w:rPr>
                              <w:t>(2) The Treasure</w:t>
                            </w:r>
                            <w:r>
                              <w:rPr>
                                <w:rFonts w:asciiTheme="minorHAnsi" w:hAnsiTheme="minorHAnsi" w:cstheme="minorHAnsi"/>
                              </w:rPr>
                              <w:t xml:space="preserve">r or the Commission may, if the </w:t>
                            </w:r>
                            <w:r w:rsidRPr="009609F9">
                              <w:rPr>
                                <w:rFonts w:asciiTheme="minorHAnsi" w:hAnsiTheme="minorHAnsi" w:cstheme="minorHAnsi"/>
                              </w:rPr>
                              <w:t>Treasurer or Com</w:t>
                            </w:r>
                            <w:r>
                              <w:rPr>
                                <w:rFonts w:asciiTheme="minorHAnsi" w:hAnsiTheme="minorHAnsi" w:cstheme="minorHAnsi"/>
                              </w:rPr>
                              <w:t xml:space="preserve">mission thinks fit, mitigate or </w:t>
                            </w:r>
                            <w:r w:rsidRPr="009609F9">
                              <w:rPr>
                                <w:rFonts w:asciiTheme="minorHAnsi" w:hAnsiTheme="minorHAnsi" w:cstheme="minorHAnsi"/>
                              </w:rPr>
                              <w:t xml:space="preserve">remit </w:t>
                            </w:r>
                            <w:r>
                              <w:rPr>
                                <w:rFonts w:asciiTheme="minorHAnsi" w:hAnsiTheme="minorHAnsi" w:cstheme="minorHAnsi"/>
                              </w:rPr>
                              <w:t xml:space="preserve">an amount of interest due under </w:t>
                            </w:r>
                            <w:r w:rsidRPr="009609F9">
                              <w:rPr>
                                <w:rFonts w:asciiTheme="minorHAnsi" w:hAnsiTheme="minorHAnsi" w:cstheme="minorHAnsi"/>
                              </w:rPr>
                              <w:t>subsection (1).</w:t>
                            </w:r>
                          </w:p>
                          <w:p w:rsidR="004F14D1" w:rsidRPr="009609F9" w:rsidRDefault="004F14D1" w:rsidP="005C412B">
                            <w:pPr>
                              <w:shd w:val="clear" w:color="auto" w:fill="D9D9D9"/>
                              <w:ind w:left="0"/>
                              <w:rPr>
                                <w:rFonts w:asciiTheme="minorHAnsi" w:hAnsiTheme="minorHAnsi" w:cstheme="minorHAnsi"/>
                              </w:rPr>
                            </w:pPr>
                            <w:r w:rsidRPr="009609F9">
                              <w:rPr>
                                <w:rFonts w:asciiTheme="minorHAnsi" w:hAnsiTheme="minorHAnsi" w:cstheme="minorHAnsi"/>
                              </w:rPr>
                              <w:t>(3) A function of th</w:t>
                            </w:r>
                            <w:r>
                              <w:rPr>
                                <w:rFonts w:asciiTheme="minorHAnsi" w:hAnsiTheme="minorHAnsi" w:cstheme="minorHAnsi"/>
                              </w:rPr>
                              <w:t xml:space="preserve">e Commission under this section </w:t>
                            </w:r>
                            <w:r w:rsidRPr="009609F9">
                              <w:t>may be performed by any commissioner.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6" o:spid="_x0000_s1039" type="#_x0000_t202" style="position:absolute;left:0;text-align:left;margin-left:38.1pt;margin-top:1.5pt;width:424.8pt;height:248.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" fillcolor="#d8d8d8" stroked="f">
                <v:textbox>
                  <w:txbxContent>
                    <w:p w:rsidR="004F14D1" w:rsidRPr="009609F9" w:rsidRDefault="004F14D1" w:rsidP="005C412B">
                      <w:pPr>
                        <w:shd w:val="clear" w:color="auto" w:fill="D9D9D9"/>
                        <w:ind w:left="0"/>
                        <w:rPr>
                          <w:b/>
                        </w:rPr>
                      </w:pPr>
                      <w:r w:rsidRPr="009609F9">
                        <w:rPr>
                          <w:b/>
                        </w:rPr>
                        <w:t xml:space="preserve">Text Box 8.1 –Excerpt from the </w:t>
                      </w:r>
                      <w:r>
                        <w:rPr>
                          <w:b/>
                        </w:rPr>
                        <w:t>GRA</w:t>
                      </w:r>
                    </w:p>
                    <w:p w:rsidR="004F14D1" w:rsidRPr="009609F9" w:rsidRDefault="004F14D1" w:rsidP="005C412B">
                      <w:pPr>
                        <w:shd w:val="clear" w:color="auto" w:fill="D9D9D9"/>
                        <w:ind w:left="0"/>
                        <w:rPr>
                          <w:rFonts w:asciiTheme="minorHAnsi" w:hAnsiTheme="minorHAnsi" w:cstheme="minorHAnsi"/>
                          <w:u w:val="single"/>
                        </w:rPr>
                      </w:pPr>
                      <w:r w:rsidRPr="009609F9">
                        <w:rPr>
                          <w:u w:val="single"/>
                        </w:rPr>
                        <w:t>Section 3.6.10</w:t>
                      </w:r>
                      <w:r w:rsidRPr="009609F9">
                        <w:rPr>
                          <w:rFonts w:ascii="TimesNewRomanPS-BoldMT" w:hAnsi="TimesNewRomanPS-BoldMT" w:cs="TimesNewRomanPS-BoldMT"/>
                          <w:b/>
                          <w:bCs/>
                          <w:u w:val="single"/>
                        </w:rPr>
                        <w:t xml:space="preserve"> </w:t>
                      </w:r>
                      <w:r w:rsidRPr="009609F9">
                        <w:rPr>
                          <w:rFonts w:asciiTheme="minorHAnsi" w:hAnsiTheme="minorHAnsi" w:cstheme="minorHAnsi"/>
                          <w:bCs/>
                          <w:u w:val="single"/>
                        </w:rPr>
                        <w:t>Interest on late payment</w:t>
                      </w:r>
                    </w:p>
                    <w:p w:rsidR="004F14D1" w:rsidRPr="009609F9" w:rsidRDefault="004F14D1" w:rsidP="005C412B">
                      <w:pPr>
                        <w:shd w:val="clear" w:color="auto" w:fill="D9D9D9"/>
                        <w:ind w:left="0"/>
                      </w:pPr>
                      <w:r w:rsidRPr="009609F9">
                        <w:t>(1) If an amount payable under this Part—</w:t>
                      </w:r>
                    </w:p>
                    <w:p w:rsidR="004F14D1" w:rsidRPr="009609F9" w:rsidRDefault="004F14D1" w:rsidP="005C412B">
                      <w:pPr>
                        <w:shd w:val="clear" w:color="auto" w:fill="D9D9D9"/>
                        <w:ind w:left="567"/>
                      </w:pPr>
                      <w:r w:rsidRPr="009609F9">
                        <w:t>(a) to the Treasurer by the holder of a gaming operator's licence; or</w:t>
                      </w:r>
                    </w:p>
                    <w:p w:rsidR="004F14D1" w:rsidRPr="009609F9" w:rsidRDefault="004F14D1" w:rsidP="005C412B">
                      <w:pPr>
                        <w:shd w:val="clear" w:color="auto" w:fill="D9D9D9"/>
                        <w:ind w:left="567"/>
                      </w:pPr>
                      <w:r w:rsidRPr="009609F9">
                        <w:t>(b) to the Commission by a gaming operator or a venue operator that holds a gaming machine entitlement; or</w:t>
                      </w:r>
                    </w:p>
                    <w:p w:rsidR="004F14D1" w:rsidRPr="009609F9" w:rsidRDefault="004F14D1" w:rsidP="005C412B">
                      <w:pPr>
                        <w:shd w:val="clear" w:color="auto" w:fill="D9D9D9"/>
                        <w:ind w:left="567"/>
                      </w:pPr>
                      <w:r w:rsidRPr="009609F9">
                        <w:t>(c) to the Commission by a licence holder under section 3.6.8(2)—</w:t>
                      </w:r>
                    </w:p>
                    <w:p w:rsidR="004F14D1" w:rsidRPr="009609F9" w:rsidRDefault="004F14D1" w:rsidP="005C412B">
                      <w:pPr>
                        <w:shd w:val="clear" w:color="auto" w:fill="D9D9D9"/>
                        <w:ind w:left="0"/>
                        <w:rPr>
                          <w:rFonts w:asciiTheme="minorHAnsi" w:hAnsiTheme="minorHAnsi" w:cstheme="minorHAnsi"/>
                        </w:rPr>
                      </w:pPr>
                      <w:r w:rsidRPr="009609F9">
                        <w:t xml:space="preserve">is not paid within the period within which it is required to be paid, the licence holder, gaming operator or </w:t>
                      </w:r>
                      <w:r w:rsidRPr="009609F9">
                        <w:rPr>
                          <w:rFonts w:asciiTheme="minorHAnsi" w:hAnsiTheme="minorHAnsi" w:cstheme="minorHAnsi"/>
                        </w:rPr>
                        <w:t>venue operator is liable to pay interest at the rate of 20% per annum on that amount from the date on which the payment was due until the payment is made.</w:t>
                      </w:r>
                    </w:p>
                    <w:p w:rsidR="004F14D1" w:rsidRPr="009609F9" w:rsidRDefault="004F14D1" w:rsidP="005C412B">
                      <w:pPr>
                        <w:shd w:val="clear" w:color="auto" w:fill="D9D9D9"/>
                        <w:ind w:left="0"/>
                        <w:rPr>
                          <w:rFonts w:asciiTheme="minorHAnsi" w:hAnsiTheme="minorHAnsi" w:cstheme="minorHAnsi"/>
                        </w:rPr>
                      </w:pPr>
                      <w:r w:rsidRPr="009609F9">
                        <w:rPr>
                          <w:rFonts w:asciiTheme="minorHAnsi" w:hAnsiTheme="minorHAnsi" w:cstheme="minorHAnsi"/>
                        </w:rPr>
                        <w:t>(2) The Treasure</w:t>
                      </w:r>
                      <w:r>
                        <w:rPr>
                          <w:rFonts w:asciiTheme="minorHAnsi" w:hAnsiTheme="minorHAnsi" w:cstheme="minorHAnsi"/>
                        </w:rPr>
                        <w:t xml:space="preserve">r or the Commission may, if the </w:t>
                      </w:r>
                      <w:r w:rsidRPr="009609F9">
                        <w:rPr>
                          <w:rFonts w:asciiTheme="minorHAnsi" w:hAnsiTheme="minorHAnsi" w:cstheme="minorHAnsi"/>
                        </w:rPr>
                        <w:t>Treasurer or Com</w:t>
                      </w:r>
                      <w:r>
                        <w:rPr>
                          <w:rFonts w:asciiTheme="minorHAnsi" w:hAnsiTheme="minorHAnsi" w:cstheme="minorHAnsi"/>
                        </w:rPr>
                        <w:t xml:space="preserve">mission thinks fit, mitigate or </w:t>
                      </w:r>
                      <w:r w:rsidRPr="009609F9">
                        <w:rPr>
                          <w:rFonts w:asciiTheme="minorHAnsi" w:hAnsiTheme="minorHAnsi" w:cstheme="minorHAnsi"/>
                        </w:rPr>
                        <w:t xml:space="preserve">remit </w:t>
                      </w:r>
                      <w:r>
                        <w:rPr>
                          <w:rFonts w:asciiTheme="minorHAnsi" w:hAnsiTheme="minorHAnsi" w:cstheme="minorHAnsi"/>
                        </w:rPr>
                        <w:t xml:space="preserve">an amount of interest due under </w:t>
                      </w:r>
                      <w:r w:rsidRPr="009609F9">
                        <w:rPr>
                          <w:rFonts w:asciiTheme="minorHAnsi" w:hAnsiTheme="minorHAnsi" w:cstheme="minorHAnsi"/>
                        </w:rPr>
                        <w:t>subsection (1).</w:t>
                      </w:r>
                    </w:p>
                    <w:p w:rsidR="004F14D1" w:rsidRPr="009609F9" w:rsidRDefault="004F14D1" w:rsidP="005C412B">
                      <w:pPr>
                        <w:shd w:val="clear" w:color="auto" w:fill="D9D9D9"/>
                        <w:ind w:left="0"/>
                        <w:rPr>
                          <w:rFonts w:asciiTheme="minorHAnsi" w:hAnsiTheme="minorHAnsi" w:cstheme="minorHAnsi"/>
                        </w:rPr>
                      </w:pPr>
                      <w:r w:rsidRPr="009609F9">
                        <w:rPr>
                          <w:rFonts w:asciiTheme="minorHAnsi" w:hAnsiTheme="minorHAnsi" w:cstheme="minorHAnsi"/>
                        </w:rPr>
                        <w:t>(3) A function of th</w:t>
                      </w:r>
                      <w:r>
                        <w:rPr>
                          <w:rFonts w:asciiTheme="minorHAnsi" w:hAnsiTheme="minorHAnsi" w:cstheme="minorHAnsi"/>
                        </w:rPr>
                        <w:t xml:space="preserve">e Commission under this section </w:t>
                      </w:r>
                      <w:r w:rsidRPr="009609F9">
                        <w:t>may be performed by any commissioner.</w:t>
                      </w:r>
                    </w:p>
                  </w:txbxContent>
                </v:textbox>
              </v:shape>
            </w:pict>
          </mc:Fallback>
        </mc:AlternateContent>
      </w:r>
    </w:p>
    <w:p w:rsidR="005C412B" w:rsidRPr="005C412B" w:rsidRDefault="005C412B" w:rsidP="005C412B">
      <w:pPr>
        <w:spacing w:before="240" w:after="240"/>
        <w:rPr>
          <w:sz w:val="24"/>
          <w:szCs w:val="24"/>
        </w:rPr>
      </w:pPr>
    </w:p>
    <w:p w:rsidR="005C412B" w:rsidRPr="005C412B" w:rsidRDefault="005C412B" w:rsidP="005C412B">
      <w:pPr>
        <w:spacing w:before="240" w:after="240"/>
        <w:rPr>
          <w:sz w:val="24"/>
          <w:szCs w:val="24"/>
        </w:rPr>
      </w:pPr>
    </w:p>
    <w:p w:rsidR="005C412B" w:rsidRPr="005C412B" w:rsidRDefault="005C412B" w:rsidP="005C412B">
      <w:pPr>
        <w:spacing w:before="240" w:after="240"/>
        <w:rPr>
          <w:sz w:val="24"/>
          <w:szCs w:val="24"/>
        </w:rPr>
      </w:pPr>
    </w:p>
    <w:p w:rsidR="005C412B" w:rsidRPr="005C412B" w:rsidRDefault="005C412B" w:rsidP="005C412B">
      <w:pPr>
        <w:spacing w:before="240" w:after="240"/>
        <w:rPr>
          <w:sz w:val="24"/>
          <w:szCs w:val="24"/>
        </w:rPr>
      </w:pPr>
    </w:p>
    <w:p w:rsidR="005C412B" w:rsidRPr="005C412B" w:rsidRDefault="005C412B" w:rsidP="005C412B">
      <w:pPr>
        <w:spacing w:before="240" w:after="240"/>
        <w:rPr>
          <w:sz w:val="24"/>
          <w:szCs w:val="24"/>
        </w:rPr>
      </w:pPr>
    </w:p>
    <w:p w:rsidR="005C412B" w:rsidRPr="005C412B" w:rsidRDefault="005C412B" w:rsidP="005C412B">
      <w:pPr>
        <w:spacing w:before="240" w:after="240"/>
        <w:rPr>
          <w:sz w:val="24"/>
          <w:szCs w:val="24"/>
        </w:rPr>
      </w:pPr>
    </w:p>
    <w:p w:rsidR="005C412B" w:rsidRPr="005C412B" w:rsidRDefault="005C412B" w:rsidP="005C412B">
      <w:pPr>
        <w:spacing w:before="240" w:after="240"/>
        <w:rPr>
          <w:sz w:val="24"/>
          <w:szCs w:val="24"/>
        </w:rPr>
      </w:pPr>
    </w:p>
    <w:p w:rsidR="005C412B" w:rsidRPr="005C412B" w:rsidRDefault="005C412B" w:rsidP="005C412B">
      <w:pPr>
        <w:spacing w:before="240" w:after="240"/>
        <w:rPr>
          <w:sz w:val="24"/>
          <w:szCs w:val="24"/>
        </w:rPr>
      </w:pPr>
    </w:p>
    <w:p w:rsidR="005C412B" w:rsidRPr="005C412B" w:rsidRDefault="005C412B" w:rsidP="005C412B">
      <w:pPr>
        <w:spacing w:before="240" w:after="240"/>
        <w:rPr>
          <w:sz w:val="24"/>
          <w:szCs w:val="24"/>
        </w:rPr>
      </w:pPr>
      <w:r w:rsidRPr="005C412B">
        <w:rPr>
          <w:noProof/>
        </w:rPr>
        <mc:AlternateContent>
          <mc:Choice Requires="wps">
            <w:drawing>
              <wp:anchor distT="0" distB="0" distL="114300" distR="114300" simplePos="0" relativeHeight="251698176" behindDoc="0" locked="0" layoutInCell="1" allowOverlap="1" wp14:anchorId="6E64F396" wp14:editId="31E1A17A">
                <wp:simplePos x="0" y="0"/>
                <wp:positionH relativeFrom="column">
                  <wp:posOffset>1371600</wp:posOffset>
                </wp:positionH>
                <wp:positionV relativeFrom="paragraph">
                  <wp:posOffset>6657340</wp:posOffset>
                </wp:positionV>
                <wp:extent cx="5394960" cy="1254125"/>
                <wp:effectExtent l="0" t="0" r="0" b="3175"/>
                <wp:wrapNone/>
                <wp:docPr id="2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960" cy="1254125"/>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F14D1" w:rsidRPr="00A34D0E" w:rsidRDefault="004F14D1" w:rsidP="005C412B">
                            <w:pPr>
                              <w:shd w:val="clear" w:color="auto" w:fill="D9D9D9"/>
                              <w:ind w:left="0"/>
                              <w:rPr>
                                <w:b/>
                              </w:rPr>
                            </w:pPr>
                            <w:r w:rsidRPr="00A34D0E">
                              <w:rPr>
                                <w:b/>
                              </w:rPr>
                              <w:t>Text Box 7.2 - Excerpt from the Competition Principles Agreement</w:t>
                            </w:r>
                          </w:p>
                          <w:p w:rsidR="004F14D1" w:rsidRPr="003E0EBB" w:rsidRDefault="004F14D1" w:rsidP="005C412B">
                            <w:pPr>
                              <w:shd w:val="clear" w:color="auto" w:fill="D9D9D9"/>
                              <w:ind w:left="0"/>
                            </w:pPr>
                            <w:r w:rsidRPr="003E0EBB">
                              <w:t>Clause 5(5)</w:t>
                            </w:r>
                          </w:p>
                          <w:p w:rsidR="004F14D1" w:rsidRPr="003E0EBB" w:rsidRDefault="004F14D1" w:rsidP="005C412B">
                            <w:pPr>
                              <w:shd w:val="clear" w:color="auto" w:fill="D9D9D9"/>
                              <w:ind w:left="0"/>
                            </w:pPr>
                            <w:r w:rsidRPr="003E0EBB">
                              <w:t xml:space="preserve">Each party will require proposals for new legislation that restricts competition to be accompanied by evidence that the legislation is consistent with the principle set out in subclause (1).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108pt;margin-top:524.2pt;width:424.8pt;height:98.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" fillcolor="#d8d8d8" stroked="f">
                <v:textbox>
                  <w:txbxContent>
                    <w:p w:rsidR="004F14D1" w:rsidRPr="00A34D0E" w:rsidRDefault="004F14D1" w:rsidP="005C412B">
                      <w:pPr>
                        <w:shd w:val="clear" w:color="auto" w:fill="D9D9D9"/>
                        <w:ind w:left="0"/>
                        <w:rPr>
                          <w:b/>
                        </w:rPr>
                      </w:pPr>
                      <w:r w:rsidRPr="00A34D0E">
                        <w:rPr>
                          <w:b/>
                        </w:rPr>
                        <w:t>Text Box 7.2 - Excerpt from the Competition Principles Agreement</w:t>
                      </w:r>
                    </w:p>
                    <w:p w:rsidR="004F14D1" w:rsidRPr="003E0EBB" w:rsidRDefault="004F14D1" w:rsidP="005C412B">
                      <w:pPr>
                        <w:shd w:val="clear" w:color="auto" w:fill="D9D9D9"/>
                        <w:ind w:left="0"/>
                      </w:pPr>
                      <w:r w:rsidRPr="003E0EBB">
                        <w:t>Clause 5(5)</w:t>
                      </w:r>
                    </w:p>
                    <w:p w:rsidR="004F14D1" w:rsidRPr="003E0EBB" w:rsidRDefault="004F14D1" w:rsidP="005C412B">
                      <w:pPr>
                        <w:shd w:val="clear" w:color="auto" w:fill="D9D9D9"/>
                        <w:ind w:left="0"/>
                      </w:pPr>
                      <w:r w:rsidRPr="003E0EBB">
                        <w:t xml:space="preserve">Each party will require proposals for new legislation that restricts competition to be accompanied by evidence that the legislation is consistent with the principle set out in subclause (1). </w:t>
                      </w:r>
                    </w:p>
                  </w:txbxContent>
                </v:textbox>
              </v:shape>
            </w:pict>
          </mc:Fallback>
        </mc:AlternateContent>
      </w:r>
      <w:r w:rsidRPr="005C412B">
        <w:rPr>
          <w:noProof/>
        </w:rPr>
        <mc:AlternateContent>
          <mc:Choice Requires="wps">
            <w:drawing>
              <wp:anchor distT="0" distB="0" distL="114300" distR="114300" simplePos="0" relativeHeight="251696128" behindDoc="0" locked="0" layoutInCell="1" allowOverlap="1" wp14:anchorId="37FC9306" wp14:editId="6FA10E84">
                <wp:simplePos x="0" y="0"/>
                <wp:positionH relativeFrom="column">
                  <wp:posOffset>1371600</wp:posOffset>
                </wp:positionH>
                <wp:positionV relativeFrom="paragraph">
                  <wp:posOffset>6657340</wp:posOffset>
                </wp:positionV>
                <wp:extent cx="5394960" cy="1254125"/>
                <wp:effectExtent l="0" t="0" r="0" b="3175"/>
                <wp:wrapNone/>
                <wp:docPr id="3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960" cy="1254125"/>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F14D1" w:rsidRPr="00A34D0E" w:rsidRDefault="004F14D1" w:rsidP="005C412B">
                            <w:pPr>
                              <w:shd w:val="clear" w:color="auto" w:fill="D9D9D9"/>
                              <w:ind w:left="0"/>
                              <w:rPr>
                                <w:b/>
                              </w:rPr>
                            </w:pPr>
                            <w:r w:rsidRPr="00A34D0E">
                              <w:rPr>
                                <w:b/>
                              </w:rPr>
                              <w:t>Text Box 7.2 - Excerpt from the Competition Principles Agreement</w:t>
                            </w:r>
                          </w:p>
                          <w:p w:rsidR="004F14D1" w:rsidRPr="003E0EBB" w:rsidRDefault="004F14D1" w:rsidP="005C412B">
                            <w:pPr>
                              <w:shd w:val="clear" w:color="auto" w:fill="D9D9D9"/>
                              <w:ind w:left="0"/>
                            </w:pPr>
                            <w:r w:rsidRPr="003E0EBB">
                              <w:t>Clause 5(5)</w:t>
                            </w:r>
                          </w:p>
                          <w:p w:rsidR="004F14D1" w:rsidRPr="003E0EBB" w:rsidRDefault="004F14D1" w:rsidP="005C412B">
                            <w:pPr>
                              <w:shd w:val="clear" w:color="auto" w:fill="D9D9D9"/>
                              <w:ind w:left="0"/>
                            </w:pPr>
                            <w:r w:rsidRPr="003E0EBB">
                              <w:t xml:space="preserve">Each party will require proposals for new legislation that restricts competition to be accompanied by evidence that the legislation is consistent with the principle set out in subclause (1).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108pt;margin-top:524.2pt;width:424.8pt;height:98.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" fillcolor="#d8d8d8" stroked="f">
                <v:textbox>
                  <w:txbxContent>
                    <w:p w:rsidR="004F14D1" w:rsidRPr="00A34D0E" w:rsidRDefault="004F14D1" w:rsidP="005C412B">
                      <w:pPr>
                        <w:shd w:val="clear" w:color="auto" w:fill="D9D9D9"/>
                        <w:ind w:left="0"/>
                        <w:rPr>
                          <w:b/>
                        </w:rPr>
                      </w:pPr>
                      <w:r w:rsidRPr="00A34D0E">
                        <w:rPr>
                          <w:b/>
                        </w:rPr>
                        <w:t>Text Box 7.2 - Excerpt from the Competition Principles Agreement</w:t>
                      </w:r>
                    </w:p>
                    <w:p w:rsidR="004F14D1" w:rsidRPr="003E0EBB" w:rsidRDefault="004F14D1" w:rsidP="005C412B">
                      <w:pPr>
                        <w:shd w:val="clear" w:color="auto" w:fill="D9D9D9"/>
                        <w:ind w:left="0"/>
                      </w:pPr>
                      <w:r w:rsidRPr="003E0EBB">
                        <w:t>Clause 5(5)</w:t>
                      </w:r>
                    </w:p>
                    <w:p w:rsidR="004F14D1" w:rsidRPr="003E0EBB" w:rsidRDefault="004F14D1" w:rsidP="005C412B">
                      <w:pPr>
                        <w:shd w:val="clear" w:color="auto" w:fill="D9D9D9"/>
                        <w:ind w:left="0"/>
                      </w:pPr>
                      <w:r w:rsidRPr="003E0EBB">
                        <w:t xml:space="preserve">Each party will require proposals for new legislation that restricts competition to be accompanied by evidence that the legislation is consistent with the principle set out in subclause (1). </w:t>
                      </w:r>
                    </w:p>
                  </w:txbxContent>
                </v:textbox>
              </v:shape>
            </w:pict>
          </mc:Fallback>
        </mc:AlternateContent>
      </w:r>
      <w:r w:rsidRPr="005C412B">
        <w:rPr>
          <w:noProof/>
        </w:rPr>
        <mc:AlternateContent>
          <mc:Choice Requires="wps">
            <w:drawing>
              <wp:anchor distT="0" distB="0" distL="114300" distR="114300" simplePos="0" relativeHeight="251697152" behindDoc="0" locked="0" layoutInCell="1" allowOverlap="1" wp14:anchorId="10B6C6C8" wp14:editId="4EF49EA1">
                <wp:simplePos x="0" y="0"/>
                <wp:positionH relativeFrom="column">
                  <wp:posOffset>1371600</wp:posOffset>
                </wp:positionH>
                <wp:positionV relativeFrom="paragraph">
                  <wp:posOffset>6657340</wp:posOffset>
                </wp:positionV>
                <wp:extent cx="5394960" cy="1254125"/>
                <wp:effectExtent l="0" t="0" r="0" b="3175"/>
                <wp:wrapNone/>
                <wp:docPr id="3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960" cy="1254125"/>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F14D1" w:rsidRPr="00A34D0E" w:rsidRDefault="004F14D1" w:rsidP="005C412B">
                            <w:pPr>
                              <w:shd w:val="clear" w:color="auto" w:fill="D9D9D9"/>
                              <w:ind w:left="0"/>
                              <w:rPr>
                                <w:b/>
                              </w:rPr>
                            </w:pPr>
                            <w:r w:rsidRPr="00A34D0E">
                              <w:rPr>
                                <w:b/>
                              </w:rPr>
                              <w:t>Text Box 7.2 - Excerpt from the Competition Principles Agreement</w:t>
                            </w:r>
                          </w:p>
                          <w:p w:rsidR="004F14D1" w:rsidRPr="003E0EBB" w:rsidRDefault="004F14D1" w:rsidP="005C412B">
                            <w:pPr>
                              <w:shd w:val="clear" w:color="auto" w:fill="D9D9D9"/>
                              <w:ind w:left="0"/>
                            </w:pPr>
                            <w:r w:rsidRPr="003E0EBB">
                              <w:t>Clause 5(5)</w:t>
                            </w:r>
                          </w:p>
                          <w:p w:rsidR="004F14D1" w:rsidRPr="003E0EBB" w:rsidRDefault="004F14D1" w:rsidP="005C412B">
                            <w:pPr>
                              <w:shd w:val="clear" w:color="auto" w:fill="D9D9D9"/>
                              <w:ind w:left="0"/>
                            </w:pPr>
                            <w:r w:rsidRPr="003E0EBB">
                              <w:t xml:space="preserve">Each party will require proposals for new legislation that restricts competition to be accompanied by evidence that the legislation is consistent with the principle set out in subclause (1).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108pt;margin-top:524.2pt;width:424.8pt;height:98.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" fillcolor="#d8d8d8" stroked="f">
                <v:textbox>
                  <w:txbxContent>
                    <w:p w:rsidR="004F14D1" w:rsidRPr="00A34D0E" w:rsidRDefault="004F14D1" w:rsidP="005C412B">
                      <w:pPr>
                        <w:shd w:val="clear" w:color="auto" w:fill="D9D9D9"/>
                        <w:ind w:left="0"/>
                        <w:rPr>
                          <w:b/>
                        </w:rPr>
                      </w:pPr>
                      <w:r w:rsidRPr="00A34D0E">
                        <w:rPr>
                          <w:b/>
                        </w:rPr>
                        <w:t>Text Box 7.2 - Excerpt from the Competition Principles Agreement</w:t>
                      </w:r>
                    </w:p>
                    <w:p w:rsidR="004F14D1" w:rsidRPr="003E0EBB" w:rsidRDefault="004F14D1" w:rsidP="005C412B">
                      <w:pPr>
                        <w:shd w:val="clear" w:color="auto" w:fill="D9D9D9"/>
                        <w:ind w:left="0"/>
                      </w:pPr>
                      <w:r w:rsidRPr="003E0EBB">
                        <w:t>Clause 5(5)</w:t>
                      </w:r>
                    </w:p>
                    <w:p w:rsidR="004F14D1" w:rsidRPr="003E0EBB" w:rsidRDefault="004F14D1" w:rsidP="005C412B">
                      <w:pPr>
                        <w:shd w:val="clear" w:color="auto" w:fill="D9D9D9"/>
                        <w:ind w:left="0"/>
                      </w:pPr>
                      <w:r w:rsidRPr="003E0EBB">
                        <w:t xml:space="preserve">Each party will require proposals for new legislation that restricts competition to be accompanied by evidence that the legislation is consistent with the principle set out in subclause (1). </w:t>
                      </w:r>
                    </w:p>
                  </w:txbxContent>
                </v:textbox>
              </v:shape>
            </w:pict>
          </mc:Fallback>
        </mc:AlternateContent>
      </w:r>
    </w:p>
    <w:p w:rsidR="005C412B" w:rsidRPr="00040788" w:rsidRDefault="005C412B" w:rsidP="005C412B">
      <w:pPr>
        <w:spacing w:before="240" w:after="240"/>
        <w:rPr>
          <w:szCs w:val="24"/>
        </w:rPr>
      </w:pPr>
      <w:r w:rsidRPr="00040788">
        <w:rPr>
          <w:szCs w:val="24"/>
        </w:rPr>
        <w:t xml:space="preserve">The Standing Directions of the Minister for Finance, which supplement the </w:t>
      </w:r>
      <w:r w:rsidRPr="00040788">
        <w:rPr>
          <w:i/>
          <w:szCs w:val="24"/>
        </w:rPr>
        <w:t>Financial Management Act 1994</w:t>
      </w:r>
      <w:r w:rsidRPr="00040788">
        <w:rPr>
          <w:szCs w:val="24"/>
        </w:rPr>
        <w:t>, requires the VCGLR undertake appropriate collection and follow</w:t>
      </w:r>
      <w:r w:rsidRPr="00040788">
        <w:rPr>
          <w:szCs w:val="24"/>
        </w:rPr>
        <w:noBreakHyphen/>
        <w:t>up procedures. In general, the Standing Directions require that procedures should identify:</w:t>
      </w:r>
    </w:p>
    <w:p w:rsidR="005C412B" w:rsidRPr="00040788" w:rsidRDefault="005C412B" w:rsidP="00B14372">
      <w:pPr>
        <w:numPr>
          <w:ilvl w:val="0"/>
          <w:numId w:val="38"/>
        </w:numPr>
        <w:spacing w:before="240" w:after="240"/>
        <w:ind w:hanging="357"/>
        <w:rPr>
          <w:szCs w:val="24"/>
        </w:rPr>
      </w:pPr>
      <w:r w:rsidRPr="00040788">
        <w:rPr>
          <w:szCs w:val="24"/>
        </w:rPr>
        <w:t>the priorities for outstanding debtor follow up (to ensure the cost of follow up does not significantly overweigh the benefit of collecting the debt);</w:t>
      </w:r>
    </w:p>
    <w:p w:rsidR="005C412B" w:rsidRPr="00040788" w:rsidRDefault="005C412B" w:rsidP="00B14372">
      <w:pPr>
        <w:numPr>
          <w:ilvl w:val="0"/>
          <w:numId w:val="38"/>
        </w:numPr>
        <w:spacing w:before="240" w:after="240"/>
        <w:ind w:hanging="357"/>
        <w:rPr>
          <w:szCs w:val="24"/>
        </w:rPr>
      </w:pPr>
      <w:r w:rsidRPr="00040788">
        <w:rPr>
          <w:szCs w:val="24"/>
        </w:rPr>
        <w:t xml:space="preserve">steps to take for debts that are outstanding for specified periods of time </w:t>
      </w:r>
      <w:r w:rsidR="00237B86" w:rsidRPr="00040788">
        <w:rPr>
          <w:szCs w:val="24"/>
        </w:rPr>
        <w:t>e.g.</w:t>
      </w:r>
      <w:r w:rsidRPr="00040788">
        <w:rPr>
          <w:szCs w:val="24"/>
        </w:rPr>
        <w:t xml:space="preserve">: verbal follow up and/or letters requesting payment and the point at which the debt should be referred to legal action or to an outsourced debt collection specialist, if appropriate; and </w:t>
      </w:r>
    </w:p>
    <w:p w:rsidR="005C412B" w:rsidRPr="00040788" w:rsidRDefault="005C412B" w:rsidP="00B14372">
      <w:pPr>
        <w:numPr>
          <w:ilvl w:val="0"/>
          <w:numId w:val="38"/>
        </w:numPr>
        <w:spacing w:before="240" w:after="240"/>
        <w:ind w:hanging="357"/>
        <w:rPr>
          <w:szCs w:val="24"/>
        </w:rPr>
      </w:pPr>
      <w:r w:rsidRPr="00040788">
        <w:rPr>
          <w:szCs w:val="24"/>
        </w:rPr>
        <w:t>requirements for documentation of the actions taken.</w:t>
      </w:r>
    </w:p>
    <w:p w:rsidR="005C412B" w:rsidRPr="005C412B" w:rsidRDefault="005C412B" w:rsidP="005C412B">
      <w:pPr>
        <w:pStyle w:val="Heading2"/>
        <w:rPr>
          <w:szCs w:val="30"/>
        </w:rPr>
      </w:pPr>
      <w:bookmarkStart w:id="47" w:name="_Toc356830888"/>
      <w:r w:rsidRPr="005C412B">
        <w:rPr>
          <w:szCs w:val="30"/>
        </w:rPr>
        <w:t xml:space="preserve">Evaluating the 2012-13 </w:t>
      </w:r>
      <w:r w:rsidR="00C27A13">
        <w:rPr>
          <w:szCs w:val="30"/>
        </w:rPr>
        <w:t>s</w:t>
      </w:r>
      <w:r w:rsidRPr="005C412B">
        <w:rPr>
          <w:szCs w:val="30"/>
        </w:rPr>
        <w:t xml:space="preserve">upervision </w:t>
      </w:r>
      <w:r w:rsidR="00C27A13">
        <w:rPr>
          <w:szCs w:val="30"/>
        </w:rPr>
        <w:t>c</w:t>
      </w:r>
      <w:r w:rsidRPr="005C412B">
        <w:rPr>
          <w:szCs w:val="30"/>
        </w:rPr>
        <w:t>harge</w:t>
      </w:r>
      <w:bookmarkEnd w:id="47"/>
    </w:p>
    <w:p w:rsidR="005C412B" w:rsidRPr="00040788" w:rsidRDefault="005C412B" w:rsidP="005C412B">
      <w:pPr>
        <w:spacing w:before="240" w:after="240"/>
        <w:rPr>
          <w:szCs w:val="24"/>
        </w:rPr>
      </w:pPr>
      <w:r w:rsidRPr="00040788">
        <w:rPr>
          <w:szCs w:val="24"/>
        </w:rPr>
        <w:t xml:space="preserve">DTF, in conjunction with the VCGLR will review the implementation of the preferred option for 2012-13 once venues have been invoiced and the 2012-13 supervision charge has been paid. </w:t>
      </w:r>
    </w:p>
    <w:p w:rsidR="005C412B" w:rsidRPr="00040788" w:rsidRDefault="005C412B" w:rsidP="005C412B">
      <w:pPr>
        <w:spacing w:before="240" w:after="240"/>
        <w:rPr>
          <w:szCs w:val="24"/>
        </w:rPr>
      </w:pPr>
      <w:r w:rsidRPr="00040788">
        <w:rPr>
          <w:szCs w:val="24"/>
        </w:rPr>
        <w:t xml:space="preserve">The review of the supervision charge post 2012-13 will take into account the former Minister for </w:t>
      </w:r>
      <w:r w:rsidR="00E57F58">
        <w:rPr>
          <w:szCs w:val="24"/>
        </w:rPr>
        <w:t xml:space="preserve">Liquor and </w:t>
      </w:r>
      <w:r w:rsidRPr="00040788">
        <w:rPr>
          <w:szCs w:val="24"/>
        </w:rPr>
        <w:t xml:space="preserve">Gaming Regulation’s Statement of Expectations relating to key compliance and administrative activities conducted by the VCGLR. </w:t>
      </w:r>
    </w:p>
    <w:p w:rsidR="00A34D0E" w:rsidRDefault="00A34D0E">
      <w:pPr>
        <w:spacing w:before="0" w:after="0"/>
        <w:ind w:left="0"/>
      </w:pPr>
      <w:r>
        <w:br w:type="page"/>
      </w:r>
    </w:p>
    <w:p w:rsidR="00A34D0E" w:rsidRDefault="00A34D0E" w:rsidP="00A34D0E">
      <w:pPr>
        <w:pStyle w:val="Heading1"/>
      </w:pPr>
      <w:bookmarkStart w:id="48" w:name="_Toc356830889"/>
      <w:r>
        <w:t>Consultation</w:t>
      </w:r>
      <w:bookmarkEnd w:id="48"/>
    </w:p>
    <w:p w:rsidR="00A34D0E" w:rsidRPr="00040788" w:rsidRDefault="00A34D0E" w:rsidP="00A34D0E">
      <w:pPr>
        <w:spacing w:before="240" w:after="240"/>
        <w:rPr>
          <w:szCs w:val="24"/>
        </w:rPr>
      </w:pPr>
      <w:r w:rsidRPr="00040788">
        <w:rPr>
          <w:szCs w:val="24"/>
        </w:rPr>
        <w:t>The proposed supervision charge has been developed following consultations with the following Victorian Government agencies:</w:t>
      </w:r>
    </w:p>
    <w:p w:rsidR="00A34D0E" w:rsidRPr="00040788" w:rsidRDefault="00C46DDC" w:rsidP="003F7272">
      <w:pPr>
        <w:numPr>
          <w:ilvl w:val="0"/>
          <w:numId w:val="36"/>
        </w:numPr>
        <w:spacing w:before="240" w:after="240"/>
        <w:rPr>
          <w:szCs w:val="24"/>
        </w:rPr>
      </w:pPr>
      <w:r>
        <w:rPr>
          <w:szCs w:val="24"/>
        </w:rPr>
        <w:t>VCGLR</w:t>
      </w:r>
      <w:r w:rsidR="00A34D0E" w:rsidRPr="00040788">
        <w:rPr>
          <w:szCs w:val="24"/>
        </w:rPr>
        <w:t>;</w:t>
      </w:r>
    </w:p>
    <w:p w:rsidR="00F06162" w:rsidRDefault="0072718C" w:rsidP="003F7272">
      <w:pPr>
        <w:numPr>
          <w:ilvl w:val="0"/>
          <w:numId w:val="36"/>
        </w:numPr>
        <w:spacing w:before="240" w:after="240"/>
        <w:rPr>
          <w:szCs w:val="24"/>
        </w:rPr>
      </w:pPr>
      <w:r>
        <w:rPr>
          <w:szCs w:val="24"/>
        </w:rPr>
        <w:t>DOJ</w:t>
      </w:r>
      <w:r w:rsidR="00A34D0E" w:rsidRPr="00040788">
        <w:rPr>
          <w:szCs w:val="24"/>
        </w:rPr>
        <w:t xml:space="preserve">; </w:t>
      </w:r>
    </w:p>
    <w:p w:rsidR="00A34D0E" w:rsidRPr="00040788" w:rsidRDefault="00F06162" w:rsidP="003F7272">
      <w:pPr>
        <w:numPr>
          <w:ilvl w:val="0"/>
          <w:numId w:val="36"/>
        </w:numPr>
        <w:spacing w:before="240" w:after="240"/>
        <w:rPr>
          <w:szCs w:val="24"/>
        </w:rPr>
      </w:pPr>
      <w:r>
        <w:rPr>
          <w:szCs w:val="24"/>
        </w:rPr>
        <w:t xml:space="preserve">Victorian Competition and Efficiency Commission; </w:t>
      </w:r>
      <w:r w:rsidR="00A34D0E" w:rsidRPr="00040788">
        <w:rPr>
          <w:szCs w:val="24"/>
        </w:rPr>
        <w:t>and</w:t>
      </w:r>
    </w:p>
    <w:p w:rsidR="00A34D0E" w:rsidRPr="00040788" w:rsidRDefault="00A34D0E" w:rsidP="003F7272">
      <w:pPr>
        <w:numPr>
          <w:ilvl w:val="0"/>
          <w:numId w:val="36"/>
        </w:numPr>
        <w:spacing w:before="240" w:after="240"/>
        <w:rPr>
          <w:szCs w:val="24"/>
        </w:rPr>
      </w:pPr>
      <w:r w:rsidRPr="00040788">
        <w:rPr>
          <w:szCs w:val="24"/>
        </w:rPr>
        <w:t>Department of Premier and Cabinet.</w:t>
      </w:r>
    </w:p>
    <w:p w:rsidR="00A34D0E" w:rsidRPr="00040788" w:rsidRDefault="00A34D0E" w:rsidP="00A34D0E">
      <w:pPr>
        <w:spacing w:before="240" w:after="240"/>
        <w:rPr>
          <w:szCs w:val="24"/>
        </w:rPr>
      </w:pPr>
      <w:r w:rsidRPr="00040788">
        <w:rPr>
          <w:szCs w:val="24"/>
        </w:rPr>
        <w:t xml:space="preserve">Public consultation has not been conducted prior to the development of this draft RIS. Hence, the release of this RIS constitutes the main opportunity for consultation with </w:t>
      </w:r>
      <w:r w:rsidR="00F13192">
        <w:rPr>
          <w:szCs w:val="24"/>
        </w:rPr>
        <w:t>venue o</w:t>
      </w:r>
      <w:r w:rsidR="00472069">
        <w:rPr>
          <w:szCs w:val="24"/>
        </w:rPr>
        <w:t>perator</w:t>
      </w:r>
      <w:r w:rsidRPr="00040788">
        <w:rPr>
          <w:szCs w:val="24"/>
        </w:rPr>
        <w:t xml:space="preserve">s and others interested in relation to the proposed supervision charge. </w:t>
      </w:r>
    </w:p>
    <w:p w:rsidR="00A34D0E" w:rsidRPr="005B62AD" w:rsidRDefault="00B01638" w:rsidP="00A34D0E">
      <w:pPr>
        <w:spacing w:before="240" w:after="240"/>
      </w:pPr>
      <w:r>
        <w:rPr>
          <w:szCs w:val="24"/>
        </w:rPr>
        <w:t>Details on how</w:t>
      </w:r>
      <w:r w:rsidR="00A34D0E" w:rsidRPr="00040788">
        <w:rPr>
          <w:szCs w:val="24"/>
        </w:rPr>
        <w:t xml:space="preserve"> and by when to make a submission are included in Chapter 1. Public comment</w:t>
      </w:r>
      <w:r w:rsidR="00F06162">
        <w:rPr>
          <w:szCs w:val="24"/>
        </w:rPr>
        <w:t>s</w:t>
      </w:r>
      <w:r w:rsidR="00A34D0E" w:rsidRPr="00040788">
        <w:rPr>
          <w:szCs w:val="24"/>
        </w:rPr>
        <w:t xml:space="preserve"> in response to the RIS and the draft supervision charge determination will be received for 28 days following the r</w:t>
      </w:r>
      <w:r w:rsidR="005D10A9">
        <w:rPr>
          <w:szCs w:val="24"/>
        </w:rPr>
        <w:t>elease of the draft RIS – from 7</w:t>
      </w:r>
      <w:r w:rsidR="00A34D0E" w:rsidRPr="00040788">
        <w:rPr>
          <w:szCs w:val="24"/>
        </w:rPr>
        <w:t xml:space="preserve"> June 2013 to </w:t>
      </w:r>
      <w:r w:rsidR="005D10A9">
        <w:rPr>
          <w:szCs w:val="24"/>
        </w:rPr>
        <w:t>5</w:t>
      </w:r>
      <w:r w:rsidR="00A34D0E" w:rsidRPr="00040788">
        <w:rPr>
          <w:szCs w:val="24"/>
        </w:rPr>
        <w:t xml:space="preserve"> July 2013. </w:t>
      </w:r>
      <w:r w:rsidR="00A34D0E" w:rsidRPr="005B62AD">
        <w:t>This period of consultation reflects the fact that</w:t>
      </w:r>
      <w:r w:rsidR="004D711E" w:rsidRPr="005B62AD">
        <w:t xml:space="preserve"> venues are already aware that a supervision charge will be levied and</w:t>
      </w:r>
      <w:r w:rsidR="00A34D0E" w:rsidRPr="005B62AD">
        <w:t xml:space="preserve"> the supervision charge determination needs to be made soon after the end of the 2012</w:t>
      </w:r>
      <w:r w:rsidR="00A34D0E" w:rsidRPr="005B62AD">
        <w:noBreakHyphen/>
        <w:t xml:space="preserve">13 financial </w:t>
      </w:r>
      <w:r w:rsidR="00237B86" w:rsidRPr="005B62AD">
        <w:t>year.</w:t>
      </w:r>
    </w:p>
    <w:p w:rsidR="00A34D0E" w:rsidRPr="00040788" w:rsidRDefault="00A34D0E" w:rsidP="00A34D0E">
      <w:pPr>
        <w:spacing w:before="240" w:after="240"/>
        <w:rPr>
          <w:szCs w:val="24"/>
        </w:rPr>
      </w:pPr>
      <w:r w:rsidRPr="00040788">
        <w:rPr>
          <w:szCs w:val="24"/>
        </w:rPr>
        <w:t>Views from the public are welcome on any part of this RIS and the gaming supervision charge arrangements in general. In addition, listed below are questions that DTF is particularly interested in receiving views on:</w:t>
      </w:r>
    </w:p>
    <w:p w:rsidR="004D711E" w:rsidRPr="005B62AD" w:rsidRDefault="004D711E" w:rsidP="003119C6">
      <w:pPr>
        <w:numPr>
          <w:ilvl w:val="0"/>
          <w:numId w:val="44"/>
        </w:numPr>
        <w:tabs>
          <w:tab w:val="left" w:pos="1560"/>
        </w:tabs>
        <w:spacing w:before="240" w:after="240"/>
        <w:ind w:left="1560"/>
        <w:rPr>
          <w:szCs w:val="24"/>
        </w:rPr>
      </w:pPr>
      <w:r w:rsidRPr="005B62AD">
        <w:rPr>
          <w:szCs w:val="24"/>
        </w:rPr>
        <w:t>What other costs or impacts for stakeholders not already discussed are likely if the proposed supervision charge is implemented?</w:t>
      </w:r>
    </w:p>
    <w:p w:rsidR="004D711E" w:rsidRPr="005B62AD" w:rsidRDefault="004D711E" w:rsidP="003119C6">
      <w:pPr>
        <w:numPr>
          <w:ilvl w:val="0"/>
          <w:numId w:val="44"/>
        </w:numPr>
        <w:tabs>
          <w:tab w:val="left" w:pos="1560"/>
        </w:tabs>
        <w:spacing w:before="240" w:after="240"/>
        <w:ind w:left="1560"/>
        <w:rPr>
          <w:szCs w:val="24"/>
        </w:rPr>
      </w:pPr>
      <w:r w:rsidRPr="005B62AD">
        <w:rPr>
          <w:szCs w:val="24"/>
        </w:rPr>
        <w:t>Are any alternative options that meet the objectives of the supervision charge available, or are any of the options identified preferred and if so why?</w:t>
      </w:r>
    </w:p>
    <w:p w:rsidR="004D711E" w:rsidRPr="005B62AD" w:rsidRDefault="004D711E" w:rsidP="003119C6">
      <w:pPr>
        <w:numPr>
          <w:ilvl w:val="0"/>
          <w:numId w:val="44"/>
        </w:numPr>
        <w:tabs>
          <w:tab w:val="left" w:pos="1560"/>
        </w:tabs>
        <w:spacing w:before="240" w:after="240"/>
        <w:ind w:left="1560"/>
        <w:rPr>
          <w:szCs w:val="24"/>
        </w:rPr>
      </w:pPr>
      <w:r w:rsidRPr="005B62AD">
        <w:rPr>
          <w:szCs w:val="24"/>
        </w:rPr>
        <w:t>What additional measures could assist in the successful implementation of the proposed supervision charge?</w:t>
      </w:r>
    </w:p>
    <w:p w:rsidR="00A34D0E" w:rsidRDefault="00A34D0E">
      <w:pPr>
        <w:spacing w:before="0" w:after="0"/>
        <w:ind w:left="0"/>
      </w:pPr>
      <w:r>
        <w:br w:type="page"/>
      </w:r>
    </w:p>
    <w:p w:rsidR="003F7272" w:rsidRDefault="00DC1D3A" w:rsidP="005C412B">
      <w:pPr>
        <w:pStyle w:val="Heading1"/>
        <w:numPr>
          <w:ilvl w:val="0"/>
          <w:numId w:val="0"/>
        </w:numPr>
        <w:ind w:left="794" w:hanging="794"/>
      </w:pPr>
      <w:bookmarkStart w:id="49" w:name="_Toc356830890"/>
      <w:r>
        <w:t>Appendix 1: Notice to make a legislative instrument</w:t>
      </w:r>
      <w:bookmarkEnd w:id="49"/>
    </w:p>
    <w:p w:rsidR="008F0D0F" w:rsidRDefault="008F0D0F" w:rsidP="008F0D0F">
      <w:pPr>
        <w:spacing w:before="240" w:after="240"/>
        <w:rPr>
          <w:szCs w:val="24"/>
        </w:rPr>
      </w:pPr>
      <w:r>
        <w:rPr>
          <w:szCs w:val="24"/>
        </w:rPr>
        <w:t>The following notice will be published in the Government Gazette</w:t>
      </w:r>
      <w:r w:rsidR="006E0C24">
        <w:rPr>
          <w:szCs w:val="24"/>
        </w:rPr>
        <w:t xml:space="preserve"> once the supervision charge has been determined for 2012-13</w:t>
      </w:r>
      <w:r>
        <w:rPr>
          <w:szCs w:val="24"/>
        </w:rPr>
        <w:t>.</w:t>
      </w:r>
    </w:p>
    <w:p w:rsidR="008F0D0F" w:rsidRPr="005B62AD" w:rsidRDefault="008F0D0F" w:rsidP="008F0D0F">
      <w:pPr>
        <w:spacing w:before="240" w:after="240"/>
        <w:rPr>
          <w:rFonts w:ascii="Garamond" w:hAnsi="Garamond"/>
          <w:szCs w:val="24"/>
        </w:rPr>
      </w:pPr>
      <w:r w:rsidRPr="005B62AD">
        <w:rPr>
          <w:rFonts w:ascii="Garamond" w:hAnsi="Garamond"/>
          <w:szCs w:val="24"/>
        </w:rPr>
        <w:t>-------------------------------------------------------------------------------------------</w:t>
      </w:r>
      <w:r w:rsidR="005B62AD">
        <w:rPr>
          <w:rFonts w:ascii="Garamond" w:hAnsi="Garamond"/>
          <w:szCs w:val="24"/>
        </w:rPr>
        <w:t>-----------------------------</w:t>
      </w:r>
    </w:p>
    <w:p w:rsidR="008F0D0F" w:rsidRPr="005B62AD" w:rsidRDefault="006E0C24" w:rsidP="008F0D0F">
      <w:pPr>
        <w:pStyle w:val="Pa14"/>
        <w:spacing w:before="240" w:after="240"/>
        <w:ind w:left="851"/>
        <w:jc w:val="center"/>
        <w:rPr>
          <w:rFonts w:ascii="Garamond" w:hAnsi="Garamond" w:cstheme="minorHAnsi"/>
          <w:caps/>
          <w:color w:val="000000"/>
          <w:sz w:val="22"/>
          <w:szCs w:val="22"/>
        </w:rPr>
      </w:pPr>
      <w:r w:rsidRPr="005B62AD">
        <w:rPr>
          <w:rFonts w:ascii="Garamond" w:hAnsi="Garamond" w:cstheme="minorHAnsi"/>
          <w:b/>
          <w:bCs/>
          <w:caps/>
          <w:color w:val="000000"/>
          <w:sz w:val="22"/>
          <w:szCs w:val="22"/>
        </w:rPr>
        <w:t>GAMBLING REGULATION</w:t>
      </w:r>
      <w:r w:rsidR="008F0D0F" w:rsidRPr="005B62AD">
        <w:rPr>
          <w:rFonts w:ascii="Garamond" w:hAnsi="Garamond" w:cstheme="minorHAnsi"/>
          <w:b/>
          <w:bCs/>
          <w:caps/>
          <w:color w:val="000000"/>
          <w:sz w:val="22"/>
          <w:szCs w:val="22"/>
        </w:rPr>
        <w:t xml:space="preserve"> Act 200</w:t>
      </w:r>
      <w:r w:rsidRPr="005B62AD">
        <w:rPr>
          <w:rFonts w:ascii="Garamond" w:hAnsi="Garamond" w:cstheme="minorHAnsi"/>
          <w:b/>
          <w:bCs/>
          <w:caps/>
          <w:color w:val="000000"/>
          <w:sz w:val="22"/>
          <w:szCs w:val="22"/>
        </w:rPr>
        <w:t>3</w:t>
      </w:r>
    </w:p>
    <w:p w:rsidR="008F0D0F" w:rsidRPr="005B62AD" w:rsidRDefault="008F0D0F" w:rsidP="008F0D0F">
      <w:pPr>
        <w:pStyle w:val="Pa0"/>
        <w:spacing w:before="240" w:after="240"/>
        <w:ind w:left="851"/>
        <w:jc w:val="center"/>
        <w:rPr>
          <w:rFonts w:ascii="Garamond" w:hAnsi="Garamond" w:cstheme="minorHAnsi"/>
          <w:color w:val="000000"/>
          <w:sz w:val="22"/>
          <w:szCs w:val="22"/>
        </w:rPr>
      </w:pPr>
      <w:r w:rsidRPr="005B62AD">
        <w:rPr>
          <w:rFonts w:ascii="Garamond" w:hAnsi="Garamond" w:cstheme="minorHAnsi"/>
          <w:color w:val="000000"/>
          <w:sz w:val="22"/>
          <w:szCs w:val="22"/>
        </w:rPr>
        <w:t>DRAFT NOTICE UNDER SECTION 3.6.5A, FIXING THE VALUE OF THE SUPERVISION CHARGE</w:t>
      </w:r>
    </w:p>
    <w:p w:rsidR="008F0D0F" w:rsidRPr="005B62AD" w:rsidRDefault="008F0D0F" w:rsidP="008F0D0F">
      <w:pPr>
        <w:pStyle w:val="Pa15"/>
        <w:spacing w:before="240" w:after="240"/>
        <w:ind w:left="851"/>
        <w:jc w:val="both"/>
        <w:rPr>
          <w:rFonts w:ascii="Garamond" w:hAnsi="Garamond" w:cstheme="minorHAnsi"/>
          <w:color w:val="000000"/>
          <w:sz w:val="22"/>
          <w:szCs w:val="22"/>
        </w:rPr>
      </w:pPr>
      <w:r w:rsidRPr="005B62AD">
        <w:rPr>
          <w:rFonts w:ascii="Garamond" w:hAnsi="Garamond" w:cstheme="minorHAnsi"/>
          <w:color w:val="000000"/>
          <w:sz w:val="22"/>
          <w:szCs w:val="22"/>
        </w:rPr>
        <w:t xml:space="preserve">I, Michael O’Brien, Treasurer of the State of Victoria, under section 3.6.5A of the </w:t>
      </w:r>
      <w:r w:rsidRPr="005B62AD">
        <w:rPr>
          <w:rFonts w:ascii="Garamond" w:hAnsi="Garamond" w:cstheme="minorHAnsi"/>
          <w:b/>
          <w:bCs/>
          <w:color w:val="000000"/>
          <w:sz w:val="22"/>
          <w:szCs w:val="22"/>
        </w:rPr>
        <w:t>Gambling Regulation Act 2003</w:t>
      </w:r>
      <w:r w:rsidRPr="005B62AD">
        <w:rPr>
          <w:rFonts w:ascii="Garamond" w:hAnsi="Garamond" w:cstheme="minorHAnsi"/>
          <w:color w:val="000000"/>
          <w:sz w:val="22"/>
          <w:szCs w:val="22"/>
        </w:rPr>
        <w:t xml:space="preserve">, by notice fix the value of the supervision charge applying to </w:t>
      </w:r>
      <w:r w:rsidR="00F13192">
        <w:rPr>
          <w:rFonts w:ascii="Garamond" w:hAnsi="Garamond" w:cstheme="minorHAnsi"/>
          <w:color w:val="000000"/>
          <w:sz w:val="22"/>
          <w:szCs w:val="22"/>
        </w:rPr>
        <w:t>venue o</w:t>
      </w:r>
      <w:r w:rsidR="00472069">
        <w:rPr>
          <w:rFonts w:ascii="Garamond" w:hAnsi="Garamond" w:cstheme="minorHAnsi"/>
          <w:color w:val="000000"/>
          <w:sz w:val="22"/>
          <w:szCs w:val="22"/>
        </w:rPr>
        <w:t>perator</w:t>
      </w:r>
      <w:r w:rsidRPr="005B62AD">
        <w:rPr>
          <w:rFonts w:ascii="Garamond" w:hAnsi="Garamond" w:cstheme="minorHAnsi"/>
          <w:color w:val="000000"/>
          <w:sz w:val="22"/>
          <w:szCs w:val="22"/>
        </w:rPr>
        <w:t>s holding gaming machine entitlements for the 2012-13 financial year commencing 16 August 2012 and ending on 30 June 2013 as follows:</w:t>
      </w:r>
    </w:p>
    <w:p w:rsidR="008F0D0F" w:rsidRPr="005B62AD" w:rsidRDefault="008F0D0F" w:rsidP="008F0D0F">
      <w:pPr>
        <w:pStyle w:val="Pa26"/>
        <w:spacing w:before="240" w:after="240"/>
        <w:ind w:left="851"/>
        <w:jc w:val="both"/>
        <w:rPr>
          <w:rFonts w:ascii="Garamond" w:hAnsi="Garamond" w:cstheme="minorHAnsi"/>
          <w:color w:val="000000"/>
          <w:sz w:val="22"/>
          <w:szCs w:val="22"/>
        </w:rPr>
      </w:pPr>
      <w:r w:rsidRPr="005B62AD">
        <w:rPr>
          <w:rFonts w:ascii="Garamond" w:hAnsi="Garamond" w:cstheme="minorHAnsi"/>
          <w:color w:val="000000"/>
          <w:sz w:val="22"/>
          <w:szCs w:val="22"/>
        </w:rPr>
        <w:t>(a)</w:t>
      </w:r>
      <w:r w:rsidR="003119C6">
        <w:rPr>
          <w:rFonts w:ascii="Garamond" w:hAnsi="Garamond" w:cstheme="minorHAnsi"/>
          <w:color w:val="000000"/>
          <w:sz w:val="22"/>
          <w:szCs w:val="22"/>
        </w:rPr>
        <w:t xml:space="preserve"> t</w:t>
      </w:r>
      <w:r w:rsidRPr="005B62AD">
        <w:rPr>
          <w:rFonts w:ascii="Garamond" w:hAnsi="Garamond" w:cstheme="minorHAnsi"/>
          <w:color w:val="000000"/>
          <w:sz w:val="22"/>
          <w:szCs w:val="22"/>
        </w:rPr>
        <w:t>he value of the per entitlement unit charge is $</w:t>
      </w:r>
      <w:r w:rsidR="00F143D0">
        <w:rPr>
          <w:rFonts w:ascii="Garamond" w:hAnsi="Garamond" w:cstheme="minorHAnsi"/>
          <w:color w:val="000000"/>
          <w:sz w:val="22"/>
          <w:szCs w:val="22"/>
        </w:rPr>
        <w:t>16.36</w:t>
      </w:r>
      <w:r w:rsidR="00244CAA">
        <w:rPr>
          <w:rStyle w:val="FootnoteReference"/>
          <w:rFonts w:ascii="Garamond" w:hAnsi="Garamond" w:cstheme="minorHAnsi"/>
          <w:color w:val="000000"/>
          <w:sz w:val="22"/>
          <w:szCs w:val="22"/>
        </w:rPr>
        <w:footnoteReference w:id="13"/>
      </w:r>
      <w:r w:rsidR="00244CAA">
        <w:rPr>
          <w:rFonts w:ascii="Garamond" w:hAnsi="Garamond" w:cstheme="minorHAnsi"/>
          <w:color w:val="000000"/>
          <w:sz w:val="22"/>
          <w:szCs w:val="22"/>
        </w:rPr>
        <w:t xml:space="preserve"> </w:t>
      </w:r>
      <w:r w:rsidR="00244CAA">
        <w:rPr>
          <w:rFonts w:ascii="Garamond" w:hAnsi="Garamond" w:cs="Calibri"/>
          <w:color w:val="000000"/>
          <w:sz w:val="22"/>
          <w:szCs w:val="22"/>
        </w:rPr>
        <w:t>[the actual figure will be determined after the RIS is completed]</w:t>
      </w:r>
      <w:r w:rsidRPr="005B62AD">
        <w:rPr>
          <w:rFonts w:ascii="Garamond" w:hAnsi="Garamond" w:cstheme="minorHAnsi"/>
          <w:color w:val="000000"/>
          <w:sz w:val="22"/>
          <w:szCs w:val="22"/>
        </w:rPr>
        <w:t>; and</w:t>
      </w:r>
    </w:p>
    <w:p w:rsidR="008F0D0F" w:rsidRPr="005B62AD" w:rsidRDefault="008F0D0F" w:rsidP="008F0D0F">
      <w:pPr>
        <w:pStyle w:val="Pa26"/>
        <w:spacing w:before="240" w:after="240"/>
        <w:ind w:left="851"/>
        <w:jc w:val="both"/>
        <w:rPr>
          <w:rFonts w:ascii="Garamond" w:hAnsi="Garamond" w:cstheme="minorHAnsi"/>
          <w:color w:val="000000"/>
          <w:sz w:val="22"/>
          <w:szCs w:val="22"/>
        </w:rPr>
      </w:pPr>
      <w:r w:rsidRPr="005B62AD">
        <w:rPr>
          <w:rFonts w:ascii="Garamond" w:hAnsi="Garamond" w:cstheme="minorHAnsi"/>
          <w:color w:val="000000"/>
          <w:sz w:val="22"/>
          <w:szCs w:val="22"/>
        </w:rPr>
        <w:t xml:space="preserve">(b) </w:t>
      </w:r>
      <w:r w:rsidR="003119C6">
        <w:rPr>
          <w:rFonts w:ascii="Garamond" w:hAnsi="Garamond" w:cstheme="minorHAnsi"/>
          <w:color w:val="000000"/>
          <w:sz w:val="22"/>
          <w:szCs w:val="22"/>
        </w:rPr>
        <w:t>t</w:t>
      </w:r>
      <w:r w:rsidRPr="005B62AD">
        <w:rPr>
          <w:rFonts w:ascii="Garamond" w:hAnsi="Garamond" w:cstheme="minorHAnsi"/>
          <w:color w:val="000000"/>
          <w:sz w:val="22"/>
          <w:szCs w:val="22"/>
        </w:rPr>
        <w:t>he value of the per operating electronic gaming machine unit charge is $</w:t>
      </w:r>
      <w:r w:rsidR="00F143D0">
        <w:rPr>
          <w:rFonts w:ascii="Garamond" w:hAnsi="Garamond" w:cstheme="minorHAnsi"/>
          <w:color w:val="000000"/>
          <w:sz w:val="22"/>
          <w:szCs w:val="22"/>
        </w:rPr>
        <w:t>191.67</w:t>
      </w:r>
      <w:r w:rsidR="00244CAA">
        <w:rPr>
          <w:rStyle w:val="FootnoteReference"/>
          <w:rFonts w:ascii="Garamond" w:hAnsi="Garamond" w:cstheme="minorHAnsi"/>
          <w:color w:val="000000"/>
          <w:sz w:val="22"/>
          <w:szCs w:val="22"/>
        </w:rPr>
        <w:footnoteReference w:id="14"/>
      </w:r>
      <w:r w:rsidR="00244CAA">
        <w:rPr>
          <w:rFonts w:ascii="Garamond" w:hAnsi="Garamond" w:cstheme="minorHAnsi"/>
          <w:color w:val="000000"/>
          <w:sz w:val="22"/>
          <w:szCs w:val="22"/>
        </w:rPr>
        <w:t xml:space="preserve"> </w:t>
      </w:r>
      <w:r w:rsidR="00244CAA">
        <w:rPr>
          <w:rFonts w:ascii="Garamond" w:hAnsi="Garamond" w:cs="Calibri"/>
          <w:color w:val="000000"/>
          <w:sz w:val="22"/>
          <w:szCs w:val="22"/>
        </w:rPr>
        <w:t>[the actual figure will be determined after the RIS is completed]</w:t>
      </w:r>
      <w:r w:rsidRPr="005B62AD">
        <w:rPr>
          <w:rFonts w:ascii="Garamond" w:hAnsi="Garamond" w:cstheme="minorHAnsi"/>
          <w:color w:val="000000"/>
          <w:sz w:val="22"/>
          <w:szCs w:val="22"/>
        </w:rPr>
        <w:t>.</w:t>
      </w:r>
    </w:p>
    <w:p w:rsidR="008F0D0F" w:rsidRPr="005B62AD" w:rsidRDefault="008F0D0F" w:rsidP="008F0D0F">
      <w:pPr>
        <w:pStyle w:val="Pa23"/>
        <w:spacing w:before="240" w:after="240"/>
        <w:ind w:left="851"/>
        <w:jc w:val="both"/>
        <w:rPr>
          <w:rFonts w:ascii="Garamond" w:hAnsi="Garamond" w:cstheme="minorHAnsi"/>
          <w:color w:val="000000"/>
          <w:sz w:val="22"/>
          <w:szCs w:val="22"/>
        </w:rPr>
      </w:pPr>
      <w:r w:rsidRPr="005B62AD">
        <w:rPr>
          <w:rFonts w:ascii="Garamond" w:hAnsi="Garamond" w:cstheme="minorHAnsi"/>
          <w:color w:val="000000"/>
          <w:sz w:val="22"/>
          <w:szCs w:val="22"/>
        </w:rPr>
        <w:t>Date to be added here upon publication</w:t>
      </w:r>
    </w:p>
    <w:p w:rsidR="008F0D0F" w:rsidRPr="005B62AD" w:rsidRDefault="008F0D0F" w:rsidP="008F0D0F">
      <w:pPr>
        <w:pStyle w:val="Pa15"/>
        <w:spacing w:before="240" w:after="240"/>
        <w:jc w:val="right"/>
        <w:rPr>
          <w:rFonts w:ascii="Garamond" w:hAnsi="Garamond" w:cstheme="minorHAnsi"/>
          <w:color w:val="000000"/>
          <w:sz w:val="22"/>
          <w:szCs w:val="22"/>
        </w:rPr>
      </w:pPr>
      <w:r w:rsidRPr="005B62AD">
        <w:rPr>
          <w:rFonts w:ascii="Garamond" w:hAnsi="Garamond" w:cstheme="minorHAnsi"/>
          <w:color w:val="000000"/>
          <w:sz w:val="22"/>
          <w:szCs w:val="22"/>
        </w:rPr>
        <w:t>HON. MICHAEL O’BRIEN MP</w:t>
      </w:r>
    </w:p>
    <w:p w:rsidR="008F0D0F" w:rsidRPr="005B62AD" w:rsidRDefault="008F0D0F" w:rsidP="008F0D0F">
      <w:pPr>
        <w:pStyle w:val="Pa15"/>
        <w:spacing w:before="240" w:after="240"/>
        <w:jc w:val="right"/>
        <w:rPr>
          <w:rFonts w:ascii="Garamond" w:hAnsi="Garamond" w:cstheme="minorHAnsi"/>
          <w:color w:val="000000"/>
          <w:sz w:val="22"/>
          <w:szCs w:val="22"/>
        </w:rPr>
      </w:pPr>
      <w:r w:rsidRPr="005B62AD">
        <w:rPr>
          <w:rFonts w:ascii="Garamond" w:hAnsi="Garamond" w:cstheme="minorHAnsi"/>
          <w:color w:val="000000"/>
          <w:sz w:val="22"/>
          <w:szCs w:val="22"/>
        </w:rPr>
        <w:t>Treasurer</w:t>
      </w:r>
    </w:p>
    <w:p w:rsidR="00DC1D3A" w:rsidRPr="005B62AD" w:rsidRDefault="008F0D0F" w:rsidP="00DC1D3A">
      <w:pPr>
        <w:spacing w:before="240" w:after="240"/>
        <w:rPr>
          <w:rFonts w:ascii="Garamond" w:hAnsi="Garamond"/>
        </w:rPr>
      </w:pPr>
      <w:r w:rsidRPr="005B62AD">
        <w:rPr>
          <w:rFonts w:ascii="Garamond" w:hAnsi="Garamond"/>
        </w:rPr>
        <w:t>-------------------------------------------------------------------------------------------</w:t>
      </w:r>
      <w:r w:rsidR="005B62AD">
        <w:rPr>
          <w:rFonts w:ascii="Garamond" w:hAnsi="Garamond"/>
        </w:rPr>
        <w:t>-----------------------------</w:t>
      </w:r>
    </w:p>
    <w:p w:rsidR="003F7272" w:rsidRDefault="003F7272" w:rsidP="00DC1D3A">
      <w:pPr>
        <w:spacing w:before="240" w:after="240"/>
        <w:rPr>
          <w:color w:val="404040"/>
          <w:kern w:val="28"/>
          <w:sz w:val="40"/>
          <w:lang w:eastAsia="en-US"/>
        </w:rPr>
      </w:pPr>
      <w:r>
        <w:br w:type="page"/>
      </w:r>
    </w:p>
    <w:p w:rsidR="00A34D0E" w:rsidRDefault="00A34D0E" w:rsidP="005C412B">
      <w:pPr>
        <w:pStyle w:val="Heading1"/>
        <w:numPr>
          <w:ilvl w:val="0"/>
          <w:numId w:val="0"/>
        </w:numPr>
        <w:ind w:left="794" w:hanging="794"/>
      </w:pPr>
      <w:bookmarkStart w:id="50" w:name="_Toc356830891"/>
      <w:r>
        <w:t>Appendix 2: Functions of the VCGLR</w:t>
      </w:r>
      <w:bookmarkEnd w:id="50"/>
    </w:p>
    <w:p w:rsidR="00A34D0E" w:rsidRPr="00040788" w:rsidRDefault="00A34D0E" w:rsidP="00A34D0E">
      <w:pPr>
        <w:spacing w:before="240" w:after="240"/>
        <w:rPr>
          <w:szCs w:val="24"/>
        </w:rPr>
      </w:pPr>
      <w:r w:rsidRPr="00040788">
        <w:rPr>
          <w:szCs w:val="24"/>
        </w:rPr>
        <w:t xml:space="preserve">Section 10.1.4 (2) of the </w:t>
      </w:r>
      <w:r w:rsidRPr="00040788">
        <w:rPr>
          <w:i/>
          <w:szCs w:val="24"/>
        </w:rPr>
        <w:t>Gambling Regulation Act 2003</w:t>
      </w:r>
      <w:r w:rsidRPr="00040788">
        <w:rPr>
          <w:szCs w:val="24"/>
        </w:rPr>
        <w:t xml:space="preserve"> outlines the functions of the VCGLR as follows:</w:t>
      </w:r>
    </w:p>
    <w:p w:rsidR="00A34D0E" w:rsidRPr="00040788" w:rsidRDefault="00A34D0E" w:rsidP="00A34D0E">
      <w:pPr>
        <w:autoSpaceDE w:val="0"/>
        <w:autoSpaceDN w:val="0"/>
        <w:adjustRightInd w:val="0"/>
        <w:spacing w:before="0" w:after="0"/>
        <w:ind w:left="993"/>
        <w:rPr>
          <w:i/>
          <w:szCs w:val="24"/>
        </w:rPr>
      </w:pPr>
      <w:r w:rsidRPr="00040788">
        <w:rPr>
          <w:i/>
          <w:szCs w:val="24"/>
        </w:rPr>
        <w:t>(2) The functions of the Commission under this Act include—</w:t>
      </w:r>
    </w:p>
    <w:p w:rsidR="00A34D0E" w:rsidRPr="00040788" w:rsidRDefault="00A34D0E" w:rsidP="00A34D0E">
      <w:pPr>
        <w:autoSpaceDE w:val="0"/>
        <w:autoSpaceDN w:val="0"/>
        <w:adjustRightInd w:val="0"/>
        <w:spacing w:before="0" w:after="0"/>
        <w:ind w:left="1418"/>
        <w:rPr>
          <w:i/>
          <w:szCs w:val="24"/>
        </w:rPr>
      </w:pPr>
    </w:p>
    <w:p w:rsidR="00A34D0E" w:rsidRPr="00040788" w:rsidRDefault="00A34D0E" w:rsidP="00A34D0E">
      <w:pPr>
        <w:autoSpaceDE w:val="0"/>
        <w:autoSpaceDN w:val="0"/>
        <w:adjustRightInd w:val="0"/>
        <w:spacing w:before="0" w:after="0"/>
        <w:ind w:left="1418"/>
        <w:rPr>
          <w:i/>
          <w:szCs w:val="24"/>
        </w:rPr>
      </w:pPr>
      <w:r w:rsidRPr="00040788">
        <w:rPr>
          <w:i/>
          <w:szCs w:val="24"/>
        </w:rPr>
        <w:t>(a) regulating the use of gaming machines in casinos and approved venues;</w:t>
      </w:r>
    </w:p>
    <w:p w:rsidR="00A34D0E" w:rsidRPr="00040788" w:rsidRDefault="00A34D0E" w:rsidP="00A34D0E">
      <w:pPr>
        <w:autoSpaceDE w:val="0"/>
        <w:autoSpaceDN w:val="0"/>
        <w:adjustRightInd w:val="0"/>
        <w:spacing w:before="0" w:after="0"/>
        <w:ind w:left="1418"/>
        <w:rPr>
          <w:i/>
          <w:szCs w:val="24"/>
        </w:rPr>
      </w:pPr>
    </w:p>
    <w:p w:rsidR="00A34D0E" w:rsidRPr="00040788" w:rsidRDefault="00A34D0E" w:rsidP="00A34D0E">
      <w:pPr>
        <w:autoSpaceDE w:val="0"/>
        <w:autoSpaceDN w:val="0"/>
        <w:adjustRightInd w:val="0"/>
        <w:spacing w:before="0" w:after="0"/>
        <w:ind w:left="1418"/>
        <w:rPr>
          <w:i/>
          <w:szCs w:val="24"/>
        </w:rPr>
      </w:pPr>
      <w:r w:rsidRPr="00040788">
        <w:rPr>
          <w:i/>
          <w:szCs w:val="24"/>
        </w:rPr>
        <w:t>(ab) to monitor compliance with Part 2A of Chapter 3;</w:t>
      </w:r>
    </w:p>
    <w:p w:rsidR="00A34D0E" w:rsidRPr="00040788" w:rsidRDefault="00A34D0E" w:rsidP="00A34D0E">
      <w:pPr>
        <w:autoSpaceDE w:val="0"/>
        <w:autoSpaceDN w:val="0"/>
        <w:adjustRightInd w:val="0"/>
        <w:spacing w:before="0" w:after="0"/>
        <w:ind w:left="1418"/>
        <w:rPr>
          <w:i/>
          <w:szCs w:val="24"/>
        </w:rPr>
      </w:pPr>
    </w:p>
    <w:p w:rsidR="00A34D0E" w:rsidRPr="00040788" w:rsidRDefault="00A34D0E" w:rsidP="00A34D0E">
      <w:pPr>
        <w:autoSpaceDE w:val="0"/>
        <w:autoSpaceDN w:val="0"/>
        <w:adjustRightInd w:val="0"/>
        <w:spacing w:before="0" w:after="0"/>
        <w:ind w:left="1418"/>
        <w:rPr>
          <w:i/>
          <w:szCs w:val="24"/>
        </w:rPr>
      </w:pPr>
      <w:r w:rsidRPr="00040788">
        <w:rPr>
          <w:i/>
          <w:szCs w:val="24"/>
        </w:rPr>
        <w:t>(ac) regulating the allocation, transfer and use of gaming machine entitlements;</w:t>
      </w:r>
    </w:p>
    <w:p w:rsidR="00A34D0E" w:rsidRPr="00040788" w:rsidRDefault="00A34D0E" w:rsidP="00A34D0E">
      <w:pPr>
        <w:autoSpaceDE w:val="0"/>
        <w:autoSpaceDN w:val="0"/>
        <w:adjustRightInd w:val="0"/>
        <w:spacing w:before="0" w:after="0"/>
        <w:ind w:left="1418"/>
        <w:rPr>
          <w:i/>
          <w:szCs w:val="24"/>
        </w:rPr>
      </w:pPr>
    </w:p>
    <w:p w:rsidR="00A34D0E" w:rsidRPr="00040788" w:rsidRDefault="00A34D0E" w:rsidP="00A34D0E">
      <w:pPr>
        <w:autoSpaceDE w:val="0"/>
        <w:autoSpaceDN w:val="0"/>
        <w:adjustRightInd w:val="0"/>
        <w:spacing w:before="0" w:after="0"/>
        <w:ind w:left="1418"/>
        <w:rPr>
          <w:i/>
          <w:szCs w:val="24"/>
        </w:rPr>
      </w:pPr>
      <w:r w:rsidRPr="00040788">
        <w:rPr>
          <w:i/>
          <w:szCs w:val="24"/>
        </w:rPr>
        <w:t>(ad) regulating the monitoring licensee and its activities;</w:t>
      </w:r>
    </w:p>
    <w:p w:rsidR="00A34D0E" w:rsidRPr="00040788" w:rsidRDefault="00A34D0E" w:rsidP="00A34D0E">
      <w:pPr>
        <w:autoSpaceDE w:val="0"/>
        <w:autoSpaceDN w:val="0"/>
        <w:adjustRightInd w:val="0"/>
        <w:spacing w:before="0" w:after="0"/>
        <w:ind w:left="1418"/>
        <w:rPr>
          <w:i/>
          <w:szCs w:val="24"/>
        </w:rPr>
      </w:pPr>
    </w:p>
    <w:p w:rsidR="00A34D0E" w:rsidRPr="00040788" w:rsidRDefault="00A34D0E" w:rsidP="00A34D0E">
      <w:pPr>
        <w:autoSpaceDE w:val="0"/>
        <w:autoSpaceDN w:val="0"/>
        <w:adjustRightInd w:val="0"/>
        <w:spacing w:before="0" w:after="0"/>
        <w:ind w:left="1418"/>
        <w:rPr>
          <w:i/>
          <w:szCs w:val="24"/>
        </w:rPr>
      </w:pPr>
      <w:r w:rsidRPr="00040788">
        <w:rPr>
          <w:i/>
          <w:szCs w:val="24"/>
        </w:rPr>
        <w:t>(ae) any functions conferred on the Commission under the gaming machine entitlement allocation and transfer rules;</w:t>
      </w:r>
    </w:p>
    <w:p w:rsidR="00A34D0E" w:rsidRPr="00040788" w:rsidRDefault="00A34D0E" w:rsidP="00A34D0E">
      <w:pPr>
        <w:autoSpaceDE w:val="0"/>
        <w:autoSpaceDN w:val="0"/>
        <w:adjustRightInd w:val="0"/>
        <w:spacing w:before="0" w:after="0"/>
        <w:ind w:left="1418"/>
        <w:rPr>
          <w:i/>
          <w:szCs w:val="24"/>
        </w:rPr>
      </w:pPr>
    </w:p>
    <w:p w:rsidR="00A34D0E" w:rsidRPr="00040788" w:rsidRDefault="00A34D0E" w:rsidP="00A34D0E">
      <w:pPr>
        <w:autoSpaceDE w:val="0"/>
        <w:autoSpaceDN w:val="0"/>
        <w:adjustRightInd w:val="0"/>
        <w:spacing w:before="0" w:after="0"/>
        <w:ind w:left="1418"/>
        <w:rPr>
          <w:i/>
          <w:szCs w:val="24"/>
        </w:rPr>
      </w:pPr>
      <w:r w:rsidRPr="00040788">
        <w:rPr>
          <w:i/>
          <w:szCs w:val="24"/>
        </w:rPr>
        <w:t>(af) making determinations, declarations and decisions and giving approvals under this Act in respect of betting exchanges;</w:t>
      </w:r>
    </w:p>
    <w:p w:rsidR="00A34D0E" w:rsidRPr="00040788" w:rsidRDefault="00A34D0E" w:rsidP="00A34D0E">
      <w:pPr>
        <w:autoSpaceDE w:val="0"/>
        <w:autoSpaceDN w:val="0"/>
        <w:adjustRightInd w:val="0"/>
        <w:spacing w:before="0" w:after="0"/>
        <w:ind w:left="1418"/>
        <w:rPr>
          <w:i/>
          <w:szCs w:val="24"/>
        </w:rPr>
      </w:pPr>
    </w:p>
    <w:p w:rsidR="00A34D0E" w:rsidRPr="00040788" w:rsidRDefault="00A34D0E" w:rsidP="00A34D0E">
      <w:pPr>
        <w:autoSpaceDE w:val="0"/>
        <w:autoSpaceDN w:val="0"/>
        <w:adjustRightInd w:val="0"/>
        <w:spacing w:before="0" w:after="0"/>
        <w:ind w:left="1418"/>
        <w:rPr>
          <w:i/>
          <w:szCs w:val="24"/>
        </w:rPr>
      </w:pPr>
      <w:r w:rsidRPr="00040788">
        <w:rPr>
          <w:i/>
          <w:szCs w:val="24"/>
        </w:rPr>
        <w:t>(ag) approving simulated racing events;</w:t>
      </w:r>
    </w:p>
    <w:p w:rsidR="00A34D0E" w:rsidRPr="00040788" w:rsidRDefault="00A34D0E" w:rsidP="00A34D0E">
      <w:pPr>
        <w:autoSpaceDE w:val="0"/>
        <w:autoSpaceDN w:val="0"/>
        <w:adjustRightInd w:val="0"/>
        <w:spacing w:before="0" w:after="0"/>
        <w:ind w:left="1418"/>
        <w:rPr>
          <w:i/>
          <w:szCs w:val="24"/>
        </w:rPr>
      </w:pPr>
    </w:p>
    <w:p w:rsidR="00A34D0E" w:rsidRPr="00040788" w:rsidRDefault="00A34D0E" w:rsidP="00A34D0E">
      <w:pPr>
        <w:autoSpaceDE w:val="0"/>
        <w:autoSpaceDN w:val="0"/>
        <w:adjustRightInd w:val="0"/>
        <w:spacing w:before="0" w:after="0"/>
        <w:ind w:left="1418"/>
        <w:rPr>
          <w:i/>
          <w:szCs w:val="24"/>
        </w:rPr>
      </w:pPr>
      <w:r w:rsidRPr="00040788">
        <w:rPr>
          <w:i/>
          <w:szCs w:val="24"/>
        </w:rPr>
        <w:t>(b) regulating the activities of key operatives in the gaming machine industry, including those who manufacture, supply, repair or own, or provide venues for and operate, gaming machines;</w:t>
      </w:r>
    </w:p>
    <w:p w:rsidR="00A34D0E" w:rsidRPr="00040788" w:rsidRDefault="00A34D0E" w:rsidP="00A34D0E">
      <w:pPr>
        <w:autoSpaceDE w:val="0"/>
        <w:autoSpaceDN w:val="0"/>
        <w:adjustRightInd w:val="0"/>
        <w:spacing w:before="0" w:after="0"/>
        <w:ind w:left="1418"/>
        <w:rPr>
          <w:i/>
          <w:szCs w:val="24"/>
        </w:rPr>
      </w:pPr>
    </w:p>
    <w:p w:rsidR="00A34D0E" w:rsidRPr="00040788" w:rsidRDefault="00A34D0E" w:rsidP="00A34D0E">
      <w:pPr>
        <w:autoSpaceDE w:val="0"/>
        <w:autoSpaceDN w:val="0"/>
        <w:adjustRightInd w:val="0"/>
        <w:spacing w:before="0" w:after="0"/>
        <w:ind w:left="1418"/>
        <w:rPr>
          <w:i/>
          <w:szCs w:val="24"/>
        </w:rPr>
      </w:pPr>
      <w:r w:rsidRPr="00040788">
        <w:rPr>
          <w:i/>
          <w:szCs w:val="24"/>
        </w:rPr>
        <w:t>(c) ensuring that the conduct of gaming at approved venues is supervised;</w:t>
      </w:r>
    </w:p>
    <w:p w:rsidR="00A34D0E" w:rsidRPr="00040788" w:rsidRDefault="00A34D0E" w:rsidP="00A34D0E">
      <w:pPr>
        <w:autoSpaceDE w:val="0"/>
        <w:autoSpaceDN w:val="0"/>
        <w:adjustRightInd w:val="0"/>
        <w:spacing w:before="0" w:after="0"/>
        <w:ind w:left="1418"/>
        <w:rPr>
          <w:i/>
          <w:szCs w:val="24"/>
        </w:rPr>
      </w:pPr>
    </w:p>
    <w:p w:rsidR="00A34D0E" w:rsidRPr="00040788" w:rsidRDefault="00A34D0E" w:rsidP="00A34D0E">
      <w:pPr>
        <w:autoSpaceDE w:val="0"/>
        <w:autoSpaceDN w:val="0"/>
        <w:adjustRightInd w:val="0"/>
        <w:spacing w:before="0" w:after="0"/>
        <w:ind w:left="1418"/>
        <w:rPr>
          <w:i/>
          <w:szCs w:val="24"/>
        </w:rPr>
      </w:pPr>
      <w:r w:rsidRPr="00040788">
        <w:rPr>
          <w:i/>
          <w:szCs w:val="24"/>
        </w:rPr>
        <w:t>(d) detecting offences committed in or in relation to approved venues;</w:t>
      </w:r>
    </w:p>
    <w:p w:rsidR="00A34D0E" w:rsidRPr="00040788" w:rsidRDefault="00A34D0E" w:rsidP="00A34D0E">
      <w:pPr>
        <w:autoSpaceDE w:val="0"/>
        <w:autoSpaceDN w:val="0"/>
        <w:adjustRightInd w:val="0"/>
        <w:spacing w:before="0" w:after="0"/>
        <w:ind w:left="1418"/>
        <w:rPr>
          <w:i/>
          <w:szCs w:val="24"/>
        </w:rPr>
      </w:pPr>
    </w:p>
    <w:p w:rsidR="00A34D0E" w:rsidRPr="00040788" w:rsidRDefault="00A34D0E" w:rsidP="00A34D0E">
      <w:pPr>
        <w:autoSpaceDE w:val="0"/>
        <w:autoSpaceDN w:val="0"/>
        <w:adjustRightInd w:val="0"/>
        <w:spacing w:before="0" w:after="0"/>
        <w:ind w:left="1418"/>
        <w:rPr>
          <w:i/>
          <w:szCs w:val="24"/>
        </w:rPr>
      </w:pPr>
      <w:r w:rsidRPr="00040788">
        <w:rPr>
          <w:i/>
          <w:szCs w:val="24"/>
        </w:rPr>
        <w:t>(e) receiving and investigating complaints from gaming patrons concerning the conduct of gaming in approved venues;</w:t>
      </w:r>
    </w:p>
    <w:p w:rsidR="00A34D0E" w:rsidRPr="00040788" w:rsidRDefault="00A34D0E" w:rsidP="00A34D0E">
      <w:pPr>
        <w:autoSpaceDE w:val="0"/>
        <w:autoSpaceDN w:val="0"/>
        <w:adjustRightInd w:val="0"/>
        <w:spacing w:before="0" w:after="0"/>
        <w:ind w:left="1418"/>
        <w:rPr>
          <w:i/>
          <w:szCs w:val="24"/>
        </w:rPr>
      </w:pPr>
    </w:p>
    <w:p w:rsidR="00A34D0E" w:rsidRPr="00040788" w:rsidRDefault="00A34D0E" w:rsidP="00A34D0E">
      <w:pPr>
        <w:autoSpaceDE w:val="0"/>
        <w:autoSpaceDN w:val="0"/>
        <w:adjustRightInd w:val="0"/>
        <w:spacing w:before="0" w:after="0"/>
        <w:ind w:left="1418"/>
        <w:rPr>
          <w:i/>
          <w:szCs w:val="24"/>
        </w:rPr>
      </w:pPr>
      <w:r w:rsidRPr="00040788">
        <w:rPr>
          <w:i/>
          <w:szCs w:val="24"/>
        </w:rPr>
        <w:t>(f) regulating the activities of key operatives in the wagering, club keno, interactive gaming, community and charitable gaming, bingo, onboard gaming and public lottery</w:t>
      </w:r>
    </w:p>
    <w:p w:rsidR="00A34D0E" w:rsidRPr="00040788" w:rsidRDefault="00A34D0E" w:rsidP="00A34D0E">
      <w:pPr>
        <w:autoSpaceDE w:val="0"/>
        <w:autoSpaceDN w:val="0"/>
        <w:adjustRightInd w:val="0"/>
        <w:spacing w:before="0" w:after="0"/>
        <w:ind w:left="1418"/>
        <w:rPr>
          <w:i/>
          <w:szCs w:val="24"/>
        </w:rPr>
      </w:pPr>
      <w:r w:rsidRPr="00040788">
        <w:rPr>
          <w:i/>
          <w:szCs w:val="24"/>
        </w:rPr>
        <w:t>industries;</w:t>
      </w:r>
    </w:p>
    <w:p w:rsidR="00A34D0E" w:rsidRPr="00040788" w:rsidRDefault="00A34D0E" w:rsidP="00A34D0E">
      <w:pPr>
        <w:autoSpaceDE w:val="0"/>
        <w:autoSpaceDN w:val="0"/>
        <w:adjustRightInd w:val="0"/>
        <w:spacing w:before="0" w:after="0"/>
        <w:ind w:left="1418"/>
        <w:rPr>
          <w:i/>
          <w:szCs w:val="24"/>
        </w:rPr>
      </w:pPr>
    </w:p>
    <w:p w:rsidR="00A34D0E" w:rsidRPr="00040788" w:rsidRDefault="00A34D0E" w:rsidP="00A34D0E">
      <w:pPr>
        <w:autoSpaceDE w:val="0"/>
        <w:autoSpaceDN w:val="0"/>
        <w:adjustRightInd w:val="0"/>
        <w:spacing w:before="0" w:after="0"/>
        <w:ind w:left="1418"/>
        <w:rPr>
          <w:i/>
          <w:szCs w:val="24"/>
        </w:rPr>
      </w:pPr>
      <w:r w:rsidRPr="00040788">
        <w:rPr>
          <w:i/>
          <w:szCs w:val="24"/>
        </w:rPr>
        <w:t>(faa) registering and regulating bookmakers and bookmaker's key employees;</w:t>
      </w:r>
    </w:p>
    <w:p w:rsidR="00A34D0E" w:rsidRPr="00040788" w:rsidRDefault="00A34D0E" w:rsidP="00A34D0E">
      <w:pPr>
        <w:autoSpaceDE w:val="0"/>
        <w:autoSpaceDN w:val="0"/>
        <w:adjustRightInd w:val="0"/>
        <w:spacing w:before="0" w:after="0"/>
        <w:ind w:left="1418"/>
        <w:rPr>
          <w:i/>
          <w:szCs w:val="24"/>
        </w:rPr>
      </w:pPr>
    </w:p>
    <w:p w:rsidR="00A34D0E" w:rsidRPr="00040788" w:rsidRDefault="00A34D0E" w:rsidP="00A34D0E">
      <w:pPr>
        <w:autoSpaceDE w:val="0"/>
        <w:autoSpaceDN w:val="0"/>
        <w:adjustRightInd w:val="0"/>
        <w:spacing w:before="0" w:after="0"/>
        <w:ind w:left="1418"/>
        <w:rPr>
          <w:i/>
          <w:szCs w:val="24"/>
        </w:rPr>
      </w:pPr>
      <w:r w:rsidRPr="00040788">
        <w:rPr>
          <w:i/>
          <w:szCs w:val="24"/>
        </w:rPr>
        <w:t>(fa) making determinations and performing other functions in relation to sports betting;</w:t>
      </w:r>
    </w:p>
    <w:p w:rsidR="00A34D0E" w:rsidRPr="00040788" w:rsidRDefault="00A34D0E" w:rsidP="00A34D0E">
      <w:pPr>
        <w:autoSpaceDE w:val="0"/>
        <w:autoSpaceDN w:val="0"/>
        <w:adjustRightInd w:val="0"/>
        <w:spacing w:before="0" w:after="0"/>
        <w:ind w:left="1418"/>
        <w:rPr>
          <w:i/>
          <w:szCs w:val="24"/>
        </w:rPr>
      </w:pPr>
    </w:p>
    <w:p w:rsidR="00A34D0E" w:rsidRPr="00040788" w:rsidRDefault="00A34D0E" w:rsidP="00A34D0E">
      <w:pPr>
        <w:autoSpaceDE w:val="0"/>
        <w:autoSpaceDN w:val="0"/>
        <w:adjustRightInd w:val="0"/>
        <w:spacing w:before="0" w:after="0"/>
        <w:ind w:left="1418"/>
        <w:rPr>
          <w:i/>
          <w:szCs w:val="24"/>
        </w:rPr>
      </w:pPr>
      <w:r w:rsidRPr="00040788">
        <w:rPr>
          <w:i/>
          <w:szCs w:val="24"/>
        </w:rPr>
        <w:t>(fb) ensuring that proposed self-exclusion programs are of a satisfactory standard and</w:t>
      </w:r>
    </w:p>
    <w:p w:rsidR="00A34D0E" w:rsidRPr="00040788" w:rsidRDefault="00A34D0E" w:rsidP="00A34D0E">
      <w:pPr>
        <w:autoSpaceDE w:val="0"/>
        <w:autoSpaceDN w:val="0"/>
        <w:adjustRightInd w:val="0"/>
        <w:spacing w:before="0" w:after="0"/>
        <w:ind w:left="1418"/>
        <w:rPr>
          <w:i/>
          <w:szCs w:val="24"/>
        </w:rPr>
      </w:pPr>
      <w:r w:rsidRPr="00040788">
        <w:rPr>
          <w:i/>
          <w:szCs w:val="24"/>
        </w:rPr>
        <w:t>comply with—</w:t>
      </w:r>
    </w:p>
    <w:p w:rsidR="00A34D0E" w:rsidRPr="00040788" w:rsidRDefault="00A34D0E" w:rsidP="00A34D0E">
      <w:pPr>
        <w:autoSpaceDE w:val="0"/>
        <w:autoSpaceDN w:val="0"/>
        <w:adjustRightInd w:val="0"/>
        <w:spacing w:before="0" w:after="0"/>
        <w:ind w:left="1418"/>
        <w:rPr>
          <w:i/>
          <w:szCs w:val="24"/>
        </w:rPr>
      </w:pPr>
    </w:p>
    <w:p w:rsidR="00A34D0E" w:rsidRPr="00040788" w:rsidRDefault="00A34D0E" w:rsidP="00A34D0E">
      <w:pPr>
        <w:autoSpaceDE w:val="0"/>
        <w:autoSpaceDN w:val="0"/>
        <w:adjustRightInd w:val="0"/>
        <w:spacing w:before="0" w:after="0"/>
        <w:ind w:left="1418"/>
        <w:rPr>
          <w:i/>
          <w:szCs w:val="24"/>
        </w:rPr>
      </w:pPr>
      <w:r w:rsidRPr="00040788">
        <w:rPr>
          <w:i/>
          <w:szCs w:val="24"/>
        </w:rPr>
        <w:t>(i) any directions given under section 10.6.1; and</w:t>
      </w:r>
    </w:p>
    <w:p w:rsidR="00A34D0E" w:rsidRPr="00040788" w:rsidRDefault="00A34D0E" w:rsidP="00A34D0E">
      <w:pPr>
        <w:autoSpaceDE w:val="0"/>
        <w:autoSpaceDN w:val="0"/>
        <w:adjustRightInd w:val="0"/>
        <w:spacing w:before="0" w:after="0"/>
        <w:ind w:left="1418"/>
        <w:rPr>
          <w:i/>
          <w:szCs w:val="24"/>
        </w:rPr>
      </w:pPr>
    </w:p>
    <w:p w:rsidR="00A34D0E" w:rsidRPr="00040788" w:rsidRDefault="00A34D0E" w:rsidP="00A34D0E">
      <w:pPr>
        <w:autoSpaceDE w:val="0"/>
        <w:autoSpaceDN w:val="0"/>
        <w:adjustRightInd w:val="0"/>
        <w:spacing w:before="0" w:after="0"/>
        <w:ind w:left="1418"/>
        <w:rPr>
          <w:i/>
          <w:szCs w:val="24"/>
        </w:rPr>
      </w:pPr>
      <w:r w:rsidRPr="00040788">
        <w:rPr>
          <w:i/>
          <w:szCs w:val="24"/>
        </w:rPr>
        <w:t>(ii) the additional requirements set out in section 10.6.2;</w:t>
      </w:r>
    </w:p>
    <w:p w:rsidR="00A34D0E" w:rsidRPr="00040788" w:rsidRDefault="00A34D0E" w:rsidP="00A34D0E">
      <w:pPr>
        <w:autoSpaceDE w:val="0"/>
        <w:autoSpaceDN w:val="0"/>
        <w:adjustRightInd w:val="0"/>
        <w:spacing w:before="0" w:after="0"/>
        <w:ind w:left="1418"/>
        <w:rPr>
          <w:i/>
          <w:szCs w:val="24"/>
        </w:rPr>
      </w:pPr>
    </w:p>
    <w:p w:rsidR="00A34D0E" w:rsidRPr="00040788" w:rsidRDefault="00A34D0E" w:rsidP="00A34D0E">
      <w:pPr>
        <w:autoSpaceDE w:val="0"/>
        <w:autoSpaceDN w:val="0"/>
        <w:adjustRightInd w:val="0"/>
        <w:spacing w:before="0" w:after="0"/>
        <w:ind w:left="1418"/>
        <w:rPr>
          <w:i/>
          <w:szCs w:val="24"/>
        </w:rPr>
      </w:pPr>
      <w:r w:rsidRPr="00040788">
        <w:rPr>
          <w:i/>
          <w:szCs w:val="24"/>
        </w:rPr>
        <w:t>(fc) monitoring approved self-exclusion programs to ensure that they remain</w:t>
      </w:r>
    </w:p>
    <w:p w:rsidR="00A34D0E" w:rsidRPr="00040788" w:rsidRDefault="00A34D0E" w:rsidP="00A34D0E">
      <w:pPr>
        <w:autoSpaceDE w:val="0"/>
        <w:autoSpaceDN w:val="0"/>
        <w:adjustRightInd w:val="0"/>
        <w:spacing w:before="0" w:after="0"/>
        <w:ind w:left="1418"/>
        <w:rPr>
          <w:i/>
          <w:szCs w:val="24"/>
        </w:rPr>
      </w:pPr>
      <w:r w:rsidRPr="00040788">
        <w:rPr>
          <w:i/>
          <w:szCs w:val="24"/>
        </w:rPr>
        <w:t>satisfactory and comply with—</w:t>
      </w:r>
    </w:p>
    <w:p w:rsidR="00A34D0E" w:rsidRPr="00040788" w:rsidRDefault="00A34D0E" w:rsidP="00A34D0E">
      <w:pPr>
        <w:autoSpaceDE w:val="0"/>
        <w:autoSpaceDN w:val="0"/>
        <w:adjustRightInd w:val="0"/>
        <w:spacing w:before="0" w:after="0"/>
        <w:ind w:left="1418"/>
        <w:rPr>
          <w:i/>
          <w:szCs w:val="24"/>
        </w:rPr>
      </w:pPr>
    </w:p>
    <w:p w:rsidR="00A34D0E" w:rsidRPr="00040788" w:rsidRDefault="00A34D0E" w:rsidP="00A34D0E">
      <w:pPr>
        <w:autoSpaceDE w:val="0"/>
        <w:autoSpaceDN w:val="0"/>
        <w:adjustRightInd w:val="0"/>
        <w:spacing w:before="0" w:after="0"/>
        <w:ind w:left="1418"/>
        <w:rPr>
          <w:i/>
          <w:szCs w:val="24"/>
        </w:rPr>
      </w:pPr>
      <w:r w:rsidRPr="00040788">
        <w:rPr>
          <w:i/>
          <w:szCs w:val="24"/>
        </w:rPr>
        <w:t>(i) any directions given under section 10.6.1; and</w:t>
      </w:r>
    </w:p>
    <w:p w:rsidR="00A34D0E" w:rsidRPr="00040788" w:rsidRDefault="00A34D0E" w:rsidP="00A34D0E">
      <w:pPr>
        <w:autoSpaceDE w:val="0"/>
        <w:autoSpaceDN w:val="0"/>
        <w:adjustRightInd w:val="0"/>
        <w:spacing w:before="0" w:after="0"/>
        <w:ind w:left="1418"/>
        <w:rPr>
          <w:i/>
          <w:szCs w:val="24"/>
        </w:rPr>
      </w:pPr>
    </w:p>
    <w:p w:rsidR="00A34D0E" w:rsidRPr="00040788" w:rsidRDefault="00A34D0E" w:rsidP="00A34D0E">
      <w:pPr>
        <w:autoSpaceDE w:val="0"/>
        <w:autoSpaceDN w:val="0"/>
        <w:adjustRightInd w:val="0"/>
        <w:spacing w:before="0" w:after="0"/>
        <w:ind w:left="1418"/>
        <w:rPr>
          <w:i/>
          <w:szCs w:val="24"/>
        </w:rPr>
      </w:pPr>
      <w:r w:rsidRPr="00040788">
        <w:rPr>
          <w:i/>
          <w:szCs w:val="24"/>
        </w:rPr>
        <w:t>(ii) the additional requirements set out in section 10.6.2;</w:t>
      </w:r>
    </w:p>
    <w:p w:rsidR="00A34D0E" w:rsidRPr="00040788" w:rsidRDefault="00A34D0E" w:rsidP="00A34D0E">
      <w:pPr>
        <w:autoSpaceDE w:val="0"/>
        <w:autoSpaceDN w:val="0"/>
        <w:adjustRightInd w:val="0"/>
        <w:spacing w:before="0" w:after="0"/>
        <w:ind w:left="1418"/>
        <w:rPr>
          <w:i/>
          <w:szCs w:val="24"/>
        </w:rPr>
      </w:pPr>
    </w:p>
    <w:p w:rsidR="00A34D0E" w:rsidRPr="00040788" w:rsidRDefault="00A34D0E" w:rsidP="00A34D0E">
      <w:pPr>
        <w:autoSpaceDE w:val="0"/>
        <w:autoSpaceDN w:val="0"/>
        <w:adjustRightInd w:val="0"/>
        <w:spacing w:before="0" w:after="0"/>
        <w:ind w:left="1418"/>
        <w:rPr>
          <w:i/>
          <w:szCs w:val="24"/>
        </w:rPr>
      </w:pPr>
      <w:r w:rsidRPr="00040788">
        <w:rPr>
          <w:i/>
          <w:szCs w:val="24"/>
        </w:rPr>
        <w:t>(fd) ensuring that proposed Responsible Gambling Codes of Conduct are of a</w:t>
      </w:r>
    </w:p>
    <w:p w:rsidR="00A34D0E" w:rsidRPr="00040788" w:rsidRDefault="00A34D0E" w:rsidP="00A34D0E">
      <w:pPr>
        <w:autoSpaceDE w:val="0"/>
        <w:autoSpaceDN w:val="0"/>
        <w:adjustRightInd w:val="0"/>
        <w:spacing w:before="0" w:after="0"/>
        <w:ind w:left="1418"/>
        <w:rPr>
          <w:i/>
          <w:szCs w:val="24"/>
        </w:rPr>
      </w:pPr>
      <w:r w:rsidRPr="00040788">
        <w:rPr>
          <w:i/>
          <w:szCs w:val="24"/>
        </w:rPr>
        <w:t>satisfactory standard and comply with—</w:t>
      </w:r>
    </w:p>
    <w:p w:rsidR="00A34D0E" w:rsidRPr="00040788" w:rsidRDefault="00A34D0E" w:rsidP="00A34D0E">
      <w:pPr>
        <w:autoSpaceDE w:val="0"/>
        <w:autoSpaceDN w:val="0"/>
        <w:adjustRightInd w:val="0"/>
        <w:spacing w:before="0" w:after="0"/>
        <w:ind w:left="1418"/>
        <w:rPr>
          <w:i/>
          <w:szCs w:val="24"/>
        </w:rPr>
      </w:pPr>
    </w:p>
    <w:p w:rsidR="00A34D0E" w:rsidRPr="00040788" w:rsidRDefault="00A34D0E" w:rsidP="00A34D0E">
      <w:pPr>
        <w:autoSpaceDE w:val="0"/>
        <w:autoSpaceDN w:val="0"/>
        <w:adjustRightInd w:val="0"/>
        <w:spacing w:before="0" w:after="0"/>
        <w:ind w:left="1418"/>
        <w:rPr>
          <w:i/>
          <w:szCs w:val="24"/>
        </w:rPr>
      </w:pPr>
      <w:r w:rsidRPr="00040788">
        <w:rPr>
          <w:i/>
          <w:szCs w:val="24"/>
        </w:rPr>
        <w:t>(i) any directions given under section 10.6.6; and</w:t>
      </w:r>
    </w:p>
    <w:p w:rsidR="00A34D0E" w:rsidRPr="00040788" w:rsidRDefault="00A34D0E" w:rsidP="00A34D0E">
      <w:pPr>
        <w:autoSpaceDE w:val="0"/>
        <w:autoSpaceDN w:val="0"/>
        <w:adjustRightInd w:val="0"/>
        <w:spacing w:before="0" w:after="0"/>
        <w:ind w:left="1418"/>
        <w:rPr>
          <w:i/>
          <w:szCs w:val="24"/>
        </w:rPr>
      </w:pPr>
    </w:p>
    <w:p w:rsidR="00A34D0E" w:rsidRPr="00040788" w:rsidRDefault="00A34D0E" w:rsidP="00A34D0E">
      <w:pPr>
        <w:autoSpaceDE w:val="0"/>
        <w:autoSpaceDN w:val="0"/>
        <w:adjustRightInd w:val="0"/>
        <w:spacing w:before="0" w:after="0"/>
        <w:ind w:left="1418"/>
        <w:rPr>
          <w:i/>
          <w:szCs w:val="24"/>
        </w:rPr>
      </w:pPr>
      <w:r w:rsidRPr="00040788">
        <w:rPr>
          <w:i/>
          <w:szCs w:val="24"/>
        </w:rPr>
        <w:t>(ii) the additional requirements set out in section 10.6.7;</w:t>
      </w:r>
    </w:p>
    <w:p w:rsidR="00A34D0E" w:rsidRPr="00040788" w:rsidRDefault="00A34D0E" w:rsidP="00A34D0E">
      <w:pPr>
        <w:autoSpaceDE w:val="0"/>
        <w:autoSpaceDN w:val="0"/>
        <w:adjustRightInd w:val="0"/>
        <w:spacing w:before="0" w:after="0"/>
        <w:ind w:left="1418"/>
        <w:rPr>
          <w:i/>
          <w:szCs w:val="24"/>
        </w:rPr>
      </w:pPr>
    </w:p>
    <w:p w:rsidR="00A34D0E" w:rsidRPr="00040788" w:rsidRDefault="00A34D0E" w:rsidP="00A34D0E">
      <w:pPr>
        <w:autoSpaceDE w:val="0"/>
        <w:autoSpaceDN w:val="0"/>
        <w:adjustRightInd w:val="0"/>
        <w:spacing w:before="0" w:after="0"/>
        <w:ind w:left="1418"/>
        <w:rPr>
          <w:i/>
          <w:szCs w:val="24"/>
        </w:rPr>
      </w:pPr>
      <w:r w:rsidRPr="00040788">
        <w:rPr>
          <w:i/>
          <w:szCs w:val="24"/>
        </w:rPr>
        <w:t>(fe) monitoring the compliance of relevant persons (within the meaning of</w:t>
      </w:r>
    </w:p>
    <w:p w:rsidR="00A34D0E" w:rsidRPr="00040788" w:rsidRDefault="00A34D0E" w:rsidP="00A34D0E">
      <w:pPr>
        <w:autoSpaceDE w:val="0"/>
        <w:autoSpaceDN w:val="0"/>
        <w:adjustRightInd w:val="0"/>
        <w:spacing w:before="0" w:after="0"/>
        <w:ind w:left="1418"/>
        <w:rPr>
          <w:i/>
          <w:szCs w:val="24"/>
        </w:rPr>
      </w:pPr>
      <w:r w:rsidRPr="00040788">
        <w:rPr>
          <w:i/>
          <w:szCs w:val="24"/>
        </w:rPr>
        <w:t>section 10.6.5) with their Responsible Gambling Codes of Conduct;</w:t>
      </w:r>
    </w:p>
    <w:p w:rsidR="00A34D0E" w:rsidRPr="00040788" w:rsidRDefault="00A34D0E" w:rsidP="00A34D0E">
      <w:pPr>
        <w:autoSpaceDE w:val="0"/>
        <w:autoSpaceDN w:val="0"/>
        <w:adjustRightInd w:val="0"/>
        <w:spacing w:before="0" w:after="0"/>
        <w:ind w:left="1418"/>
        <w:rPr>
          <w:i/>
          <w:szCs w:val="24"/>
        </w:rPr>
      </w:pPr>
    </w:p>
    <w:p w:rsidR="00A34D0E" w:rsidRPr="00040788" w:rsidRDefault="00A34D0E" w:rsidP="00A34D0E">
      <w:pPr>
        <w:autoSpaceDE w:val="0"/>
        <w:autoSpaceDN w:val="0"/>
        <w:adjustRightInd w:val="0"/>
        <w:spacing w:before="0" w:after="0"/>
        <w:ind w:left="1418"/>
        <w:rPr>
          <w:i/>
          <w:szCs w:val="24"/>
        </w:rPr>
      </w:pPr>
      <w:r w:rsidRPr="00040788">
        <w:rPr>
          <w:i/>
          <w:szCs w:val="24"/>
        </w:rPr>
        <w:t>(g) advising the Minister on community concerns about the economic and social</w:t>
      </w:r>
    </w:p>
    <w:p w:rsidR="00A34D0E" w:rsidRPr="00040788" w:rsidRDefault="00A34D0E" w:rsidP="00A34D0E">
      <w:pPr>
        <w:autoSpaceDE w:val="0"/>
        <w:autoSpaceDN w:val="0"/>
        <w:adjustRightInd w:val="0"/>
        <w:spacing w:before="0" w:after="0"/>
        <w:ind w:left="1418"/>
        <w:rPr>
          <w:i/>
          <w:szCs w:val="24"/>
        </w:rPr>
      </w:pPr>
      <w:r w:rsidRPr="00040788">
        <w:rPr>
          <w:i/>
          <w:szCs w:val="24"/>
        </w:rPr>
        <w:t>impact of gambling on the well-being of the community.</w:t>
      </w:r>
    </w:p>
    <w:p w:rsidR="000A52AF" w:rsidRDefault="000A52AF" w:rsidP="00DC1D3A">
      <w:pPr>
        <w:spacing w:before="120" w:after="240" w:line="276" w:lineRule="auto"/>
        <w:ind w:left="0"/>
        <w:rPr>
          <w:rFonts w:eastAsia="Calibri" w:cs="Times New Roman"/>
          <w:i/>
          <w:sz w:val="18"/>
          <w:szCs w:val="18"/>
          <w:lang w:eastAsia="en-US"/>
        </w:rPr>
      </w:pPr>
    </w:p>
    <w:p w:rsidR="007C58EF" w:rsidRDefault="007C58EF">
      <w:pPr>
        <w:spacing w:before="0" w:after="0"/>
        <w:ind w:left="0"/>
        <w:rPr>
          <w:color w:val="404040"/>
          <w:kern w:val="28"/>
          <w:sz w:val="40"/>
          <w:lang w:eastAsia="en-US"/>
        </w:rPr>
      </w:pPr>
      <w:r>
        <w:br w:type="page"/>
      </w:r>
    </w:p>
    <w:p w:rsidR="007C58EF" w:rsidRDefault="007C58EF" w:rsidP="007C58EF">
      <w:pPr>
        <w:pStyle w:val="Heading1"/>
        <w:numPr>
          <w:ilvl w:val="0"/>
          <w:numId w:val="0"/>
        </w:numPr>
        <w:ind w:left="2127" w:hanging="2127"/>
      </w:pPr>
      <w:bookmarkStart w:id="51" w:name="_Toc356830892"/>
      <w:r>
        <w:t>Appendix 3</w:t>
      </w:r>
      <w:r w:rsidRPr="007C58EF">
        <w:t xml:space="preserve">: </w:t>
      </w:r>
      <w:r>
        <w:t xml:space="preserve"> Pro-rata of supervision charge payable</w:t>
      </w:r>
      <w:bookmarkEnd w:id="51"/>
      <w:r>
        <w:t xml:space="preserve"> </w:t>
      </w:r>
    </w:p>
    <w:p w:rsidR="007C58EF" w:rsidRDefault="007C58EF" w:rsidP="005C024C">
      <w:pPr>
        <w:spacing w:before="240" w:after="240"/>
        <w:rPr>
          <w:lang w:eastAsia="en-US"/>
        </w:rPr>
      </w:pPr>
      <w:r>
        <w:rPr>
          <w:lang w:eastAsia="en-US"/>
        </w:rPr>
        <w:t xml:space="preserve">Examples are listed below of circumstances where the supervision charge payable will be </w:t>
      </w:r>
      <w:r w:rsidR="002277B8">
        <w:rPr>
          <w:lang w:eastAsia="en-US"/>
        </w:rPr>
        <w:t>applied on a pro-rata basis</w:t>
      </w:r>
      <w:r>
        <w:rPr>
          <w:lang w:eastAsia="en-US"/>
        </w:rPr>
        <w:t>.</w:t>
      </w:r>
      <w:r w:rsidR="00FC7279">
        <w:rPr>
          <w:lang w:eastAsia="en-US"/>
        </w:rPr>
        <w:t xml:space="preserve"> </w:t>
      </w:r>
    </w:p>
    <w:p w:rsidR="00FC7279" w:rsidRPr="00FC7279" w:rsidRDefault="00FC7279" w:rsidP="005C024C">
      <w:pPr>
        <w:spacing w:before="240" w:after="240"/>
        <w:rPr>
          <w:b/>
          <w:lang w:eastAsia="en-US"/>
        </w:rPr>
      </w:pPr>
      <w:r>
        <w:rPr>
          <w:b/>
          <w:lang w:eastAsia="en-US"/>
        </w:rPr>
        <w:t>Example 1</w:t>
      </w:r>
      <w:r w:rsidRPr="00FC7279">
        <w:rPr>
          <w:b/>
          <w:lang w:eastAsia="en-US"/>
        </w:rPr>
        <w:t xml:space="preserve"> – </w:t>
      </w:r>
      <w:r>
        <w:rPr>
          <w:b/>
          <w:lang w:eastAsia="en-US"/>
        </w:rPr>
        <w:t>A</w:t>
      </w:r>
      <w:r w:rsidRPr="00FC7279">
        <w:rPr>
          <w:b/>
          <w:lang w:eastAsia="en-US"/>
        </w:rPr>
        <w:t xml:space="preserve"> change in </w:t>
      </w:r>
      <w:r>
        <w:rPr>
          <w:b/>
          <w:lang w:eastAsia="en-US"/>
        </w:rPr>
        <w:t>v</w:t>
      </w:r>
      <w:r w:rsidRPr="00FC7279">
        <w:rPr>
          <w:b/>
          <w:lang w:eastAsia="en-US"/>
        </w:rPr>
        <w:t xml:space="preserve">enue </w:t>
      </w:r>
      <w:r>
        <w:rPr>
          <w:b/>
          <w:lang w:eastAsia="en-US"/>
        </w:rPr>
        <w:t>o</w:t>
      </w:r>
      <w:r w:rsidRPr="00FC7279">
        <w:rPr>
          <w:b/>
          <w:lang w:eastAsia="en-US"/>
        </w:rPr>
        <w:t>perator during the 2012/13 period</w:t>
      </w:r>
    </w:p>
    <w:p w:rsidR="00FC7279" w:rsidRDefault="00FC7279" w:rsidP="005C024C">
      <w:pPr>
        <w:spacing w:before="240" w:after="240"/>
        <w:rPr>
          <w:lang w:eastAsia="en-US"/>
        </w:rPr>
      </w:pPr>
      <w:r>
        <w:rPr>
          <w:lang w:eastAsia="en-US"/>
        </w:rPr>
        <w:t>Consider a venue operator A that owns a total of 40 gaming machine entitlements and 40 operating gaming machines, and it ceases to be a licensee on 1 March 2013 and the operation is acquired by venue operator B on the same date to continue operating with the same 40 gaming machine entitlements and 40 operating gaming machines.</w:t>
      </w:r>
    </w:p>
    <w:p w:rsidR="00FC7279" w:rsidRDefault="00FC7279" w:rsidP="005C024C">
      <w:pPr>
        <w:spacing w:before="240" w:after="240"/>
        <w:rPr>
          <w:lang w:eastAsia="en-US"/>
        </w:rPr>
      </w:pPr>
      <w:r>
        <w:rPr>
          <w:lang w:eastAsia="en-US"/>
        </w:rPr>
        <w:t xml:space="preserve">The supervision charge payable for 2012-13 by venue operator A is $5 159 and by venue operator B is $3 162.                  </w:t>
      </w:r>
    </w:p>
    <w:p w:rsidR="00FC7279" w:rsidRDefault="00FC7279" w:rsidP="005C024C">
      <w:pPr>
        <w:spacing w:before="240" w:after="240"/>
        <w:rPr>
          <w:lang w:eastAsia="en-US"/>
        </w:rPr>
      </w:pPr>
      <w:r>
        <w:rPr>
          <w:lang w:eastAsia="en-US"/>
        </w:rPr>
        <w:t>The above charges are calculated as follows:</w:t>
      </w:r>
    </w:p>
    <w:p w:rsidR="00FC7279" w:rsidRPr="00FC7279" w:rsidRDefault="00FC7279" w:rsidP="005C024C">
      <w:pPr>
        <w:spacing w:before="240" w:after="240"/>
        <w:rPr>
          <w:i/>
          <w:lang w:eastAsia="en-US"/>
        </w:rPr>
      </w:pPr>
      <w:r w:rsidRPr="00FC7279">
        <w:rPr>
          <w:i/>
          <w:lang w:eastAsia="en-US"/>
        </w:rPr>
        <w:t>For Venue Operator A</w:t>
      </w:r>
    </w:p>
    <w:p w:rsidR="00FC7279" w:rsidRDefault="00FC7279" w:rsidP="005C024C">
      <w:pPr>
        <w:spacing w:before="240" w:after="240"/>
        <w:ind w:left="1440"/>
        <w:rPr>
          <w:lang w:eastAsia="en-US"/>
        </w:rPr>
      </w:pPr>
      <w:r>
        <w:rPr>
          <w:lang w:eastAsia="en-US"/>
        </w:rPr>
        <w:t>Total billing days:  198 days (from 16 August 2012 to 1 March 2013)</w:t>
      </w:r>
    </w:p>
    <w:p w:rsidR="00FC7279" w:rsidRDefault="00FC7279" w:rsidP="005C024C">
      <w:pPr>
        <w:spacing w:before="240" w:after="240"/>
        <w:ind w:left="1440"/>
        <w:rPr>
          <w:lang w:eastAsia="en-US"/>
        </w:rPr>
      </w:pPr>
      <w:r>
        <w:rPr>
          <w:lang w:eastAsia="en-US"/>
        </w:rPr>
        <w:t>Billing period ratio: 62% (198/319*100= 62%)</w:t>
      </w:r>
    </w:p>
    <w:p w:rsidR="00FC7279" w:rsidRDefault="00FC7279" w:rsidP="005C024C">
      <w:pPr>
        <w:spacing w:before="240" w:after="240"/>
        <w:ind w:left="1440"/>
        <w:rPr>
          <w:lang w:eastAsia="en-US"/>
        </w:rPr>
      </w:pPr>
      <w:r>
        <w:rPr>
          <w:lang w:eastAsia="en-US"/>
        </w:rPr>
        <w:t>Supervision charge = ($16.36 X 40 entitlements x 62%) + ($191.67 X 40 operating gaming machines X 62%)</w:t>
      </w:r>
    </w:p>
    <w:p w:rsidR="00FC7279" w:rsidRDefault="00FC7279" w:rsidP="005C024C">
      <w:pPr>
        <w:spacing w:before="240" w:after="240"/>
        <w:ind w:left="1440"/>
        <w:rPr>
          <w:lang w:eastAsia="en-US"/>
        </w:rPr>
      </w:pPr>
      <w:r>
        <w:rPr>
          <w:lang w:eastAsia="en-US"/>
        </w:rPr>
        <w:t>= $406+ $4 753</w:t>
      </w:r>
    </w:p>
    <w:p w:rsidR="00FC7279" w:rsidRDefault="00FC7279" w:rsidP="005C024C">
      <w:pPr>
        <w:spacing w:before="240" w:after="240"/>
        <w:ind w:left="1440"/>
        <w:rPr>
          <w:lang w:eastAsia="en-US"/>
        </w:rPr>
      </w:pPr>
      <w:r>
        <w:rPr>
          <w:lang w:eastAsia="en-US"/>
        </w:rPr>
        <w:t>= $5 159</w:t>
      </w:r>
    </w:p>
    <w:p w:rsidR="00FC7279" w:rsidRPr="00FC7279" w:rsidRDefault="00FC7279" w:rsidP="005C024C">
      <w:pPr>
        <w:spacing w:before="240" w:after="240"/>
        <w:rPr>
          <w:i/>
          <w:lang w:eastAsia="en-US"/>
        </w:rPr>
      </w:pPr>
      <w:r w:rsidRPr="00FC7279">
        <w:rPr>
          <w:i/>
          <w:lang w:eastAsia="en-US"/>
        </w:rPr>
        <w:t>For Venue Operator B</w:t>
      </w:r>
    </w:p>
    <w:p w:rsidR="00FC7279" w:rsidRDefault="00FC7279" w:rsidP="005C024C">
      <w:pPr>
        <w:spacing w:before="240" w:after="240"/>
        <w:ind w:left="1418"/>
        <w:rPr>
          <w:lang w:eastAsia="en-US"/>
        </w:rPr>
      </w:pPr>
      <w:r>
        <w:rPr>
          <w:lang w:eastAsia="en-US"/>
        </w:rPr>
        <w:t>Total billing days:  122 days (from 1 March 2013 to 30 June 2013)</w:t>
      </w:r>
    </w:p>
    <w:p w:rsidR="00FC7279" w:rsidRDefault="00FC7279" w:rsidP="005C024C">
      <w:pPr>
        <w:spacing w:before="240" w:after="240"/>
        <w:ind w:left="1418"/>
        <w:rPr>
          <w:lang w:eastAsia="en-US"/>
        </w:rPr>
      </w:pPr>
      <w:r>
        <w:rPr>
          <w:lang w:eastAsia="en-US"/>
        </w:rPr>
        <w:t>Billing period ratio: 38% (122/319*100= 38%)</w:t>
      </w:r>
    </w:p>
    <w:p w:rsidR="00FC7279" w:rsidRDefault="00FC7279" w:rsidP="005C024C">
      <w:pPr>
        <w:spacing w:before="240" w:after="240"/>
        <w:ind w:left="1418"/>
        <w:rPr>
          <w:lang w:eastAsia="en-US"/>
        </w:rPr>
      </w:pPr>
      <w:r>
        <w:rPr>
          <w:lang w:eastAsia="en-US"/>
        </w:rPr>
        <w:t>Supervision charge = ($16.36 X 40 entitlements x 38%) + ($191.67 X 40 operating gaming machines X 38%)</w:t>
      </w:r>
    </w:p>
    <w:p w:rsidR="00FC7279" w:rsidRDefault="00FC7279" w:rsidP="005C024C">
      <w:pPr>
        <w:spacing w:before="240" w:after="240"/>
        <w:ind w:left="1418"/>
        <w:rPr>
          <w:lang w:eastAsia="en-US"/>
        </w:rPr>
      </w:pPr>
      <w:r>
        <w:rPr>
          <w:lang w:eastAsia="en-US"/>
        </w:rPr>
        <w:t>= $249+ $2,913</w:t>
      </w:r>
    </w:p>
    <w:p w:rsidR="00FC7279" w:rsidRDefault="00FC7279" w:rsidP="005C024C">
      <w:pPr>
        <w:spacing w:before="240" w:after="240"/>
        <w:ind w:left="1418"/>
        <w:rPr>
          <w:lang w:eastAsia="en-US"/>
        </w:rPr>
      </w:pPr>
      <w:r>
        <w:rPr>
          <w:lang w:eastAsia="en-US"/>
        </w:rPr>
        <w:t>= $3,162</w:t>
      </w:r>
    </w:p>
    <w:p w:rsidR="00FC7279" w:rsidRPr="00FC7279" w:rsidRDefault="00FC7279" w:rsidP="005C024C">
      <w:pPr>
        <w:spacing w:before="240" w:after="240"/>
        <w:rPr>
          <w:b/>
          <w:lang w:eastAsia="en-US"/>
        </w:rPr>
      </w:pPr>
      <w:r>
        <w:rPr>
          <w:b/>
          <w:lang w:eastAsia="en-US"/>
        </w:rPr>
        <w:t>Example 2</w:t>
      </w:r>
      <w:r w:rsidRPr="00FC7279">
        <w:rPr>
          <w:b/>
          <w:lang w:eastAsia="en-US"/>
        </w:rPr>
        <w:t xml:space="preserve"> – </w:t>
      </w:r>
      <w:r>
        <w:rPr>
          <w:b/>
          <w:lang w:eastAsia="en-US"/>
        </w:rPr>
        <w:t xml:space="preserve">A </w:t>
      </w:r>
      <w:r w:rsidRPr="00FC7279">
        <w:rPr>
          <w:b/>
          <w:lang w:eastAsia="en-US"/>
        </w:rPr>
        <w:t>venue operator which ceases operation during the period.</w:t>
      </w:r>
    </w:p>
    <w:p w:rsidR="00FC7279" w:rsidRDefault="00FC7279" w:rsidP="005C024C">
      <w:pPr>
        <w:spacing w:before="240" w:after="240"/>
        <w:rPr>
          <w:lang w:eastAsia="en-US"/>
        </w:rPr>
      </w:pPr>
      <w:r>
        <w:rPr>
          <w:lang w:eastAsia="en-US"/>
        </w:rPr>
        <w:t>Consider a venue operator X that owns a total of 30 gaming machine entitlements an</w:t>
      </w:r>
      <w:r w:rsidR="003D2865">
        <w:rPr>
          <w:lang w:eastAsia="en-US"/>
        </w:rPr>
        <w:t>d 30 operating gaming machines</w:t>
      </w:r>
      <w:r>
        <w:rPr>
          <w:lang w:eastAsia="en-US"/>
        </w:rPr>
        <w:t>, it ceases operation on 15 March 2013, but continues to hold the gaming machine entitlements to the end of the financial year.</w:t>
      </w:r>
    </w:p>
    <w:p w:rsidR="00FC7279" w:rsidRDefault="00FC7279" w:rsidP="005C024C">
      <w:pPr>
        <w:spacing w:before="240" w:after="240"/>
        <w:rPr>
          <w:lang w:eastAsia="en-US"/>
        </w:rPr>
      </w:pPr>
      <w:r>
        <w:rPr>
          <w:lang w:eastAsia="en-US"/>
        </w:rPr>
        <w:t xml:space="preserve">The supervision charge payable for 2012-13 by venue operator X is $4,286 and is calculated as follows:         </w:t>
      </w:r>
    </w:p>
    <w:p w:rsidR="00FC7279" w:rsidRDefault="00FC7279" w:rsidP="005C024C">
      <w:pPr>
        <w:spacing w:before="240" w:after="240"/>
        <w:ind w:left="1418"/>
        <w:rPr>
          <w:lang w:eastAsia="en-US"/>
        </w:rPr>
      </w:pPr>
      <w:r>
        <w:rPr>
          <w:lang w:eastAsia="en-US"/>
        </w:rPr>
        <w:t xml:space="preserve">Total billing days for the operating </w:t>
      </w:r>
      <w:r w:rsidR="003D2865">
        <w:rPr>
          <w:lang w:eastAsia="en-US"/>
        </w:rPr>
        <w:t>gaming machines</w:t>
      </w:r>
      <w:r>
        <w:rPr>
          <w:lang w:eastAsia="en-US"/>
        </w:rPr>
        <w:t>:  212 days (from 16 August 2012 to 15 March 2013)</w:t>
      </w:r>
    </w:p>
    <w:p w:rsidR="00FC7279" w:rsidRDefault="00FC7279" w:rsidP="005C024C">
      <w:pPr>
        <w:spacing w:before="240" w:after="240"/>
        <w:ind w:left="1418"/>
        <w:rPr>
          <w:lang w:eastAsia="en-US"/>
        </w:rPr>
      </w:pPr>
      <w:r>
        <w:rPr>
          <w:lang w:eastAsia="en-US"/>
        </w:rPr>
        <w:t xml:space="preserve">Total billing days for the </w:t>
      </w:r>
      <w:r w:rsidR="003D2865">
        <w:rPr>
          <w:lang w:eastAsia="en-US"/>
        </w:rPr>
        <w:t>gaming</w:t>
      </w:r>
      <w:r>
        <w:rPr>
          <w:lang w:eastAsia="en-US"/>
        </w:rPr>
        <w:t xml:space="preserve"> entitlements: 319 days (from 16 August 2012 to 30 June 2013)</w:t>
      </w:r>
    </w:p>
    <w:p w:rsidR="00FC7279" w:rsidRDefault="00FC7279" w:rsidP="005C024C">
      <w:pPr>
        <w:spacing w:before="240" w:after="240"/>
        <w:ind w:left="1418"/>
        <w:rPr>
          <w:lang w:eastAsia="en-US"/>
        </w:rPr>
      </w:pPr>
      <w:r>
        <w:rPr>
          <w:lang w:eastAsia="en-US"/>
        </w:rPr>
        <w:t xml:space="preserve">Billing period ratio for the operating </w:t>
      </w:r>
      <w:r w:rsidR="003D2865">
        <w:rPr>
          <w:lang w:eastAsia="en-US"/>
        </w:rPr>
        <w:t>gaming machines</w:t>
      </w:r>
      <w:r>
        <w:rPr>
          <w:lang w:eastAsia="en-US"/>
        </w:rPr>
        <w:t>: 66% (212/319*100= 66%)</w:t>
      </w:r>
    </w:p>
    <w:p w:rsidR="00FC7279" w:rsidRDefault="00FC7279" w:rsidP="005C024C">
      <w:pPr>
        <w:spacing w:before="240" w:after="240"/>
        <w:ind w:left="1418"/>
        <w:rPr>
          <w:lang w:eastAsia="en-US"/>
        </w:rPr>
      </w:pPr>
      <w:r>
        <w:rPr>
          <w:lang w:eastAsia="en-US"/>
        </w:rPr>
        <w:t xml:space="preserve">Billing period ratio for the </w:t>
      </w:r>
      <w:r w:rsidR="003D2865">
        <w:rPr>
          <w:lang w:eastAsia="en-US"/>
        </w:rPr>
        <w:t>gaming</w:t>
      </w:r>
      <w:r>
        <w:rPr>
          <w:lang w:eastAsia="en-US"/>
        </w:rPr>
        <w:t xml:space="preserve"> entitlements: 100% (319/319*100= 100%)</w:t>
      </w:r>
    </w:p>
    <w:p w:rsidR="00FC7279" w:rsidRDefault="005C024C" w:rsidP="005C024C">
      <w:pPr>
        <w:spacing w:before="240" w:after="240"/>
        <w:ind w:left="1418"/>
        <w:rPr>
          <w:lang w:eastAsia="en-US"/>
        </w:rPr>
      </w:pPr>
      <w:r>
        <w:rPr>
          <w:lang w:eastAsia="en-US"/>
        </w:rPr>
        <w:t xml:space="preserve">Supervision charge = </w:t>
      </w:r>
      <w:r w:rsidR="00FC7279">
        <w:rPr>
          <w:lang w:eastAsia="en-US"/>
        </w:rPr>
        <w:t>($16.36 X 30 entitlements x 1</w:t>
      </w:r>
      <w:r w:rsidR="003D2865">
        <w:rPr>
          <w:lang w:eastAsia="en-US"/>
        </w:rPr>
        <w:t>00%) + ($191.67 X 30 operating gaming machine</w:t>
      </w:r>
      <w:r w:rsidR="00FC7279">
        <w:rPr>
          <w:lang w:eastAsia="en-US"/>
        </w:rPr>
        <w:t>s X 66%)</w:t>
      </w:r>
    </w:p>
    <w:p w:rsidR="00FC7279" w:rsidRDefault="00FC7279" w:rsidP="005C024C">
      <w:pPr>
        <w:spacing w:before="240" w:after="240"/>
        <w:ind w:left="1418"/>
        <w:rPr>
          <w:lang w:eastAsia="en-US"/>
        </w:rPr>
      </w:pPr>
      <w:r>
        <w:rPr>
          <w:lang w:eastAsia="en-US"/>
        </w:rPr>
        <w:t>= $491+ $3,795</w:t>
      </w:r>
    </w:p>
    <w:p w:rsidR="007C58EF" w:rsidRPr="007C58EF" w:rsidRDefault="00FC7279" w:rsidP="005C024C">
      <w:pPr>
        <w:spacing w:before="240" w:after="240"/>
        <w:ind w:left="1418"/>
        <w:rPr>
          <w:lang w:eastAsia="en-US"/>
        </w:rPr>
      </w:pPr>
      <w:r>
        <w:rPr>
          <w:lang w:eastAsia="en-US"/>
        </w:rPr>
        <w:t>= $4,286</w:t>
      </w:r>
    </w:p>
    <w:p w:rsidR="00A34D0E" w:rsidRPr="00A34D0E" w:rsidRDefault="00DC1D3A" w:rsidP="005C412B">
      <w:pPr>
        <w:pStyle w:val="Heading1"/>
        <w:numPr>
          <w:ilvl w:val="0"/>
          <w:numId w:val="0"/>
        </w:numPr>
        <w:spacing w:after="840"/>
        <w:ind w:left="794" w:hanging="794"/>
      </w:pPr>
      <w:bookmarkStart w:id="52" w:name="_Toc356830893"/>
      <w:r>
        <w:t>References</w:t>
      </w:r>
      <w:bookmarkEnd w:id="52"/>
    </w:p>
    <w:p w:rsidR="007913FA" w:rsidRPr="007913FA" w:rsidRDefault="0079746B" w:rsidP="007913FA">
      <w:pPr>
        <w:spacing w:before="240" w:after="240"/>
        <w:rPr>
          <w:highlight w:val="yellow"/>
        </w:rPr>
      </w:pPr>
      <w:r>
        <w:t xml:space="preserve">Council of Australian Governments, 11 April 1995, </w:t>
      </w:r>
      <w:r w:rsidR="007913FA" w:rsidRPr="007913FA">
        <w:t>Competition Principles Agreement</w:t>
      </w:r>
      <w:r>
        <w:t>.</w:t>
      </w:r>
    </w:p>
    <w:p w:rsidR="00E652A0" w:rsidRPr="00E652A0" w:rsidRDefault="00E652A0" w:rsidP="007913FA">
      <w:pPr>
        <w:spacing w:before="240" w:after="240"/>
        <w:rPr>
          <w:sz w:val="28"/>
          <w:shd w:val="clear" w:color="auto" w:fill="FFFFFF" w:themeFill="background1"/>
        </w:rPr>
      </w:pPr>
      <w:r w:rsidRPr="00E652A0">
        <w:rPr>
          <w:szCs w:val="18"/>
        </w:rPr>
        <w:t xml:space="preserve">Commonwealth of Australia, December 2009, </w:t>
      </w:r>
      <w:r w:rsidRPr="00E652A0">
        <w:rPr>
          <w:i/>
          <w:szCs w:val="18"/>
        </w:rPr>
        <w:t>Australia's future tax syste</w:t>
      </w:r>
      <w:r>
        <w:rPr>
          <w:i/>
          <w:szCs w:val="18"/>
        </w:rPr>
        <w:t>m</w:t>
      </w:r>
      <w:r w:rsidRPr="00E652A0">
        <w:rPr>
          <w:i/>
          <w:szCs w:val="18"/>
        </w:rPr>
        <w:t>:  Report to the Treasure</w:t>
      </w:r>
      <w:r>
        <w:rPr>
          <w:i/>
          <w:szCs w:val="18"/>
        </w:rPr>
        <w:t>r.</w:t>
      </w:r>
    </w:p>
    <w:p w:rsidR="00F738AD" w:rsidRPr="007913FA" w:rsidRDefault="00F738AD" w:rsidP="007913FA">
      <w:pPr>
        <w:spacing w:before="240" w:after="240"/>
        <w:rPr>
          <w:i/>
        </w:rPr>
      </w:pPr>
      <w:r w:rsidRPr="0007265F">
        <w:rPr>
          <w:shd w:val="clear" w:color="auto" w:fill="FFFFFF" w:themeFill="background1"/>
        </w:rPr>
        <w:t>Coopers and Lybrand</w:t>
      </w:r>
      <w:r w:rsidR="006B3E9C" w:rsidRPr="0007265F">
        <w:rPr>
          <w:rFonts w:asciiTheme="minorHAnsi" w:hAnsiTheme="minorHAnsi" w:cstheme="minorHAnsi"/>
          <w:shd w:val="clear" w:color="auto" w:fill="FFFFFF" w:themeFill="background1"/>
        </w:rPr>
        <w:t>,</w:t>
      </w:r>
      <w:r w:rsidR="00B41D87" w:rsidRPr="0007265F">
        <w:rPr>
          <w:rFonts w:asciiTheme="minorHAnsi" w:hAnsiTheme="minorHAnsi" w:cstheme="minorHAnsi"/>
          <w:shd w:val="clear" w:color="auto" w:fill="FFFFFF" w:themeFill="background1"/>
        </w:rPr>
        <w:t xml:space="preserve"> 1997,</w:t>
      </w:r>
      <w:r w:rsidR="006B3E9C" w:rsidRPr="0007265F">
        <w:rPr>
          <w:rFonts w:asciiTheme="minorHAnsi" w:hAnsiTheme="minorHAnsi" w:cstheme="minorHAnsi"/>
          <w:shd w:val="clear" w:color="auto" w:fill="FFFFFF" w:themeFill="background1"/>
        </w:rPr>
        <w:t xml:space="preserve"> </w:t>
      </w:r>
      <w:r w:rsidR="006B3E9C" w:rsidRPr="0007265F">
        <w:rPr>
          <w:rFonts w:asciiTheme="minorHAnsi" w:hAnsiTheme="minorHAnsi" w:cstheme="minorHAnsi"/>
          <w:i/>
          <w:color w:val="000000"/>
        </w:rPr>
        <w:t xml:space="preserve">VCGA Activity Based Costing Project 1997 Volume 1 </w:t>
      </w:r>
      <w:r w:rsidR="006B3E9C">
        <w:rPr>
          <w:rFonts w:asciiTheme="minorHAnsi" w:hAnsiTheme="minorHAnsi" w:cstheme="minorHAnsi"/>
          <w:i/>
          <w:color w:val="000000"/>
        </w:rPr>
        <w:t>–</w:t>
      </w:r>
      <w:r w:rsidR="006B3E9C" w:rsidRPr="0007265F">
        <w:rPr>
          <w:rFonts w:asciiTheme="minorHAnsi" w:hAnsiTheme="minorHAnsi" w:cstheme="minorHAnsi"/>
          <w:i/>
          <w:color w:val="000000"/>
        </w:rPr>
        <w:t xml:space="preserve"> Report</w:t>
      </w:r>
      <w:r w:rsidR="006B3E9C" w:rsidRPr="0007265F">
        <w:rPr>
          <w:rFonts w:asciiTheme="minorHAnsi" w:hAnsiTheme="minorHAnsi" w:cstheme="minorHAnsi"/>
          <w:color w:val="000000"/>
        </w:rPr>
        <w:t xml:space="preserve"> </w:t>
      </w:r>
    </w:p>
    <w:p w:rsidR="007913FA" w:rsidRPr="007913FA" w:rsidRDefault="007913FA" w:rsidP="007913FA">
      <w:pPr>
        <w:spacing w:before="240" w:after="240"/>
      </w:pPr>
      <w:r w:rsidRPr="007913FA">
        <w:rPr>
          <w:i/>
          <w:szCs w:val="24"/>
        </w:rPr>
        <w:t>Financial Management Act 1994</w:t>
      </w:r>
    </w:p>
    <w:p w:rsidR="00F738AD" w:rsidRPr="007913FA" w:rsidRDefault="00F738AD" w:rsidP="007913FA">
      <w:pPr>
        <w:spacing w:before="240" w:after="240"/>
        <w:rPr>
          <w:i/>
        </w:rPr>
      </w:pPr>
      <w:r w:rsidRPr="007913FA">
        <w:rPr>
          <w:i/>
        </w:rPr>
        <w:t xml:space="preserve">Gambling Regulation Act 2003 </w:t>
      </w:r>
      <w:r w:rsidRPr="007913FA">
        <w:t>(Vic)</w:t>
      </w:r>
    </w:p>
    <w:p w:rsidR="00B235C7" w:rsidRDefault="00B235C7" w:rsidP="007913FA">
      <w:pPr>
        <w:spacing w:before="240" w:after="240"/>
      </w:pPr>
      <w:r>
        <w:t xml:space="preserve">Government of Victoria, </w:t>
      </w:r>
      <w:r w:rsidR="003119C6">
        <w:t xml:space="preserve">May </w:t>
      </w:r>
      <w:r>
        <w:t xml:space="preserve">2013, </w:t>
      </w:r>
      <w:r w:rsidRPr="00B235C7">
        <w:rPr>
          <w:i/>
        </w:rPr>
        <w:t>2013-14 State Budget</w:t>
      </w:r>
    </w:p>
    <w:p w:rsidR="00F738AD" w:rsidRDefault="00F738AD" w:rsidP="007913FA">
      <w:pPr>
        <w:spacing w:before="240" w:after="240"/>
      </w:pPr>
      <w:r w:rsidRPr="007913FA">
        <w:t xml:space="preserve">Government of Victoria, 2013, </w:t>
      </w:r>
      <w:r w:rsidRPr="007913FA">
        <w:rPr>
          <w:i/>
        </w:rPr>
        <w:t>Cost Recovery Guidelines</w:t>
      </w:r>
      <w:r w:rsidRPr="007913FA">
        <w:t>, Department of Treasury and Finance, Melbourne</w:t>
      </w:r>
    </w:p>
    <w:p w:rsidR="00E652A0" w:rsidRPr="00E652A0" w:rsidRDefault="00E652A0" w:rsidP="007913FA">
      <w:pPr>
        <w:spacing w:before="240" w:after="240"/>
        <w:rPr>
          <w:sz w:val="24"/>
        </w:rPr>
      </w:pPr>
      <w:r w:rsidRPr="00E652A0">
        <w:rPr>
          <w:szCs w:val="18"/>
        </w:rPr>
        <w:t xml:space="preserve">Government of Victoria, Department of Justice, September 2009, </w:t>
      </w:r>
      <w:r w:rsidRPr="00E652A0">
        <w:rPr>
          <w:i/>
          <w:szCs w:val="18"/>
        </w:rPr>
        <w:t>Gaming Machine Arrangements 2012</w:t>
      </w:r>
      <w:r w:rsidRPr="00E652A0">
        <w:rPr>
          <w:i/>
          <w:sz w:val="28"/>
        </w:rPr>
        <w:t xml:space="preserve"> </w:t>
      </w:r>
      <w:r w:rsidRPr="00E652A0">
        <w:rPr>
          <w:i/>
          <w:szCs w:val="18"/>
        </w:rPr>
        <w:t>Overview of the Victorian Gaming Industry</w:t>
      </w:r>
      <w:r w:rsidRPr="00E652A0">
        <w:rPr>
          <w:szCs w:val="18"/>
        </w:rPr>
        <w:t>, 2</w:t>
      </w:r>
      <w:r w:rsidRPr="00E652A0">
        <w:rPr>
          <w:szCs w:val="18"/>
          <w:vertAlign w:val="superscript"/>
        </w:rPr>
        <w:t>nd</w:t>
      </w:r>
      <w:r w:rsidR="00F270BA">
        <w:rPr>
          <w:szCs w:val="18"/>
        </w:rPr>
        <w:t xml:space="preserve"> edition</w:t>
      </w:r>
    </w:p>
    <w:p w:rsidR="00A34D0E" w:rsidRPr="007913FA" w:rsidRDefault="00170323" w:rsidP="007913FA">
      <w:pPr>
        <w:spacing w:before="240" w:after="240"/>
      </w:pPr>
      <w:r w:rsidRPr="007913FA">
        <w:t xml:space="preserve">Government of Victoria, 2011, </w:t>
      </w:r>
      <w:r w:rsidRPr="007913FA">
        <w:rPr>
          <w:i/>
        </w:rPr>
        <w:t>Victorian Guide to Regulation</w:t>
      </w:r>
      <w:r w:rsidRPr="007913FA">
        <w:t xml:space="preserve">, Department of </w:t>
      </w:r>
      <w:r w:rsidR="00F270BA">
        <w:t>Treasury and Finance, Melbourne</w:t>
      </w:r>
    </w:p>
    <w:p w:rsidR="007913FA" w:rsidRPr="007913FA" w:rsidRDefault="007913FA" w:rsidP="007913FA">
      <w:pPr>
        <w:spacing w:before="240" w:after="240"/>
        <w:rPr>
          <w:szCs w:val="24"/>
        </w:rPr>
      </w:pPr>
      <w:r w:rsidRPr="007913FA">
        <w:t>Government of Victoria</w:t>
      </w:r>
      <w:r>
        <w:rPr>
          <w:szCs w:val="24"/>
        </w:rPr>
        <w:t xml:space="preserve">, 2013, </w:t>
      </w:r>
      <w:r w:rsidRPr="003119C6">
        <w:rPr>
          <w:i/>
          <w:szCs w:val="24"/>
        </w:rPr>
        <w:t>Standing Directions of the Minister for Finance under the Financial Management Act 1994 (as part of the financial management package)</w:t>
      </w:r>
      <w:r>
        <w:rPr>
          <w:szCs w:val="24"/>
        </w:rPr>
        <w:t xml:space="preserve">, </w:t>
      </w:r>
      <w:r w:rsidRPr="007913FA">
        <w:t xml:space="preserve">Department of </w:t>
      </w:r>
      <w:r w:rsidR="00F270BA">
        <w:t>Treasury and Finance, Melbourne</w:t>
      </w:r>
    </w:p>
    <w:p w:rsidR="00F738AD" w:rsidRPr="007913FA" w:rsidRDefault="00F738AD" w:rsidP="007913FA">
      <w:pPr>
        <w:spacing w:before="240" w:after="240"/>
      </w:pPr>
      <w:r w:rsidRPr="007913FA">
        <w:rPr>
          <w:i/>
        </w:rPr>
        <w:t xml:space="preserve">Subordinate Legislation Act 1994 </w:t>
      </w:r>
      <w:r w:rsidRPr="007913FA">
        <w:t>(Vic)</w:t>
      </w:r>
    </w:p>
    <w:p w:rsidR="007913FA" w:rsidRPr="007913FA" w:rsidRDefault="007913FA" w:rsidP="007913FA">
      <w:pPr>
        <w:spacing w:before="240" w:after="240"/>
        <w:rPr>
          <w:i/>
        </w:rPr>
      </w:pPr>
      <w:r w:rsidRPr="0079746B">
        <w:t>V</w:t>
      </w:r>
      <w:r w:rsidR="0079746B" w:rsidRPr="0079746B">
        <w:t xml:space="preserve">ictorian Competition and Efficiency Commission, </w:t>
      </w:r>
      <w:r w:rsidRPr="0079746B">
        <w:t>Multi-</w:t>
      </w:r>
      <w:r w:rsidR="00F06162">
        <w:t>C</w:t>
      </w:r>
      <w:r w:rsidRPr="0079746B">
        <w:t xml:space="preserve">riteria </w:t>
      </w:r>
      <w:r w:rsidR="00F06162">
        <w:t>A</w:t>
      </w:r>
      <w:r w:rsidRPr="0079746B">
        <w:t xml:space="preserve">nalysis </w:t>
      </w:r>
      <w:r w:rsidR="00F06162">
        <w:t>G</w:t>
      </w:r>
      <w:r w:rsidRPr="0079746B">
        <w:t xml:space="preserve">uidance </w:t>
      </w:r>
      <w:r w:rsidR="00F06162">
        <w:t>N</w:t>
      </w:r>
      <w:r w:rsidRPr="0079746B">
        <w:t>ote</w:t>
      </w:r>
    </w:p>
    <w:p w:rsidR="00A34D0E" w:rsidRDefault="00A34D0E" w:rsidP="00F738AD">
      <w:pPr>
        <w:spacing w:before="240" w:after="240"/>
        <w:ind w:left="0"/>
        <w:rPr>
          <w:lang w:eastAsia="en-US"/>
        </w:rPr>
      </w:pPr>
    </w:p>
    <w:p w:rsidR="00DC1D3A" w:rsidRPr="00D15511" w:rsidRDefault="00DC1D3A" w:rsidP="00A34D0E">
      <w:pPr>
        <w:ind w:left="0"/>
        <w:rPr>
          <w:lang w:eastAsia="en-US"/>
        </w:rPr>
        <w:sectPr w:rsidR="00DC1D3A" w:rsidRPr="00D15511" w:rsidSect="006E302D">
          <w:headerReference w:type="even" r:id="rId25"/>
          <w:headerReference w:type="default" r:id="rId26"/>
          <w:footerReference w:type="default" r:id="rId27"/>
          <w:headerReference w:type="first" r:id="rId28"/>
          <w:pgSz w:w="11906" w:h="16838"/>
          <w:pgMar w:top="1584" w:right="1411" w:bottom="1138" w:left="1411" w:header="461" w:footer="288" w:gutter="0"/>
          <w:pgNumType w:start="1"/>
          <w:cols w:space="708"/>
          <w:docGrid w:linePitch="360"/>
        </w:sectPr>
      </w:pPr>
    </w:p>
    <w:p w:rsidR="00716818" w:rsidRDefault="00537379">
      <w:r>
        <w:rPr>
          <w:noProof/>
        </w:rPr>
        <mc:AlternateContent>
          <mc:Choice Requires="wps">
            <w:drawing>
              <wp:anchor distT="0" distB="0" distL="114300" distR="114300" simplePos="0" relativeHeight="251665408" behindDoc="0" locked="0" layoutInCell="1" allowOverlap="1" wp14:anchorId="08D4A113" wp14:editId="6034004F">
                <wp:simplePos x="0" y="0"/>
                <wp:positionH relativeFrom="column">
                  <wp:posOffset>-895985</wp:posOffset>
                </wp:positionH>
                <wp:positionV relativeFrom="paragraph">
                  <wp:posOffset>2903855</wp:posOffset>
                </wp:positionV>
                <wp:extent cx="7613015" cy="5768975"/>
                <wp:effectExtent l="0" t="0" r="6985" b="3175"/>
                <wp:wrapNone/>
                <wp:docPr id="396" name="Rectangle 396" descr="Cover Coloured Body Section"/>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13015" cy="5768975"/>
                        </a:xfrm>
                        <a:prstGeom prst="rect">
                          <a:avLst/>
                        </a:prstGeom>
                        <a:solidFill>
                          <a:srgbClr val="1665A1"/>
                        </a:solidFill>
                        <a:ln>
                          <a:noFill/>
                        </a:ln>
                        <a:extLst>
                          <a:ext uri="{91240B29-F687-4F45-9708-019B960494DF}">
                            <a14:hiddenLine xmlns:a14="http://schemas.microsoft.com/office/drawing/2010/main" w="9525">
                              <a:solidFill>
                                <a:srgbClr val="00557E"/>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6" o:spid="_x0000_s1026" alt="Cover Coloured Body Section" style="position:absolute;margin-left:-70.55pt;margin-top:228.65pt;width:599.45pt;height:45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" fillcolor="#1665a1" stroked="f" strokecolor="#00557e"/>
            </w:pict>
          </mc:Fallback>
        </mc:AlternateContent>
      </w:r>
      <w:r w:rsidR="003238E0">
        <w:rPr>
          <w:noProof/>
        </w:rPr>
        <w:drawing>
          <wp:anchor distT="0" distB="0" distL="114300" distR="114300" simplePos="0" relativeHeight="251671552" behindDoc="1" locked="0" layoutInCell="1" allowOverlap="1" wp14:anchorId="45FCCF8F" wp14:editId="0EB37A44">
            <wp:simplePos x="0" y="0"/>
            <wp:positionH relativeFrom="page">
              <wp:posOffset>-1</wp:posOffset>
            </wp:positionH>
            <wp:positionV relativeFrom="page">
              <wp:posOffset>3294993</wp:posOffset>
            </wp:positionV>
            <wp:extent cx="7563441" cy="756745"/>
            <wp:effectExtent l="0" t="0" r="0" b="5715"/>
            <wp:wrapNone/>
            <wp:docPr id="370" name="Picture 370" title="Backpage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BackpageArt"/>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7615963" cy="76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0319EF">
        <w:rPr>
          <w:noProof/>
        </w:rPr>
        <mc:AlternateContent>
          <mc:Choice Requires="wps">
            <w:drawing>
              <wp:anchor distT="0" distB="0" distL="114300" distR="114300" simplePos="0" relativeHeight="251666432" behindDoc="0" locked="0" layoutInCell="1" allowOverlap="1" wp14:anchorId="166649F6" wp14:editId="6D30323D">
                <wp:simplePos x="0" y="0"/>
                <wp:positionH relativeFrom="column">
                  <wp:posOffset>-900430</wp:posOffset>
                </wp:positionH>
                <wp:positionV relativeFrom="paragraph">
                  <wp:posOffset>8625840</wp:posOffset>
                </wp:positionV>
                <wp:extent cx="7560310" cy="1080135"/>
                <wp:effectExtent l="0" t="0" r="2540" b="5715"/>
                <wp:wrapNone/>
                <wp:docPr id="397" name="Rectangle 397" descr="Cover Coloured Footer Section"/>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1080135"/>
                        </a:xfrm>
                        <a:prstGeom prst="rect">
                          <a:avLst/>
                        </a:prstGeom>
                        <a:solidFill>
                          <a:srgbClr val="00557E"/>
                        </a:solidFill>
                        <a:ln>
                          <a:noFill/>
                        </a:ln>
                        <a:extLst>
                          <a:ext uri="{91240B29-F687-4F45-9708-019B960494DF}">
                            <a14:hiddenLine xmlns:a14="http://schemas.microsoft.com/office/drawing/2010/main" w="9525">
                              <a:solidFill>
                                <a:srgbClr val="00557E"/>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7" o:spid="_x0000_s1026" alt="Cover Coloured Footer Section" style="position:absolute;margin-left:-70.9pt;margin-top:679.2pt;width:595.3pt;height:85.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" fillcolor="#00557e" stroked="f" strokecolor="#00557e"/>
            </w:pict>
          </mc:Fallback>
        </mc:AlternateContent>
      </w:r>
      <w:r w:rsidR="000319EF">
        <w:rPr>
          <w:noProof/>
        </w:rPr>
        <mc:AlternateContent>
          <mc:Choice Requires="wpg">
            <w:drawing>
              <wp:anchor distT="0" distB="0" distL="114300" distR="114300" simplePos="0" relativeHeight="251667456" behindDoc="0" locked="0" layoutInCell="1" allowOverlap="1" wp14:anchorId="6D044020" wp14:editId="571CF01A">
                <wp:simplePos x="0" y="0"/>
                <wp:positionH relativeFrom="page">
                  <wp:posOffset>4054475</wp:posOffset>
                </wp:positionH>
                <wp:positionV relativeFrom="page">
                  <wp:posOffset>9292590</wp:posOffset>
                </wp:positionV>
                <wp:extent cx="4809490" cy="1539240"/>
                <wp:effectExtent l="0" t="0" r="10160" b="22860"/>
                <wp:wrapNone/>
                <wp:docPr id="371" name="Group 3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09490" cy="1539240"/>
                          <a:chOff x="0" y="0"/>
                          <a:chExt cx="5543550" cy="1581150"/>
                        </a:xfrm>
                      </wpg:grpSpPr>
                      <wps:wsp>
                        <wps:cNvPr id="372" name="Straight Connector 3"/>
                        <wps:cNvCnPr/>
                        <wps:spPr>
                          <a:xfrm flipV="1">
                            <a:off x="361950" y="0"/>
                            <a:ext cx="1581150" cy="1581150"/>
                          </a:xfrm>
                          <a:prstGeom prst="line">
                            <a:avLst/>
                          </a:prstGeom>
                          <a:noFill/>
                          <a:ln w="6350" cap="flat" cmpd="sng" algn="ctr">
                            <a:solidFill>
                              <a:sysClr val="window" lastClr="FFFFFF"/>
                            </a:solidFill>
                            <a:prstDash val="solid"/>
                          </a:ln>
                          <a:effectLst/>
                        </wps:spPr>
                        <wps:bodyPr/>
                      </wps:wsp>
                      <wps:wsp>
                        <wps:cNvPr id="373" name="Straight Connector 4"/>
                        <wps:cNvCnPr/>
                        <wps:spPr>
                          <a:xfrm flipV="1">
                            <a:off x="542925" y="0"/>
                            <a:ext cx="1581150" cy="1581150"/>
                          </a:xfrm>
                          <a:prstGeom prst="line">
                            <a:avLst/>
                          </a:prstGeom>
                          <a:noFill/>
                          <a:ln w="6350" cap="flat" cmpd="sng" algn="ctr">
                            <a:solidFill>
                              <a:sysClr val="window" lastClr="FFFFFF"/>
                            </a:solidFill>
                            <a:prstDash val="solid"/>
                          </a:ln>
                          <a:effectLst/>
                        </wps:spPr>
                        <wps:bodyPr/>
                      </wps:wsp>
                      <wps:wsp>
                        <wps:cNvPr id="374" name="Straight Connector 5"/>
                        <wps:cNvCnPr/>
                        <wps:spPr>
                          <a:xfrm flipV="1">
                            <a:off x="723900" y="0"/>
                            <a:ext cx="1581150" cy="1581150"/>
                          </a:xfrm>
                          <a:prstGeom prst="line">
                            <a:avLst/>
                          </a:prstGeom>
                          <a:noFill/>
                          <a:ln w="6350" cap="flat" cmpd="sng" algn="ctr">
                            <a:solidFill>
                              <a:sysClr val="window" lastClr="FFFFFF"/>
                            </a:solidFill>
                            <a:prstDash val="solid"/>
                          </a:ln>
                          <a:effectLst/>
                        </wps:spPr>
                        <wps:bodyPr/>
                      </wps:wsp>
                      <wps:wsp>
                        <wps:cNvPr id="375" name="Straight Connector 6"/>
                        <wps:cNvCnPr/>
                        <wps:spPr>
                          <a:xfrm flipV="1">
                            <a:off x="904875" y="0"/>
                            <a:ext cx="1581150" cy="1581150"/>
                          </a:xfrm>
                          <a:prstGeom prst="line">
                            <a:avLst/>
                          </a:prstGeom>
                          <a:noFill/>
                          <a:ln w="6350" cap="flat" cmpd="sng" algn="ctr">
                            <a:solidFill>
                              <a:sysClr val="window" lastClr="FFFFFF"/>
                            </a:solidFill>
                            <a:prstDash val="solid"/>
                          </a:ln>
                          <a:effectLst/>
                        </wps:spPr>
                        <wps:bodyPr/>
                      </wps:wsp>
                      <wps:wsp>
                        <wps:cNvPr id="376" name="Straight Connector 7"/>
                        <wps:cNvCnPr/>
                        <wps:spPr>
                          <a:xfrm flipV="1">
                            <a:off x="1076325" y="0"/>
                            <a:ext cx="1581150" cy="1581150"/>
                          </a:xfrm>
                          <a:prstGeom prst="line">
                            <a:avLst/>
                          </a:prstGeom>
                          <a:noFill/>
                          <a:ln w="6350" cap="flat" cmpd="sng" algn="ctr">
                            <a:solidFill>
                              <a:sysClr val="window" lastClr="FFFFFF"/>
                            </a:solidFill>
                            <a:prstDash val="solid"/>
                          </a:ln>
                          <a:effectLst/>
                        </wps:spPr>
                        <wps:bodyPr/>
                      </wps:wsp>
                      <wps:wsp>
                        <wps:cNvPr id="377" name="Straight Connector 8"/>
                        <wps:cNvCnPr/>
                        <wps:spPr>
                          <a:xfrm flipV="1">
                            <a:off x="1257300" y="0"/>
                            <a:ext cx="1581150" cy="1581150"/>
                          </a:xfrm>
                          <a:prstGeom prst="line">
                            <a:avLst/>
                          </a:prstGeom>
                          <a:noFill/>
                          <a:ln w="6350" cap="flat" cmpd="sng" algn="ctr">
                            <a:solidFill>
                              <a:sysClr val="window" lastClr="FFFFFF"/>
                            </a:solidFill>
                            <a:prstDash val="solid"/>
                          </a:ln>
                          <a:effectLst/>
                        </wps:spPr>
                        <wps:bodyPr/>
                      </wps:wsp>
                      <wps:wsp>
                        <wps:cNvPr id="378" name="Straight Connector 9"/>
                        <wps:cNvCnPr/>
                        <wps:spPr>
                          <a:xfrm flipV="1">
                            <a:off x="1438275" y="0"/>
                            <a:ext cx="1581150" cy="1581150"/>
                          </a:xfrm>
                          <a:prstGeom prst="line">
                            <a:avLst/>
                          </a:prstGeom>
                          <a:noFill/>
                          <a:ln w="6350" cap="flat" cmpd="sng" algn="ctr">
                            <a:solidFill>
                              <a:sysClr val="window" lastClr="FFFFFF"/>
                            </a:solidFill>
                            <a:prstDash val="solid"/>
                          </a:ln>
                          <a:effectLst/>
                        </wps:spPr>
                        <wps:bodyPr/>
                      </wps:wsp>
                      <wps:wsp>
                        <wps:cNvPr id="379" name="Straight Connector 10"/>
                        <wps:cNvCnPr/>
                        <wps:spPr>
                          <a:xfrm flipV="1">
                            <a:off x="1619250" y="0"/>
                            <a:ext cx="1581150" cy="1581150"/>
                          </a:xfrm>
                          <a:prstGeom prst="line">
                            <a:avLst/>
                          </a:prstGeom>
                          <a:noFill/>
                          <a:ln w="6350" cap="flat" cmpd="sng" algn="ctr">
                            <a:solidFill>
                              <a:sysClr val="window" lastClr="FFFFFF"/>
                            </a:solidFill>
                            <a:prstDash val="solid"/>
                          </a:ln>
                          <a:effectLst/>
                        </wps:spPr>
                        <wps:bodyPr/>
                      </wps:wsp>
                      <wps:wsp>
                        <wps:cNvPr id="380" name="Straight Connector 11"/>
                        <wps:cNvCnPr/>
                        <wps:spPr>
                          <a:xfrm flipV="1">
                            <a:off x="1800225" y="0"/>
                            <a:ext cx="1581150" cy="1581150"/>
                          </a:xfrm>
                          <a:prstGeom prst="line">
                            <a:avLst/>
                          </a:prstGeom>
                          <a:noFill/>
                          <a:ln w="6350" cap="flat" cmpd="sng" algn="ctr">
                            <a:solidFill>
                              <a:sysClr val="window" lastClr="FFFFFF"/>
                            </a:solidFill>
                            <a:prstDash val="solid"/>
                          </a:ln>
                          <a:effectLst/>
                        </wps:spPr>
                        <wps:bodyPr/>
                      </wps:wsp>
                      <wps:wsp>
                        <wps:cNvPr id="381" name="Straight Connector 12"/>
                        <wps:cNvCnPr/>
                        <wps:spPr>
                          <a:xfrm flipV="1">
                            <a:off x="1981200" y="0"/>
                            <a:ext cx="1581150" cy="1581150"/>
                          </a:xfrm>
                          <a:prstGeom prst="line">
                            <a:avLst/>
                          </a:prstGeom>
                          <a:noFill/>
                          <a:ln w="6350" cap="flat" cmpd="sng" algn="ctr">
                            <a:solidFill>
                              <a:sysClr val="window" lastClr="FFFFFF"/>
                            </a:solidFill>
                            <a:prstDash val="solid"/>
                          </a:ln>
                          <a:effectLst/>
                        </wps:spPr>
                        <wps:bodyPr/>
                      </wps:wsp>
                      <wps:wsp>
                        <wps:cNvPr id="382" name="Straight Connector 13"/>
                        <wps:cNvCnPr/>
                        <wps:spPr>
                          <a:xfrm flipV="1">
                            <a:off x="2162175" y="0"/>
                            <a:ext cx="1581150" cy="1581150"/>
                          </a:xfrm>
                          <a:prstGeom prst="line">
                            <a:avLst/>
                          </a:prstGeom>
                          <a:noFill/>
                          <a:ln w="6350" cap="flat" cmpd="sng" algn="ctr">
                            <a:solidFill>
                              <a:sysClr val="window" lastClr="FFFFFF"/>
                            </a:solidFill>
                            <a:prstDash val="solid"/>
                          </a:ln>
                          <a:effectLst/>
                        </wps:spPr>
                        <wps:bodyPr/>
                      </wps:wsp>
                      <wps:wsp>
                        <wps:cNvPr id="383" name="Straight Connector 14"/>
                        <wps:cNvCnPr/>
                        <wps:spPr>
                          <a:xfrm flipV="1">
                            <a:off x="2343150" y="0"/>
                            <a:ext cx="1581150" cy="1581150"/>
                          </a:xfrm>
                          <a:prstGeom prst="line">
                            <a:avLst/>
                          </a:prstGeom>
                          <a:noFill/>
                          <a:ln w="6350" cap="flat" cmpd="sng" algn="ctr">
                            <a:solidFill>
                              <a:sysClr val="window" lastClr="FFFFFF"/>
                            </a:solidFill>
                            <a:prstDash val="solid"/>
                          </a:ln>
                          <a:effectLst/>
                        </wps:spPr>
                        <wps:bodyPr/>
                      </wps:wsp>
                      <wps:wsp>
                        <wps:cNvPr id="384" name="Straight Connector 15"/>
                        <wps:cNvCnPr/>
                        <wps:spPr>
                          <a:xfrm flipV="1">
                            <a:off x="2524125" y="0"/>
                            <a:ext cx="1581150" cy="1581150"/>
                          </a:xfrm>
                          <a:prstGeom prst="line">
                            <a:avLst/>
                          </a:prstGeom>
                          <a:noFill/>
                          <a:ln w="6350" cap="flat" cmpd="sng" algn="ctr">
                            <a:solidFill>
                              <a:sysClr val="window" lastClr="FFFFFF"/>
                            </a:solidFill>
                            <a:prstDash val="solid"/>
                          </a:ln>
                          <a:effectLst/>
                        </wps:spPr>
                        <wps:bodyPr/>
                      </wps:wsp>
                      <wps:wsp>
                        <wps:cNvPr id="385" name="Straight Connector 16"/>
                        <wps:cNvCnPr/>
                        <wps:spPr>
                          <a:xfrm flipV="1">
                            <a:off x="2705100" y="0"/>
                            <a:ext cx="1581150" cy="1581150"/>
                          </a:xfrm>
                          <a:prstGeom prst="line">
                            <a:avLst/>
                          </a:prstGeom>
                          <a:noFill/>
                          <a:ln w="6350" cap="flat" cmpd="sng" algn="ctr">
                            <a:solidFill>
                              <a:sysClr val="window" lastClr="FFFFFF"/>
                            </a:solidFill>
                            <a:prstDash val="solid"/>
                          </a:ln>
                          <a:effectLst/>
                        </wps:spPr>
                        <wps:bodyPr/>
                      </wps:wsp>
                      <wps:wsp>
                        <wps:cNvPr id="386" name="Straight Connector 17"/>
                        <wps:cNvCnPr/>
                        <wps:spPr>
                          <a:xfrm flipV="1">
                            <a:off x="2886075" y="0"/>
                            <a:ext cx="1581150" cy="1581150"/>
                          </a:xfrm>
                          <a:prstGeom prst="line">
                            <a:avLst/>
                          </a:prstGeom>
                          <a:noFill/>
                          <a:ln w="6350" cap="flat" cmpd="sng" algn="ctr">
                            <a:solidFill>
                              <a:sysClr val="window" lastClr="FFFFFF"/>
                            </a:solidFill>
                            <a:prstDash val="solid"/>
                          </a:ln>
                          <a:effectLst/>
                        </wps:spPr>
                        <wps:bodyPr/>
                      </wps:wsp>
                      <wps:wsp>
                        <wps:cNvPr id="387" name="Straight Connector 18"/>
                        <wps:cNvCnPr/>
                        <wps:spPr>
                          <a:xfrm flipV="1">
                            <a:off x="3067050" y="0"/>
                            <a:ext cx="1581150" cy="1581150"/>
                          </a:xfrm>
                          <a:prstGeom prst="line">
                            <a:avLst/>
                          </a:prstGeom>
                          <a:noFill/>
                          <a:ln w="6350" cap="flat" cmpd="sng" algn="ctr">
                            <a:solidFill>
                              <a:sysClr val="window" lastClr="FFFFFF"/>
                            </a:solidFill>
                            <a:prstDash val="solid"/>
                          </a:ln>
                          <a:effectLst/>
                        </wps:spPr>
                        <wps:bodyPr/>
                      </wps:wsp>
                      <wps:wsp>
                        <wps:cNvPr id="388" name="Straight Connector 19"/>
                        <wps:cNvCnPr/>
                        <wps:spPr>
                          <a:xfrm flipV="1">
                            <a:off x="3238500" y="0"/>
                            <a:ext cx="1581150" cy="1581150"/>
                          </a:xfrm>
                          <a:prstGeom prst="line">
                            <a:avLst/>
                          </a:prstGeom>
                          <a:noFill/>
                          <a:ln w="6350" cap="flat" cmpd="sng" algn="ctr">
                            <a:solidFill>
                              <a:sysClr val="window" lastClr="FFFFFF"/>
                            </a:solidFill>
                            <a:prstDash val="solid"/>
                          </a:ln>
                          <a:effectLst/>
                        </wps:spPr>
                        <wps:bodyPr/>
                      </wps:wsp>
                      <wps:wsp>
                        <wps:cNvPr id="389" name="Straight Connector 20"/>
                        <wps:cNvCnPr/>
                        <wps:spPr>
                          <a:xfrm flipV="1">
                            <a:off x="3419475" y="0"/>
                            <a:ext cx="1581150" cy="1581150"/>
                          </a:xfrm>
                          <a:prstGeom prst="line">
                            <a:avLst/>
                          </a:prstGeom>
                          <a:noFill/>
                          <a:ln w="6350" cap="flat" cmpd="sng" algn="ctr">
                            <a:solidFill>
                              <a:sysClr val="window" lastClr="FFFFFF"/>
                            </a:solidFill>
                            <a:prstDash val="solid"/>
                          </a:ln>
                          <a:effectLst/>
                        </wps:spPr>
                        <wps:bodyPr/>
                      </wps:wsp>
                      <wps:wsp>
                        <wps:cNvPr id="390" name="Straight Connector 21"/>
                        <wps:cNvCnPr/>
                        <wps:spPr>
                          <a:xfrm flipV="1">
                            <a:off x="3600450" y="0"/>
                            <a:ext cx="1581150" cy="1581150"/>
                          </a:xfrm>
                          <a:prstGeom prst="line">
                            <a:avLst/>
                          </a:prstGeom>
                          <a:noFill/>
                          <a:ln w="6350" cap="flat" cmpd="sng" algn="ctr">
                            <a:solidFill>
                              <a:sysClr val="window" lastClr="FFFFFF"/>
                            </a:solidFill>
                            <a:prstDash val="solid"/>
                          </a:ln>
                          <a:effectLst/>
                        </wps:spPr>
                        <wps:bodyPr/>
                      </wps:wsp>
                      <wps:wsp>
                        <wps:cNvPr id="391" name="Straight Connector 22"/>
                        <wps:cNvCnPr/>
                        <wps:spPr>
                          <a:xfrm flipV="1">
                            <a:off x="3781425" y="0"/>
                            <a:ext cx="1581150" cy="1581150"/>
                          </a:xfrm>
                          <a:prstGeom prst="line">
                            <a:avLst/>
                          </a:prstGeom>
                          <a:noFill/>
                          <a:ln w="6350" cap="flat" cmpd="sng" algn="ctr">
                            <a:solidFill>
                              <a:sysClr val="window" lastClr="FFFFFF"/>
                            </a:solidFill>
                            <a:prstDash val="solid"/>
                          </a:ln>
                          <a:effectLst/>
                        </wps:spPr>
                        <wps:bodyPr/>
                      </wps:wsp>
                      <wps:wsp>
                        <wps:cNvPr id="392" name="Straight Connector 23"/>
                        <wps:cNvCnPr/>
                        <wps:spPr>
                          <a:xfrm flipV="1">
                            <a:off x="3962400" y="0"/>
                            <a:ext cx="1581150" cy="1581150"/>
                          </a:xfrm>
                          <a:prstGeom prst="line">
                            <a:avLst/>
                          </a:prstGeom>
                          <a:noFill/>
                          <a:ln w="6350" cap="flat" cmpd="sng" algn="ctr">
                            <a:solidFill>
                              <a:sysClr val="window" lastClr="FFFFFF"/>
                            </a:solidFill>
                            <a:prstDash val="solid"/>
                          </a:ln>
                          <a:effectLst/>
                        </wps:spPr>
                        <wps:bodyPr/>
                      </wps:wsp>
                      <wps:wsp>
                        <wps:cNvPr id="393" name="Straight Connector 24"/>
                        <wps:cNvCnPr/>
                        <wps:spPr>
                          <a:xfrm flipV="1">
                            <a:off x="180975" y="0"/>
                            <a:ext cx="1581150" cy="1581150"/>
                          </a:xfrm>
                          <a:prstGeom prst="line">
                            <a:avLst/>
                          </a:prstGeom>
                          <a:noFill/>
                          <a:ln w="6350" cap="flat" cmpd="sng" algn="ctr">
                            <a:solidFill>
                              <a:sysClr val="window" lastClr="FFFFFF"/>
                            </a:solidFill>
                            <a:prstDash val="solid"/>
                          </a:ln>
                          <a:effectLst/>
                        </wps:spPr>
                        <wps:bodyPr/>
                      </wps:wsp>
                      <wps:wsp>
                        <wps:cNvPr id="394" name="Straight Connector 25"/>
                        <wps:cNvCnPr/>
                        <wps:spPr>
                          <a:xfrm flipV="1">
                            <a:off x="0" y="0"/>
                            <a:ext cx="1581150" cy="1581150"/>
                          </a:xfrm>
                          <a:prstGeom prst="line">
                            <a:avLst/>
                          </a:prstGeom>
                          <a:noFill/>
                          <a:ln w="6350" cap="flat" cmpd="sng" algn="ctr">
                            <a:solidFill>
                              <a:sysClr val="window" lastClr="FFFFFF"/>
                            </a:solidFill>
                            <a:prstDash val="solid"/>
                          </a:ln>
                          <a:effectLst/>
                        </wps:spPr>
                        <wps:bodyPr/>
                      </wps:wsp>
                    </wpg:wgp>
                  </a:graphicData>
                </a:graphic>
                <wp14:sizeRelH relativeFrom="margin">
                  <wp14:pctWidth>0</wp14:pctWidth>
                </wp14:sizeRelH>
                <wp14:sizeRelV relativeFrom="margin">
                  <wp14:pctHeight>0</wp14:pctHeight>
                </wp14:sizeRelV>
              </wp:anchor>
            </w:drawing>
          </mc:Choice>
          <mc:Fallback>
            <w:pict>
              <v:group id="Group 371" o:spid="_x0000_s1026" style="position:absolute;margin-left:319.25pt;margin-top:731.7pt;width:378.7pt;height:121.2pt;z-index:251667456;mso-position-horizontal-relative:page;mso-position-vertical-relative:page;mso-width-relative:margin;mso-height-relative:margin" coordsize="55435,15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">
                <v:line id="Straight Connector 3" o:spid="_x0000_s1027" style="position:absolute;flip:y;visibility:visible;mso-wrap-style:square" from="3619,0" to="19431,15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QKPMQAAADcAAAADwAAAGRycy9kb3ducmV2LnhtbESP3WrCQBSE7wu+w3IE7+rGiFVSVxFF&#10;UJCCP5Db0+xpkpo9G7Orxrd3CwUvh5n5hpnOW1OJGzWutKxg0I9AEGdWl5wrOB3X7xMQziNrrCyT&#10;ggc5mM86b1NMtL3znm4Hn4sAYZeggsL7OpHSZQUZdH1bEwfvxzYGfZBNLnWD9wA3lYyj6EMaLDks&#10;FFjTsqDsfLgaBd/pOP1iR26bZhe5G8W/5nRcKdXrtotPEJ5a/wr/tzdawXAcw9+ZcATk7A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1Ao8xAAAANwAAAAPAAAAAAAAAAAA&#10;AAAAAKECAABkcnMvZG93bnJldi54bWxQSwUGAAAAAAQABAD5AAAAkgMAAAAA&#10;" strokecolor="window" strokeweight=".5pt"/>
                <v:line id="Straight Connector 4" o:spid="_x0000_s1028" style="position:absolute;flip:y;visibility:visible;mso-wrap-style:square" from="5429,0" to="21240,15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ivp8MAAADcAAAADwAAAGRycy9kb3ducmV2LnhtbESPQYvCMBSE7wv+h/AEb2uq4irVKKII&#10;CrKwKvT6bJ5ttXmpTdT6783Cwh6HmfmGmc4bU4oH1a6wrKDXjUAQp1YXnCk4HtafYxDOI2ssLZOC&#10;FzmYz1ofU4y1ffIPPfY+EwHCLkYFufdVLKVLczLourYiDt7Z1gZ9kHUmdY3PADel7EfRlzRYcFjI&#10;saJlTul1fzcKTsko+WZHbpukN7kb9i/meFgp1Wk3iwkIT43/D/+1N1rBYDSA3zPhCMjZG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aYr6fDAAAA3AAAAA8AAAAAAAAAAAAA&#10;AAAAoQIAAGRycy9kb3ducmV2LnhtbFBLBQYAAAAABAAEAPkAAACRAwAAAAA=&#10;" strokecolor="window" strokeweight=".5pt"/>
                <v:line id="Straight Connector 5" o:spid="_x0000_s1029" style="position:absolute;flip:y;visibility:visible;mso-wrap-style:square" from="7239,0" to="23050,15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E308UAAADcAAAADwAAAGRycy9kb3ducmV2LnhtbESP3WrCQBSE7wXfYTmCd7rRtlqiq4hF&#10;sFAEfyC3p9ljEs2ejdlV49u7hYKXw8x8w0znjSnFjWpXWFYw6EcgiFOrC84UHPar3icI55E1lpZJ&#10;wYMczGft1hRjbe+8pdvOZyJA2MWoIPe+iqV0aU4GXd9WxME72tqgD7LOpK7xHuCmlMMoGkmDBYeF&#10;HCta5pSed1ej4DcZJxt25L6T9CJ/PoYnc9h/KdXtNIsJCE+Nf4X/22ut4G38Dn9nwhGQs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XE308UAAADcAAAADwAAAAAAAAAA&#10;AAAAAAChAgAAZHJzL2Rvd25yZXYueG1sUEsFBgAAAAAEAAQA+QAAAJMDAAAAAA==&#10;" strokecolor="window" strokeweight=".5pt"/>
                <v:line id="Straight Connector 6" o:spid="_x0000_s1030" style="position:absolute;flip:y;visibility:visible;mso-wrap-style:square" from="9048,0" to="24860,15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2SSMMAAADcAAAADwAAAGRycy9kb3ducmV2LnhtbESPQYvCMBSE74L/ITzBm6YqrlKNIorg&#10;giysCr0+m2dbbV5qE7X7783Cwh6HmfmGmS8bU4on1a6wrGDQj0AQp1YXnCk4Hbe9KQjnkTWWlknB&#10;DzlYLtqtOcbavvibngefiQBhF6OC3PsqltKlORl0fVsRB+9ia4M+yDqTusZXgJtSDqPoQxosOCzk&#10;WNE6p/R2eBgF52SSfLEj95mkd7kfD6/mdNwo1e00qxkIT43/D/+1d1rBaDKG3zPhCMjFG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Y9kkjDAAAA3AAAAA8AAAAAAAAAAAAA&#10;AAAAoQIAAGRycy9kb3ducmV2LnhtbFBLBQYAAAAABAAEAPkAAACRAwAAAAA=&#10;" strokecolor="window" strokeweight=".5pt"/>
                <v:line id="Straight Connector 7" o:spid="_x0000_s1031" style="position:absolute;flip:y;visibility:visible;mso-wrap-style:square" from="10763,0" to="26574,15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8MP8QAAADcAAAADwAAAGRycy9kb3ducmV2LnhtbESPW4vCMBSE3xf8D+EIvq2piheqUWRF&#10;WEEWvEBfj82xrTYn3Sar9d8bYcHHYWa+YWaLxpTiRrUrLCvodSMQxKnVBWcKjof15wSE88gaS8uk&#10;4EEOFvPWxwxjbe+8o9veZyJA2MWoIPe+iqV0aU4GXddWxME729qgD7LOpK7xHuCmlP0oGkmDBYeF&#10;HCv6yim97v+MglMyTn7Ykdsk6a/cDvsXczyslOq0m+UUhKfGv8P/7W+tYDAewetMOAJy/g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7ww/xAAAANwAAAAPAAAAAAAAAAAA&#10;AAAAAKECAABkcnMvZG93bnJldi54bWxQSwUGAAAAAAQABAD5AAAAkgMAAAAA&#10;" strokecolor="window" strokeweight=".5pt"/>
                <v:line id="Straight Connector 8" o:spid="_x0000_s1032" style="position:absolute;flip:y;visibility:visible;mso-wrap-style:square" from="12573,0" to="28384,15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OppMUAAADcAAAADwAAAGRycy9kb3ducmV2LnhtbESP3WrCQBSE7wu+w3KE3jUbFRuJWUUs&#10;Qgul4A/k9pg9JtHs2TS71fj23ULBy2FmvmGyZW8acaXO1ZYVjKIYBHFhdc2lgsN+8zID4TyyxsYy&#10;KbiTg+Vi8JRhqu2Nt3Td+VIECLsUFVTet6mUrqjIoItsSxy8k+0M+iC7UuoObwFuGjmO41dpsOaw&#10;UGFL64qKy+7HKDjmSf7FjtxHXnzLz+n4bA77N6Weh/1qDsJT7x/h//a7VjBJEvg7E46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aOppMUAAADcAAAADwAAAAAAAAAA&#10;AAAAAAChAgAAZHJzL2Rvd25yZXYueG1sUEsFBgAAAAAEAAQA+QAAAJMDAAAAAA==&#10;" strokecolor="window" strokeweight=".5pt"/>
                <v:line id="Straight Connector 9" o:spid="_x0000_s1033" style="position:absolute;flip:y;visibility:visible;mso-wrap-style:square" from="14382,0" to="30194,15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w91sIAAADcAAAADwAAAGRycy9kb3ducmV2LnhtbERPXWvCMBR9F/Yfwh34pukU5+iMMhRh&#10;gghrC329S+7abs1NbTKt/948DPZ4ON+rzWBbcaHeN44VPE0TEMTamYYrBUW+n7yA8AHZYOuYFNzI&#10;w2b9MFphatyVP+iShUrEEPYpKqhD6FIpva7Jop+6jjhyX663GCLsK2l6vMZw28pZkjxLiw3Hhho7&#10;2takf7Jfq+CzXJYn9uQPpT7L42L2bYt8p9T4cXh7BRFoCP/iP/e7UTBfxrXxTDwCcn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Dw91sIAAADcAAAADwAAAAAAAAAAAAAA&#10;AAChAgAAZHJzL2Rvd25yZXYueG1sUEsFBgAAAAAEAAQA+QAAAJADAAAAAA==&#10;" strokecolor="window" strokeweight=".5pt"/>
                <v:line id="Straight Connector 10" o:spid="_x0000_s1034" style="position:absolute;flip:y;visibility:visible;mso-wrap-style:square" from="16192,0" to="32004,15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CYTcUAAADcAAAADwAAAGRycy9kb3ducmV2LnhtbESP3WrCQBSE7wXfYTmCd7rR0mqjq4hF&#10;sFAEfyC3p9ljEs2ejdlV49u7hYKXw8x8w0znjSnFjWpXWFYw6EcgiFOrC84UHPar3hiE88gaS8uk&#10;4EEO5rN2a4qxtnfe0m3nMxEg7GJUkHtfxVK6NCeDrm8r4uAdbW3QB1lnUtd4D3BTymEUfUiDBYeF&#10;HCta5pSed1ej4DcZJRt25L6T9CJ/3ocnc9h/KdXtNIsJCE+Nf4X/22ut4G30CX9nwhGQs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3CYTcUAAADcAAAADwAAAAAAAAAA&#10;AAAAAAChAgAAZHJzL2Rvd25yZXYueG1sUEsFBgAAAAAEAAQA+QAAAJMDAAAAAA==&#10;" strokecolor="window" strokeweight=".5pt"/>
                <v:line id="Straight Connector 11" o:spid="_x0000_s1035" style="position:absolute;flip:y;visibility:visible;mso-wrap-style:square" from="18002,0" to="33813,15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9B98IAAADcAAAADwAAAGRycy9kb3ducmV2LnhtbERPXWvCMBR9F/Yfwh34pukUN+mMMhRh&#10;gghrC329S+7abs1NbTKt/948DPZ4ON+rzWBbcaHeN44VPE0TEMTamYYrBUW+nyxB+IBssHVMCm7k&#10;YbN+GK0wNe7KH3TJQiViCPsUFdQhdKmUXtdk0U9dRxy5L9dbDBH2lTQ9XmO4beUsSZ6lxYZjQ40d&#10;bWvSP9mvVfBZvpQn9uQPpT7L42L2bYt8p9T4cXh7BRFoCP/iP/e7UTBfxvnxTDwCcn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59B98IAAADcAAAADwAAAAAAAAAAAAAA&#10;AAChAgAAZHJzL2Rvd25yZXYueG1sUEsFBgAAAAAEAAQA+QAAAJADAAAAAA==&#10;" strokecolor="window" strokeweight=".5pt"/>
                <v:line id="Straight Connector 12" o:spid="_x0000_s1036" style="position:absolute;flip:y;visibility:visible;mso-wrap-style:square" from="19812,0" to="35623,15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PkbMMAAADcAAAADwAAAGRycy9kb3ducmV2LnhtbESPQYvCMBSE7wv+h/AEb2uq4irVKKII&#10;CrKwKvT6bJ5ttXmpTdT6783Cwh6HmfmGmc4bU4oH1a6wrKDXjUAQp1YXnCk4HtafYxDOI2ssLZOC&#10;FzmYz1ofU4y1ffIPPfY+EwHCLkYFufdVLKVLczLourYiDt7Z1gZ9kHUmdY3PADel7EfRlzRYcFjI&#10;saJlTul1fzcKTsko+WZHbpukN7kb9i/meFgp1Wk3iwkIT43/D/+1N1rBYNyD3zPhCMjZG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T5GzDAAAA3AAAAA8AAAAAAAAAAAAA&#10;AAAAoQIAAGRycy9kb3ducmV2LnhtbFBLBQYAAAAABAAEAPkAAACRAwAAAAA=&#10;" strokecolor="window" strokeweight=".5pt"/>
                <v:line id="Straight Connector 13" o:spid="_x0000_s1037" style="position:absolute;flip:y;visibility:visible;mso-wrap-style:square" from="21621,0" to="37433,15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F6G8QAAADcAAAADwAAAGRycy9kb3ducmV2LnhtbESP3WrCQBSE7wu+w3IE7+rGiFVSVxFF&#10;UJCCP5Db0+xpkpo9G7Orxrd3CwUvh5n5hpnOW1OJGzWutKxg0I9AEGdWl5wrOB3X7xMQziNrrCyT&#10;ggc5mM86b1NMtL3znm4Hn4sAYZeggsL7OpHSZQUZdH1bEwfvxzYGfZBNLnWD9wA3lYyj6EMaLDks&#10;FFjTsqDsfLgaBd/pOP1iR26bZhe5G8W/5nRcKdXrtotPEJ5a/wr/tzdawXASw9+ZcATk7A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AXobxAAAANwAAAAPAAAAAAAAAAAA&#10;AAAAAKECAABkcnMvZG93bnJldi54bWxQSwUGAAAAAAQABAD5AAAAkgMAAAAA&#10;" strokecolor="window" strokeweight=".5pt"/>
                <v:line id="Straight Connector 14" o:spid="_x0000_s1038" style="position:absolute;flip:y;visibility:visible;mso-wrap-style:square" from="23431,0" to="39243,15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03fgMMAAADcAAAADwAAAGRycy9kb3ducmV2LnhtbESPQYvCMBSE7wv+h/AEb2uq4irVKKII&#10;CrKwKvT6bJ5ttXmpTdT6783Cwh6HmfmGmc4bU4oH1a6wrKDXjUAQp1YXnCk4HtafYxDOI2ssLZOC&#10;FzmYz1ofU4y1ffIPPfY+EwHCLkYFufdVLKVLczLourYiDt7Z1gZ9kHUmdY3PADel7EfRlzRYcFjI&#10;saJlTul1fzcKTsko+WZHbpukN7kb9i/meFgp1Wk3iwkIT43/D/+1N1rBYDyA3zPhCMjZG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N34DDAAAA3AAAAA8AAAAAAAAAAAAA&#10;AAAAoQIAAGRycy9kb3ducmV2LnhtbFBLBQYAAAAABAAEAPkAAACRAwAAAAA=&#10;" strokecolor="window" strokeweight=".5pt"/>
                <v:line id="Straight Connector 15" o:spid="_x0000_s1039" style="position:absolute;flip:y;visibility:visible;mso-wrap-style:square" from="25241,0" to="41052,15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RH9MQAAADcAAAADwAAAGRycy9kb3ducmV2LnhtbESPQWvCQBSE74L/YXmCt7pRW5XoKqUi&#10;VJBCVcj1mX0m0ezbmF01/nu3UPA4zMw3zGzRmFLcqHaFZQX9XgSCOLW64EzBfrd6m4BwHlljaZkU&#10;PMjBYt5uzTDW9s6/dNv6TAQIuxgV5N5XsZQuzcmg69mKOHhHWxv0QdaZ1DXeA9yUchBFI2mw4LCQ&#10;Y0VfOaXn7dUoOCTj5IcduXWSXuTmY3Ay+91SqW6n+ZyC8NT4V/i//a0VDCfv8HcmHAE5f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pEf0xAAAANwAAAAPAAAAAAAAAAAA&#10;AAAAAKECAABkcnMvZG93bnJldi54bWxQSwUGAAAAAAQABAD5AAAAkgMAAAAA&#10;" strokecolor="window" strokeweight=".5pt"/>
                <v:line id="Straight Connector 16" o:spid="_x0000_s1040" style="position:absolute;flip:y;visibility:visible;mso-wrap-style:square" from="27051,0" to="42862,15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ib8MAAADcAAAADwAAAGRycy9kb3ducmV2LnhtbESPQYvCMBSE74L/ITzBm6YqrlKNIorg&#10;giysCr0+m2dbbV5qE7X7783Cwh6HmfmGmS8bU4on1a6wrGDQj0AQp1YXnCk4Hbe9KQjnkTWWlknB&#10;DzlYLtqtOcbavvibngefiQBhF6OC3PsqltKlORl0fVsRB+9ia4M+yDqTusZXgJtSDqPoQxosOCzk&#10;WNE6p/R2eBgF52SSfLEj95mkd7kfD6/mdNwo1e00qxkIT43/D/+1d1rBaDqG3zPhCMjFG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Po4m/DAAAA3AAAAA8AAAAAAAAAAAAA&#10;AAAAoQIAAGRycy9kb3ducmV2LnhtbFBLBQYAAAAABAAEAPkAAACRAwAAAAA=&#10;" strokecolor="window" strokeweight=".5pt"/>
                <v:line id="Straight Connector 17" o:spid="_x0000_s1041" style="position:absolute;flip:y;visibility:visible;mso-wrap-style:square" from="28860,0" to="44672,15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p8GMQAAADcAAAADwAAAGRycy9kb3ducmV2LnhtbESPW4vCMBSE3xf8D+EIvq2piheqUWRF&#10;WEEWvEBfj82xrTYn3Sar9d8bYcHHYWa+YWaLxpTiRrUrLCvodSMQxKnVBWcKjof15wSE88gaS8uk&#10;4EEOFvPWxwxjbe+8o9veZyJA2MWoIPe+iqV0aU4GXddWxME729qgD7LOpK7xHuCmlP0oGkmDBYeF&#10;HCv6yim97v+MglMyTn7Ykdsk6a/cDvsXczyslOq0m+UUhKfGv8P/7W+tYDAZwetMOAJy/g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OnwYxAAAANwAAAAPAAAAAAAAAAAA&#10;AAAAAKECAABkcnMvZG93bnJldi54bWxQSwUGAAAAAAQABAD5AAAAkgMAAAAA&#10;" strokecolor="window" strokeweight=".5pt"/>
                <v:line id="Straight Connector 18" o:spid="_x0000_s1042" style="position:absolute;flip:y;visibility:visible;mso-wrap-style:square" from="30670,0" to="46482,15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bZg8QAAADcAAAADwAAAGRycy9kb3ducmV2LnhtbESP3YrCMBSE7xd8h3AE79ZUxVWqUWRF&#10;WEEW/IHeHptjW21Ouk1W69sbQfBymJlvmOm8MaW4Uu0Kywp63QgEcWp1wZmCw371OQbhPLLG0jIp&#10;uJOD+az1McVY2xtv6brzmQgQdjEqyL2vYildmpNB17UVcfBOtjbog6wzqWu8BbgpZT+KvqTBgsNC&#10;jhV955Redv9GwTEZJb/syK2T9E9uhv2zOeyXSnXazWICwlPj3+FX+0crGIxH8DwTjoCc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dtmDxAAAANwAAAAPAAAAAAAAAAAA&#10;AAAAAKECAABkcnMvZG93bnJldi54bWxQSwUGAAAAAAQABAD5AAAAkgMAAAAA&#10;" strokecolor="window" strokeweight=".5pt"/>
                <v:line id="Straight Connector 19" o:spid="_x0000_s1043" style="position:absolute;flip:y;visibility:visible;mso-wrap-style:square" from="32385,0" to="48196,15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elN8cIAAADcAAAADwAAAGRycy9kb3ducmV2LnhtbERPXWvCMBR9F/Yfwh34pukUN+mMMhRh&#10;gghrC329S+7abs1NbTKt/948DPZ4ON+rzWBbcaHeN44VPE0TEMTamYYrBUW+nyxB+IBssHVMCm7k&#10;YbN+GK0wNe7KH3TJQiViCPsUFdQhdKmUXtdk0U9dRxy5L9dbDBH2lTQ9XmO4beUsSZ6lxYZjQ40d&#10;bWvSP9mvVfBZvpQn9uQPpT7L42L2bYt8p9T4cXh7BRFoCP/iP/e7UTBfxrXxTDwCcn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elN8cIAAADcAAAADwAAAAAAAAAAAAAA&#10;AAChAgAAZHJzL2Rvd25yZXYueG1sUEsFBgAAAAAEAAQA+QAAAJADAAAAAA==&#10;" strokecolor="window" strokeweight=".5pt"/>
                <v:line id="Straight Connector 20" o:spid="_x0000_s1044" style="position:absolute;flip:y;visibility:visible;mso-wrap-style:square" from="34194,0" to="50006,15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XoasUAAADcAAAADwAAAGRycy9kb3ducmV2LnhtbESP3WrCQBSE7wXfYTmCd7rR0mqjq4hF&#10;sFAEfyC3p9ljEs2ejdlV49u7hYKXw8x8w0znjSnFjWpXWFYw6EcgiFOrC84UHPar3hiE88gaS8uk&#10;4EEO5rN2a4qxtnfe0m3nMxEg7GJUkHtfxVK6NCeDrm8r4uAdbW3QB1lnUtd4D3BTymEUfUiDBYeF&#10;HCta5pSed1ej4DcZJRt25L6T9CJ/3ocnc9h/KdXtNIsJCE+Nf4X/22ut4G38CX9nwhGQs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qXoasUAAADcAAAADwAAAAAAAAAA&#10;AAAAAAChAgAAZHJzL2Rvd25yZXYueG1sUEsFBgAAAAAEAAQA+QAAAJMDAAAAAA==&#10;" strokecolor="window" strokeweight=".5pt"/>
                <v:line id="Straight Connector 21" o:spid="_x0000_s1045" style="position:absolute;flip:y;visibility:visible;mso-wrap-style:square" from="36004,0" to="51816,15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bXKsIAAADcAAAADwAAAGRycy9kb3ducmV2LnhtbERPXWvCMBR9F/Yfwh34NtMpuq0zylAE&#10;BRmsFfp6l9y13Zqb2kSt/948DHw8nO/5sreNOFPna8cKnkcJCGLtTM2lgkO+eXoF4QOywcYxKbiS&#10;h+XiYTDH1LgLf9E5C6WIIexTVFCF0KZSel2RRT9yLXHkflxnMUTYldJ0eInhtpHjJJlJizXHhgpb&#10;WlWk/7KTVfBdvBSf7MnvCn2U++n41x7ytVLDx/7jHUSgPtzF/+6tUTB5i/PjmXgE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kbXKsIAAADcAAAADwAAAAAAAAAAAAAA&#10;AAChAgAAZHJzL2Rvd25yZXYueG1sUEsFBgAAAAAEAAQA+QAAAJADAAAAAA==&#10;" strokecolor="window" strokeweight=".5pt"/>
                <v:line id="Straight Connector 22" o:spid="_x0000_s1046" style="position:absolute;flip:y;visibility:visible;mso-wrap-style:square" from="37814,0" to="53625,15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pyscUAAADcAAAADwAAAGRycy9kb3ducmV2LnhtbESP3WrCQBSE7wt9h+UUeqcbU/yLrkEs&#10;BQtFMAq5PWaPSdrs2TS71fTtu4LQy2FmvmGWaW8acaHO1ZYVjIYRCOLC6ppLBcfD22AGwnlkjY1l&#10;UvBLDtLV48MSE22vvKdL5ksRIOwSVFB53yZSuqIig25oW+LgnW1n0AfZlVJ3eA1w08g4iibSYM1h&#10;ocKWNhUVX9mPUXDKp/mOHbn3vPiWH+P40xwPr0o9P/XrBQhPvf8P39tbreBlPoLbmXAE5O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QpyscUAAADcAAAADwAAAAAAAAAA&#10;AAAAAAChAgAAZHJzL2Rvd25yZXYueG1sUEsFBgAAAAAEAAQA+QAAAJMDAAAAAA==&#10;" strokecolor="window" strokeweight=".5pt"/>
                <v:line id="Straight Connector 23" o:spid="_x0000_s1047" style="position:absolute;flip:y;visibility:visible;mso-wrap-style:square" from="39624,0" to="55435,15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jsxsUAAADcAAAADwAAAGRycy9kb3ducmV2LnhtbESP3WrCQBSE7wu+w3KE3unGFKtGVymV&#10;ggUR/IHcHrPHJJo9G7NbTd/eLQi9HGbmG2a2aE0lbtS40rKCQT8CQZxZXXKu4LD/6o1BOI+ssbJM&#10;Cn7JwWLeeZlhou2dt3Tb+VwECLsEFRTe14mULivIoOvbmjh4J9sY9EE2udQN3gPcVDKOondpsOSw&#10;UGBNnwVll92PUXBMR+mGHbnvNLvK9TA+m8N+qdRrt/2YgvDU+v/ws73SCt4mMfydCUdAz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djsxsUAAADcAAAADwAAAAAAAAAA&#10;AAAAAAChAgAAZHJzL2Rvd25yZXYueG1sUEsFBgAAAAAEAAQA+QAAAJMDAAAAAA==&#10;" strokecolor="window" strokeweight=".5pt"/>
                <v:line id="Straight Connector 24" o:spid="_x0000_s1048" style="position:absolute;flip:y;visibility:visible;mso-wrap-style:square" from="1809,0" to="17621,15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RJXcUAAADcAAAADwAAAGRycy9kb3ducmV2LnhtbESPQWvCQBSE7wX/w/KE3nRTRdvGrCIt&#10;BQsiGAO5vmafSWr2bZrdavrvXUHocZiZb5hk1ZtGnKlztWUFT+MIBHFhdc2lguzwMXoB4TyyxsYy&#10;KfgjB6vl4CHBWNsL7+mc+lIECLsYFVTet7GUrqjIoBvbljh4R9sZ9EF2pdQdXgLcNHISRXNpsOaw&#10;UGFLbxUVp/TXKPjKn/MdO3KfefEjt7PJt8kO70o9Dvv1AoSn3v+H7+2NVjB9ncLtTDgCcn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pRJXcUAAADcAAAADwAAAAAAAAAA&#10;AAAAAAChAgAAZHJzL2Rvd25yZXYueG1sUEsFBgAAAAAEAAQA+QAAAJMDAAAAAA==&#10;" strokecolor="window" strokeweight=".5pt"/>
                <v:line id="Straight Connector 25" o:spid="_x0000_s1049" style="position:absolute;flip:y;visibility:visible;mso-wrap-style:square" from="0,0" to="15811,15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X3RKcUAAADcAAAADwAAAGRycy9kb3ducmV2LnhtbESPQWvCQBSE74X+h+UVvNWNqbaaupFS&#10;ESqIUBVyfc0+k2j2bZpdNf33riD0OMzMN8x01planKl1lWUFg34Egji3uuJCwW67eB6DcB5ZY22Z&#10;FPyRg1n6+DDFRNsLf9N54wsRIOwSVFB63yRSurwkg65vG+Lg7W1r0AfZFlK3eAlwU8s4il6lwYrD&#10;QokNfZaUHzcno+Ane8vW7Mgts/xXrkbxwey2c6V6T93HOwhPnf8P39tfWsHLZAi3M+EIyPQ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X3RKcUAAADcAAAADwAAAAAAAAAA&#10;AAAAAAChAgAAZHJzL2Rvd25yZXYueG1sUEsFBgAAAAAEAAQA+QAAAJMDAAAAAA==&#10;" strokecolor="window" strokeweight=".5pt"/>
                <w10:wrap anchorx="page" anchory="page"/>
              </v:group>
            </w:pict>
          </mc:Fallback>
        </mc:AlternateContent>
      </w:r>
      <w:r w:rsidR="000319EF">
        <w:rPr>
          <w:noProof/>
        </w:rPr>
        <w:drawing>
          <wp:anchor distT="0" distB="0" distL="114300" distR="114300" simplePos="0" relativeHeight="251670528" behindDoc="0" locked="0" layoutInCell="1" allowOverlap="1" wp14:anchorId="0C34059E" wp14:editId="42C82EA7">
            <wp:simplePos x="0" y="0"/>
            <wp:positionH relativeFrom="page">
              <wp:posOffset>483235</wp:posOffset>
            </wp:positionH>
            <wp:positionV relativeFrom="page">
              <wp:posOffset>10076113</wp:posOffset>
            </wp:positionV>
            <wp:extent cx="1552575" cy="361950"/>
            <wp:effectExtent l="0" t="0" r="9525" b="0"/>
            <wp:wrapNone/>
            <wp:docPr id="368" name="Picture 368" descr="VictoriaDTFLogo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VictoriaDTFLogo White"/>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52575" cy="361950"/>
                    </a:xfrm>
                    <a:prstGeom prst="rect">
                      <a:avLst/>
                    </a:prstGeom>
                    <a:noFill/>
                    <a:ln>
                      <a:noFill/>
                    </a:ln>
                  </pic:spPr>
                </pic:pic>
              </a:graphicData>
            </a:graphic>
            <wp14:sizeRelH relativeFrom="page">
              <wp14:pctWidth>0</wp14:pctWidth>
            </wp14:sizeRelH>
            <wp14:sizeRelV relativeFrom="page">
              <wp14:pctHeight>0</wp14:pctHeight>
            </wp14:sizeRelV>
          </wp:anchor>
        </w:drawing>
      </w:r>
      <w:r w:rsidR="000319EF">
        <w:rPr>
          <w:noProof/>
        </w:rPr>
        <mc:AlternateContent>
          <mc:Choice Requires="wps">
            <w:drawing>
              <wp:anchor distT="0" distB="0" distL="114300" distR="114300" simplePos="0" relativeHeight="251668480" behindDoc="0" locked="0" layoutInCell="1" allowOverlap="1" wp14:anchorId="14B2959C" wp14:editId="22224C74">
                <wp:simplePos x="0" y="0"/>
                <wp:positionH relativeFrom="column">
                  <wp:posOffset>-588645</wp:posOffset>
                </wp:positionH>
                <wp:positionV relativeFrom="paragraph">
                  <wp:posOffset>-728980</wp:posOffset>
                </wp:positionV>
                <wp:extent cx="2749550" cy="280670"/>
                <wp:effectExtent l="2540" t="0" r="635" b="0"/>
                <wp:wrapNone/>
                <wp:docPr id="395" name="Text Box 3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955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14D1" w:rsidRPr="00B64AED" w:rsidRDefault="004D13A5" w:rsidP="000319EF">
                            <w:pPr>
                              <w:pStyle w:val="Header"/>
                              <w:rPr>
                                <w:szCs w:val="24"/>
                              </w:rPr>
                            </w:pPr>
                            <w:hyperlink r:id="rId31" w:history="1">
                              <w:r w:rsidR="004F14D1" w:rsidRPr="00B64AED">
                                <w:rPr>
                                  <w:rStyle w:val="Hyperlink"/>
                                  <w:szCs w:val="24"/>
                                </w:rPr>
                                <w:t>www.dtf.vic.gov.au</w:t>
                              </w:r>
                            </w:hyperlink>
                          </w:p>
                        </w:txbxContent>
                      </wps:txbx>
                      <wps:bodyPr rot="0" vert="horz" wrap="square" lIns="89611" tIns="44806" rIns="89611" bIns="4480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5" o:spid="_x0000_s1043" type="#_x0000_t202" style="position:absolute;left:0;text-align:left;margin-left:-46.35pt;margin-top:-57.4pt;width:216.5pt;height:2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" filled="f" stroked="f">
                <v:textbox inset="2.48919mm,1.2446mm,2.48919mm,1.2446mm">
                  <w:txbxContent>
                    <w:p w:rsidR="004F14D1" w:rsidRPr="00B64AED" w:rsidRDefault="004F14D1" w:rsidP="000319EF">
                      <w:pPr>
                        <w:pStyle w:val="Header"/>
                        <w:rPr>
                          <w:szCs w:val="24"/>
                        </w:rPr>
                      </w:pPr>
                      <w:hyperlink r:id="rId32" w:history="1">
                        <w:r w:rsidRPr="00B64AED">
                          <w:rPr>
                            <w:rStyle w:val="Hyperlink"/>
                            <w:szCs w:val="24"/>
                          </w:rPr>
                          <w:t>www.dtf.vic.gov.au</w:t>
                        </w:r>
                      </w:hyperlink>
                    </w:p>
                  </w:txbxContent>
                </v:textbox>
              </v:shape>
            </w:pict>
          </mc:Fallback>
        </mc:AlternateContent>
      </w:r>
      <w:r w:rsidR="000319EF">
        <w:rPr>
          <w:noProof/>
        </w:rPr>
        <mc:AlternateContent>
          <mc:Choice Requires="wps">
            <w:drawing>
              <wp:anchor distT="0" distB="0" distL="114300" distR="114300" simplePos="0" relativeHeight="251669504" behindDoc="0" locked="0" layoutInCell="1" allowOverlap="1" wp14:anchorId="18DBBC42" wp14:editId="40D1F9B5">
                <wp:simplePos x="0" y="0"/>
                <wp:positionH relativeFrom="page">
                  <wp:posOffset>5080635</wp:posOffset>
                </wp:positionH>
                <wp:positionV relativeFrom="page">
                  <wp:posOffset>2969260</wp:posOffset>
                </wp:positionV>
                <wp:extent cx="2484120" cy="2484120"/>
                <wp:effectExtent l="3810" t="6985" r="7620" b="4445"/>
                <wp:wrapNone/>
                <wp:docPr id="369" name="Right Triangle 369" descr="BackArtTriangl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484120" cy="2484120"/>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l,21600r21600,xe">
                <v:stroke joinstyle="miter"/>
                <v:path gradientshapeok="t" o:connecttype="custom" o:connectlocs="0,0;0,10800;0,21600;10800,21600;21600,21600;10800,10800" textboxrect="1800,12600,12600,19800"/>
              </v:shapetype>
              <v:shape id="Right Triangle 369" o:spid="_x0000_s1026" type="#_x0000_t6" alt="BackArtTriangle" style="position:absolute;margin-left:400.05pt;margin-top:233.8pt;width:195.6pt;height:195.6pt;rotation:180;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" stroked="f">
                <w10:wrap anchorx="page" anchory="page"/>
              </v:shape>
            </w:pict>
          </mc:Fallback>
        </mc:AlternateContent>
      </w:r>
    </w:p>
    <w:sectPr w:rsidR="00716818" w:rsidSect="00716818">
      <w:type w:val="evenPage"/>
      <w:pgSz w:w="11906" w:h="16838"/>
      <w:pgMar w:top="1584" w:right="1411" w:bottom="1138" w:left="1411"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14D1" w:rsidRDefault="004F14D1" w:rsidP="00716818">
      <w:pPr>
        <w:spacing w:before="0" w:after="0"/>
      </w:pPr>
      <w:r>
        <w:separator/>
      </w:r>
    </w:p>
  </w:endnote>
  <w:endnote w:type="continuationSeparator" w:id="0">
    <w:p w:rsidR="004F14D1" w:rsidRDefault="004F14D1" w:rsidP="007168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NewRomanPS-BoldMT">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1" w:type="pct"/>
      <w:jc w:val="right"/>
      <w:tblLayout w:type="fixed"/>
      <w:tblCellMar>
        <w:left w:w="57" w:type="dxa"/>
        <w:right w:w="57" w:type="dxa"/>
      </w:tblCellMar>
      <w:tblLook w:val="0600" w:firstRow="0" w:lastRow="0" w:firstColumn="0" w:lastColumn="0" w:noHBand="1" w:noVBand="1"/>
    </w:tblPr>
    <w:tblGrid>
      <w:gridCol w:w="764"/>
      <w:gridCol w:w="8437"/>
    </w:tblGrid>
    <w:tr w:rsidR="004F14D1">
      <w:trPr>
        <w:cantSplit/>
        <w:jc w:val="right"/>
      </w:trPr>
      <w:tc>
        <w:tcPr>
          <w:tcW w:w="803" w:type="dxa"/>
        </w:tcPr>
        <w:p w:rsidR="004F14D1" w:rsidRDefault="004F14D1" w:rsidP="003238E0">
          <w:pPr>
            <w:pStyle w:val="Footer"/>
          </w:pPr>
          <w:r w:rsidRPr="0018749C">
            <w:rPr>
              <w:rStyle w:val="PageNumber"/>
            </w:rPr>
            <w:fldChar w:fldCharType="begin"/>
          </w:r>
          <w:r w:rsidRPr="0018749C">
            <w:rPr>
              <w:rStyle w:val="PageNumber"/>
            </w:rPr>
            <w:instrText xml:space="preserve"> Page </w:instrText>
          </w:r>
          <w:r w:rsidRPr="0018749C">
            <w:rPr>
              <w:rStyle w:val="PageNumber"/>
            </w:rPr>
            <w:fldChar w:fldCharType="separate"/>
          </w:r>
          <w:r w:rsidR="00F91890">
            <w:rPr>
              <w:rStyle w:val="PageNumber"/>
            </w:rPr>
            <w:t>58</w:t>
          </w:r>
          <w:r w:rsidRPr="0018749C">
            <w:rPr>
              <w:rStyle w:val="PageNumber"/>
            </w:rPr>
            <w:fldChar w:fldCharType="end"/>
          </w:r>
        </w:p>
      </w:tc>
      <w:tc>
        <w:tcPr>
          <w:tcW w:w="8952" w:type="dxa"/>
          <w:shd w:val="clear" w:color="auto" w:fill="auto"/>
        </w:tcPr>
        <w:p w:rsidR="004F14D1" w:rsidRPr="0018749C" w:rsidRDefault="004F14D1" w:rsidP="003238E0">
          <w:pPr>
            <w:pStyle w:val="Footer"/>
          </w:pPr>
          <w:r>
            <w:fldChar w:fldCharType="begin"/>
          </w:r>
          <w:r>
            <w:instrText xml:space="preserve"> StyleRef “Title” </w:instrText>
          </w:r>
          <w:r>
            <w:fldChar w:fldCharType="separate"/>
          </w:r>
          <w:r w:rsidR="00F91890">
            <w:t>Supervision charge on gaming venue operators</w:t>
          </w:r>
          <w:r>
            <w:fldChar w:fldCharType="end"/>
          </w:r>
        </w:p>
        <w:p w:rsidR="004F14D1" w:rsidRDefault="004F14D1" w:rsidP="003238E0">
          <w:pPr>
            <w:pStyle w:val="Footer"/>
          </w:pPr>
          <w:r>
            <w:fldChar w:fldCharType="begin"/>
          </w:r>
          <w:r>
            <w:instrText xml:space="preserve"> StyleRef “Subtitle” </w:instrText>
          </w:r>
          <w:r>
            <w:fldChar w:fldCharType="separate"/>
          </w:r>
          <w:r w:rsidR="00F91890">
            <w:t>Draft Regulatory Impact Statement</w:t>
          </w:r>
          <w:r>
            <w:fldChar w:fldCharType="end"/>
          </w:r>
          <w:r w:rsidRPr="0018749C">
            <w:t xml:space="preserve">, </w:t>
          </w:r>
          <w:r>
            <w:fldChar w:fldCharType="begin"/>
          </w:r>
          <w:r>
            <w:instrText xml:space="preserve"> StyleRef “Tertiary Title” </w:instrText>
          </w:r>
          <w:r>
            <w:fldChar w:fldCharType="separate"/>
          </w:r>
          <w:r w:rsidR="00F91890">
            <w:t>June 2013</w:t>
          </w:r>
          <w:r>
            <w:fldChar w:fldCharType="end"/>
          </w:r>
        </w:p>
      </w:tc>
    </w:tr>
  </w:tbl>
  <w:p w:rsidR="004F14D1" w:rsidRDefault="004F14D1" w:rsidP="003238E0">
    <w:pPr>
      <w:pStyle w:val="Spac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left w:w="57" w:type="dxa"/>
        <w:right w:w="57" w:type="dxa"/>
      </w:tblCellMar>
      <w:tblLook w:val="0600" w:firstRow="0" w:lastRow="0" w:firstColumn="0" w:lastColumn="0" w:noHBand="1" w:noVBand="1"/>
    </w:tblPr>
    <w:tblGrid>
      <w:gridCol w:w="8393"/>
      <w:gridCol w:w="806"/>
    </w:tblGrid>
    <w:tr w:rsidR="004F14D1">
      <w:trPr>
        <w:cantSplit/>
      </w:trPr>
      <w:tc>
        <w:tcPr>
          <w:tcW w:w="8266" w:type="dxa"/>
          <w:shd w:val="clear" w:color="auto" w:fill="auto"/>
        </w:tcPr>
        <w:p w:rsidR="004F14D1" w:rsidRPr="0018749C" w:rsidRDefault="004F14D1" w:rsidP="003238E0">
          <w:pPr>
            <w:pStyle w:val="Footer"/>
            <w:jc w:val="right"/>
          </w:pPr>
          <w:r>
            <w:fldChar w:fldCharType="begin"/>
          </w:r>
          <w:r>
            <w:instrText xml:space="preserve"> StyleRef “Title” </w:instrText>
          </w:r>
          <w:r>
            <w:fldChar w:fldCharType="separate"/>
          </w:r>
          <w:r w:rsidR="004D13A5">
            <w:t>Supervision charge on gaming venue operators</w:t>
          </w:r>
          <w:r>
            <w:fldChar w:fldCharType="end"/>
          </w:r>
        </w:p>
        <w:p w:rsidR="004F14D1" w:rsidRDefault="004F14D1" w:rsidP="003238E0">
          <w:pPr>
            <w:pStyle w:val="Footer"/>
            <w:jc w:val="right"/>
          </w:pPr>
          <w:r>
            <w:fldChar w:fldCharType="begin"/>
          </w:r>
          <w:r>
            <w:instrText xml:space="preserve"> StyleRef “Subtitle” </w:instrText>
          </w:r>
          <w:r>
            <w:fldChar w:fldCharType="separate"/>
          </w:r>
          <w:r w:rsidR="004D13A5">
            <w:t>Draft Regulatory Impact Statement</w:t>
          </w:r>
          <w:r>
            <w:fldChar w:fldCharType="end"/>
          </w:r>
          <w:r w:rsidRPr="0018749C">
            <w:t xml:space="preserve">, </w:t>
          </w:r>
          <w:r>
            <w:fldChar w:fldCharType="begin"/>
          </w:r>
          <w:r>
            <w:instrText xml:space="preserve"> StyleRef “Tertiary Title” </w:instrText>
          </w:r>
          <w:r>
            <w:fldChar w:fldCharType="separate"/>
          </w:r>
          <w:r w:rsidR="004D13A5">
            <w:t>June 2013</w:t>
          </w:r>
          <w:r>
            <w:fldChar w:fldCharType="end"/>
          </w:r>
        </w:p>
      </w:tc>
      <w:tc>
        <w:tcPr>
          <w:tcW w:w="794" w:type="dxa"/>
          <w:shd w:val="clear" w:color="auto" w:fill="auto"/>
        </w:tcPr>
        <w:p w:rsidR="004F14D1" w:rsidRPr="0018749C" w:rsidRDefault="004F14D1" w:rsidP="003238E0">
          <w:pPr>
            <w:pStyle w:val="Footer"/>
            <w:jc w:val="right"/>
            <w:rPr>
              <w:rStyle w:val="PageNumber"/>
            </w:rPr>
          </w:pPr>
          <w:r w:rsidRPr="0018749C">
            <w:rPr>
              <w:rStyle w:val="PageNumber"/>
            </w:rPr>
            <w:fldChar w:fldCharType="begin"/>
          </w:r>
          <w:r w:rsidRPr="0018749C">
            <w:rPr>
              <w:rStyle w:val="PageNumber"/>
            </w:rPr>
            <w:instrText xml:space="preserve"> Page </w:instrText>
          </w:r>
          <w:r w:rsidRPr="0018749C">
            <w:rPr>
              <w:rStyle w:val="PageNumber"/>
            </w:rPr>
            <w:fldChar w:fldCharType="separate"/>
          </w:r>
          <w:r w:rsidR="004D13A5">
            <w:rPr>
              <w:rStyle w:val="PageNumber"/>
            </w:rPr>
            <w:t>i</w:t>
          </w:r>
          <w:r w:rsidRPr="0018749C">
            <w:rPr>
              <w:rStyle w:val="PageNumber"/>
            </w:rPr>
            <w:fldChar w:fldCharType="end"/>
          </w:r>
        </w:p>
      </w:tc>
    </w:tr>
  </w:tbl>
  <w:p w:rsidR="004F14D1" w:rsidRDefault="004F14D1" w:rsidP="003238E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left w:w="57" w:type="dxa"/>
        <w:right w:w="57" w:type="dxa"/>
      </w:tblCellMar>
      <w:tblLook w:val="0600" w:firstRow="0" w:lastRow="0" w:firstColumn="0" w:lastColumn="0" w:noHBand="1" w:noVBand="1"/>
    </w:tblPr>
    <w:tblGrid>
      <w:gridCol w:w="8392"/>
      <w:gridCol w:w="806"/>
    </w:tblGrid>
    <w:tr w:rsidR="004F14D1">
      <w:trPr>
        <w:cantSplit/>
      </w:trPr>
      <w:tc>
        <w:tcPr>
          <w:tcW w:w="8266" w:type="dxa"/>
          <w:shd w:val="clear" w:color="auto" w:fill="auto"/>
        </w:tcPr>
        <w:p w:rsidR="004F14D1" w:rsidRPr="0018749C" w:rsidRDefault="004F14D1" w:rsidP="003238E0">
          <w:pPr>
            <w:pStyle w:val="Footer"/>
            <w:jc w:val="right"/>
          </w:pPr>
          <w:r>
            <w:fldChar w:fldCharType="begin"/>
          </w:r>
          <w:r>
            <w:instrText xml:space="preserve"> StyleRef “Title” </w:instrText>
          </w:r>
          <w:r>
            <w:fldChar w:fldCharType="separate"/>
          </w:r>
          <w:r w:rsidR="00F91890">
            <w:t>Supervision charge on gaming venue operators</w:t>
          </w:r>
          <w:r>
            <w:fldChar w:fldCharType="end"/>
          </w:r>
        </w:p>
        <w:p w:rsidR="004F14D1" w:rsidRDefault="004F14D1" w:rsidP="003238E0">
          <w:pPr>
            <w:pStyle w:val="Footer"/>
            <w:jc w:val="right"/>
          </w:pPr>
          <w:r>
            <w:fldChar w:fldCharType="begin"/>
          </w:r>
          <w:r>
            <w:instrText xml:space="preserve"> StyleRef “Subtitle” </w:instrText>
          </w:r>
          <w:r>
            <w:fldChar w:fldCharType="separate"/>
          </w:r>
          <w:r w:rsidR="00F91890">
            <w:t>Draft Regulatory Impact Statement</w:t>
          </w:r>
          <w:r>
            <w:fldChar w:fldCharType="end"/>
          </w:r>
          <w:r w:rsidRPr="0018749C">
            <w:t xml:space="preserve">, </w:t>
          </w:r>
          <w:r>
            <w:fldChar w:fldCharType="begin"/>
          </w:r>
          <w:r>
            <w:instrText xml:space="preserve"> StyleRef “Tertiary Title” </w:instrText>
          </w:r>
          <w:r>
            <w:fldChar w:fldCharType="separate"/>
          </w:r>
          <w:r w:rsidR="00F91890">
            <w:t>June 2013</w:t>
          </w:r>
          <w:r>
            <w:fldChar w:fldCharType="end"/>
          </w:r>
        </w:p>
      </w:tc>
      <w:tc>
        <w:tcPr>
          <w:tcW w:w="794" w:type="dxa"/>
          <w:shd w:val="clear" w:color="auto" w:fill="auto"/>
        </w:tcPr>
        <w:p w:rsidR="004F14D1" w:rsidRPr="0018749C" w:rsidRDefault="004F14D1" w:rsidP="003238E0">
          <w:pPr>
            <w:pStyle w:val="Footer"/>
            <w:jc w:val="right"/>
            <w:rPr>
              <w:rStyle w:val="PageNumber"/>
            </w:rPr>
          </w:pPr>
          <w:r w:rsidRPr="0018749C">
            <w:rPr>
              <w:rStyle w:val="PageNumber"/>
            </w:rPr>
            <w:fldChar w:fldCharType="begin"/>
          </w:r>
          <w:r w:rsidRPr="0018749C">
            <w:rPr>
              <w:rStyle w:val="PageNumber"/>
            </w:rPr>
            <w:instrText xml:space="preserve"> Page </w:instrText>
          </w:r>
          <w:r w:rsidRPr="0018749C">
            <w:rPr>
              <w:rStyle w:val="PageNumber"/>
            </w:rPr>
            <w:fldChar w:fldCharType="separate"/>
          </w:r>
          <w:r w:rsidR="00F91890">
            <w:rPr>
              <w:rStyle w:val="PageNumber"/>
            </w:rPr>
            <w:t>57</w:t>
          </w:r>
          <w:r w:rsidRPr="0018749C">
            <w:rPr>
              <w:rStyle w:val="PageNumber"/>
            </w:rPr>
            <w:fldChar w:fldCharType="end"/>
          </w:r>
        </w:p>
      </w:tc>
    </w:tr>
  </w:tbl>
  <w:p w:rsidR="004F14D1" w:rsidRDefault="004F14D1" w:rsidP="003238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14D1" w:rsidRDefault="004F14D1" w:rsidP="00716818">
      <w:pPr>
        <w:spacing w:before="0" w:after="0"/>
      </w:pPr>
      <w:r>
        <w:separator/>
      </w:r>
    </w:p>
  </w:footnote>
  <w:footnote w:type="continuationSeparator" w:id="0">
    <w:p w:rsidR="004F14D1" w:rsidRDefault="004F14D1" w:rsidP="00716818">
      <w:pPr>
        <w:spacing w:before="0" w:after="0"/>
      </w:pPr>
      <w:r>
        <w:continuationSeparator/>
      </w:r>
    </w:p>
  </w:footnote>
  <w:footnote w:id="1">
    <w:p w:rsidR="004F14D1" w:rsidRDefault="004F14D1">
      <w:pPr>
        <w:pStyle w:val="FootnoteText"/>
      </w:pPr>
      <w:r>
        <w:rPr>
          <w:rStyle w:val="FootnoteReference"/>
        </w:rPr>
        <w:footnoteRef/>
      </w:r>
      <w:r>
        <w:t xml:space="preserve"> </w:t>
      </w:r>
      <w:r w:rsidRPr="00472069">
        <w:rPr>
          <w:sz w:val="18"/>
          <w:szCs w:val="18"/>
        </w:rPr>
        <w:t>This does not include entitlement premium payments that were paid at auction.</w:t>
      </w:r>
    </w:p>
  </w:footnote>
  <w:footnote w:id="2">
    <w:p w:rsidR="004F14D1" w:rsidRPr="00E652A0" w:rsidRDefault="004F14D1" w:rsidP="00E652A0">
      <w:pPr>
        <w:pStyle w:val="FootnoteText"/>
        <w:rPr>
          <w:sz w:val="18"/>
          <w:szCs w:val="18"/>
        </w:rPr>
      </w:pPr>
      <w:r>
        <w:rPr>
          <w:rStyle w:val="FootnoteReference"/>
        </w:rPr>
        <w:footnoteRef/>
      </w:r>
      <w:r>
        <w:t xml:space="preserve"> </w:t>
      </w:r>
      <w:r>
        <w:rPr>
          <w:sz w:val="18"/>
          <w:szCs w:val="18"/>
        </w:rPr>
        <w:t>Government</w:t>
      </w:r>
      <w:r w:rsidRPr="00E652A0">
        <w:rPr>
          <w:sz w:val="18"/>
          <w:szCs w:val="18"/>
        </w:rPr>
        <w:t xml:space="preserve"> of Victoria, Department of Justice, </w:t>
      </w:r>
      <w:r>
        <w:rPr>
          <w:sz w:val="18"/>
          <w:szCs w:val="18"/>
        </w:rPr>
        <w:t xml:space="preserve">September </w:t>
      </w:r>
      <w:r w:rsidRPr="00E652A0">
        <w:rPr>
          <w:sz w:val="18"/>
          <w:szCs w:val="18"/>
        </w:rPr>
        <w:t>2009</w:t>
      </w:r>
      <w:r>
        <w:rPr>
          <w:sz w:val="18"/>
          <w:szCs w:val="18"/>
        </w:rPr>
        <w:t xml:space="preserve">, </w:t>
      </w:r>
      <w:r w:rsidRPr="00E652A0">
        <w:rPr>
          <w:i/>
          <w:sz w:val="18"/>
          <w:szCs w:val="18"/>
        </w:rPr>
        <w:t>Gaming Machine Arrangements 2012</w:t>
      </w:r>
      <w:r w:rsidRPr="00E652A0">
        <w:rPr>
          <w:i/>
        </w:rPr>
        <w:t xml:space="preserve"> </w:t>
      </w:r>
      <w:r w:rsidRPr="00E652A0">
        <w:rPr>
          <w:i/>
          <w:sz w:val="18"/>
          <w:szCs w:val="18"/>
        </w:rPr>
        <w:t>Overview of the Victorian Gaming Industry</w:t>
      </w:r>
      <w:r>
        <w:rPr>
          <w:sz w:val="18"/>
          <w:szCs w:val="18"/>
        </w:rPr>
        <w:t>, 2</w:t>
      </w:r>
      <w:r w:rsidRPr="00E652A0">
        <w:rPr>
          <w:sz w:val="18"/>
          <w:szCs w:val="18"/>
          <w:vertAlign w:val="superscript"/>
        </w:rPr>
        <w:t>nd</w:t>
      </w:r>
      <w:r>
        <w:rPr>
          <w:sz w:val="18"/>
          <w:szCs w:val="18"/>
        </w:rPr>
        <w:t xml:space="preserve"> edition, p.41.</w:t>
      </w:r>
    </w:p>
  </w:footnote>
  <w:footnote w:id="3">
    <w:p w:rsidR="004F14D1" w:rsidRDefault="004F14D1">
      <w:pPr>
        <w:pStyle w:val="FootnoteText"/>
      </w:pPr>
      <w:r>
        <w:rPr>
          <w:rStyle w:val="FootnoteReference"/>
        </w:rPr>
        <w:footnoteRef/>
      </w:r>
      <w:r>
        <w:t xml:space="preserve"> </w:t>
      </w:r>
      <w:r w:rsidRPr="00B235C7">
        <w:rPr>
          <w:sz w:val="18"/>
          <w:szCs w:val="18"/>
        </w:rPr>
        <w:t>Government of Victoria, 2013-14 State Budget, Budget Paper Number 3, p.195.</w:t>
      </w:r>
    </w:p>
  </w:footnote>
  <w:footnote w:id="4">
    <w:p w:rsidR="004F14D1" w:rsidRPr="00D93916" w:rsidRDefault="004F14D1" w:rsidP="00D93916">
      <w:pPr>
        <w:pStyle w:val="FootnoteText"/>
        <w:rPr>
          <w:sz w:val="18"/>
          <w:szCs w:val="18"/>
        </w:rPr>
      </w:pPr>
      <w:r>
        <w:rPr>
          <w:rStyle w:val="FootnoteReference"/>
        </w:rPr>
        <w:footnoteRef/>
      </w:r>
      <w:r>
        <w:t xml:space="preserve"> </w:t>
      </w:r>
      <w:r w:rsidRPr="00D93916">
        <w:rPr>
          <w:sz w:val="18"/>
          <w:szCs w:val="18"/>
        </w:rPr>
        <w:t xml:space="preserve">Commonwealth of Australia, December 2009, </w:t>
      </w:r>
      <w:r w:rsidRPr="00D93916">
        <w:rPr>
          <w:i/>
          <w:sz w:val="18"/>
          <w:szCs w:val="18"/>
        </w:rPr>
        <w:t>Australia's future tax system</w:t>
      </w:r>
      <w:r>
        <w:rPr>
          <w:i/>
          <w:sz w:val="18"/>
          <w:szCs w:val="18"/>
        </w:rPr>
        <w:t xml:space="preserve">: </w:t>
      </w:r>
      <w:r w:rsidRPr="00D93916">
        <w:rPr>
          <w:i/>
          <w:sz w:val="18"/>
          <w:szCs w:val="18"/>
        </w:rPr>
        <w:t xml:space="preserve"> Report to the Treasurer</w:t>
      </w:r>
      <w:r w:rsidRPr="00D93916">
        <w:rPr>
          <w:sz w:val="18"/>
          <w:szCs w:val="18"/>
        </w:rPr>
        <w:t>, p. 325.</w:t>
      </w:r>
    </w:p>
  </w:footnote>
  <w:footnote w:id="5">
    <w:p w:rsidR="004F14D1" w:rsidRDefault="004F14D1" w:rsidP="00D5476B">
      <w:pPr>
        <w:pStyle w:val="FootnoteText"/>
      </w:pPr>
      <w:r>
        <w:rPr>
          <w:rStyle w:val="FootnoteReference"/>
        </w:rPr>
        <w:footnoteRef/>
      </w:r>
      <w:r>
        <w:t xml:space="preserve"> </w:t>
      </w:r>
      <w:r w:rsidRPr="007913FA">
        <w:rPr>
          <w:sz w:val="18"/>
          <w:szCs w:val="20"/>
        </w:rPr>
        <w:t>As referred to in Chapter 1, each gaming machine entitlement authorises venue operators to operate a gaming machine for up to 10 years from 16 August 2012.</w:t>
      </w:r>
    </w:p>
  </w:footnote>
  <w:footnote w:id="6">
    <w:p w:rsidR="004F14D1" w:rsidRPr="000A1BEA" w:rsidRDefault="004F14D1" w:rsidP="000A1BEA">
      <w:pPr>
        <w:pStyle w:val="FootnoteText"/>
        <w:rPr>
          <w:sz w:val="20"/>
        </w:rPr>
      </w:pPr>
      <w:r>
        <w:rPr>
          <w:rStyle w:val="FootnoteReference"/>
        </w:rPr>
        <w:footnoteRef/>
      </w:r>
      <w:r w:rsidRPr="007913FA">
        <w:rPr>
          <w:sz w:val="20"/>
        </w:rPr>
        <w:t xml:space="preserve"> </w:t>
      </w:r>
      <w:r w:rsidRPr="007913FA">
        <w:rPr>
          <w:sz w:val="18"/>
        </w:rPr>
        <w:t xml:space="preserve">Prior to 2012, the Victorian Commission for Gambling Regulation (i.e. VCGR) was responsible for gaming regulation. </w:t>
      </w:r>
    </w:p>
  </w:footnote>
  <w:footnote w:id="7">
    <w:p w:rsidR="004F14D1" w:rsidRDefault="004F14D1">
      <w:pPr>
        <w:pStyle w:val="FootnoteText"/>
      </w:pPr>
      <w:r>
        <w:rPr>
          <w:rStyle w:val="FootnoteReference"/>
        </w:rPr>
        <w:footnoteRef/>
      </w:r>
      <w:r>
        <w:t xml:space="preserve"> </w:t>
      </w:r>
      <w:r>
        <w:rPr>
          <w:sz w:val="18"/>
          <w:szCs w:val="20"/>
        </w:rPr>
        <w:t>The unit charge will depend on the option that is ultimately adopted. For example, in the case of Option B, the Treasurer would determine the ‘per entitlement charge’.</w:t>
      </w:r>
    </w:p>
  </w:footnote>
  <w:footnote w:id="8">
    <w:p w:rsidR="004F14D1" w:rsidRPr="007913FA" w:rsidRDefault="004F14D1">
      <w:pPr>
        <w:pStyle w:val="FootnoteText"/>
        <w:rPr>
          <w:sz w:val="20"/>
        </w:rPr>
      </w:pPr>
      <w:r>
        <w:rPr>
          <w:rStyle w:val="FootnoteReference"/>
        </w:rPr>
        <w:footnoteRef/>
      </w:r>
      <w:r>
        <w:t xml:space="preserve"> </w:t>
      </w:r>
      <w:r w:rsidRPr="007913FA">
        <w:rPr>
          <w:sz w:val="18"/>
          <w:szCs w:val="20"/>
        </w:rPr>
        <w:t>It is important to note that the 2012-13 financial year comprises of 10.5 months as venue operator licences only commenced from 16 August 2012.</w:t>
      </w:r>
    </w:p>
  </w:footnote>
  <w:footnote w:id="9">
    <w:p w:rsidR="004F14D1" w:rsidRDefault="004F14D1" w:rsidP="00390E23">
      <w:pPr>
        <w:pStyle w:val="FootnoteText"/>
      </w:pPr>
      <w:r>
        <w:rPr>
          <w:rStyle w:val="FootnoteReference"/>
        </w:rPr>
        <w:footnoteRef/>
      </w:r>
      <w:r>
        <w:t xml:space="preserve"> </w:t>
      </w:r>
      <w:r w:rsidRPr="007913FA">
        <w:rPr>
          <w:sz w:val="18"/>
        </w:rPr>
        <w:t>VCEC Multi-criteria analysis guidance note, p.1</w:t>
      </w:r>
    </w:p>
  </w:footnote>
  <w:footnote w:id="10">
    <w:p w:rsidR="004F14D1" w:rsidRPr="007913FA" w:rsidRDefault="004F14D1" w:rsidP="00390E23">
      <w:pPr>
        <w:pStyle w:val="FootnoteText"/>
        <w:rPr>
          <w:sz w:val="18"/>
        </w:rPr>
      </w:pPr>
      <w:r>
        <w:rPr>
          <w:rStyle w:val="FootnoteReference"/>
        </w:rPr>
        <w:footnoteRef/>
      </w:r>
      <w:r>
        <w:t xml:space="preserve"> </w:t>
      </w:r>
      <w:r w:rsidRPr="00880A70">
        <w:rPr>
          <w:i/>
          <w:sz w:val="18"/>
        </w:rPr>
        <w:t>Victorian Guide to Regulation</w:t>
      </w:r>
      <w:r w:rsidRPr="007913FA">
        <w:rPr>
          <w:sz w:val="18"/>
        </w:rPr>
        <w:t>, p. 76</w:t>
      </w:r>
    </w:p>
  </w:footnote>
  <w:footnote w:id="11">
    <w:p w:rsidR="004F14D1" w:rsidRPr="007913FA" w:rsidRDefault="004F14D1" w:rsidP="00390E23">
      <w:pPr>
        <w:pStyle w:val="FootnoteText"/>
        <w:rPr>
          <w:sz w:val="18"/>
        </w:rPr>
      </w:pPr>
      <w:r w:rsidRPr="007913FA">
        <w:rPr>
          <w:rStyle w:val="FootnoteReference"/>
          <w:sz w:val="18"/>
        </w:rPr>
        <w:footnoteRef/>
      </w:r>
      <w:r w:rsidRPr="007913FA">
        <w:rPr>
          <w:sz w:val="18"/>
        </w:rPr>
        <w:t xml:space="preserve"> The </w:t>
      </w:r>
      <w:r w:rsidRPr="00E652A0">
        <w:rPr>
          <w:i/>
          <w:sz w:val="18"/>
        </w:rPr>
        <w:t>Victorian Guide to Regulation</w:t>
      </w:r>
      <w:r w:rsidRPr="007913FA">
        <w:rPr>
          <w:sz w:val="18"/>
        </w:rPr>
        <w:t xml:space="preserve"> requires consideration of economic, financial, social and environmental impacts. As the charge is a cost recovery mechanism levied on gaming venues, it is not envisaged its implementation will have any social or environmental impacts.</w:t>
      </w:r>
    </w:p>
  </w:footnote>
  <w:footnote w:id="12">
    <w:p w:rsidR="004F14D1" w:rsidRDefault="004F14D1">
      <w:pPr>
        <w:pStyle w:val="FootnoteText"/>
      </w:pPr>
      <w:r>
        <w:rPr>
          <w:rStyle w:val="FootnoteReference"/>
        </w:rPr>
        <w:footnoteRef/>
      </w:r>
      <w:r w:rsidRPr="00E652A0">
        <w:rPr>
          <w:sz w:val="18"/>
          <w:szCs w:val="18"/>
        </w:rPr>
        <w:t xml:space="preserve"> Government of Victoria, 2013, 2013-14 State Budget, Budget Paper Number 5, p.172.</w:t>
      </w:r>
    </w:p>
  </w:footnote>
  <w:footnote w:id="13">
    <w:p w:rsidR="004F14D1" w:rsidRDefault="004F14D1">
      <w:pPr>
        <w:pStyle w:val="FootnoteText"/>
      </w:pPr>
      <w:r>
        <w:rPr>
          <w:rStyle w:val="FootnoteReference"/>
        </w:rPr>
        <w:footnoteRef/>
      </w:r>
      <w:r w:rsidRPr="00244CAA">
        <w:rPr>
          <w:sz w:val="18"/>
          <w:szCs w:val="18"/>
        </w:rPr>
        <w:t xml:space="preserve"> This figure is a preliminary estimate.</w:t>
      </w:r>
    </w:p>
  </w:footnote>
  <w:footnote w:id="14">
    <w:p w:rsidR="004F14D1" w:rsidRDefault="004F14D1">
      <w:pPr>
        <w:pStyle w:val="FootnoteText"/>
      </w:pPr>
      <w:r>
        <w:rPr>
          <w:rStyle w:val="FootnoteReference"/>
        </w:rPr>
        <w:footnoteRef/>
      </w:r>
      <w:r>
        <w:t xml:space="preserve"> </w:t>
      </w:r>
      <w:r w:rsidRPr="00244CAA">
        <w:rPr>
          <w:sz w:val="18"/>
          <w:szCs w:val="18"/>
        </w:rPr>
        <w:t>This figure is a preliminary estimate.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4D1" w:rsidRDefault="004F14D1" w:rsidP="00716818">
    <w:pPr>
      <w:pStyle w:val="Header"/>
      <w:tabs>
        <w:tab w:val="clear" w:pos="4320"/>
        <w:tab w:val="clear" w:pos="8640"/>
      </w:tabs>
      <w:ind w:right="-456"/>
      <w:jc w:val="right"/>
    </w:pPr>
    <w:r>
      <w:rPr>
        <w:noProof/>
      </w:rPr>
      <w:drawing>
        <wp:inline distT="0" distB="0" distL="0" distR="0" wp14:anchorId="0AE5CEEF" wp14:editId="2D40562E">
          <wp:extent cx="2152650" cy="133350"/>
          <wp:effectExtent l="0" t="0" r="0" b="0"/>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2650" cy="13335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4D1" w:rsidRDefault="004F14D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4D1" w:rsidRDefault="004F14D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4D1" w:rsidRDefault="004F14D1">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4D1" w:rsidRDefault="004F14D1">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4D1" w:rsidRDefault="004F14D1">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4D1" w:rsidRDefault="004F14D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37D8E1F8"/>
    <w:lvl w:ilvl="0">
      <w:start w:val="1"/>
      <w:numFmt w:val="bullet"/>
      <w:pStyle w:val="ListBullet3"/>
      <w:lvlText w:val=""/>
      <w:lvlJc w:val="left"/>
      <w:pPr>
        <w:tabs>
          <w:tab w:val="num" w:pos="926"/>
        </w:tabs>
        <w:ind w:left="926" w:hanging="360"/>
      </w:pPr>
      <w:rPr>
        <w:rFonts w:ascii="Symbol" w:hAnsi="Symbol" w:hint="default"/>
      </w:rPr>
    </w:lvl>
  </w:abstractNum>
  <w:abstractNum w:abstractNumId="1">
    <w:nsid w:val="FFFFFF83"/>
    <w:multiLevelType w:val="singleLevel"/>
    <w:tmpl w:val="43707814"/>
    <w:lvl w:ilvl="0">
      <w:start w:val="1"/>
      <w:numFmt w:val="bullet"/>
      <w:pStyle w:val="ListBullet2"/>
      <w:lvlText w:val=""/>
      <w:lvlJc w:val="left"/>
      <w:pPr>
        <w:tabs>
          <w:tab w:val="num" w:pos="643"/>
        </w:tabs>
        <w:ind w:left="643" w:hanging="360"/>
      </w:pPr>
      <w:rPr>
        <w:rFonts w:ascii="Symbol" w:hAnsi="Symbol" w:hint="default"/>
      </w:rPr>
    </w:lvl>
  </w:abstractNum>
  <w:abstractNum w:abstractNumId="2">
    <w:nsid w:val="FFFFFF89"/>
    <w:multiLevelType w:val="singleLevel"/>
    <w:tmpl w:val="9B208E02"/>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4AF6D12"/>
    <w:multiLevelType w:val="hybridMultilevel"/>
    <w:tmpl w:val="108E824E"/>
    <w:lvl w:ilvl="0" w:tplc="0C090001">
      <w:start w:val="1"/>
      <w:numFmt w:val="bullet"/>
      <w:lvlText w:val=""/>
      <w:lvlJc w:val="left"/>
      <w:pPr>
        <w:ind w:left="1514" w:hanging="360"/>
      </w:pPr>
      <w:rPr>
        <w:rFonts w:ascii="Symbol" w:hAnsi="Symbol" w:hint="default"/>
      </w:rPr>
    </w:lvl>
    <w:lvl w:ilvl="1" w:tplc="0C090003" w:tentative="1">
      <w:start w:val="1"/>
      <w:numFmt w:val="bullet"/>
      <w:lvlText w:val="o"/>
      <w:lvlJc w:val="left"/>
      <w:pPr>
        <w:ind w:left="2234" w:hanging="360"/>
      </w:pPr>
      <w:rPr>
        <w:rFonts w:ascii="Courier New" w:hAnsi="Courier New" w:cs="Courier New" w:hint="default"/>
      </w:rPr>
    </w:lvl>
    <w:lvl w:ilvl="2" w:tplc="0C090005" w:tentative="1">
      <w:start w:val="1"/>
      <w:numFmt w:val="bullet"/>
      <w:lvlText w:val=""/>
      <w:lvlJc w:val="left"/>
      <w:pPr>
        <w:ind w:left="2954" w:hanging="360"/>
      </w:pPr>
      <w:rPr>
        <w:rFonts w:ascii="Wingdings" w:hAnsi="Wingdings" w:hint="default"/>
      </w:rPr>
    </w:lvl>
    <w:lvl w:ilvl="3" w:tplc="0C090001" w:tentative="1">
      <w:start w:val="1"/>
      <w:numFmt w:val="bullet"/>
      <w:lvlText w:val=""/>
      <w:lvlJc w:val="left"/>
      <w:pPr>
        <w:ind w:left="3674" w:hanging="360"/>
      </w:pPr>
      <w:rPr>
        <w:rFonts w:ascii="Symbol" w:hAnsi="Symbol" w:hint="default"/>
      </w:rPr>
    </w:lvl>
    <w:lvl w:ilvl="4" w:tplc="0C090003" w:tentative="1">
      <w:start w:val="1"/>
      <w:numFmt w:val="bullet"/>
      <w:lvlText w:val="o"/>
      <w:lvlJc w:val="left"/>
      <w:pPr>
        <w:ind w:left="4394" w:hanging="360"/>
      </w:pPr>
      <w:rPr>
        <w:rFonts w:ascii="Courier New" w:hAnsi="Courier New" w:cs="Courier New" w:hint="default"/>
      </w:rPr>
    </w:lvl>
    <w:lvl w:ilvl="5" w:tplc="0C090005" w:tentative="1">
      <w:start w:val="1"/>
      <w:numFmt w:val="bullet"/>
      <w:lvlText w:val=""/>
      <w:lvlJc w:val="left"/>
      <w:pPr>
        <w:ind w:left="5114" w:hanging="360"/>
      </w:pPr>
      <w:rPr>
        <w:rFonts w:ascii="Wingdings" w:hAnsi="Wingdings" w:hint="default"/>
      </w:rPr>
    </w:lvl>
    <w:lvl w:ilvl="6" w:tplc="0C090001" w:tentative="1">
      <w:start w:val="1"/>
      <w:numFmt w:val="bullet"/>
      <w:lvlText w:val=""/>
      <w:lvlJc w:val="left"/>
      <w:pPr>
        <w:ind w:left="5834" w:hanging="360"/>
      </w:pPr>
      <w:rPr>
        <w:rFonts w:ascii="Symbol" w:hAnsi="Symbol" w:hint="default"/>
      </w:rPr>
    </w:lvl>
    <w:lvl w:ilvl="7" w:tplc="0C090003" w:tentative="1">
      <w:start w:val="1"/>
      <w:numFmt w:val="bullet"/>
      <w:lvlText w:val="o"/>
      <w:lvlJc w:val="left"/>
      <w:pPr>
        <w:ind w:left="6554" w:hanging="360"/>
      </w:pPr>
      <w:rPr>
        <w:rFonts w:ascii="Courier New" w:hAnsi="Courier New" w:cs="Courier New" w:hint="default"/>
      </w:rPr>
    </w:lvl>
    <w:lvl w:ilvl="8" w:tplc="0C090005" w:tentative="1">
      <w:start w:val="1"/>
      <w:numFmt w:val="bullet"/>
      <w:lvlText w:val=""/>
      <w:lvlJc w:val="left"/>
      <w:pPr>
        <w:ind w:left="7274" w:hanging="360"/>
      </w:pPr>
      <w:rPr>
        <w:rFonts w:ascii="Wingdings" w:hAnsi="Wingdings" w:hint="default"/>
      </w:rPr>
    </w:lvl>
  </w:abstractNum>
  <w:abstractNum w:abstractNumId="4">
    <w:nsid w:val="0721262A"/>
    <w:multiLevelType w:val="hybridMultilevel"/>
    <w:tmpl w:val="7BC2491C"/>
    <w:lvl w:ilvl="0" w:tplc="0C09000F">
      <w:start w:val="1"/>
      <w:numFmt w:val="decimal"/>
      <w:lvlText w:val="%1."/>
      <w:lvlJc w:val="left"/>
      <w:pPr>
        <w:ind w:left="1514" w:hanging="360"/>
      </w:pPr>
      <w:rPr>
        <w:rFonts w:hint="default"/>
      </w:rPr>
    </w:lvl>
    <w:lvl w:ilvl="1" w:tplc="0C090003" w:tentative="1">
      <w:start w:val="1"/>
      <w:numFmt w:val="bullet"/>
      <w:lvlText w:val="o"/>
      <w:lvlJc w:val="left"/>
      <w:pPr>
        <w:ind w:left="2234" w:hanging="360"/>
      </w:pPr>
      <w:rPr>
        <w:rFonts w:ascii="Courier New" w:hAnsi="Courier New" w:cs="Courier New" w:hint="default"/>
      </w:rPr>
    </w:lvl>
    <w:lvl w:ilvl="2" w:tplc="0C090005" w:tentative="1">
      <w:start w:val="1"/>
      <w:numFmt w:val="bullet"/>
      <w:lvlText w:val=""/>
      <w:lvlJc w:val="left"/>
      <w:pPr>
        <w:ind w:left="2954" w:hanging="360"/>
      </w:pPr>
      <w:rPr>
        <w:rFonts w:ascii="Wingdings" w:hAnsi="Wingdings" w:hint="default"/>
      </w:rPr>
    </w:lvl>
    <w:lvl w:ilvl="3" w:tplc="0C090001" w:tentative="1">
      <w:start w:val="1"/>
      <w:numFmt w:val="bullet"/>
      <w:lvlText w:val=""/>
      <w:lvlJc w:val="left"/>
      <w:pPr>
        <w:ind w:left="3674" w:hanging="360"/>
      </w:pPr>
      <w:rPr>
        <w:rFonts w:ascii="Symbol" w:hAnsi="Symbol" w:hint="default"/>
      </w:rPr>
    </w:lvl>
    <w:lvl w:ilvl="4" w:tplc="0C090003" w:tentative="1">
      <w:start w:val="1"/>
      <w:numFmt w:val="bullet"/>
      <w:lvlText w:val="o"/>
      <w:lvlJc w:val="left"/>
      <w:pPr>
        <w:ind w:left="4394" w:hanging="360"/>
      </w:pPr>
      <w:rPr>
        <w:rFonts w:ascii="Courier New" w:hAnsi="Courier New" w:cs="Courier New" w:hint="default"/>
      </w:rPr>
    </w:lvl>
    <w:lvl w:ilvl="5" w:tplc="0C090005" w:tentative="1">
      <w:start w:val="1"/>
      <w:numFmt w:val="bullet"/>
      <w:lvlText w:val=""/>
      <w:lvlJc w:val="left"/>
      <w:pPr>
        <w:ind w:left="5114" w:hanging="360"/>
      </w:pPr>
      <w:rPr>
        <w:rFonts w:ascii="Wingdings" w:hAnsi="Wingdings" w:hint="default"/>
      </w:rPr>
    </w:lvl>
    <w:lvl w:ilvl="6" w:tplc="0C090001" w:tentative="1">
      <w:start w:val="1"/>
      <w:numFmt w:val="bullet"/>
      <w:lvlText w:val=""/>
      <w:lvlJc w:val="left"/>
      <w:pPr>
        <w:ind w:left="5834" w:hanging="360"/>
      </w:pPr>
      <w:rPr>
        <w:rFonts w:ascii="Symbol" w:hAnsi="Symbol" w:hint="default"/>
      </w:rPr>
    </w:lvl>
    <w:lvl w:ilvl="7" w:tplc="0C090003" w:tentative="1">
      <w:start w:val="1"/>
      <w:numFmt w:val="bullet"/>
      <w:lvlText w:val="o"/>
      <w:lvlJc w:val="left"/>
      <w:pPr>
        <w:ind w:left="6554" w:hanging="360"/>
      </w:pPr>
      <w:rPr>
        <w:rFonts w:ascii="Courier New" w:hAnsi="Courier New" w:cs="Courier New" w:hint="default"/>
      </w:rPr>
    </w:lvl>
    <w:lvl w:ilvl="8" w:tplc="0C090005" w:tentative="1">
      <w:start w:val="1"/>
      <w:numFmt w:val="bullet"/>
      <w:lvlText w:val=""/>
      <w:lvlJc w:val="left"/>
      <w:pPr>
        <w:ind w:left="7274" w:hanging="360"/>
      </w:pPr>
      <w:rPr>
        <w:rFonts w:ascii="Wingdings" w:hAnsi="Wingdings" w:hint="default"/>
      </w:rPr>
    </w:lvl>
  </w:abstractNum>
  <w:abstractNum w:abstractNumId="5">
    <w:nsid w:val="120F6BEE"/>
    <w:multiLevelType w:val="hybridMultilevel"/>
    <w:tmpl w:val="D37A9AC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nsid w:val="12CB1C2B"/>
    <w:multiLevelType w:val="multilevel"/>
    <w:tmpl w:val="90082FEC"/>
    <w:lvl w:ilvl="0">
      <w:start w:val="1"/>
      <w:numFmt w:val="bullet"/>
      <w:lvlText w:val=""/>
      <w:lvlJc w:val="left"/>
      <w:pPr>
        <w:ind w:left="720" w:hanging="360"/>
      </w:pPr>
      <w:rPr>
        <w:rFonts w:ascii="Symbol" w:hAnsi="Symbol" w:hint="default"/>
      </w:rPr>
    </w:lvl>
    <w:lvl w:ilvl="1">
      <w:start w:val="4"/>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13F42166"/>
    <w:multiLevelType w:val="multilevel"/>
    <w:tmpl w:val="90082FEC"/>
    <w:lvl w:ilvl="0">
      <w:start w:val="1"/>
      <w:numFmt w:val="bullet"/>
      <w:lvlText w:val=""/>
      <w:lvlJc w:val="left"/>
      <w:pPr>
        <w:ind w:left="720" w:hanging="360"/>
      </w:pPr>
      <w:rPr>
        <w:rFonts w:ascii="Symbol" w:hAnsi="Symbol" w:hint="default"/>
        <w:b/>
      </w:rPr>
    </w:lvl>
    <w:lvl w:ilvl="1">
      <w:start w:val="4"/>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161C752B"/>
    <w:multiLevelType w:val="multilevel"/>
    <w:tmpl w:val="DA904724"/>
    <w:lvl w:ilvl="0">
      <w:start w:val="1"/>
      <w:numFmt w:val="decimal"/>
      <w:pStyle w:val="Heading1"/>
      <w:lvlText w:val="%1."/>
      <w:lvlJc w:val="left"/>
      <w:pPr>
        <w:tabs>
          <w:tab w:val="num" w:pos="794"/>
        </w:tabs>
        <w:ind w:left="794" w:hanging="794"/>
      </w:pPr>
      <w:rPr>
        <w:rFonts w:ascii="Calibri" w:hAnsi="Calibri" w:hint="default"/>
        <w:b w:val="0"/>
        <w:i w:val="0"/>
        <w:vanish w:val="0"/>
        <w:color w:val="404040"/>
        <w:sz w:val="40"/>
      </w:rPr>
    </w:lvl>
    <w:lvl w:ilvl="1">
      <w:start w:val="1"/>
      <w:numFmt w:val="decimal"/>
      <w:pStyle w:val="Heading2"/>
      <w:lvlText w:val="%1.%2"/>
      <w:lvlJc w:val="left"/>
      <w:pPr>
        <w:tabs>
          <w:tab w:val="num" w:pos="794"/>
        </w:tabs>
        <w:ind w:left="794" w:hanging="794"/>
      </w:pPr>
      <w:rPr>
        <w:rFonts w:ascii="Calibri" w:hAnsi="Calibri" w:hint="default"/>
        <w:b w:val="0"/>
        <w:i w:val="0"/>
        <w:vanish w:val="0"/>
        <w:color w:val="4D4D4D"/>
        <w:sz w:val="30"/>
      </w:rPr>
    </w:lvl>
    <w:lvl w:ilvl="2">
      <w:start w:val="1"/>
      <w:numFmt w:val="decimal"/>
      <w:pStyle w:val="Heading3"/>
      <w:lvlText w:val="%1.%2.%3"/>
      <w:lvlJc w:val="left"/>
      <w:pPr>
        <w:tabs>
          <w:tab w:val="num" w:pos="794"/>
        </w:tabs>
        <w:ind w:left="794" w:hanging="794"/>
      </w:pPr>
      <w:rPr>
        <w:rFonts w:ascii="Calibri" w:hAnsi="Calibri" w:hint="default"/>
        <w:b/>
        <w:i w:val="0"/>
        <w:vanish w:val="0"/>
        <w:color w:val="4D4D4D"/>
        <w:sz w:val="26"/>
      </w:rPr>
    </w:lvl>
    <w:lvl w:ilvl="3">
      <w:start w:val="1"/>
      <w:numFmt w:val="decimal"/>
      <w:pStyle w:val="Heading4"/>
      <w:lvlText w:val="%1.%2.%3.%4"/>
      <w:lvlJc w:val="left"/>
      <w:pPr>
        <w:tabs>
          <w:tab w:val="num" w:pos="792"/>
        </w:tabs>
        <w:ind w:left="794" w:hanging="794"/>
      </w:pPr>
      <w:rPr>
        <w:rFonts w:ascii="Calibri" w:hAnsi="Calibri" w:hint="default"/>
        <w:b/>
        <w:i w:val="0"/>
        <w:vanish w:val="0"/>
        <w:color w:val="4D4D4D"/>
        <w:sz w:val="22"/>
      </w:rPr>
    </w:lvl>
    <w:lvl w:ilvl="4">
      <w:start w:val="1"/>
      <w:numFmt w:val="none"/>
      <w:pStyle w:val="Heading5"/>
      <w:suff w:val="nothing"/>
      <w:lvlText w:val="%5"/>
      <w:lvlJc w:val="left"/>
      <w:pPr>
        <w:ind w:left="794" w:firstLine="0"/>
      </w:pPr>
      <w:rPr>
        <w:rFonts w:ascii="Calibri" w:hAnsi="Calibri" w:hint="default"/>
        <w:b w:val="0"/>
        <w:i/>
        <w:vanish w:val="0"/>
        <w:color w:val="404040"/>
        <w:sz w:val="22"/>
      </w:rPr>
    </w:lvl>
    <w:lvl w:ilvl="5">
      <w:start w:val="1"/>
      <w:numFmt w:val="decimal"/>
      <w:pStyle w:val="Heading6"/>
      <w:suff w:val="nothing"/>
      <w:lvlText w:val=""/>
      <w:lvlJc w:val="left"/>
      <w:pPr>
        <w:ind w:left="794" w:firstLine="0"/>
      </w:pPr>
      <w:rPr>
        <w:rFonts w:ascii="Calibri" w:hAnsi="Calibri" w:hint="default"/>
        <w:b w:val="0"/>
        <w:i/>
        <w:vanish w:val="0"/>
        <w:color w:val="404040"/>
        <w:sz w:val="22"/>
      </w:rPr>
    </w:lvl>
    <w:lvl w:ilvl="6">
      <w:start w:val="1"/>
      <w:numFmt w:val="decimal"/>
      <w:pStyle w:val="Heading7"/>
      <w:suff w:val="nothing"/>
      <w:lvlText w:val=""/>
      <w:lvlJc w:val="left"/>
      <w:pPr>
        <w:ind w:left="794" w:firstLine="0"/>
      </w:pPr>
      <w:rPr>
        <w:rFonts w:ascii="Calibri" w:hAnsi="Calibri" w:hint="default"/>
        <w:b w:val="0"/>
        <w:i w:val="0"/>
        <w:vanish w:val="0"/>
        <w:color w:val="404040"/>
        <w:sz w:val="22"/>
      </w:rPr>
    </w:lvl>
    <w:lvl w:ilvl="7">
      <w:start w:val="1"/>
      <w:numFmt w:val="decimal"/>
      <w:pStyle w:val="Heading8"/>
      <w:suff w:val="nothing"/>
      <w:lvlText w:val=""/>
      <w:lvlJc w:val="left"/>
      <w:pPr>
        <w:ind w:left="794" w:firstLine="0"/>
      </w:pPr>
      <w:rPr>
        <w:rFonts w:ascii="Calibri" w:hAnsi="Calibri" w:hint="default"/>
        <w:b/>
        <w:i w:val="0"/>
        <w:vanish w:val="0"/>
        <w:color w:val="404040"/>
        <w:sz w:val="22"/>
      </w:rPr>
    </w:lvl>
    <w:lvl w:ilvl="8">
      <w:start w:val="1"/>
      <w:numFmt w:val="decimal"/>
      <w:pStyle w:val="Heading9"/>
      <w:suff w:val="nothing"/>
      <w:lvlText w:val=""/>
      <w:lvlJc w:val="left"/>
      <w:pPr>
        <w:ind w:left="794" w:firstLine="0"/>
      </w:pPr>
      <w:rPr>
        <w:rFonts w:ascii="Calibri" w:hAnsi="Calibri" w:hint="default"/>
        <w:b/>
        <w:i w:val="0"/>
        <w:vanish w:val="0"/>
        <w:color w:val="404040"/>
        <w:sz w:val="22"/>
      </w:rPr>
    </w:lvl>
  </w:abstractNum>
  <w:abstractNum w:abstractNumId="9">
    <w:nsid w:val="1A3D59F3"/>
    <w:multiLevelType w:val="hybridMultilevel"/>
    <w:tmpl w:val="EC2E431E"/>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1A653874"/>
    <w:multiLevelType w:val="hybridMultilevel"/>
    <w:tmpl w:val="D3446214"/>
    <w:lvl w:ilvl="0" w:tplc="0C090001">
      <w:start w:val="1"/>
      <w:numFmt w:val="bullet"/>
      <w:lvlText w:val=""/>
      <w:lvlJc w:val="left"/>
      <w:pPr>
        <w:ind w:left="1514" w:hanging="360"/>
      </w:pPr>
      <w:rPr>
        <w:rFonts w:ascii="Symbol" w:hAnsi="Symbol" w:hint="default"/>
      </w:rPr>
    </w:lvl>
    <w:lvl w:ilvl="1" w:tplc="0C090003" w:tentative="1">
      <w:start w:val="1"/>
      <w:numFmt w:val="bullet"/>
      <w:lvlText w:val="o"/>
      <w:lvlJc w:val="left"/>
      <w:pPr>
        <w:ind w:left="2234" w:hanging="360"/>
      </w:pPr>
      <w:rPr>
        <w:rFonts w:ascii="Courier New" w:hAnsi="Courier New" w:cs="Courier New" w:hint="default"/>
      </w:rPr>
    </w:lvl>
    <w:lvl w:ilvl="2" w:tplc="0C090005" w:tentative="1">
      <w:start w:val="1"/>
      <w:numFmt w:val="bullet"/>
      <w:lvlText w:val=""/>
      <w:lvlJc w:val="left"/>
      <w:pPr>
        <w:ind w:left="2954" w:hanging="360"/>
      </w:pPr>
      <w:rPr>
        <w:rFonts w:ascii="Wingdings" w:hAnsi="Wingdings" w:hint="default"/>
      </w:rPr>
    </w:lvl>
    <w:lvl w:ilvl="3" w:tplc="0C090001" w:tentative="1">
      <w:start w:val="1"/>
      <w:numFmt w:val="bullet"/>
      <w:lvlText w:val=""/>
      <w:lvlJc w:val="left"/>
      <w:pPr>
        <w:ind w:left="3674" w:hanging="360"/>
      </w:pPr>
      <w:rPr>
        <w:rFonts w:ascii="Symbol" w:hAnsi="Symbol" w:hint="default"/>
      </w:rPr>
    </w:lvl>
    <w:lvl w:ilvl="4" w:tplc="0C090003" w:tentative="1">
      <w:start w:val="1"/>
      <w:numFmt w:val="bullet"/>
      <w:lvlText w:val="o"/>
      <w:lvlJc w:val="left"/>
      <w:pPr>
        <w:ind w:left="4394" w:hanging="360"/>
      </w:pPr>
      <w:rPr>
        <w:rFonts w:ascii="Courier New" w:hAnsi="Courier New" w:cs="Courier New" w:hint="default"/>
      </w:rPr>
    </w:lvl>
    <w:lvl w:ilvl="5" w:tplc="0C090005" w:tentative="1">
      <w:start w:val="1"/>
      <w:numFmt w:val="bullet"/>
      <w:lvlText w:val=""/>
      <w:lvlJc w:val="left"/>
      <w:pPr>
        <w:ind w:left="5114" w:hanging="360"/>
      </w:pPr>
      <w:rPr>
        <w:rFonts w:ascii="Wingdings" w:hAnsi="Wingdings" w:hint="default"/>
      </w:rPr>
    </w:lvl>
    <w:lvl w:ilvl="6" w:tplc="0C090001" w:tentative="1">
      <w:start w:val="1"/>
      <w:numFmt w:val="bullet"/>
      <w:lvlText w:val=""/>
      <w:lvlJc w:val="left"/>
      <w:pPr>
        <w:ind w:left="5834" w:hanging="360"/>
      </w:pPr>
      <w:rPr>
        <w:rFonts w:ascii="Symbol" w:hAnsi="Symbol" w:hint="default"/>
      </w:rPr>
    </w:lvl>
    <w:lvl w:ilvl="7" w:tplc="0C090003" w:tentative="1">
      <w:start w:val="1"/>
      <w:numFmt w:val="bullet"/>
      <w:lvlText w:val="o"/>
      <w:lvlJc w:val="left"/>
      <w:pPr>
        <w:ind w:left="6554" w:hanging="360"/>
      </w:pPr>
      <w:rPr>
        <w:rFonts w:ascii="Courier New" w:hAnsi="Courier New" w:cs="Courier New" w:hint="default"/>
      </w:rPr>
    </w:lvl>
    <w:lvl w:ilvl="8" w:tplc="0C090005" w:tentative="1">
      <w:start w:val="1"/>
      <w:numFmt w:val="bullet"/>
      <w:lvlText w:val=""/>
      <w:lvlJc w:val="left"/>
      <w:pPr>
        <w:ind w:left="7274" w:hanging="360"/>
      </w:pPr>
      <w:rPr>
        <w:rFonts w:ascii="Wingdings" w:hAnsi="Wingdings" w:hint="default"/>
      </w:rPr>
    </w:lvl>
  </w:abstractNum>
  <w:abstractNum w:abstractNumId="11">
    <w:nsid w:val="1CBB6E36"/>
    <w:multiLevelType w:val="multilevel"/>
    <w:tmpl w:val="90082FEC"/>
    <w:lvl w:ilvl="0">
      <w:start w:val="1"/>
      <w:numFmt w:val="bullet"/>
      <w:lvlText w:val=""/>
      <w:lvlJc w:val="left"/>
      <w:pPr>
        <w:ind w:left="720" w:hanging="360"/>
      </w:pPr>
      <w:rPr>
        <w:rFonts w:ascii="Symbol" w:hAnsi="Symbol" w:hint="default"/>
      </w:rPr>
    </w:lvl>
    <w:lvl w:ilvl="1">
      <w:start w:val="4"/>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1EBD62E0"/>
    <w:multiLevelType w:val="hybridMultilevel"/>
    <w:tmpl w:val="D0CCCCD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1FCB7787"/>
    <w:multiLevelType w:val="multilevel"/>
    <w:tmpl w:val="EE5AABDA"/>
    <w:lvl w:ilvl="0">
      <w:start w:val="1"/>
      <w:numFmt w:val="decimal"/>
      <w:pStyle w:val="ListNumber"/>
      <w:lvlText w:val="%1."/>
      <w:lvlJc w:val="left"/>
      <w:pPr>
        <w:tabs>
          <w:tab w:val="num" w:pos="1077"/>
        </w:tabs>
        <w:ind w:left="1077" w:hanging="283"/>
      </w:pPr>
      <w:rPr>
        <w:rFonts w:ascii="Calibri" w:hAnsi="Calibri"/>
        <w:b w:val="0"/>
        <w:i w:val="0"/>
        <w:sz w:val="22"/>
      </w:rPr>
    </w:lvl>
    <w:lvl w:ilvl="1">
      <w:start w:val="1"/>
      <w:numFmt w:val="lowerLetter"/>
      <w:pStyle w:val="ListNumber2"/>
      <w:lvlText w:val="%2)"/>
      <w:lvlJc w:val="left"/>
      <w:pPr>
        <w:tabs>
          <w:tab w:val="num" w:pos="1361"/>
        </w:tabs>
        <w:ind w:left="1361" w:hanging="284"/>
      </w:pPr>
      <w:rPr>
        <w:rFonts w:ascii="Calibri" w:hAnsi="Calibri"/>
        <w:b w:val="0"/>
        <w:i w:val="0"/>
        <w:sz w:val="22"/>
      </w:rPr>
    </w:lvl>
    <w:lvl w:ilvl="2">
      <w:start w:val="1"/>
      <w:numFmt w:val="lowerRoman"/>
      <w:pStyle w:val="ListNumber3"/>
      <w:lvlText w:val="%3."/>
      <w:lvlJc w:val="left"/>
      <w:pPr>
        <w:tabs>
          <w:tab w:val="num" w:pos="1644"/>
        </w:tabs>
        <w:ind w:left="1644" w:hanging="283"/>
      </w:pPr>
      <w:rPr>
        <w:rFonts w:ascii="Calibri" w:hAnsi="Calibri"/>
        <w:b w:val="0"/>
        <w:i w:val="0"/>
        <w:sz w:val="22"/>
      </w:rPr>
    </w:lvl>
    <w:lvl w:ilvl="3">
      <w:start w:val="1"/>
      <w:numFmt w:val="decimal"/>
      <w:lvlText w:val="–"/>
      <w:lvlJc w:val="left"/>
      <w:pPr>
        <w:tabs>
          <w:tab w:val="num" w:pos="1928"/>
        </w:tabs>
        <w:ind w:left="1928" w:hanging="284"/>
      </w:pPr>
      <w:rPr>
        <w:rFonts w:ascii="Calibri" w:hAnsi="Calibri"/>
        <w:b w:val="0"/>
        <w:i w:val="0"/>
        <w:sz w:val="22"/>
      </w:rPr>
    </w:lvl>
    <w:lvl w:ilvl="4">
      <w:start w:val="1"/>
      <w:numFmt w:val="decimal"/>
      <w:lvlText w:val="–"/>
      <w:lvlJc w:val="left"/>
      <w:pPr>
        <w:tabs>
          <w:tab w:val="num" w:pos="2211"/>
        </w:tabs>
        <w:ind w:left="2211" w:hanging="283"/>
      </w:pPr>
      <w:rPr>
        <w:rFonts w:ascii="Calibri" w:hAnsi="Calibri"/>
        <w:b w:val="0"/>
        <w:i w:val="0"/>
        <w:sz w:val="22"/>
      </w:rPr>
    </w:lvl>
    <w:lvl w:ilvl="5">
      <w:start w:val="1"/>
      <w:numFmt w:val="decimal"/>
      <w:lvlText w:val="–"/>
      <w:lvlJc w:val="left"/>
      <w:pPr>
        <w:tabs>
          <w:tab w:val="num" w:pos="2495"/>
        </w:tabs>
        <w:ind w:left="2495" w:hanging="284"/>
      </w:pPr>
      <w:rPr>
        <w:rFonts w:ascii="Calibri" w:hAnsi="Calibri"/>
        <w:b w:val="0"/>
        <w:i w:val="0"/>
        <w:sz w:val="22"/>
      </w:rPr>
    </w:lvl>
    <w:lvl w:ilvl="6">
      <w:start w:val="1"/>
      <w:numFmt w:val="decimal"/>
      <w:lvlText w:val="–"/>
      <w:lvlJc w:val="left"/>
      <w:pPr>
        <w:tabs>
          <w:tab w:val="num" w:pos="2778"/>
        </w:tabs>
        <w:ind w:left="2778" w:hanging="283"/>
      </w:pPr>
      <w:rPr>
        <w:rFonts w:ascii="Calibri" w:hAnsi="Calibri"/>
        <w:b w:val="0"/>
        <w:i w:val="0"/>
        <w:sz w:val="22"/>
      </w:rPr>
    </w:lvl>
    <w:lvl w:ilvl="7">
      <w:start w:val="1"/>
      <w:numFmt w:val="decimal"/>
      <w:lvlText w:val="–"/>
      <w:lvlJc w:val="left"/>
      <w:pPr>
        <w:tabs>
          <w:tab w:val="num" w:pos="3062"/>
        </w:tabs>
        <w:ind w:left="3062" w:hanging="284"/>
      </w:pPr>
      <w:rPr>
        <w:rFonts w:ascii="Calibri" w:hAnsi="Calibri"/>
        <w:b w:val="0"/>
        <w:i w:val="0"/>
        <w:sz w:val="22"/>
      </w:rPr>
    </w:lvl>
    <w:lvl w:ilvl="8">
      <w:start w:val="1"/>
      <w:numFmt w:val="decimal"/>
      <w:lvlText w:val="–"/>
      <w:lvlJc w:val="left"/>
      <w:pPr>
        <w:tabs>
          <w:tab w:val="num" w:pos="3345"/>
        </w:tabs>
        <w:ind w:left="3345" w:hanging="283"/>
      </w:pPr>
      <w:rPr>
        <w:rFonts w:ascii="Calibri" w:hAnsi="Calibri"/>
        <w:b w:val="0"/>
        <w:i w:val="0"/>
        <w:sz w:val="22"/>
      </w:rPr>
    </w:lvl>
  </w:abstractNum>
  <w:abstractNum w:abstractNumId="14">
    <w:nsid w:val="24CE26AB"/>
    <w:multiLevelType w:val="multilevel"/>
    <w:tmpl w:val="21785FC0"/>
    <w:lvl w:ilvl="0">
      <w:start w:val="1"/>
      <w:numFmt w:val="lowerLetter"/>
      <w:pStyle w:val="BreakoutList1"/>
      <w:lvlText w:val="%1)"/>
      <w:lvlJc w:val="left"/>
      <w:pPr>
        <w:tabs>
          <w:tab w:val="num" w:pos="567"/>
        </w:tabs>
        <w:ind w:left="567" w:hanging="567"/>
      </w:pPr>
      <w:rPr>
        <w:rFonts w:ascii="Calibri" w:hAnsi="Calibri"/>
        <w:b w:val="0"/>
        <w:i w:val="0"/>
        <w:color w:val="auto"/>
        <w:sz w:val="20"/>
      </w:rPr>
    </w:lvl>
    <w:lvl w:ilvl="1">
      <w:start w:val="1"/>
      <w:numFmt w:val="decimal"/>
      <w:pStyle w:val="BreakoutList2"/>
      <w:lvlText w:val="%2"/>
      <w:lvlJc w:val="left"/>
      <w:pPr>
        <w:tabs>
          <w:tab w:val="num" w:pos="850"/>
        </w:tabs>
        <w:ind w:left="850" w:hanging="283"/>
      </w:pPr>
      <w:rPr>
        <w:rFonts w:ascii="Calibri" w:hAnsi="Calibri"/>
        <w:b w:val="0"/>
        <w:i w:val="0"/>
        <w:color w:val="auto"/>
        <w:sz w:val="20"/>
      </w:rPr>
    </w:lvl>
    <w:lvl w:ilvl="2">
      <w:start w:val="1"/>
      <w:numFmt w:val="bullet"/>
      <w:lvlText w:val="–"/>
      <w:lvlJc w:val="left"/>
      <w:pPr>
        <w:tabs>
          <w:tab w:val="num" w:pos="1134"/>
        </w:tabs>
        <w:ind w:left="1134" w:hanging="284"/>
      </w:pPr>
      <w:rPr>
        <w:rFonts w:ascii="Calibri" w:hAnsi="Calibri"/>
        <w:b w:val="0"/>
        <w:i w:val="0"/>
        <w:color w:val="auto"/>
        <w:sz w:val="20"/>
      </w:rPr>
    </w:lvl>
    <w:lvl w:ilvl="3">
      <w:start w:val="1"/>
      <w:numFmt w:val="bullet"/>
      <w:lvlText w:val="–"/>
      <w:lvlJc w:val="left"/>
      <w:pPr>
        <w:tabs>
          <w:tab w:val="num" w:pos="1417"/>
        </w:tabs>
        <w:ind w:left="1417" w:hanging="283"/>
      </w:pPr>
      <w:rPr>
        <w:rFonts w:ascii="Calibri" w:hAnsi="Calibri"/>
        <w:b w:val="0"/>
        <w:i w:val="0"/>
        <w:color w:val="auto"/>
        <w:sz w:val="20"/>
      </w:rPr>
    </w:lvl>
    <w:lvl w:ilvl="4">
      <w:start w:val="1"/>
      <w:numFmt w:val="bullet"/>
      <w:lvlText w:val="–"/>
      <w:lvlJc w:val="left"/>
      <w:pPr>
        <w:tabs>
          <w:tab w:val="num" w:pos="1701"/>
        </w:tabs>
        <w:ind w:left="1701" w:hanging="284"/>
      </w:pPr>
      <w:rPr>
        <w:rFonts w:ascii="Calibri" w:hAnsi="Calibri"/>
        <w:b w:val="0"/>
        <w:i w:val="0"/>
        <w:color w:val="auto"/>
        <w:sz w:val="20"/>
      </w:rPr>
    </w:lvl>
    <w:lvl w:ilvl="5">
      <w:start w:val="1"/>
      <w:numFmt w:val="bullet"/>
      <w:lvlText w:val="–"/>
      <w:lvlJc w:val="left"/>
      <w:pPr>
        <w:tabs>
          <w:tab w:val="num" w:pos="1984"/>
        </w:tabs>
        <w:ind w:left="1984" w:hanging="283"/>
      </w:pPr>
      <w:rPr>
        <w:rFonts w:ascii="Calibri" w:hAnsi="Calibri"/>
        <w:b w:val="0"/>
        <w:i w:val="0"/>
        <w:color w:val="auto"/>
        <w:sz w:val="20"/>
      </w:rPr>
    </w:lvl>
    <w:lvl w:ilvl="6">
      <w:start w:val="1"/>
      <w:numFmt w:val="bullet"/>
      <w:lvlText w:val="–"/>
      <w:lvlJc w:val="left"/>
      <w:pPr>
        <w:tabs>
          <w:tab w:val="num" w:pos="2268"/>
        </w:tabs>
        <w:ind w:left="2268" w:hanging="284"/>
      </w:pPr>
      <w:rPr>
        <w:rFonts w:ascii="Calibri" w:hAnsi="Calibri"/>
        <w:b w:val="0"/>
        <w:i w:val="0"/>
        <w:color w:val="auto"/>
        <w:sz w:val="20"/>
      </w:rPr>
    </w:lvl>
    <w:lvl w:ilvl="7">
      <w:start w:val="1"/>
      <w:numFmt w:val="bullet"/>
      <w:lvlText w:val="–"/>
      <w:lvlJc w:val="left"/>
      <w:pPr>
        <w:tabs>
          <w:tab w:val="num" w:pos="2551"/>
        </w:tabs>
        <w:ind w:left="2551" w:hanging="283"/>
      </w:pPr>
      <w:rPr>
        <w:rFonts w:ascii="Calibri" w:hAnsi="Calibri"/>
        <w:b w:val="0"/>
        <w:i w:val="0"/>
        <w:color w:val="auto"/>
        <w:sz w:val="20"/>
      </w:rPr>
    </w:lvl>
    <w:lvl w:ilvl="8">
      <w:start w:val="1"/>
      <w:numFmt w:val="bullet"/>
      <w:lvlText w:val="–"/>
      <w:lvlJc w:val="left"/>
      <w:pPr>
        <w:tabs>
          <w:tab w:val="num" w:pos="2835"/>
        </w:tabs>
        <w:ind w:left="2835" w:hanging="284"/>
      </w:pPr>
      <w:rPr>
        <w:rFonts w:ascii="Calibri" w:hAnsi="Calibri"/>
        <w:b w:val="0"/>
        <w:i w:val="0"/>
        <w:color w:val="auto"/>
        <w:sz w:val="20"/>
      </w:rPr>
    </w:lvl>
  </w:abstractNum>
  <w:abstractNum w:abstractNumId="15">
    <w:nsid w:val="27785FCD"/>
    <w:multiLevelType w:val="multilevel"/>
    <w:tmpl w:val="0268CF42"/>
    <w:lvl w:ilvl="0">
      <w:start w:val="1"/>
      <w:numFmt w:val="decimal"/>
      <w:pStyle w:val="Attachment1"/>
      <w:lvlText w:val="Attachment %1."/>
      <w:lvlJc w:val="left"/>
      <w:pPr>
        <w:tabs>
          <w:tab w:val="num" w:pos="2268"/>
        </w:tabs>
        <w:ind w:left="2268" w:hanging="2268"/>
      </w:pPr>
      <w:rPr>
        <w:rFonts w:ascii="Calibri" w:hAnsi="Calibri" w:cs="Calibri" w:hint="default"/>
        <w:b w:val="0"/>
        <w:i w:val="0"/>
        <w:color w:val="404040"/>
        <w:sz w:val="40"/>
      </w:rPr>
    </w:lvl>
    <w:lvl w:ilvl="1">
      <w:start w:val="1"/>
      <w:numFmt w:val="decimal"/>
      <w:lvlText w:val="%1.%2"/>
      <w:lvlJc w:val="left"/>
      <w:pPr>
        <w:tabs>
          <w:tab w:val="num" w:pos="794"/>
        </w:tabs>
        <w:ind w:left="794" w:hanging="794"/>
      </w:pPr>
      <w:rPr>
        <w:rFonts w:ascii="Arial" w:hAnsi="Arial" w:cs="Arial" w:hint="default"/>
        <w:b w:val="0"/>
        <w:i w:val="0"/>
        <w:color w:val="87746A"/>
        <w:sz w:val="24"/>
      </w:rPr>
    </w:lvl>
    <w:lvl w:ilvl="2">
      <w:start w:val="1"/>
      <w:numFmt w:val="decimal"/>
      <w:lvlText w:val="%1.%2.%3"/>
      <w:lvlJc w:val="left"/>
      <w:pPr>
        <w:tabs>
          <w:tab w:val="num" w:pos="794"/>
        </w:tabs>
        <w:ind w:left="794" w:hanging="794"/>
      </w:pPr>
      <w:rPr>
        <w:rFonts w:ascii="Arial" w:hAnsi="Arial" w:cs="Arial" w:hint="default"/>
        <w:b w:val="0"/>
        <w:i w:val="0"/>
        <w:color w:val="B20838"/>
        <w:sz w:val="22"/>
      </w:rPr>
    </w:lvl>
    <w:lvl w:ilvl="3">
      <w:start w:val="1"/>
      <w:numFmt w:val="decimal"/>
      <w:lvlText w:val="%1.%2.%3.%4"/>
      <w:lvlJc w:val="left"/>
      <w:pPr>
        <w:tabs>
          <w:tab w:val="num" w:pos="794"/>
        </w:tabs>
        <w:ind w:left="794" w:hanging="794"/>
      </w:pPr>
      <w:rPr>
        <w:rFonts w:ascii="Arial" w:hAnsi="Arial" w:cs="Arial" w:hint="default"/>
        <w:b/>
        <w:i w:val="0"/>
        <w:color w:val="093A80"/>
        <w:sz w:val="20"/>
      </w:rPr>
    </w:lvl>
    <w:lvl w:ilvl="4">
      <w:start w:val="1"/>
      <w:numFmt w:val="decimal"/>
      <w:lvlText w:val="%1.%2.%3.%4.%5"/>
      <w:lvlJc w:val="left"/>
      <w:pPr>
        <w:tabs>
          <w:tab w:val="num" w:pos="794"/>
        </w:tabs>
        <w:ind w:left="794" w:hanging="794"/>
      </w:pPr>
      <w:rPr>
        <w:rFonts w:ascii="Arial" w:hAnsi="Arial" w:cs="Arial" w:hint="default"/>
        <w:b w:val="0"/>
        <w:i w:val="0"/>
        <w:color w:val="093A80"/>
        <w:sz w:val="20"/>
      </w:rPr>
    </w:lvl>
    <w:lvl w:ilvl="5">
      <w:start w:val="1"/>
      <w:numFmt w:val="decimal"/>
      <w:lvlText w:val="%1.%2.%3.%4.%5.%6"/>
      <w:lvlJc w:val="left"/>
      <w:pPr>
        <w:tabs>
          <w:tab w:val="num" w:pos="794"/>
        </w:tabs>
        <w:ind w:left="794" w:hanging="794"/>
      </w:pPr>
      <w:rPr>
        <w:rFonts w:ascii="Arial" w:hAnsi="Arial" w:cs="Arial" w:hint="default"/>
        <w:b w:val="0"/>
        <w:i w:val="0"/>
        <w:color w:val="093A80"/>
        <w:sz w:val="20"/>
      </w:rPr>
    </w:lvl>
    <w:lvl w:ilvl="6">
      <w:start w:val="1"/>
      <w:numFmt w:val="decimal"/>
      <w:lvlText w:val="%1.%2.%3.%4.%5.%6.%7"/>
      <w:lvlJc w:val="left"/>
      <w:pPr>
        <w:tabs>
          <w:tab w:val="num" w:pos="794"/>
        </w:tabs>
        <w:ind w:left="794" w:hanging="794"/>
      </w:pPr>
      <w:rPr>
        <w:rFonts w:ascii="Arial" w:hAnsi="Arial" w:cs="Arial" w:hint="default"/>
        <w:b w:val="0"/>
        <w:i w:val="0"/>
        <w:color w:val="093A80"/>
        <w:sz w:val="20"/>
      </w:rPr>
    </w:lvl>
    <w:lvl w:ilvl="7">
      <w:start w:val="1"/>
      <w:numFmt w:val="decimal"/>
      <w:lvlText w:val="%1.%2.%3.%4.%5.%6.%7.%8"/>
      <w:lvlJc w:val="left"/>
      <w:pPr>
        <w:tabs>
          <w:tab w:val="num" w:pos="794"/>
        </w:tabs>
        <w:ind w:left="794" w:hanging="794"/>
      </w:pPr>
      <w:rPr>
        <w:rFonts w:ascii="Arial" w:hAnsi="Arial" w:cs="Arial" w:hint="default"/>
        <w:b w:val="0"/>
        <w:i w:val="0"/>
        <w:color w:val="093A80"/>
        <w:sz w:val="20"/>
      </w:rPr>
    </w:lvl>
    <w:lvl w:ilvl="8">
      <w:start w:val="1"/>
      <w:numFmt w:val="decimal"/>
      <w:lvlText w:val="%1.%2.%3.%4.%5.%6.%7.%8.%9"/>
      <w:lvlJc w:val="left"/>
      <w:pPr>
        <w:tabs>
          <w:tab w:val="num" w:pos="794"/>
        </w:tabs>
        <w:ind w:left="794" w:hanging="794"/>
      </w:pPr>
      <w:rPr>
        <w:rFonts w:ascii="Arial" w:hAnsi="Arial" w:cs="Arial" w:hint="default"/>
        <w:b w:val="0"/>
        <w:i w:val="0"/>
        <w:color w:val="093A80"/>
        <w:sz w:val="20"/>
      </w:rPr>
    </w:lvl>
  </w:abstractNum>
  <w:abstractNum w:abstractNumId="16">
    <w:nsid w:val="28102CBD"/>
    <w:multiLevelType w:val="hybridMultilevel"/>
    <w:tmpl w:val="281AE9E2"/>
    <w:lvl w:ilvl="0" w:tplc="0C090001">
      <w:start w:val="1"/>
      <w:numFmt w:val="bullet"/>
      <w:lvlText w:val=""/>
      <w:lvlJc w:val="left"/>
      <w:pPr>
        <w:ind w:left="1561" w:hanging="360"/>
      </w:pPr>
      <w:rPr>
        <w:rFonts w:ascii="Symbol" w:hAnsi="Symbol" w:hint="default"/>
      </w:rPr>
    </w:lvl>
    <w:lvl w:ilvl="1" w:tplc="0C090003" w:tentative="1">
      <w:start w:val="1"/>
      <w:numFmt w:val="bullet"/>
      <w:lvlText w:val="o"/>
      <w:lvlJc w:val="left"/>
      <w:pPr>
        <w:ind w:left="2281" w:hanging="360"/>
      </w:pPr>
      <w:rPr>
        <w:rFonts w:ascii="Courier New" w:hAnsi="Courier New" w:cs="Courier New" w:hint="default"/>
      </w:rPr>
    </w:lvl>
    <w:lvl w:ilvl="2" w:tplc="0C090005" w:tentative="1">
      <w:start w:val="1"/>
      <w:numFmt w:val="bullet"/>
      <w:lvlText w:val=""/>
      <w:lvlJc w:val="left"/>
      <w:pPr>
        <w:ind w:left="3001" w:hanging="360"/>
      </w:pPr>
      <w:rPr>
        <w:rFonts w:ascii="Wingdings" w:hAnsi="Wingdings" w:hint="default"/>
      </w:rPr>
    </w:lvl>
    <w:lvl w:ilvl="3" w:tplc="0C090001" w:tentative="1">
      <w:start w:val="1"/>
      <w:numFmt w:val="bullet"/>
      <w:lvlText w:val=""/>
      <w:lvlJc w:val="left"/>
      <w:pPr>
        <w:ind w:left="3721" w:hanging="360"/>
      </w:pPr>
      <w:rPr>
        <w:rFonts w:ascii="Symbol" w:hAnsi="Symbol" w:hint="default"/>
      </w:rPr>
    </w:lvl>
    <w:lvl w:ilvl="4" w:tplc="0C090003" w:tentative="1">
      <w:start w:val="1"/>
      <w:numFmt w:val="bullet"/>
      <w:lvlText w:val="o"/>
      <w:lvlJc w:val="left"/>
      <w:pPr>
        <w:ind w:left="4441" w:hanging="360"/>
      </w:pPr>
      <w:rPr>
        <w:rFonts w:ascii="Courier New" w:hAnsi="Courier New" w:cs="Courier New" w:hint="default"/>
      </w:rPr>
    </w:lvl>
    <w:lvl w:ilvl="5" w:tplc="0C090005" w:tentative="1">
      <w:start w:val="1"/>
      <w:numFmt w:val="bullet"/>
      <w:lvlText w:val=""/>
      <w:lvlJc w:val="left"/>
      <w:pPr>
        <w:ind w:left="5161" w:hanging="360"/>
      </w:pPr>
      <w:rPr>
        <w:rFonts w:ascii="Wingdings" w:hAnsi="Wingdings" w:hint="default"/>
      </w:rPr>
    </w:lvl>
    <w:lvl w:ilvl="6" w:tplc="0C090001" w:tentative="1">
      <w:start w:val="1"/>
      <w:numFmt w:val="bullet"/>
      <w:lvlText w:val=""/>
      <w:lvlJc w:val="left"/>
      <w:pPr>
        <w:ind w:left="5881" w:hanging="360"/>
      </w:pPr>
      <w:rPr>
        <w:rFonts w:ascii="Symbol" w:hAnsi="Symbol" w:hint="default"/>
      </w:rPr>
    </w:lvl>
    <w:lvl w:ilvl="7" w:tplc="0C090003" w:tentative="1">
      <w:start w:val="1"/>
      <w:numFmt w:val="bullet"/>
      <w:lvlText w:val="o"/>
      <w:lvlJc w:val="left"/>
      <w:pPr>
        <w:ind w:left="6601" w:hanging="360"/>
      </w:pPr>
      <w:rPr>
        <w:rFonts w:ascii="Courier New" w:hAnsi="Courier New" w:cs="Courier New" w:hint="default"/>
      </w:rPr>
    </w:lvl>
    <w:lvl w:ilvl="8" w:tplc="0C090005" w:tentative="1">
      <w:start w:val="1"/>
      <w:numFmt w:val="bullet"/>
      <w:lvlText w:val=""/>
      <w:lvlJc w:val="left"/>
      <w:pPr>
        <w:ind w:left="7321" w:hanging="360"/>
      </w:pPr>
      <w:rPr>
        <w:rFonts w:ascii="Wingdings" w:hAnsi="Wingdings" w:hint="default"/>
      </w:rPr>
    </w:lvl>
  </w:abstractNum>
  <w:abstractNum w:abstractNumId="17">
    <w:nsid w:val="2EAE061D"/>
    <w:multiLevelType w:val="multilevel"/>
    <w:tmpl w:val="0C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2F77153C"/>
    <w:multiLevelType w:val="hybridMultilevel"/>
    <w:tmpl w:val="98080098"/>
    <w:lvl w:ilvl="0" w:tplc="0C090001">
      <w:start w:val="1"/>
      <w:numFmt w:val="bullet"/>
      <w:lvlText w:val=""/>
      <w:lvlJc w:val="left"/>
      <w:pPr>
        <w:ind w:left="1514" w:hanging="360"/>
      </w:pPr>
      <w:rPr>
        <w:rFonts w:ascii="Symbol" w:hAnsi="Symbol" w:hint="default"/>
      </w:rPr>
    </w:lvl>
    <w:lvl w:ilvl="1" w:tplc="0C090003" w:tentative="1">
      <w:start w:val="1"/>
      <w:numFmt w:val="bullet"/>
      <w:lvlText w:val="o"/>
      <w:lvlJc w:val="left"/>
      <w:pPr>
        <w:ind w:left="2234" w:hanging="360"/>
      </w:pPr>
      <w:rPr>
        <w:rFonts w:ascii="Courier New" w:hAnsi="Courier New" w:cs="Courier New" w:hint="default"/>
      </w:rPr>
    </w:lvl>
    <w:lvl w:ilvl="2" w:tplc="0C090005" w:tentative="1">
      <w:start w:val="1"/>
      <w:numFmt w:val="bullet"/>
      <w:lvlText w:val=""/>
      <w:lvlJc w:val="left"/>
      <w:pPr>
        <w:ind w:left="2954" w:hanging="360"/>
      </w:pPr>
      <w:rPr>
        <w:rFonts w:ascii="Wingdings" w:hAnsi="Wingdings" w:hint="default"/>
      </w:rPr>
    </w:lvl>
    <w:lvl w:ilvl="3" w:tplc="0C090001" w:tentative="1">
      <w:start w:val="1"/>
      <w:numFmt w:val="bullet"/>
      <w:lvlText w:val=""/>
      <w:lvlJc w:val="left"/>
      <w:pPr>
        <w:ind w:left="3674" w:hanging="360"/>
      </w:pPr>
      <w:rPr>
        <w:rFonts w:ascii="Symbol" w:hAnsi="Symbol" w:hint="default"/>
      </w:rPr>
    </w:lvl>
    <w:lvl w:ilvl="4" w:tplc="0C090003" w:tentative="1">
      <w:start w:val="1"/>
      <w:numFmt w:val="bullet"/>
      <w:lvlText w:val="o"/>
      <w:lvlJc w:val="left"/>
      <w:pPr>
        <w:ind w:left="4394" w:hanging="360"/>
      </w:pPr>
      <w:rPr>
        <w:rFonts w:ascii="Courier New" w:hAnsi="Courier New" w:cs="Courier New" w:hint="default"/>
      </w:rPr>
    </w:lvl>
    <w:lvl w:ilvl="5" w:tplc="0C090005" w:tentative="1">
      <w:start w:val="1"/>
      <w:numFmt w:val="bullet"/>
      <w:lvlText w:val=""/>
      <w:lvlJc w:val="left"/>
      <w:pPr>
        <w:ind w:left="5114" w:hanging="360"/>
      </w:pPr>
      <w:rPr>
        <w:rFonts w:ascii="Wingdings" w:hAnsi="Wingdings" w:hint="default"/>
      </w:rPr>
    </w:lvl>
    <w:lvl w:ilvl="6" w:tplc="0C090001" w:tentative="1">
      <w:start w:val="1"/>
      <w:numFmt w:val="bullet"/>
      <w:lvlText w:val=""/>
      <w:lvlJc w:val="left"/>
      <w:pPr>
        <w:ind w:left="5834" w:hanging="360"/>
      </w:pPr>
      <w:rPr>
        <w:rFonts w:ascii="Symbol" w:hAnsi="Symbol" w:hint="default"/>
      </w:rPr>
    </w:lvl>
    <w:lvl w:ilvl="7" w:tplc="0C090003" w:tentative="1">
      <w:start w:val="1"/>
      <w:numFmt w:val="bullet"/>
      <w:lvlText w:val="o"/>
      <w:lvlJc w:val="left"/>
      <w:pPr>
        <w:ind w:left="6554" w:hanging="360"/>
      </w:pPr>
      <w:rPr>
        <w:rFonts w:ascii="Courier New" w:hAnsi="Courier New" w:cs="Courier New" w:hint="default"/>
      </w:rPr>
    </w:lvl>
    <w:lvl w:ilvl="8" w:tplc="0C090005" w:tentative="1">
      <w:start w:val="1"/>
      <w:numFmt w:val="bullet"/>
      <w:lvlText w:val=""/>
      <w:lvlJc w:val="left"/>
      <w:pPr>
        <w:ind w:left="7274" w:hanging="360"/>
      </w:pPr>
      <w:rPr>
        <w:rFonts w:ascii="Wingdings" w:hAnsi="Wingdings" w:hint="default"/>
      </w:rPr>
    </w:lvl>
  </w:abstractNum>
  <w:abstractNum w:abstractNumId="19">
    <w:nsid w:val="317631BC"/>
    <w:multiLevelType w:val="hybridMultilevel"/>
    <w:tmpl w:val="6CF6AEEC"/>
    <w:lvl w:ilvl="0" w:tplc="0C090001">
      <w:start w:val="1"/>
      <w:numFmt w:val="bullet"/>
      <w:lvlText w:val=""/>
      <w:lvlJc w:val="left"/>
      <w:pPr>
        <w:ind w:left="1514" w:hanging="360"/>
      </w:pPr>
      <w:rPr>
        <w:rFonts w:ascii="Symbol" w:hAnsi="Symbol" w:hint="default"/>
      </w:rPr>
    </w:lvl>
    <w:lvl w:ilvl="1" w:tplc="0C090003" w:tentative="1">
      <w:start w:val="1"/>
      <w:numFmt w:val="bullet"/>
      <w:lvlText w:val="o"/>
      <w:lvlJc w:val="left"/>
      <w:pPr>
        <w:ind w:left="2234" w:hanging="360"/>
      </w:pPr>
      <w:rPr>
        <w:rFonts w:ascii="Courier New" w:hAnsi="Courier New" w:cs="Courier New" w:hint="default"/>
      </w:rPr>
    </w:lvl>
    <w:lvl w:ilvl="2" w:tplc="0C090005" w:tentative="1">
      <w:start w:val="1"/>
      <w:numFmt w:val="bullet"/>
      <w:lvlText w:val=""/>
      <w:lvlJc w:val="left"/>
      <w:pPr>
        <w:ind w:left="2954" w:hanging="360"/>
      </w:pPr>
      <w:rPr>
        <w:rFonts w:ascii="Wingdings" w:hAnsi="Wingdings" w:hint="default"/>
      </w:rPr>
    </w:lvl>
    <w:lvl w:ilvl="3" w:tplc="0C090001" w:tentative="1">
      <w:start w:val="1"/>
      <w:numFmt w:val="bullet"/>
      <w:lvlText w:val=""/>
      <w:lvlJc w:val="left"/>
      <w:pPr>
        <w:ind w:left="3674" w:hanging="360"/>
      </w:pPr>
      <w:rPr>
        <w:rFonts w:ascii="Symbol" w:hAnsi="Symbol" w:hint="default"/>
      </w:rPr>
    </w:lvl>
    <w:lvl w:ilvl="4" w:tplc="0C090003" w:tentative="1">
      <w:start w:val="1"/>
      <w:numFmt w:val="bullet"/>
      <w:lvlText w:val="o"/>
      <w:lvlJc w:val="left"/>
      <w:pPr>
        <w:ind w:left="4394" w:hanging="360"/>
      </w:pPr>
      <w:rPr>
        <w:rFonts w:ascii="Courier New" w:hAnsi="Courier New" w:cs="Courier New" w:hint="default"/>
      </w:rPr>
    </w:lvl>
    <w:lvl w:ilvl="5" w:tplc="0C090005" w:tentative="1">
      <w:start w:val="1"/>
      <w:numFmt w:val="bullet"/>
      <w:lvlText w:val=""/>
      <w:lvlJc w:val="left"/>
      <w:pPr>
        <w:ind w:left="5114" w:hanging="360"/>
      </w:pPr>
      <w:rPr>
        <w:rFonts w:ascii="Wingdings" w:hAnsi="Wingdings" w:hint="default"/>
      </w:rPr>
    </w:lvl>
    <w:lvl w:ilvl="6" w:tplc="0C090001" w:tentative="1">
      <w:start w:val="1"/>
      <w:numFmt w:val="bullet"/>
      <w:lvlText w:val=""/>
      <w:lvlJc w:val="left"/>
      <w:pPr>
        <w:ind w:left="5834" w:hanging="360"/>
      </w:pPr>
      <w:rPr>
        <w:rFonts w:ascii="Symbol" w:hAnsi="Symbol" w:hint="default"/>
      </w:rPr>
    </w:lvl>
    <w:lvl w:ilvl="7" w:tplc="0C090003" w:tentative="1">
      <w:start w:val="1"/>
      <w:numFmt w:val="bullet"/>
      <w:lvlText w:val="o"/>
      <w:lvlJc w:val="left"/>
      <w:pPr>
        <w:ind w:left="6554" w:hanging="360"/>
      </w:pPr>
      <w:rPr>
        <w:rFonts w:ascii="Courier New" w:hAnsi="Courier New" w:cs="Courier New" w:hint="default"/>
      </w:rPr>
    </w:lvl>
    <w:lvl w:ilvl="8" w:tplc="0C090005" w:tentative="1">
      <w:start w:val="1"/>
      <w:numFmt w:val="bullet"/>
      <w:lvlText w:val=""/>
      <w:lvlJc w:val="left"/>
      <w:pPr>
        <w:ind w:left="7274" w:hanging="360"/>
      </w:pPr>
      <w:rPr>
        <w:rFonts w:ascii="Wingdings" w:hAnsi="Wingdings" w:hint="default"/>
      </w:rPr>
    </w:lvl>
  </w:abstractNum>
  <w:abstractNum w:abstractNumId="20">
    <w:nsid w:val="321F7E24"/>
    <w:multiLevelType w:val="hybridMultilevel"/>
    <w:tmpl w:val="A9E0891E"/>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33A73BC8"/>
    <w:multiLevelType w:val="hybridMultilevel"/>
    <w:tmpl w:val="66F079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35A93FDE"/>
    <w:multiLevelType w:val="multilevel"/>
    <w:tmpl w:val="90082FEC"/>
    <w:lvl w:ilvl="0">
      <w:start w:val="1"/>
      <w:numFmt w:val="bullet"/>
      <w:lvlText w:val=""/>
      <w:lvlJc w:val="left"/>
      <w:pPr>
        <w:ind w:left="720" w:hanging="360"/>
      </w:pPr>
      <w:rPr>
        <w:rFonts w:ascii="Symbol" w:hAnsi="Symbol" w:hint="default"/>
        <w:b/>
      </w:rPr>
    </w:lvl>
    <w:lvl w:ilvl="1">
      <w:start w:val="4"/>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nsid w:val="38F85051"/>
    <w:multiLevelType w:val="hybridMultilevel"/>
    <w:tmpl w:val="D36E9A2A"/>
    <w:lvl w:ilvl="0" w:tplc="0C09000F">
      <w:start w:val="1"/>
      <w:numFmt w:val="decimal"/>
      <w:lvlText w:val="%1."/>
      <w:lvlJc w:val="left"/>
      <w:pPr>
        <w:ind w:left="1514" w:hanging="360"/>
      </w:pPr>
    </w:lvl>
    <w:lvl w:ilvl="1" w:tplc="0C090019" w:tentative="1">
      <w:start w:val="1"/>
      <w:numFmt w:val="lowerLetter"/>
      <w:lvlText w:val="%2."/>
      <w:lvlJc w:val="left"/>
      <w:pPr>
        <w:ind w:left="2234" w:hanging="360"/>
      </w:pPr>
    </w:lvl>
    <w:lvl w:ilvl="2" w:tplc="0C09001B" w:tentative="1">
      <w:start w:val="1"/>
      <w:numFmt w:val="lowerRoman"/>
      <w:lvlText w:val="%3."/>
      <w:lvlJc w:val="right"/>
      <w:pPr>
        <w:ind w:left="2954" w:hanging="180"/>
      </w:pPr>
    </w:lvl>
    <w:lvl w:ilvl="3" w:tplc="0C09000F" w:tentative="1">
      <w:start w:val="1"/>
      <w:numFmt w:val="decimal"/>
      <w:lvlText w:val="%4."/>
      <w:lvlJc w:val="left"/>
      <w:pPr>
        <w:ind w:left="3674" w:hanging="360"/>
      </w:pPr>
    </w:lvl>
    <w:lvl w:ilvl="4" w:tplc="0C090019" w:tentative="1">
      <w:start w:val="1"/>
      <w:numFmt w:val="lowerLetter"/>
      <w:lvlText w:val="%5."/>
      <w:lvlJc w:val="left"/>
      <w:pPr>
        <w:ind w:left="4394" w:hanging="360"/>
      </w:pPr>
    </w:lvl>
    <w:lvl w:ilvl="5" w:tplc="0C09001B" w:tentative="1">
      <w:start w:val="1"/>
      <w:numFmt w:val="lowerRoman"/>
      <w:lvlText w:val="%6."/>
      <w:lvlJc w:val="right"/>
      <w:pPr>
        <w:ind w:left="5114" w:hanging="180"/>
      </w:pPr>
    </w:lvl>
    <w:lvl w:ilvl="6" w:tplc="0C09000F" w:tentative="1">
      <w:start w:val="1"/>
      <w:numFmt w:val="decimal"/>
      <w:lvlText w:val="%7."/>
      <w:lvlJc w:val="left"/>
      <w:pPr>
        <w:ind w:left="5834" w:hanging="360"/>
      </w:pPr>
    </w:lvl>
    <w:lvl w:ilvl="7" w:tplc="0C090019" w:tentative="1">
      <w:start w:val="1"/>
      <w:numFmt w:val="lowerLetter"/>
      <w:lvlText w:val="%8."/>
      <w:lvlJc w:val="left"/>
      <w:pPr>
        <w:ind w:left="6554" w:hanging="360"/>
      </w:pPr>
    </w:lvl>
    <w:lvl w:ilvl="8" w:tplc="0C09001B" w:tentative="1">
      <w:start w:val="1"/>
      <w:numFmt w:val="lowerRoman"/>
      <w:lvlText w:val="%9."/>
      <w:lvlJc w:val="right"/>
      <w:pPr>
        <w:ind w:left="7274" w:hanging="180"/>
      </w:pPr>
    </w:lvl>
  </w:abstractNum>
  <w:abstractNum w:abstractNumId="24">
    <w:nsid w:val="3D2869E9"/>
    <w:multiLevelType w:val="hybridMultilevel"/>
    <w:tmpl w:val="5DF03E18"/>
    <w:lvl w:ilvl="0" w:tplc="0C09000F">
      <w:start w:val="1"/>
      <w:numFmt w:val="decimal"/>
      <w:lvlText w:val="%1."/>
      <w:lvlJc w:val="left"/>
      <w:pPr>
        <w:ind w:left="1514" w:hanging="360"/>
      </w:pPr>
    </w:lvl>
    <w:lvl w:ilvl="1" w:tplc="0C090019" w:tentative="1">
      <w:start w:val="1"/>
      <w:numFmt w:val="lowerLetter"/>
      <w:lvlText w:val="%2."/>
      <w:lvlJc w:val="left"/>
      <w:pPr>
        <w:ind w:left="2234" w:hanging="360"/>
      </w:pPr>
    </w:lvl>
    <w:lvl w:ilvl="2" w:tplc="0C09001B" w:tentative="1">
      <w:start w:val="1"/>
      <w:numFmt w:val="lowerRoman"/>
      <w:lvlText w:val="%3."/>
      <w:lvlJc w:val="right"/>
      <w:pPr>
        <w:ind w:left="2954" w:hanging="180"/>
      </w:pPr>
    </w:lvl>
    <w:lvl w:ilvl="3" w:tplc="0C09000F" w:tentative="1">
      <w:start w:val="1"/>
      <w:numFmt w:val="decimal"/>
      <w:lvlText w:val="%4."/>
      <w:lvlJc w:val="left"/>
      <w:pPr>
        <w:ind w:left="3674" w:hanging="360"/>
      </w:pPr>
    </w:lvl>
    <w:lvl w:ilvl="4" w:tplc="0C090019" w:tentative="1">
      <w:start w:val="1"/>
      <w:numFmt w:val="lowerLetter"/>
      <w:lvlText w:val="%5."/>
      <w:lvlJc w:val="left"/>
      <w:pPr>
        <w:ind w:left="4394" w:hanging="360"/>
      </w:pPr>
    </w:lvl>
    <w:lvl w:ilvl="5" w:tplc="0C09001B" w:tentative="1">
      <w:start w:val="1"/>
      <w:numFmt w:val="lowerRoman"/>
      <w:lvlText w:val="%6."/>
      <w:lvlJc w:val="right"/>
      <w:pPr>
        <w:ind w:left="5114" w:hanging="180"/>
      </w:pPr>
    </w:lvl>
    <w:lvl w:ilvl="6" w:tplc="0C09000F" w:tentative="1">
      <w:start w:val="1"/>
      <w:numFmt w:val="decimal"/>
      <w:lvlText w:val="%7."/>
      <w:lvlJc w:val="left"/>
      <w:pPr>
        <w:ind w:left="5834" w:hanging="360"/>
      </w:pPr>
    </w:lvl>
    <w:lvl w:ilvl="7" w:tplc="0C090019" w:tentative="1">
      <w:start w:val="1"/>
      <w:numFmt w:val="lowerLetter"/>
      <w:lvlText w:val="%8."/>
      <w:lvlJc w:val="left"/>
      <w:pPr>
        <w:ind w:left="6554" w:hanging="360"/>
      </w:pPr>
    </w:lvl>
    <w:lvl w:ilvl="8" w:tplc="0C09001B" w:tentative="1">
      <w:start w:val="1"/>
      <w:numFmt w:val="lowerRoman"/>
      <w:lvlText w:val="%9."/>
      <w:lvlJc w:val="right"/>
      <w:pPr>
        <w:ind w:left="7274" w:hanging="180"/>
      </w:pPr>
    </w:lvl>
  </w:abstractNum>
  <w:abstractNum w:abstractNumId="25">
    <w:nsid w:val="3F51533F"/>
    <w:multiLevelType w:val="hybridMultilevel"/>
    <w:tmpl w:val="A7027048"/>
    <w:lvl w:ilvl="0" w:tplc="0C090001">
      <w:start w:val="1"/>
      <w:numFmt w:val="bullet"/>
      <w:lvlText w:val=""/>
      <w:lvlJc w:val="left"/>
      <w:pPr>
        <w:ind w:left="1514" w:hanging="360"/>
      </w:pPr>
      <w:rPr>
        <w:rFonts w:ascii="Symbol" w:hAnsi="Symbol" w:hint="default"/>
      </w:rPr>
    </w:lvl>
    <w:lvl w:ilvl="1" w:tplc="0C090003" w:tentative="1">
      <w:start w:val="1"/>
      <w:numFmt w:val="bullet"/>
      <w:lvlText w:val="o"/>
      <w:lvlJc w:val="left"/>
      <w:pPr>
        <w:ind w:left="2234" w:hanging="360"/>
      </w:pPr>
      <w:rPr>
        <w:rFonts w:ascii="Courier New" w:hAnsi="Courier New" w:cs="Courier New" w:hint="default"/>
      </w:rPr>
    </w:lvl>
    <w:lvl w:ilvl="2" w:tplc="0C090005" w:tentative="1">
      <w:start w:val="1"/>
      <w:numFmt w:val="bullet"/>
      <w:lvlText w:val=""/>
      <w:lvlJc w:val="left"/>
      <w:pPr>
        <w:ind w:left="2954" w:hanging="360"/>
      </w:pPr>
      <w:rPr>
        <w:rFonts w:ascii="Wingdings" w:hAnsi="Wingdings" w:hint="default"/>
      </w:rPr>
    </w:lvl>
    <w:lvl w:ilvl="3" w:tplc="0C090001" w:tentative="1">
      <w:start w:val="1"/>
      <w:numFmt w:val="bullet"/>
      <w:lvlText w:val=""/>
      <w:lvlJc w:val="left"/>
      <w:pPr>
        <w:ind w:left="3674" w:hanging="360"/>
      </w:pPr>
      <w:rPr>
        <w:rFonts w:ascii="Symbol" w:hAnsi="Symbol" w:hint="default"/>
      </w:rPr>
    </w:lvl>
    <w:lvl w:ilvl="4" w:tplc="0C090003" w:tentative="1">
      <w:start w:val="1"/>
      <w:numFmt w:val="bullet"/>
      <w:lvlText w:val="o"/>
      <w:lvlJc w:val="left"/>
      <w:pPr>
        <w:ind w:left="4394" w:hanging="360"/>
      </w:pPr>
      <w:rPr>
        <w:rFonts w:ascii="Courier New" w:hAnsi="Courier New" w:cs="Courier New" w:hint="default"/>
      </w:rPr>
    </w:lvl>
    <w:lvl w:ilvl="5" w:tplc="0C090005" w:tentative="1">
      <w:start w:val="1"/>
      <w:numFmt w:val="bullet"/>
      <w:lvlText w:val=""/>
      <w:lvlJc w:val="left"/>
      <w:pPr>
        <w:ind w:left="5114" w:hanging="360"/>
      </w:pPr>
      <w:rPr>
        <w:rFonts w:ascii="Wingdings" w:hAnsi="Wingdings" w:hint="default"/>
      </w:rPr>
    </w:lvl>
    <w:lvl w:ilvl="6" w:tplc="0C090001" w:tentative="1">
      <w:start w:val="1"/>
      <w:numFmt w:val="bullet"/>
      <w:lvlText w:val=""/>
      <w:lvlJc w:val="left"/>
      <w:pPr>
        <w:ind w:left="5834" w:hanging="360"/>
      </w:pPr>
      <w:rPr>
        <w:rFonts w:ascii="Symbol" w:hAnsi="Symbol" w:hint="default"/>
      </w:rPr>
    </w:lvl>
    <w:lvl w:ilvl="7" w:tplc="0C090003" w:tentative="1">
      <w:start w:val="1"/>
      <w:numFmt w:val="bullet"/>
      <w:lvlText w:val="o"/>
      <w:lvlJc w:val="left"/>
      <w:pPr>
        <w:ind w:left="6554" w:hanging="360"/>
      </w:pPr>
      <w:rPr>
        <w:rFonts w:ascii="Courier New" w:hAnsi="Courier New" w:cs="Courier New" w:hint="default"/>
      </w:rPr>
    </w:lvl>
    <w:lvl w:ilvl="8" w:tplc="0C090005" w:tentative="1">
      <w:start w:val="1"/>
      <w:numFmt w:val="bullet"/>
      <w:lvlText w:val=""/>
      <w:lvlJc w:val="left"/>
      <w:pPr>
        <w:ind w:left="7274" w:hanging="360"/>
      </w:pPr>
      <w:rPr>
        <w:rFonts w:ascii="Wingdings" w:hAnsi="Wingdings" w:hint="default"/>
      </w:rPr>
    </w:lvl>
  </w:abstractNum>
  <w:abstractNum w:abstractNumId="26">
    <w:nsid w:val="446D3A6A"/>
    <w:multiLevelType w:val="multilevel"/>
    <w:tmpl w:val="A214506C"/>
    <w:lvl w:ilvl="0">
      <w:start w:val="1"/>
      <w:numFmt w:val="bullet"/>
      <w:pStyle w:val="Bullet1"/>
      <w:lvlText w:val=""/>
      <w:lvlJc w:val="left"/>
      <w:pPr>
        <w:tabs>
          <w:tab w:val="num" w:pos="1077"/>
        </w:tabs>
        <w:ind w:left="1077" w:hanging="283"/>
      </w:pPr>
      <w:rPr>
        <w:rFonts w:ascii="Symbol" w:hAnsi="Symbol" w:hint="default"/>
        <w:b w:val="0"/>
        <w:i w:val="0"/>
        <w:vanish w:val="0"/>
        <w:color w:val="auto"/>
        <w:sz w:val="22"/>
      </w:rPr>
    </w:lvl>
    <w:lvl w:ilvl="1">
      <w:start w:val="1"/>
      <w:numFmt w:val="bullet"/>
      <w:pStyle w:val="Bullet2"/>
      <w:lvlText w:val="–"/>
      <w:lvlJc w:val="left"/>
      <w:pPr>
        <w:tabs>
          <w:tab w:val="num" w:pos="1361"/>
        </w:tabs>
        <w:ind w:left="1361" w:hanging="284"/>
      </w:pPr>
      <w:rPr>
        <w:rFonts w:ascii="Calibri" w:hAnsi="Calibri" w:hint="default"/>
        <w:b w:val="0"/>
        <w:i w:val="0"/>
        <w:vanish w:val="0"/>
        <w:color w:val="auto"/>
        <w:sz w:val="22"/>
      </w:rPr>
    </w:lvl>
    <w:lvl w:ilvl="2">
      <w:start w:val="1"/>
      <w:numFmt w:val="bullet"/>
      <w:pStyle w:val="Bullet3"/>
      <w:lvlText w:val=""/>
      <w:lvlJc w:val="left"/>
      <w:pPr>
        <w:tabs>
          <w:tab w:val="num" w:pos="1644"/>
        </w:tabs>
        <w:ind w:left="1644" w:hanging="283"/>
      </w:pPr>
      <w:rPr>
        <w:rFonts w:ascii="Symbol" w:hAnsi="Symbol" w:hint="default"/>
        <w:b w:val="0"/>
        <w:i w:val="0"/>
        <w:vanish w:val="0"/>
        <w:color w:val="auto"/>
        <w:sz w:val="22"/>
      </w:rPr>
    </w:lvl>
    <w:lvl w:ilvl="3">
      <w:start w:val="1"/>
      <w:numFmt w:val="bullet"/>
      <w:lvlText w:val=""/>
      <w:lvlJc w:val="left"/>
      <w:pPr>
        <w:tabs>
          <w:tab w:val="num" w:pos="1928"/>
        </w:tabs>
        <w:ind w:left="1928" w:hanging="284"/>
      </w:pPr>
      <w:rPr>
        <w:rFonts w:ascii="Symbol" w:hAnsi="Symbol" w:hint="default"/>
        <w:b w:val="0"/>
        <w:i w:val="0"/>
        <w:vanish w:val="0"/>
        <w:color w:val="auto"/>
        <w:sz w:val="22"/>
      </w:rPr>
    </w:lvl>
    <w:lvl w:ilvl="4">
      <w:start w:val="1"/>
      <w:numFmt w:val="bullet"/>
      <w:lvlText w:val=""/>
      <w:lvlJc w:val="left"/>
      <w:pPr>
        <w:tabs>
          <w:tab w:val="num" w:pos="2211"/>
        </w:tabs>
        <w:ind w:left="2211" w:hanging="283"/>
      </w:pPr>
      <w:rPr>
        <w:rFonts w:ascii="Symbol" w:hAnsi="Symbol" w:hint="default"/>
        <w:b w:val="0"/>
        <w:i w:val="0"/>
        <w:vanish w:val="0"/>
        <w:color w:val="auto"/>
        <w:sz w:val="22"/>
      </w:rPr>
    </w:lvl>
    <w:lvl w:ilvl="5">
      <w:start w:val="1"/>
      <w:numFmt w:val="bullet"/>
      <w:lvlText w:val=""/>
      <w:lvlJc w:val="left"/>
      <w:pPr>
        <w:tabs>
          <w:tab w:val="num" w:pos="2495"/>
        </w:tabs>
        <w:ind w:left="2495" w:hanging="284"/>
      </w:pPr>
      <w:rPr>
        <w:rFonts w:ascii="Symbol" w:hAnsi="Symbol" w:hint="default"/>
        <w:b w:val="0"/>
        <w:i w:val="0"/>
        <w:vanish w:val="0"/>
        <w:color w:val="auto"/>
        <w:sz w:val="22"/>
      </w:rPr>
    </w:lvl>
    <w:lvl w:ilvl="6">
      <w:start w:val="1"/>
      <w:numFmt w:val="bullet"/>
      <w:lvlText w:val=""/>
      <w:lvlJc w:val="left"/>
      <w:pPr>
        <w:tabs>
          <w:tab w:val="num" w:pos="2778"/>
        </w:tabs>
        <w:ind w:left="2778" w:hanging="283"/>
      </w:pPr>
      <w:rPr>
        <w:rFonts w:ascii="Symbol" w:hAnsi="Symbol" w:hint="default"/>
        <w:b w:val="0"/>
        <w:i w:val="0"/>
        <w:vanish w:val="0"/>
        <w:color w:val="auto"/>
        <w:sz w:val="22"/>
      </w:rPr>
    </w:lvl>
    <w:lvl w:ilvl="7">
      <w:start w:val="1"/>
      <w:numFmt w:val="bullet"/>
      <w:lvlText w:val=""/>
      <w:lvlJc w:val="left"/>
      <w:pPr>
        <w:tabs>
          <w:tab w:val="num" w:pos="3062"/>
        </w:tabs>
        <w:ind w:left="3062" w:hanging="284"/>
      </w:pPr>
      <w:rPr>
        <w:rFonts w:ascii="Symbol" w:hAnsi="Symbol" w:hint="default"/>
        <w:b w:val="0"/>
        <w:i w:val="0"/>
        <w:vanish w:val="0"/>
        <w:color w:val="auto"/>
        <w:sz w:val="22"/>
      </w:rPr>
    </w:lvl>
    <w:lvl w:ilvl="8">
      <w:start w:val="1"/>
      <w:numFmt w:val="bullet"/>
      <w:lvlText w:val=""/>
      <w:lvlJc w:val="left"/>
      <w:pPr>
        <w:tabs>
          <w:tab w:val="num" w:pos="3345"/>
        </w:tabs>
        <w:ind w:left="3345" w:hanging="283"/>
      </w:pPr>
      <w:rPr>
        <w:rFonts w:ascii="Symbol" w:hAnsi="Symbol" w:hint="default"/>
        <w:b w:val="0"/>
        <w:i w:val="0"/>
        <w:vanish w:val="0"/>
        <w:color w:val="auto"/>
        <w:sz w:val="22"/>
      </w:rPr>
    </w:lvl>
  </w:abstractNum>
  <w:abstractNum w:abstractNumId="27">
    <w:nsid w:val="452A0CCB"/>
    <w:multiLevelType w:val="hybridMultilevel"/>
    <w:tmpl w:val="011E3C28"/>
    <w:lvl w:ilvl="0" w:tplc="0C090001">
      <w:start w:val="1"/>
      <w:numFmt w:val="bullet"/>
      <w:lvlText w:val=""/>
      <w:lvlJc w:val="left"/>
      <w:pPr>
        <w:ind w:left="1514" w:hanging="360"/>
      </w:pPr>
      <w:rPr>
        <w:rFonts w:ascii="Symbol" w:hAnsi="Symbol" w:hint="default"/>
      </w:rPr>
    </w:lvl>
    <w:lvl w:ilvl="1" w:tplc="0C090003" w:tentative="1">
      <w:start w:val="1"/>
      <w:numFmt w:val="bullet"/>
      <w:lvlText w:val="o"/>
      <w:lvlJc w:val="left"/>
      <w:pPr>
        <w:ind w:left="2234" w:hanging="360"/>
      </w:pPr>
      <w:rPr>
        <w:rFonts w:ascii="Courier New" w:hAnsi="Courier New" w:cs="Courier New" w:hint="default"/>
      </w:rPr>
    </w:lvl>
    <w:lvl w:ilvl="2" w:tplc="0C090005" w:tentative="1">
      <w:start w:val="1"/>
      <w:numFmt w:val="bullet"/>
      <w:lvlText w:val=""/>
      <w:lvlJc w:val="left"/>
      <w:pPr>
        <w:ind w:left="2954" w:hanging="360"/>
      </w:pPr>
      <w:rPr>
        <w:rFonts w:ascii="Wingdings" w:hAnsi="Wingdings" w:hint="default"/>
      </w:rPr>
    </w:lvl>
    <w:lvl w:ilvl="3" w:tplc="0C090001" w:tentative="1">
      <w:start w:val="1"/>
      <w:numFmt w:val="bullet"/>
      <w:lvlText w:val=""/>
      <w:lvlJc w:val="left"/>
      <w:pPr>
        <w:ind w:left="3674" w:hanging="360"/>
      </w:pPr>
      <w:rPr>
        <w:rFonts w:ascii="Symbol" w:hAnsi="Symbol" w:hint="default"/>
      </w:rPr>
    </w:lvl>
    <w:lvl w:ilvl="4" w:tplc="0C090003" w:tentative="1">
      <w:start w:val="1"/>
      <w:numFmt w:val="bullet"/>
      <w:lvlText w:val="o"/>
      <w:lvlJc w:val="left"/>
      <w:pPr>
        <w:ind w:left="4394" w:hanging="360"/>
      </w:pPr>
      <w:rPr>
        <w:rFonts w:ascii="Courier New" w:hAnsi="Courier New" w:cs="Courier New" w:hint="default"/>
      </w:rPr>
    </w:lvl>
    <w:lvl w:ilvl="5" w:tplc="0C090005" w:tentative="1">
      <w:start w:val="1"/>
      <w:numFmt w:val="bullet"/>
      <w:lvlText w:val=""/>
      <w:lvlJc w:val="left"/>
      <w:pPr>
        <w:ind w:left="5114" w:hanging="360"/>
      </w:pPr>
      <w:rPr>
        <w:rFonts w:ascii="Wingdings" w:hAnsi="Wingdings" w:hint="default"/>
      </w:rPr>
    </w:lvl>
    <w:lvl w:ilvl="6" w:tplc="0C090001" w:tentative="1">
      <w:start w:val="1"/>
      <w:numFmt w:val="bullet"/>
      <w:lvlText w:val=""/>
      <w:lvlJc w:val="left"/>
      <w:pPr>
        <w:ind w:left="5834" w:hanging="360"/>
      </w:pPr>
      <w:rPr>
        <w:rFonts w:ascii="Symbol" w:hAnsi="Symbol" w:hint="default"/>
      </w:rPr>
    </w:lvl>
    <w:lvl w:ilvl="7" w:tplc="0C090003" w:tentative="1">
      <w:start w:val="1"/>
      <w:numFmt w:val="bullet"/>
      <w:lvlText w:val="o"/>
      <w:lvlJc w:val="left"/>
      <w:pPr>
        <w:ind w:left="6554" w:hanging="360"/>
      </w:pPr>
      <w:rPr>
        <w:rFonts w:ascii="Courier New" w:hAnsi="Courier New" w:cs="Courier New" w:hint="default"/>
      </w:rPr>
    </w:lvl>
    <w:lvl w:ilvl="8" w:tplc="0C090005" w:tentative="1">
      <w:start w:val="1"/>
      <w:numFmt w:val="bullet"/>
      <w:lvlText w:val=""/>
      <w:lvlJc w:val="left"/>
      <w:pPr>
        <w:ind w:left="7274" w:hanging="360"/>
      </w:pPr>
      <w:rPr>
        <w:rFonts w:ascii="Wingdings" w:hAnsi="Wingdings" w:hint="default"/>
      </w:rPr>
    </w:lvl>
  </w:abstractNum>
  <w:abstractNum w:abstractNumId="28">
    <w:nsid w:val="49B86D0F"/>
    <w:multiLevelType w:val="multilevel"/>
    <w:tmpl w:val="90082FEC"/>
    <w:lvl w:ilvl="0">
      <w:start w:val="1"/>
      <w:numFmt w:val="bullet"/>
      <w:lvlText w:val=""/>
      <w:lvlJc w:val="left"/>
      <w:pPr>
        <w:ind w:left="720" w:hanging="360"/>
      </w:pPr>
      <w:rPr>
        <w:rFonts w:ascii="Symbol" w:hAnsi="Symbol" w:hint="default"/>
      </w:rPr>
    </w:lvl>
    <w:lvl w:ilvl="1">
      <w:start w:val="4"/>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nsid w:val="4AFD1499"/>
    <w:multiLevelType w:val="hybridMultilevel"/>
    <w:tmpl w:val="A8AC4C44"/>
    <w:lvl w:ilvl="0" w:tplc="56487FB0">
      <w:start w:val="1"/>
      <w:numFmt w:val="decimal"/>
      <w:lvlText w:val="%1."/>
      <w:lvlJc w:val="left"/>
      <w:pPr>
        <w:ind w:left="1514" w:hanging="360"/>
      </w:pPr>
      <w:rPr>
        <w:sz w:val="24"/>
        <w:szCs w:val="24"/>
      </w:rPr>
    </w:lvl>
    <w:lvl w:ilvl="1" w:tplc="0C090019" w:tentative="1">
      <w:start w:val="1"/>
      <w:numFmt w:val="lowerLetter"/>
      <w:lvlText w:val="%2."/>
      <w:lvlJc w:val="left"/>
      <w:pPr>
        <w:ind w:left="2234" w:hanging="360"/>
      </w:pPr>
    </w:lvl>
    <w:lvl w:ilvl="2" w:tplc="0C09001B" w:tentative="1">
      <w:start w:val="1"/>
      <w:numFmt w:val="lowerRoman"/>
      <w:lvlText w:val="%3."/>
      <w:lvlJc w:val="right"/>
      <w:pPr>
        <w:ind w:left="2954" w:hanging="180"/>
      </w:pPr>
    </w:lvl>
    <w:lvl w:ilvl="3" w:tplc="0C09000F" w:tentative="1">
      <w:start w:val="1"/>
      <w:numFmt w:val="decimal"/>
      <w:lvlText w:val="%4."/>
      <w:lvlJc w:val="left"/>
      <w:pPr>
        <w:ind w:left="3674" w:hanging="360"/>
      </w:pPr>
    </w:lvl>
    <w:lvl w:ilvl="4" w:tplc="0C090019" w:tentative="1">
      <w:start w:val="1"/>
      <w:numFmt w:val="lowerLetter"/>
      <w:lvlText w:val="%5."/>
      <w:lvlJc w:val="left"/>
      <w:pPr>
        <w:ind w:left="4394" w:hanging="360"/>
      </w:pPr>
    </w:lvl>
    <w:lvl w:ilvl="5" w:tplc="0C09001B" w:tentative="1">
      <w:start w:val="1"/>
      <w:numFmt w:val="lowerRoman"/>
      <w:lvlText w:val="%6."/>
      <w:lvlJc w:val="right"/>
      <w:pPr>
        <w:ind w:left="5114" w:hanging="180"/>
      </w:pPr>
    </w:lvl>
    <w:lvl w:ilvl="6" w:tplc="0C09000F" w:tentative="1">
      <w:start w:val="1"/>
      <w:numFmt w:val="decimal"/>
      <w:lvlText w:val="%7."/>
      <w:lvlJc w:val="left"/>
      <w:pPr>
        <w:ind w:left="5834" w:hanging="360"/>
      </w:pPr>
    </w:lvl>
    <w:lvl w:ilvl="7" w:tplc="0C090019" w:tentative="1">
      <w:start w:val="1"/>
      <w:numFmt w:val="lowerLetter"/>
      <w:lvlText w:val="%8."/>
      <w:lvlJc w:val="left"/>
      <w:pPr>
        <w:ind w:left="6554" w:hanging="360"/>
      </w:pPr>
    </w:lvl>
    <w:lvl w:ilvl="8" w:tplc="0C09001B" w:tentative="1">
      <w:start w:val="1"/>
      <w:numFmt w:val="lowerRoman"/>
      <w:lvlText w:val="%9."/>
      <w:lvlJc w:val="right"/>
      <w:pPr>
        <w:ind w:left="7274" w:hanging="180"/>
      </w:pPr>
    </w:lvl>
  </w:abstractNum>
  <w:abstractNum w:abstractNumId="30">
    <w:nsid w:val="4C3265BC"/>
    <w:multiLevelType w:val="hybridMultilevel"/>
    <w:tmpl w:val="4296D562"/>
    <w:lvl w:ilvl="0" w:tplc="0C090001">
      <w:start w:val="1"/>
      <w:numFmt w:val="bullet"/>
      <w:lvlText w:val=""/>
      <w:lvlJc w:val="left"/>
      <w:pPr>
        <w:ind w:left="1514" w:hanging="360"/>
      </w:pPr>
      <w:rPr>
        <w:rFonts w:ascii="Symbol" w:hAnsi="Symbol" w:hint="default"/>
      </w:rPr>
    </w:lvl>
    <w:lvl w:ilvl="1" w:tplc="0C090003" w:tentative="1">
      <w:start w:val="1"/>
      <w:numFmt w:val="bullet"/>
      <w:lvlText w:val="o"/>
      <w:lvlJc w:val="left"/>
      <w:pPr>
        <w:ind w:left="2234" w:hanging="360"/>
      </w:pPr>
      <w:rPr>
        <w:rFonts w:ascii="Courier New" w:hAnsi="Courier New" w:cs="Courier New" w:hint="default"/>
      </w:rPr>
    </w:lvl>
    <w:lvl w:ilvl="2" w:tplc="0C090005" w:tentative="1">
      <w:start w:val="1"/>
      <w:numFmt w:val="bullet"/>
      <w:lvlText w:val=""/>
      <w:lvlJc w:val="left"/>
      <w:pPr>
        <w:ind w:left="2954" w:hanging="360"/>
      </w:pPr>
      <w:rPr>
        <w:rFonts w:ascii="Wingdings" w:hAnsi="Wingdings" w:hint="default"/>
      </w:rPr>
    </w:lvl>
    <w:lvl w:ilvl="3" w:tplc="0C090001" w:tentative="1">
      <w:start w:val="1"/>
      <w:numFmt w:val="bullet"/>
      <w:lvlText w:val=""/>
      <w:lvlJc w:val="left"/>
      <w:pPr>
        <w:ind w:left="3674" w:hanging="360"/>
      </w:pPr>
      <w:rPr>
        <w:rFonts w:ascii="Symbol" w:hAnsi="Symbol" w:hint="default"/>
      </w:rPr>
    </w:lvl>
    <w:lvl w:ilvl="4" w:tplc="0C090003" w:tentative="1">
      <w:start w:val="1"/>
      <w:numFmt w:val="bullet"/>
      <w:lvlText w:val="o"/>
      <w:lvlJc w:val="left"/>
      <w:pPr>
        <w:ind w:left="4394" w:hanging="360"/>
      </w:pPr>
      <w:rPr>
        <w:rFonts w:ascii="Courier New" w:hAnsi="Courier New" w:cs="Courier New" w:hint="default"/>
      </w:rPr>
    </w:lvl>
    <w:lvl w:ilvl="5" w:tplc="0C090005" w:tentative="1">
      <w:start w:val="1"/>
      <w:numFmt w:val="bullet"/>
      <w:lvlText w:val=""/>
      <w:lvlJc w:val="left"/>
      <w:pPr>
        <w:ind w:left="5114" w:hanging="360"/>
      </w:pPr>
      <w:rPr>
        <w:rFonts w:ascii="Wingdings" w:hAnsi="Wingdings" w:hint="default"/>
      </w:rPr>
    </w:lvl>
    <w:lvl w:ilvl="6" w:tplc="0C090001" w:tentative="1">
      <w:start w:val="1"/>
      <w:numFmt w:val="bullet"/>
      <w:lvlText w:val=""/>
      <w:lvlJc w:val="left"/>
      <w:pPr>
        <w:ind w:left="5834" w:hanging="360"/>
      </w:pPr>
      <w:rPr>
        <w:rFonts w:ascii="Symbol" w:hAnsi="Symbol" w:hint="default"/>
      </w:rPr>
    </w:lvl>
    <w:lvl w:ilvl="7" w:tplc="0C090003" w:tentative="1">
      <w:start w:val="1"/>
      <w:numFmt w:val="bullet"/>
      <w:lvlText w:val="o"/>
      <w:lvlJc w:val="left"/>
      <w:pPr>
        <w:ind w:left="6554" w:hanging="360"/>
      </w:pPr>
      <w:rPr>
        <w:rFonts w:ascii="Courier New" w:hAnsi="Courier New" w:cs="Courier New" w:hint="default"/>
      </w:rPr>
    </w:lvl>
    <w:lvl w:ilvl="8" w:tplc="0C090005" w:tentative="1">
      <w:start w:val="1"/>
      <w:numFmt w:val="bullet"/>
      <w:lvlText w:val=""/>
      <w:lvlJc w:val="left"/>
      <w:pPr>
        <w:ind w:left="7274" w:hanging="360"/>
      </w:pPr>
      <w:rPr>
        <w:rFonts w:ascii="Wingdings" w:hAnsi="Wingdings" w:hint="default"/>
      </w:rPr>
    </w:lvl>
  </w:abstractNum>
  <w:abstractNum w:abstractNumId="31">
    <w:nsid w:val="4E030488"/>
    <w:multiLevelType w:val="multilevel"/>
    <w:tmpl w:val="0C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nsid w:val="5A360FC9"/>
    <w:multiLevelType w:val="multilevel"/>
    <w:tmpl w:val="0C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5AAE1751"/>
    <w:multiLevelType w:val="hybridMultilevel"/>
    <w:tmpl w:val="672093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5B9C4841"/>
    <w:multiLevelType w:val="hybridMultilevel"/>
    <w:tmpl w:val="2B8E3F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5D2A51AA"/>
    <w:multiLevelType w:val="hybridMultilevel"/>
    <w:tmpl w:val="37D68A84"/>
    <w:lvl w:ilvl="0" w:tplc="0C090001">
      <w:start w:val="1"/>
      <w:numFmt w:val="bullet"/>
      <w:lvlText w:val=""/>
      <w:lvlJc w:val="left"/>
      <w:pPr>
        <w:ind w:left="1514" w:hanging="360"/>
      </w:pPr>
      <w:rPr>
        <w:rFonts w:ascii="Symbol" w:hAnsi="Symbol" w:hint="default"/>
      </w:rPr>
    </w:lvl>
    <w:lvl w:ilvl="1" w:tplc="0C090003" w:tentative="1">
      <w:start w:val="1"/>
      <w:numFmt w:val="bullet"/>
      <w:lvlText w:val="o"/>
      <w:lvlJc w:val="left"/>
      <w:pPr>
        <w:ind w:left="2234" w:hanging="360"/>
      </w:pPr>
      <w:rPr>
        <w:rFonts w:ascii="Courier New" w:hAnsi="Courier New" w:cs="Courier New" w:hint="default"/>
      </w:rPr>
    </w:lvl>
    <w:lvl w:ilvl="2" w:tplc="0C090005" w:tentative="1">
      <w:start w:val="1"/>
      <w:numFmt w:val="bullet"/>
      <w:lvlText w:val=""/>
      <w:lvlJc w:val="left"/>
      <w:pPr>
        <w:ind w:left="2954" w:hanging="360"/>
      </w:pPr>
      <w:rPr>
        <w:rFonts w:ascii="Wingdings" w:hAnsi="Wingdings" w:hint="default"/>
      </w:rPr>
    </w:lvl>
    <w:lvl w:ilvl="3" w:tplc="0C090001" w:tentative="1">
      <w:start w:val="1"/>
      <w:numFmt w:val="bullet"/>
      <w:lvlText w:val=""/>
      <w:lvlJc w:val="left"/>
      <w:pPr>
        <w:ind w:left="3674" w:hanging="360"/>
      </w:pPr>
      <w:rPr>
        <w:rFonts w:ascii="Symbol" w:hAnsi="Symbol" w:hint="default"/>
      </w:rPr>
    </w:lvl>
    <w:lvl w:ilvl="4" w:tplc="0C090003" w:tentative="1">
      <w:start w:val="1"/>
      <w:numFmt w:val="bullet"/>
      <w:lvlText w:val="o"/>
      <w:lvlJc w:val="left"/>
      <w:pPr>
        <w:ind w:left="4394" w:hanging="360"/>
      </w:pPr>
      <w:rPr>
        <w:rFonts w:ascii="Courier New" w:hAnsi="Courier New" w:cs="Courier New" w:hint="default"/>
      </w:rPr>
    </w:lvl>
    <w:lvl w:ilvl="5" w:tplc="0C090005" w:tentative="1">
      <w:start w:val="1"/>
      <w:numFmt w:val="bullet"/>
      <w:lvlText w:val=""/>
      <w:lvlJc w:val="left"/>
      <w:pPr>
        <w:ind w:left="5114" w:hanging="360"/>
      </w:pPr>
      <w:rPr>
        <w:rFonts w:ascii="Wingdings" w:hAnsi="Wingdings" w:hint="default"/>
      </w:rPr>
    </w:lvl>
    <w:lvl w:ilvl="6" w:tplc="0C090001" w:tentative="1">
      <w:start w:val="1"/>
      <w:numFmt w:val="bullet"/>
      <w:lvlText w:val=""/>
      <w:lvlJc w:val="left"/>
      <w:pPr>
        <w:ind w:left="5834" w:hanging="360"/>
      </w:pPr>
      <w:rPr>
        <w:rFonts w:ascii="Symbol" w:hAnsi="Symbol" w:hint="default"/>
      </w:rPr>
    </w:lvl>
    <w:lvl w:ilvl="7" w:tplc="0C090003" w:tentative="1">
      <w:start w:val="1"/>
      <w:numFmt w:val="bullet"/>
      <w:lvlText w:val="o"/>
      <w:lvlJc w:val="left"/>
      <w:pPr>
        <w:ind w:left="6554" w:hanging="360"/>
      </w:pPr>
      <w:rPr>
        <w:rFonts w:ascii="Courier New" w:hAnsi="Courier New" w:cs="Courier New" w:hint="default"/>
      </w:rPr>
    </w:lvl>
    <w:lvl w:ilvl="8" w:tplc="0C090005" w:tentative="1">
      <w:start w:val="1"/>
      <w:numFmt w:val="bullet"/>
      <w:lvlText w:val=""/>
      <w:lvlJc w:val="left"/>
      <w:pPr>
        <w:ind w:left="7274" w:hanging="360"/>
      </w:pPr>
      <w:rPr>
        <w:rFonts w:ascii="Wingdings" w:hAnsi="Wingdings" w:hint="default"/>
      </w:rPr>
    </w:lvl>
  </w:abstractNum>
  <w:abstractNum w:abstractNumId="36">
    <w:nsid w:val="5F4A5DA1"/>
    <w:multiLevelType w:val="hybridMultilevel"/>
    <w:tmpl w:val="8560386A"/>
    <w:lvl w:ilvl="0" w:tplc="0C090001">
      <w:start w:val="1"/>
      <w:numFmt w:val="bullet"/>
      <w:lvlText w:val=""/>
      <w:lvlJc w:val="left"/>
      <w:pPr>
        <w:ind w:left="1514" w:hanging="360"/>
      </w:pPr>
      <w:rPr>
        <w:rFonts w:ascii="Symbol" w:hAnsi="Symbol" w:hint="default"/>
      </w:rPr>
    </w:lvl>
    <w:lvl w:ilvl="1" w:tplc="0C090003" w:tentative="1">
      <w:start w:val="1"/>
      <w:numFmt w:val="bullet"/>
      <w:lvlText w:val="o"/>
      <w:lvlJc w:val="left"/>
      <w:pPr>
        <w:ind w:left="2234" w:hanging="360"/>
      </w:pPr>
      <w:rPr>
        <w:rFonts w:ascii="Courier New" w:hAnsi="Courier New" w:cs="Courier New" w:hint="default"/>
      </w:rPr>
    </w:lvl>
    <w:lvl w:ilvl="2" w:tplc="0C090005" w:tentative="1">
      <w:start w:val="1"/>
      <w:numFmt w:val="bullet"/>
      <w:lvlText w:val=""/>
      <w:lvlJc w:val="left"/>
      <w:pPr>
        <w:ind w:left="2954" w:hanging="360"/>
      </w:pPr>
      <w:rPr>
        <w:rFonts w:ascii="Wingdings" w:hAnsi="Wingdings" w:hint="default"/>
      </w:rPr>
    </w:lvl>
    <w:lvl w:ilvl="3" w:tplc="0C090001" w:tentative="1">
      <w:start w:val="1"/>
      <w:numFmt w:val="bullet"/>
      <w:lvlText w:val=""/>
      <w:lvlJc w:val="left"/>
      <w:pPr>
        <w:ind w:left="3674" w:hanging="360"/>
      </w:pPr>
      <w:rPr>
        <w:rFonts w:ascii="Symbol" w:hAnsi="Symbol" w:hint="default"/>
      </w:rPr>
    </w:lvl>
    <w:lvl w:ilvl="4" w:tplc="0C090003" w:tentative="1">
      <w:start w:val="1"/>
      <w:numFmt w:val="bullet"/>
      <w:lvlText w:val="o"/>
      <w:lvlJc w:val="left"/>
      <w:pPr>
        <w:ind w:left="4394" w:hanging="360"/>
      </w:pPr>
      <w:rPr>
        <w:rFonts w:ascii="Courier New" w:hAnsi="Courier New" w:cs="Courier New" w:hint="default"/>
      </w:rPr>
    </w:lvl>
    <w:lvl w:ilvl="5" w:tplc="0C090005" w:tentative="1">
      <w:start w:val="1"/>
      <w:numFmt w:val="bullet"/>
      <w:lvlText w:val=""/>
      <w:lvlJc w:val="left"/>
      <w:pPr>
        <w:ind w:left="5114" w:hanging="360"/>
      </w:pPr>
      <w:rPr>
        <w:rFonts w:ascii="Wingdings" w:hAnsi="Wingdings" w:hint="default"/>
      </w:rPr>
    </w:lvl>
    <w:lvl w:ilvl="6" w:tplc="0C090001" w:tentative="1">
      <w:start w:val="1"/>
      <w:numFmt w:val="bullet"/>
      <w:lvlText w:val=""/>
      <w:lvlJc w:val="left"/>
      <w:pPr>
        <w:ind w:left="5834" w:hanging="360"/>
      </w:pPr>
      <w:rPr>
        <w:rFonts w:ascii="Symbol" w:hAnsi="Symbol" w:hint="default"/>
      </w:rPr>
    </w:lvl>
    <w:lvl w:ilvl="7" w:tplc="0C090003" w:tentative="1">
      <w:start w:val="1"/>
      <w:numFmt w:val="bullet"/>
      <w:lvlText w:val="o"/>
      <w:lvlJc w:val="left"/>
      <w:pPr>
        <w:ind w:left="6554" w:hanging="360"/>
      </w:pPr>
      <w:rPr>
        <w:rFonts w:ascii="Courier New" w:hAnsi="Courier New" w:cs="Courier New" w:hint="default"/>
      </w:rPr>
    </w:lvl>
    <w:lvl w:ilvl="8" w:tplc="0C090005" w:tentative="1">
      <w:start w:val="1"/>
      <w:numFmt w:val="bullet"/>
      <w:lvlText w:val=""/>
      <w:lvlJc w:val="left"/>
      <w:pPr>
        <w:ind w:left="7274" w:hanging="360"/>
      </w:pPr>
      <w:rPr>
        <w:rFonts w:ascii="Wingdings" w:hAnsi="Wingdings" w:hint="default"/>
      </w:rPr>
    </w:lvl>
  </w:abstractNum>
  <w:abstractNum w:abstractNumId="37">
    <w:nsid w:val="623C669B"/>
    <w:multiLevelType w:val="multilevel"/>
    <w:tmpl w:val="3F70FB0E"/>
    <w:lvl w:ilvl="0">
      <w:start w:val="1"/>
      <w:numFmt w:val="bullet"/>
      <w:lvlText w:val=""/>
      <w:lvlJc w:val="left"/>
      <w:pPr>
        <w:ind w:left="720" w:hanging="360"/>
      </w:pPr>
      <w:rPr>
        <w:rFonts w:ascii="Symbol" w:hAnsi="Symbol" w:hint="default"/>
      </w:rPr>
    </w:lvl>
    <w:lvl w:ilvl="1">
      <w:start w:val="1"/>
      <w:numFmt w:val="bullet"/>
      <w:lvlText w:val=""/>
      <w:lvlJc w:val="left"/>
      <w:pPr>
        <w:ind w:left="1080" w:hanging="720"/>
      </w:pPr>
      <w:rPr>
        <w:rFonts w:ascii="Symbol" w:hAnsi="Symbol"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8">
    <w:nsid w:val="639E6795"/>
    <w:multiLevelType w:val="hybridMultilevel"/>
    <w:tmpl w:val="611A773C"/>
    <w:lvl w:ilvl="0" w:tplc="0C09000F">
      <w:start w:val="1"/>
      <w:numFmt w:val="decimal"/>
      <w:lvlText w:val="%1."/>
      <w:lvlJc w:val="left"/>
      <w:pPr>
        <w:ind w:left="1514" w:hanging="360"/>
      </w:pPr>
      <w:rPr>
        <w:rFonts w:hint="default"/>
      </w:rPr>
    </w:lvl>
    <w:lvl w:ilvl="1" w:tplc="0C090003" w:tentative="1">
      <w:start w:val="1"/>
      <w:numFmt w:val="bullet"/>
      <w:lvlText w:val="o"/>
      <w:lvlJc w:val="left"/>
      <w:pPr>
        <w:ind w:left="2234" w:hanging="360"/>
      </w:pPr>
      <w:rPr>
        <w:rFonts w:ascii="Courier New" w:hAnsi="Courier New" w:cs="Courier New" w:hint="default"/>
      </w:rPr>
    </w:lvl>
    <w:lvl w:ilvl="2" w:tplc="0C090005" w:tentative="1">
      <w:start w:val="1"/>
      <w:numFmt w:val="bullet"/>
      <w:lvlText w:val=""/>
      <w:lvlJc w:val="left"/>
      <w:pPr>
        <w:ind w:left="2954" w:hanging="360"/>
      </w:pPr>
      <w:rPr>
        <w:rFonts w:ascii="Wingdings" w:hAnsi="Wingdings" w:hint="default"/>
      </w:rPr>
    </w:lvl>
    <w:lvl w:ilvl="3" w:tplc="0C090001" w:tentative="1">
      <w:start w:val="1"/>
      <w:numFmt w:val="bullet"/>
      <w:lvlText w:val=""/>
      <w:lvlJc w:val="left"/>
      <w:pPr>
        <w:ind w:left="3674" w:hanging="360"/>
      </w:pPr>
      <w:rPr>
        <w:rFonts w:ascii="Symbol" w:hAnsi="Symbol" w:hint="default"/>
      </w:rPr>
    </w:lvl>
    <w:lvl w:ilvl="4" w:tplc="0C090003" w:tentative="1">
      <w:start w:val="1"/>
      <w:numFmt w:val="bullet"/>
      <w:lvlText w:val="o"/>
      <w:lvlJc w:val="left"/>
      <w:pPr>
        <w:ind w:left="4394" w:hanging="360"/>
      </w:pPr>
      <w:rPr>
        <w:rFonts w:ascii="Courier New" w:hAnsi="Courier New" w:cs="Courier New" w:hint="default"/>
      </w:rPr>
    </w:lvl>
    <w:lvl w:ilvl="5" w:tplc="0C090005" w:tentative="1">
      <w:start w:val="1"/>
      <w:numFmt w:val="bullet"/>
      <w:lvlText w:val=""/>
      <w:lvlJc w:val="left"/>
      <w:pPr>
        <w:ind w:left="5114" w:hanging="360"/>
      </w:pPr>
      <w:rPr>
        <w:rFonts w:ascii="Wingdings" w:hAnsi="Wingdings" w:hint="default"/>
      </w:rPr>
    </w:lvl>
    <w:lvl w:ilvl="6" w:tplc="0C090001" w:tentative="1">
      <w:start w:val="1"/>
      <w:numFmt w:val="bullet"/>
      <w:lvlText w:val=""/>
      <w:lvlJc w:val="left"/>
      <w:pPr>
        <w:ind w:left="5834" w:hanging="360"/>
      </w:pPr>
      <w:rPr>
        <w:rFonts w:ascii="Symbol" w:hAnsi="Symbol" w:hint="default"/>
      </w:rPr>
    </w:lvl>
    <w:lvl w:ilvl="7" w:tplc="0C090003" w:tentative="1">
      <w:start w:val="1"/>
      <w:numFmt w:val="bullet"/>
      <w:lvlText w:val="o"/>
      <w:lvlJc w:val="left"/>
      <w:pPr>
        <w:ind w:left="6554" w:hanging="360"/>
      </w:pPr>
      <w:rPr>
        <w:rFonts w:ascii="Courier New" w:hAnsi="Courier New" w:cs="Courier New" w:hint="default"/>
      </w:rPr>
    </w:lvl>
    <w:lvl w:ilvl="8" w:tplc="0C090005" w:tentative="1">
      <w:start w:val="1"/>
      <w:numFmt w:val="bullet"/>
      <w:lvlText w:val=""/>
      <w:lvlJc w:val="left"/>
      <w:pPr>
        <w:ind w:left="7274" w:hanging="360"/>
      </w:pPr>
      <w:rPr>
        <w:rFonts w:ascii="Wingdings" w:hAnsi="Wingdings" w:hint="default"/>
      </w:rPr>
    </w:lvl>
  </w:abstractNum>
  <w:abstractNum w:abstractNumId="39">
    <w:nsid w:val="66551A1C"/>
    <w:multiLevelType w:val="multilevel"/>
    <w:tmpl w:val="8F9AA32A"/>
    <w:lvl w:ilvl="0">
      <w:start w:val="1"/>
      <w:numFmt w:val="bullet"/>
      <w:pStyle w:val="TableBullet"/>
      <w:lvlText w:val=""/>
      <w:lvlJc w:val="left"/>
      <w:pPr>
        <w:tabs>
          <w:tab w:val="num" w:pos="227"/>
        </w:tabs>
        <w:ind w:left="227" w:hanging="227"/>
      </w:pPr>
      <w:rPr>
        <w:rFonts w:ascii="Symbol" w:hAnsi="Symbol" w:cs="Calibri" w:hint="default"/>
        <w:b w:val="0"/>
        <w:i w:val="0"/>
        <w:sz w:val="18"/>
      </w:rPr>
    </w:lvl>
    <w:lvl w:ilvl="1">
      <w:start w:val="1"/>
      <w:numFmt w:val="bullet"/>
      <w:pStyle w:val="TableBulletDash"/>
      <w:lvlText w:val="–"/>
      <w:lvlJc w:val="left"/>
      <w:pPr>
        <w:tabs>
          <w:tab w:val="num" w:pos="454"/>
        </w:tabs>
        <w:ind w:left="454" w:hanging="227"/>
      </w:pPr>
      <w:rPr>
        <w:rFonts w:ascii="Calibri" w:hAnsi="Calibri" w:cs="Calibri" w:hint="default"/>
        <w:b w:val="0"/>
        <w:i w:val="0"/>
        <w:sz w:val="18"/>
      </w:rPr>
    </w:lvl>
    <w:lvl w:ilvl="2">
      <w:start w:val="1"/>
      <w:numFmt w:val="bullet"/>
      <w:lvlText w:val=""/>
      <w:lvlJc w:val="left"/>
      <w:pPr>
        <w:tabs>
          <w:tab w:val="num" w:pos="680"/>
        </w:tabs>
        <w:ind w:left="680" w:hanging="226"/>
      </w:pPr>
      <w:rPr>
        <w:rFonts w:ascii="Symbol" w:hAnsi="Symbol" w:cs="Calibri" w:hint="default"/>
        <w:b w:val="0"/>
        <w:i w:val="0"/>
        <w:sz w:val="18"/>
      </w:rPr>
    </w:lvl>
    <w:lvl w:ilvl="3">
      <w:start w:val="1"/>
      <w:numFmt w:val="bullet"/>
      <w:lvlText w:val=""/>
      <w:lvlJc w:val="left"/>
      <w:pPr>
        <w:tabs>
          <w:tab w:val="num" w:pos="907"/>
        </w:tabs>
        <w:ind w:left="907" w:hanging="227"/>
      </w:pPr>
      <w:rPr>
        <w:rFonts w:ascii="Symbol" w:hAnsi="Symbol" w:cs="Calibri" w:hint="default"/>
        <w:b w:val="0"/>
        <w:i w:val="0"/>
        <w:sz w:val="18"/>
      </w:rPr>
    </w:lvl>
    <w:lvl w:ilvl="4">
      <w:start w:val="1"/>
      <w:numFmt w:val="bullet"/>
      <w:lvlText w:val=""/>
      <w:lvlJc w:val="left"/>
      <w:pPr>
        <w:tabs>
          <w:tab w:val="num" w:pos="1134"/>
        </w:tabs>
        <w:ind w:left="1134" w:hanging="227"/>
      </w:pPr>
      <w:rPr>
        <w:rFonts w:ascii="Symbol" w:hAnsi="Symbol" w:cs="Calibri" w:hint="default"/>
        <w:b w:val="0"/>
        <w:i w:val="0"/>
        <w:sz w:val="18"/>
      </w:rPr>
    </w:lvl>
    <w:lvl w:ilvl="5">
      <w:start w:val="1"/>
      <w:numFmt w:val="bullet"/>
      <w:lvlText w:val=""/>
      <w:lvlJc w:val="left"/>
      <w:pPr>
        <w:tabs>
          <w:tab w:val="num" w:pos="1361"/>
        </w:tabs>
        <w:ind w:left="1361" w:hanging="227"/>
      </w:pPr>
      <w:rPr>
        <w:rFonts w:ascii="Symbol" w:hAnsi="Symbol" w:cs="Calibri" w:hint="default"/>
        <w:b w:val="0"/>
        <w:i w:val="0"/>
        <w:sz w:val="18"/>
      </w:rPr>
    </w:lvl>
    <w:lvl w:ilvl="6">
      <w:start w:val="1"/>
      <w:numFmt w:val="bullet"/>
      <w:lvlText w:val=""/>
      <w:lvlJc w:val="left"/>
      <w:pPr>
        <w:tabs>
          <w:tab w:val="num" w:pos="1587"/>
        </w:tabs>
        <w:ind w:left="1587" w:hanging="226"/>
      </w:pPr>
      <w:rPr>
        <w:rFonts w:ascii="Symbol" w:hAnsi="Symbol" w:cs="Calibri" w:hint="default"/>
        <w:b w:val="0"/>
        <w:i w:val="0"/>
        <w:sz w:val="18"/>
      </w:rPr>
    </w:lvl>
    <w:lvl w:ilvl="7">
      <w:start w:val="1"/>
      <w:numFmt w:val="bullet"/>
      <w:lvlText w:val=""/>
      <w:lvlJc w:val="left"/>
      <w:pPr>
        <w:tabs>
          <w:tab w:val="num" w:pos="1814"/>
        </w:tabs>
        <w:ind w:left="1814" w:hanging="227"/>
      </w:pPr>
      <w:rPr>
        <w:rFonts w:ascii="Symbol" w:hAnsi="Symbol" w:cs="Calibri" w:hint="default"/>
        <w:b w:val="0"/>
        <w:i w:val="0"/>
        <w:sz w:val="18"/>
      </w:rPr>
    </w:lvl>
    <w:lvl w:ilvl="8">
      <w:start w:val="1"/>
      <w:numFmt w:val="bullet"/>
      <w:lvlText w:val=""/>
      <w:lvlJc w:val="left"/>
      <w:pPr>
        <w:tabs>
          <w:tab w:val="num" w:pos="2041"/>
        </w:tabs>
        <w:ind w:left="2041" w:hanging="227"/>
      </w:pPr>
      <w:rPr>
        <w:rFonts w:ascii="Symbol" w:hAnsi="Symbol" w:cs="Calibri" w:hint="default"/>
        <w:b w:val="0"/>
        <w:i w:val="0"/>
        <w:sz w:val="18"/>
      </w:rPr>
    </w:lvl>
  </w:abstractNum>
  <w:abstractNum w:abstractNumId="40">
    <w:nsid w:val="673D6A14"/>
    <w:multiLevelType w:val="multilevel"/>
    <w:tmpl w:val="CBF620DA"/>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1">
    <w:nsid w:val="689431E6"/>
    <w:multiLevelType w:val="hybridMultilevel"/>
    <w:tmpl w:val="E8A6EBB8"/>
    <w:lvl w:ilvl="0" w:tplc="C630DBB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2">
    <w:nsid w:val="696170A0"/>
    <w:multiLevelType w:val="hybridMultilevel"/>
    <w:tmpl w:val="EFF65DB2"/>
    <w:lvl w:ilvl="0" w:tplc="0C090001">
      <w:start w:val="1"/>
      <w:numFmt w:val="bullet"/>
      <w:lvlText w:val=""/>
      <w:lvlJc w:val="left"/>
      <w:pPr>
        <w:ind w:left="1080" w:hanging="360"/>
      </w:pPr>
      <w:rPr>
        <w:rFonts w:ascii="Symbol" w:hAnsi="Symbol"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3">
    <w:nsid w:val="6B601C63"/>
    <w:multiLevelType w:val="hybridMultilevel"/>
    <w:tmpl w:val="8818809C"/>
    <w:lvl w:ilvl="0" w:tplc="0C090001">
      <w:start w:val="1"/>
      <w:numFmt w:val="bullet"/>
      <w:lvlText w:val=""/>
      <w:lvlJc w:val="left"/>
      <w:pPr>
        <w:ind w:left="895" w:hanging="360"/>
      </w:pPr>
      <w:rPr>
        <w:rFonts w:ascii="Symbol" w:hAnsi="Symbol" w:hint="default"/>
      </w:rPr>
    </w:lvl>
    <w:lvl w:ilvl="1" w:tplc="0C090003" w:tentative="1">
      <w:start w:val="1"/>
      <w:numFmt w:val="bullet"/>
      <w:lvlText w:val="o"/>
      <w:lvlJc w:val="left"/>
      <w:pPr>
        <w:ind w:left="1615" w:hanging="360"/>
      </w:pPr>
      <w:rPr>
        <w:rFonts w:ascii="Courier New" w:hAnsi="Courier New" w:cs="Courier New" w:hint="default"/>
      </w:rPr>
    </w:lvl>
    <w:lvl w:ilvl="2" w:tplc="0C090005" w:tentative="1">
      <w:start w:val="1"/>
      <w:numFmt w:val="bullet"/>
      <w:lvlText w:val=""/>
      <w:lvlJc w:val="left"/>
      <w:pPr>
        <w:ind w:left="2335" w:hanging="360"/>
      </w:pPr>
      <w:rPr>
        <w:rFonts w:ascii="Wingdings" w:hAnsi="Wingdings" w:hint="default"/>
      </w:rPr>
    </w:lvl>
    <w:lvl w:ilvl="3" w:tplc="0C090001" w:tentative="1">
      <w:start w:val="1"/>
      <w:numFmt w:val="bullet"/>
      <w:lvlText w:val=""/>
      <w:lvlJc w:val="left"/>
      <w:pPr>
        <w:ind w:left="3055" w:hanging="360"/>
      </w:pPr>
      <w:rPr>
        <w:rFonts w:ascii="Symbol" w:hAnsi="Symbol" w:hint="default"/>
      </w:rPr>
    </w:lvl>
    <w:lvl w:ilvl="4" w:tplc="0C090003" w:tentative="1">
      <w:start w:val="1"/>
      <w:numFmt w:val="bullet"/>
      <w:lvlText w:val="o"/>
      <w:lvlJc w:val="left"/>
      <w:pPr>
        <w:ind w:left="3775" w:hanging="360"/>
      </w:pPr>
      <w:rPr>
        <w:rFonts w:ascii="Courier New" w:hAnsi="Courier New" w:cs="Courier New" w:hint="default"/>
      </w:rPr>
    </w:lvl>
    <w:lvl w:ilvl="5" w:tplc="0C090005" w:tentative="1">
      <w:start w:val="1"/>
      <w:numFmt w:val="bullet"/>
      <w:lvlText w:val=""/>
      <w:lvlJc w:val="left"/>
      <w:pPr>
        <w:ind w:left="4495" w:hanging="360"/>
      </w:pPr>
      <w:rPr>
        <w:rFonts w:ascii="Wingdings" w:hAnsi="Wingdings" w:hint="default"/>
      </w:rPr>
    </w:lvl>
    <w:lvl w:ilvl="6" w:tplc="0C090001" w:tentative="1">
      <w:start w:val="1"/>
      <w:numFmt w:val="bullet"/>
      <w:lvlText w:val=""/>
      <w:lvlJc w:val="left"/>
      <w:pPr>
        <w:ind w:left="5215" w:hanging="360"/>
      </w:pPr>
      <w:rPr>
        <w:rFonts w:ascii="Symbol" w:hAnsi="Symbol" w:hint="default"/>
      </w:rPr>
    </w:lvl>
    <w:lvl w:ilvl="7" w:tplc="0C090003" w:tentative="1">
      <w:start w:val="1"/>
      <w:numFmt w:val="bullet"/>
      <w:lvlText w:val="o"/>
      <w:lvlJc w:val="left"/>
      <w:pPr>
        <w:ind w:left="5935" w:hanging="360"/>
      </w:pPr>
      <w:rPr>
        <w:rFonts w:ascii="Courier New" w:hAnsi="Courier New" w:cs="Courier New" w:hint="default"/>
      </w:rPr>
    </w:lvl>
    <w:lvl w:ilvl="8" w:tplc="0C090005" w:tentative="1">
      <w:start w:val="1"/>
      <w:numFmt w:val="bullet"/>
      <w:lvlText w:val=""/>
      <w:lvlJc w:val="left"/>
      <w:pPr>
        <w:ind w:left="6655" w:hanging="360"/>
      </w:pPr>
      <w:rPr>
        <w:rFonts w:ascii="Wingdings" w:hAnsi="Wingdings" w:hint="default"/>
      </w:rPr>
    </w:lvl>
  </w:abstractNum>
  <w:abstractNum w:abstractNumId="44">
    <w:nsid w:val="6C3C16C8"/>
    <w:multiLevelType w:val="hybridMultilevel"/>
    <w:tmpl w:val="6554BB66"/>
    <w:lvl w:ilvl="0" w:tplc="0C090001">
      <w:start w:val="1"/>
      <w:numFmt w:val="bullet"/>
      <w:lvlText w:val=""/>
      <w:lvlJc w:val="left"/>
      <w:pPr>
        <w:ind w:left="1514" w:hanging="360"/>
      </w:pPr>
      <w:rPr>
        <w:rFonts w:ascii="Symbol" w:hAnsi="Symbol" w:hint="default"/>
      </w:rPr>
    </w:lvl>
    <w:lvl w:ilvl="1" w:tplc="0C090003" w:tentative="1">
      <w:start w:val="1"/>
      <w:numFmt w:val="bullet"/>
      <w:lvlText w:val="o"/>
      <w:lvlJc w:val="left"/>
      <w:pPr>
        <w:ind w:left="2234" w:hanging="360"/>
      </w:pPr>
      <w:rPr>
        <w:rFonts w:ascii="Courier New" w:hAnsi="Courier New" w:cs="Courier New" w:hint="default"/>
      </w:rPr>
    </w:lvl>
    <w:lvl w:ilvl="2" w:tplc="0C090005" w:tentative="1">
      <w:start w:val="1"/>
      <w:numFmt w:val="bullet"/>
      <w:lvlText w:val=""/>
      <w:lvlJc w:val="left"/>
      <w:pPr>
        <w:ind w:left="2954" w:hanging="360"/>
      </w:pPr>
      <w:rPr>
        <w:rFonts w:ascii="Wingdings" w:hAnsi="Wingdings" w:hint="default"/>
      </w:rPr>
    </w:lvl>
    <w:lvl w:ilvl="3" w:tplc="0C090001" w:tentative="1">
      <w:start w:val="1"/>
      <w:numFmt w:val="bullet"/>
      <w:lvlText w:val=""/>
      <w:lvlJc w:val="left"/>
      <w:pPr>
        <w:ind w:left="3674" w:hanging="360"/>
      </w:pPr>
      <w:rPr>
        <w:rFonts w:ascii="Symbol" w:hAnsi="Symbol" w:hint="default"/>
      </w:rPr>
    </w:lvl>
    <w:lvl w:ilvl="4" w:tplc="0C090003" w:tentative="1">
      <w:start w:val="1"/>
      <w:numFmt w:val="bullet"/>
      <w:lvlText w:val="o"/>
      <w:lvlJc w:val="left"/>
      <w:pPr>
        <w:ind w:left="4394" w:hanging="360"/>
      </w:pPr>
      <w:rPr>
        <w:rFonts w:ascii="Courier New" w:hAnsi="Courier New" w:cs="Courier New" w:hint="default"/>
      </w:rPr>
    </w:lvl>
    <w:lvl w:ilvl="5" w:tplc="0C090005" w:tentative="1">
      <w:start w:val="1"/>
      <w:numFmt w:val="bullet"/>
      <w:lvlText w:val=""/>
      <w:lvlJc w:val="left"/>
      <w:pPr>
        <w:ind w:left="5114" w:hanging="360"/>
      </w:pPr>
      <w:rPr>
        <w:rFonts w:ascii="Wingdings" w:hAnsi="Wingdings" w:hint="default"/>
      </w:rPr>
    </w:lvl>
    <w:lvl w:ilvl="6" w:tplc="0C090001" w:tentative="1">
      <w:start w:val="1"/>
      <w:numFmt w:val="bullet"/>
      <w:lvlText w:val=""/>
      <w:lvlJc w:val="left"/>
      <w:pPr>
        <w:ind w:left="5834" w:hanging="360"/>
      </w:pPr>
      <w:rPr>
        <w:rFonts w:ascii="Symbol" w:hAnsi="Symbol" w:hint="default"/>
      </w:rPr>
    </w:lvl>
    <w:lvl w:ilvl="7" w:tplc="0C090003" w:tentative="1">
      <w:start w:val="1"/>
      <w:numFmt w:val="bullet"/>
      <w:lvlText w:val="o"/>
      <w:lvlJc w:val="left"/>
      <w:pPr>
        <w:ind w:left="6554" w:hanging="360"/>
      </w:pPr>
      <w:rPr>
        <w:rFonts w:ascii="Courier New" w:hAnsi="Courier New" w:cs="Courier New" w:hint="default"/>
      </w:rPr>
    </w:lvl>
    <w:lvl w:ilvl="8" w:tplc="0C090005" w:tentative="1">
      <w:start w:val="1"/>
      <w:numFmt w:val="bullet"/>
      <w:lvlText w:val=""/>
      <w:lvlJc w:val="left"/>
      <w:pPr>
        <w:ind w:left="7274" w:hanging="360"/>
      </w:pPr>
      <w:rPr>
        <w:rFonts w:ascii="Wingdings" w:hAnsi="Wingdings" w:hint="default"/>
      </w:rPr>
    </w:lvl>
  </w:abstractNum>
  <w:abstractNum w:abstractNumId="45">
    <w:nsid w:val="70B64F0B"/>
    <w:multiLevelType w:val="hybridMultilevel"/>
    <w:tmpl w:val="DBA00A2A"/>
    <w:lvl w:ilvl="0" w:tplc="6DBEA82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nsid w:val="7AA155E1"/>
    <w:multiLevelType w:val="hybridMultilevel"/>
    <w:tmpl w:val="E3864772"/>
    <w:lvl w:ilvl="0" w:tplc="0C090001">
      <w:start w:val="1"/>
      <w:numFmt w:val="bullet"/>
      <w:lvlText w:val=""/>
      <w:lvlJc w:val="left"/>
      <w:pPr>
        <w:ind w:left="1514" w:hanging="360"/>
      </w:pPr>
      <w:rPr>
        <w:rFonts w:ascii="Symbol" w:hAnsi="Symbol" w:hint="default"/>
      </w:rPr>
    </w:lvl>
    <w:lvl w:ilvl="1" w:tplc="0C090019" w:tentative="1">
      <w:start w:val="1"/>
      <w:numFmt w:val="lowerLetter"/>
      <w:lvlText w:val="%2."/>
      <w:lvlJc w:val="left"/>
      <w:pPr>
        <w:ind w:left="2234" w:hanging="360"/>
      </w:pPr>
    </w:lvl>
    <w:lvl w:ilvl="2" w:tplc="0C09001B" w:tentative="1">
      <w:start w:val="1"/>
      <w:numFmt w:val="lowerRoman"/>
      <w:lvlText w:val="%3."/>
      <w:lvlJc w:val="right"/>
      <w:pPr>
        <w:ind w:left="2954" w:hanging="180"/>
      </w:pPr>
    </w:lvl>
    <w:lvl w:ilvl="3" w:tplc="0C09000F" w:tentative="1">
      <w:start w:val="1"/>
      <w:numFmt w:val="decimal"/>
      <w:lvlText w:val="%4."/>
      <w:lvlJc w:val="left"/>
      <w:pPr>
        <w:ind w:left="3674" w:hanging="360"/>
      </w:pPr>
    </w:lvl>
    <w:lvl w:ilvl="4" w:tplc="0C090019" w:tentative="1">
      <w:start w:val="1"/>
      <w:numFmt w:val="lowerLetter"/>
      <w:lvlText w:val="%5."/>
      <w:lvlJc w:val="left"/>
      <w:pPr>
        <w:ind w:left="4394" w:hanging="360"/>
      </w:pPr>
    </w:lvl>
    <w:lvl w:ilvl="5" w:tplc="0C09001B" w:tentative="1">
      <w:start w:val="1"/>
      <w:numFmt w:val="lowerRoman"/>
      <w:lvlText w:val="%6."/>
      <w:lvlJc w:val="right"/>
      <w:pPr>
        <w:ind w:left="5114" w:hanging="180"/>
      </w:pPr>
    </w:lvl>
    <w:lvl w:ilvl="6" w:tplc="0C09000F" w:tentative="1">
      <w:start w:val="1"/>
      <w:numFmt w:val="decimal"/>
      <w:lvlText w:val="%7."/>
      <w:lvlJc w:val="left"/>
      <w:pPr>
        <w:ind w:left="5834" w:hanging="360"/>
      </w:pPr>
    </w:lvl>
    <w:lvl w:ilvl="7" w:tplc="0C090019" w:tentative="1">
      <w:start w:val="1"/>
      <w:numFmt w:val="lowerLetter"/>
      <w:lvlText w:val="%8."/>
      <w:lvlJc w:val="left"/>
      <w:pPr>
        <w:ind w:left="6554" w:hanging="360"/>
      </w:pPr>
    </w:lvl>
    <w:lvl w:ilvl="8" w:tplc="0C09001B" w:tentative="1">
      <w:start w:val="1"/>
      <w:numFmt w:val="lowerRoman"/>
      <w:lvlText w:val="%9."/>
      <w:lvlJc w:val="right"/>
      <w:pPr>
        <w:ind w:left="7274" w:hanging="180"/>
      </w:pPr>
    </w:lvl>
  </w:abstractNum>
  <w:abstractNum w:abstractNumId="47">
    <w:nsid w:val="7C1C13C6"/>
    <w:multiLevelType w:val="hybridMultilevel"/>
    <w:tmpl w:val="7ED89EA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8">
    <w:nsid w:val="7D934244"/>
    <w:multiLevelType w:val="hybridMultilevel"/>
    <w:tmpl w:val="C82CB32E"/>
    <w:lvl w:ilvl="0" w:tplc="0C090001">
      <w:start w:val="1"/>
      <w:numFmt w:val="bullet"/>
      <w:lvlText w:val=""/>
      <w:lvlJc w:val="left"/>
      <w:pPr>
        <w:ind w:left="1514" w:hanging="360"/>
      </w:pPr>
      <w:rPr>
        <w:rFonts w:ascii="Symbol" w:hAnsi="Symbol" w:hint="default"/>
      </w:rPr>
    </w:lvl>
    <w:lvl w:ilvl="1" w:tplc="0C090003" w:tentative="1">
      <w:start w:val="1"/>
      <w:numFmt w:val="bullet"/>
      <w:lvlText w:val="o"/>
      <w:lvlJc w:val="left"/>
      <w:pPr>
        <w:ind w:left="2234" w:hanging="360"/>
      </w:pPr>
      <w:rPr>
        <w:rFonts w:ascii="Courier New" w:hAnsi="Courier New" w:cs="Courier New" w:hint="default"/>
      </w:rPr>
    </w:lvl>
    <w:lvl w:ilvl="2" w:tplc="0C090005" w:tentative="1">
      <w:start w:val="1"/>
      <w:numFmt w:val="bullet"/>
      <w:lvlText w:val=""/>
      <w:lvlJc w:val="left"/>
      <w:pPr>
        <w:ind w:left="2954" w:hanging="360"/>
      </w:pPr>
      <w:rPr>
        <w:rFonts w:ascii="Wingdings" w:hAnsi="Wingdings" w:hint="default"/>
      </w:rPr>
    </w:lvl>
    <w:lvl w:ilvl="3" w:tplc="0C090001" w:tentative="1">
      <w:start w:val="1"/>
      <w:numFmt w:val="bullet"/>
      <w:lvlText w:val=""/>
      <w:lvlJc w:val="left"/>
      <w:pPr>
        <w:ind w:left="3674" w:hanging="360"/>
      </w:pPr>
      <w:rPr>
        <w:rFonts w:ascii="Symbol" w:hAnsi="Symbol" w:hint="default"/>
      </w:rPr>
    </w:lvl>
    <w:lvl w:ilvl="4" w:tplc="0C090003" w:tentative="1">
      <w:start w:val="1"/>
      <w:numFmt w:val="bullet"/>
      <w:lvlText w:val="o"/>
      <w:lvlJc w:val="left"/>
      <w:pPr>
        <w:ind w:left="4394" w:hanging="360"/>
      </w:pPr>
      <w:rPr>
        <w:rFonts w:ascii="Courier New" w:hAnsi="Courier New" w:cs="Courier New" w:hint="default"/>
      </w:rPr>
    </w:lvl>
    <w:lvl w:ilvl="5" w:tplc="0C090005" w:tentative="1">
      <w:start w:val="1"/>
      <w:numFmt w:val="bullet"/>
      <w:lvlText w:val=""/>
      <w:lvlJc w:val="left"/>
      <w:pPr>
        <w:ind w:left="5114" w:hanging="360"/>
      </w:pPr>
      <w:rPr>
        <w:rFonts w:ascii="Wingdings" w:hAnsi="Wingdings" w:hint="default"/>
      </w:rPr>
    </w:lvl>
    <w:lvl w:ilvl="6" w:tplc="0C090001" w:tentative="1">
      <w:start w:val="1"/>
      <w:numFmt w:val="bullet"/>
      <w:lvlText w:val=""/>
      <w:lvlJc w:val="left"/>
      <w:pPr>
        <w:ind w:left="5834" w:hanging="360"/>
      </w:pPr>
      <w:rPr>
        <w:rFonts w:ascii="Symbol" w:hAnsi="Symbol" w:hint="default"/>
      </w:rPr>
    </w:lvl>
    <w:lvl w:ilvl="7" w:tplc="0C090003" w:tentative="1">
      <w:start w:val="1"/>
      <w:numFmt w:val="bullet"/>
      <w:lvlText w:val="o"/>
      <w:lvlJc w:val="left"/>
      <w:pPr>
        <w:ind w:left="6554" w:hanging="360"/>
      </w:pPr>
      <w:rPr>
        <w:rFonts w:ascii="Courier New" w:hAnsi="Courier New" w:cs="Courier New" w:hint="default"/>
      </w:rPr>
    </w:lvl>
    <w:lvl w:ilvl="8" w:tplc="0C090005" w:tentative="1">
      <w:start w:val="1"/>
      <w:numFmt w:val="bullet"/>
      <w:lvlText w:val=""/>
      <w:lvlJc w:val="left"/>
      <w:pPr>
        <w:ind w:left="7274" w:hanging="360"/>
      </w:pPr>
      <w:rPr>
        <w:rFonts w:ascii="Wingdings" w:hAnsi="Wingdings" w:hint="default"/>
      </w:rPr>
    </w:lvl>
  </w:abstractNum>
  <w:num w:numId="1">
    <w:abstractNumId w:val="17"/>
  </w:num>
  <w:num w:numId="2">
    <w:abstractNumId w:val="32"/>
  </w:num>
  <w:num w:numId="3">
    <w:abstractNumId w:val="31"/>
  </w:num>
  <w:num w:numId="4">
    <w:abstractNumId w:val="15"/>
  </w:num>
  <w:num w:numId="5">
    <w:abstractNumId w:val="14"/>
  </w:num>
  <w:num w:numId="6">
    <w:abstractNumId w:val="26"/>
  </w:num>
  <w:num w:numId="7">
    <w:abstractNumId w:val="8"/>
  </w:num>
  <w:num w:numId="8">
    <w:abstractNumId w:val="8"/>
  </w:num>
  <w:num w:numId="9">
    <w:abstractNumId w:val="2"/>
  </w:num>
  <w:num w:numId="10">
    <w:abstractNumId w:val="1"/>
  </w:num>
  <w:num w:numId="11">
    <w:abstractNumId w:val="0"/>
  </w:num>
  <w:num w:numId="12">
    <w:abstractNumId w:val="13"/>
  </w:num>
  <w:num w:numId="13">
    <w:abstractNumId w:val="39"/>
  </w:num>
  <w:num w:numId="14">
    <w:abstractNumId w:val="16"/>
  </w:num>
  <w:num w:numId="15">
    <w:abstractNumId w:val="18"/>
  </w:num>
  <w:num w:numId="16">
    <w:abstractNumId w:val="3"/>
  </w:num>
  <w:num w:numId="17">
    <w:abstractNumId w:val="30"/>
  </w:num>
  <w:num w:numId="18">
    <w:abstractNumId w:val="20"/>
  </w:num>
  <w:num w:numId="19">
    <w:abstractNumId w:val="7"/>
  </w:num>
  <w:num w:numId="20">
    <w:abstractNumId w:val="34"/>
  </w:num>
  <w:num w:numId="21">
    <w:abstractNumId w:val="40"/>
  </w:num>
  <w:num w:numId="22">
    <w:abstractNumId w:val="41"/>
  </w:num>
  <w:num w:numId="23">
    <w:abstractNumId w:val="29"/>
  </w:num>
  <w:num w:numId="24">
    <w:abstractNumId w:val="22"/>
  </w:num>
  <w:num w:numId="25">
    <w:abstractNumId w:val="5"/>
  </w:num>
  <w:num w:numId="26">
    <w:abstractNumId w:val="21"/>
  </w:num>
  <w:num w:numId="27">
    <w:abstractNumId w:val="43"/>
  </w:num>
  <w:num w:numId="28">
    <w:abstractNumId w:val="4"/>
  </w:num>
  <w:num w:numId="29">
    <w:abstractNumId w:val="10"/>
  </w:num>
  <w:num w:numId="30">
    <w:abstractNumId w:val="38"/>
  </w:num>
  <w:num w:numId="31">
    <w:abstractNumId w:val="19"/>
  </w:num>
  <w:num w:numId="32">
    <w:abstractNumId w:val="44"/>
  </w:num>
  <w:num w:numId="33">
    <w:abstractNumId w:val="27"/>
  </w:num>
  <w:num w:numId="34">
    <w:abstractNumId w:val="33"/>
  </w:num>
  <w:num w:numId="35">
    <w:abstractNumId w:val="45"/>
  </w:num>
  <w:num w:numId="36">
    <w:abstractNumId w:val="25"/>
  </w:num>
  <w:num w:numId="37">
    <w:abstractNumId w:val="23"/>
  </w:num>
  <w:num w:numId="38">
    <w:abstractNumId w:val="35"/>
  </w:num>
  <w:num w:numId="39">
    <w:abstractNumId w:val="24"/>
  </w:num>
  <w:num w:numId="40">
    <w:abstractNumId w:val="36"/>
  </w:num>
  <w:num w:numId="41">
    <w:abstractNumId w:val="9"/>
  </w:num>
  <w:num w:numId="4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8"/>
  </w:num>
  <w:num w:numId="44">
    <w:abstractNumId w:val="28"/>
  </w:num>
  <w:num w:numId="45">
    <w:abstractNumId w:val="8"/>
  </w:num>
  <w:num w:numId="46">
    <w:abstractNumId w:val="12"/>
  </w:num>
  <w:num w:numId="47">
    <w:abstractNumId w:val="46"/>
  </w:num>
  <w:num w:numId="48">
    <w:abstractNumId w:val="42"/>
  </w:num>
  <w:num w:numId="49">
    <w:abstractNumId w:val="6"/>
  </w:num>
  <w:num w:numId="50">
    <w:abstractNumId w:val="47"/>
  </w:num>
  <w:num w:numId="51">
    <w:abstractNumId w:val="8"/>
  </w:num>
  <w:num w:numId="52">
    <w:abstractNumId w:val="11"/>
  </w:num>
  <w:num w:numId="53">
    <w:abstractNumId w:val="37"/>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511"/>
    <w:rsid w:val="000057D0"/>
    <w:rsid w:val="000319EF"/>
    <w:rsid w:val="00032998"/>
    <w:rsid w:val="00040788"/>
    <w:rsid w:val="00042F24"/>
    <w:rsid w:val="00045E45"/>
    <w:rsid w:val="00050023"/>
    <w:rsid w:val="00055B0D"/>
    <w:rsid w:val="00060D24"/>
    <w:rsid w:val="00066D3B"/>
    <w:rsid w:val="00067B6B"/>
    <w:rsid w:val="0007265F"/>
    <w:rsid w:val="000817D7"/>
    <w:rsid w:val="000949B4"/>
    <w:rsid w:val="000A1BEA"/>
    <w:rsid w:val="000A52AF"/>
    <w:rsid w:val="000B0D9B"/>
    <w:rsid w:val="000B62C3"/>
    <w:rsid w:val="000B6AD5"/>
    <w:rsid w:val="000C3DED"/>
    <w:rsid w:val="000C4FEA"/>
    <w:rsid w:val="000C79CE"/>
    <w:rsid w:val="000D0EB7"/>
    <w:rsid w:val="000D113B"/>
    <w:rsid w:val="000E01AA"/>
    <w:rsid w:val="00115476"/>
    <w:rsid w:val="00122A1F"/>
    <w:rsid w:val="00122C39"/>
    <w:rsid w:val="001276AE"/>
    <w:rsid w:val="00130AEA"/>
    <w:rsid w:val="00145527"/>
    <w:rsid w:val="0014596F"/>
    <w:rsid w:val="001464E8"/>
    <w:rsid w:val="00152AC5"/>
    <w:rsid w:val="00170323"/>
    <w:rsid w:val="00177917"/>
    <w:rsid w:val="00187790"/>
    <w:rsid w:val="00192238"/>
    <w:rsid w:val="001A3128"/>
    <w:rsid w:val="001B4093"/>
    <w:rsid w:val="001D1372"/>
    <w:rsid w:val="001D40FC"/>
    <w:rsid w:val="001E4B8A"/>
    <w:rsid w:val="001E621A"/>
    <w:rsid w:val="00205DA0"/>
    <w:rsid w:val="00222B1B"/>
    <w:rsid w:val="002277B8"/>
    <w:rsid w:val="00237B86"/>
    <w:rsid w:val="00240D7B"/>
    <w:rsid w:val="00244CAA"/>
    <w:rsid w:val="002526AB"/>
    <w:rsid w:val="002657AF"/>
    <w:rsid w:val="0027234B"/>
    <w:rsid w:val="00277AD7"/>
    <w:rsid w:val="00282E5D"/>
    <w:rsid w:val="002851EB"/>
    <w:rsid w:val="002A1B50"/>
    <w:rsid w:val="002A6200"/>
    <w:rsid w:val="002B06B0"/>
    <w:rsid w:val="002D3941"/>
    <w:rsid w:val="002F2E2E"/>
    <w:rsid w:val="003116C6"/>
    <w:rsid w:val="003119C6"/>
    <w:rsid w:val="003145D7"/>
    <w:rsid w:val="003238E0"/>
    <w:rsid w:val="0034426E"/>
    <w:rsid w:val="003544C4"/>
    <w:rsid w:val="0036128E"/>
    <w:rsid w:val="00365514"/>
    <w:rsid w:val="0037281D"/>
    <w:rsid w:val="00382D7B"/>
    <w:rsid w:val="003854B7"/>
    <w:rsid w:val="00390E23"/>
    <w:rsid w:val="00391229"/>
    <w:rsid w:val="003B088B"/>
    <w:rsid w:val="003B75C7"/>
    <w:rsid w:val="003C5D33"/>
    <w:rsid w:val="003D2865"/>
    <w:rsid w:val="003D3441"/>
    <w:rsid w:val="003D7E99"/>
    <w:rsid w:val="003E64B9"/>
    <w:rsid w:val="003F0F97"/>
    <w:rsid w:val="003F7272"/>
    <w:rsid w:val="003F7DB5"/>
    <w:rsid w:val="00407A05"/>
    <w:rsid w:val="004200CE"/>
    <w:rsid w:val="004375EA"/>
    <w:rsid w:val="0044279B"/>
    <w:rsid w:val="00453A1B"/>
    <w:rsid w:val="00454549"/>
    <w:rsid w:val="00456141"/>
    <w:rsid w:val="00463BB2"/>
    <w:rsid w:val="00464EF2"/>
    <w:rsid w:val="0047054C"/>
    <w:rsid w:val="00470CA0"/>
    <w:rsid w:val="00472069"/>
    <w:rsid w:val="00480B91"/>
    <w:rsid w:val="004A4CF4"/>
    <w:rsid w:val="004C07A0"/>
    <w:rsid w:val="004D13A5"/>
    <w:rsid w:val="004D16D4"/>
    <w:rsid w:val="004D5B8E"/>
    <w:rsid w:val="004D6C02"/>
    <w:rsid w:val="004D711E"/>
    <w:rsid w:val="004F14D1"/>
    <w:rsid w:val="00524766"/>
    <w:rsid w:val="00537379"/>
    <w:rsid w:val="00552B8F"/>
    <w:rsid w:val="00573E5E"/>
    <w:rsid w:val="005903DF"/>
    <w:rsid w:val="005A56FB"/>
    <w:rsid w:val="005B62AD"/>
    <w:rsid w:val="005B6FA6"/>
    <w:rsid w:val="005C024C"/>
    <w:rsid w:val="005C412B"/>
    <w:rsid w:val="005D0F51"/>
    <w:rsid w:val="005D10A9"/>
    <w:rsid w:val="005D39C7"/>
    <w:rsid w:val="005E4A59"/>
    <w:rsid w:val="005E6598"/>
    <w:rsid w:val="005F6B99"/>
    <w:rsid w:val="005F74F6"/>
    <w:rsid w:val="006409DB"/>
    <w:rsid w:val="00643961"/>
    <w:rsid w:val="00656118"/>
    <w:rsid w:val="00664432"/>
    <w:rsid w:val="00670895"/>
    <w:rsid w:val="00670CBC"/>
    <w:rsid w:val="0069155F"/>
    <w:rsid w:val="00692C42"/>
    <w:rsid w:val="006A28ED"/>
    <w:rsid w:val="006A655B"/>
    <w:rsid w:val="006B3E9C"/>
    <w:rsid w:val="006B4560"/>
    <w:rsid w:val="006D368A"/>
    <w:rsid w:val="006E0C24"/>
    <w:rsid w:val="006E25E1"/>
    <w:rsid w:val="006E302D"/>
    <w:rsid w:val="006F0A1A"/>
    <w:rsid w:val="006F596F"/>
    <w:rsid w:val="00701CC4"/>
    <w:rsid w:val="00716818"/>
    <w:rsid w:val="00717ACB"/>
    <w:rsid w:val="0072718C"/>
    <w:rsid w:val="007332B8"/>
    <w:rsid w:val="0075295F"/>
    <w:rsid w:val="00753399"/>
    <w:rsid w:val="00756CB0"/>
    <w:rsid w:val="00771DA9"/>
    <w:rsid w:val="0078188C"/>
    <w:rsid w:val="007913FA"/>
    <w:rsid w:val="00795392"/>
    <w:rsid w:val="0079746B"/>
    <w:rsid w:val="007A071F"/>
    <w:rsid w:val="007B4CB2"/>
    <w:rsid w:val="007C5009"/>
    <w:rsid w:val="007C58EF"/>
    <w:rsid w:val="007E2400"/>
    <w:rsid w:val="007E5817"/>
    <w:rsid w:val="008004D4"/>
    <w:rsid w:val="00804D58"/>
    <w:rsid w:val="00810921"/>
    <w:rsid w:val="008212E9"/>
    <w:rsid w:val="00824E8F"/>
    <w:rsid w:val="00826067"/>
    <w:rsid w:val="0085041F"/>
    <w:rsid w:val="00880A70"/>
    <w:rsid w:val="008814C1"/>
    <w:rsid w:val="008836B2"/>
    <w:rsid w:val="008877D8"/>
    <w:rsid w:val="00887FE5"/>
    <w:rsid w:val="008A481F"/>
    <w:rsid w:val="008C777D"/>
    <w:rsid w:val="008D0B64"/>
    <w:rsid w:val="008D1BD8"/>
    <w:rsid w:val="008D7A1E"/>
    <w:rsid w:val="008E73E4"/>
    <w:rsid w:val="008F0D0F"/>
    <w:rsid w:val="00903E8A"/>
    <w:rsid w:val="00906FFF"/>
    <w:rsid w:val="00917306"/>
    <w:rsid w:val="009269AC"/>
    <w:rsid w:val="009705F5"/>
    <w:rsid w:val="009718F7"/>
    <w:rsid w:val="00996828"/>
    <w:rsid w:val="00996969"/>
    <w:rsid w:val="009A164B"/>
    <w:rsid w:val="009C22A3"/>
    <w:rsid w:val="009C77DA"/>
    <w:rsid w:val="009F179E"/>
    <w:rsid w:val="00A100F3"/>
    <w:rsid w:val="00A3313F"/>
    <w:rsid w:val="00A34D0E"/>
    <w:rsid w:val="00A45085"/>
    <w:rsid w:val="00A52916"/>
    <w:rsid w:val="00A62EEC"/>
    <w:rsid w:val="00A759D3"/>
    <w:rsid w:val="00A75C74"/>
    <w:rsid w:val="00A807E1"/>
    <w:rsid w:val="00A967A9"/>
    <w:rsid w:val="00AB69A6"/>
    <w:rsid w:val="00AC31CE"/>
    <w:rsid w:val="00AD2AA3"/>
    <w:rsid w:val="00AE0F1E"/>
    <w:rsid w:val="00AF698A"/>
    <w:rsid w:val="00B01638"/>
    <w:rsid w:val="00B05627"/>
    <w:rsid w:val="00B14372"/>
    <w:rsid w:val="00B1587E"/>
    <w:rsid w:val="00B179C1"/>
    <w:rsid w:val="00B235C7"/>
    <w:rsid w:val="00B41D87"/>
    <w:rsid w:val="00B443A1"/>
    <w:rsid w:val="00B45961"/>
    <w:rsid w:val="00B52358"/>
    <w:rsid w:val="00B61A29"/>
    <w:rsid w:val="00B61C50"/>
    <w:rsid w:val="00B62163"/>
    <w:rsid w:val="00B64B7F"/>
    <w:rsid w:val="00B717B2"/>
    <w:rsid w:val="00B76420"/>
    <w:rsid w:val="00B83B07"/>
    <w:rsid w:val="00B841E4"/>
    <w:rsid w:val="00B85A54"/>
    <w:rsid w:val="00BA7885"/>
    <w:rsid w:val="00BB5B22"/>
    <w:rsid w:val="00BD0CF3"/>
    <w:rsid w:val="00C011AB"/>
    <w:rsid w:val="00C02028"/>
    <w:rsid w:val="00C056D2"/>
    <w:rsid w:val="00C27A13"/>
    <w:rsid w:val="00C46DDC"/>
    <w:rsid w:val="00C5596B"/>
    <w:rsid w:val="00C55A29"/>
    <w:rsid w:val="00C55E58"/>
    <w:rsid w:val="00C84658"/>
    <w:rsid w:val="00C9000E"/>
    <w:rsid w:val="00CA72B5"/>
    <w:rsid w:val="00CD215B"/>
    <w:rsid w:val="00CE265F"/>
    <w:rsid w:val="00CE62C8"/>
    <w:rsid w:val="00D15511"/>
    <w:rsid w:val="00D15F0F"/>
    <w:rsid w:val="00D209DF"/>
    <w:rsid w:val="00D5476B"/>
    <w:rsid w:val="00D55781"/>
    <w:rsid w:val="00D62EF4"/>
    <w:rsid w:val="00D76BCE"/>
    <w:rsid w:val="00D80F64"/>
    <w:rsid w:val="00D82EED"/>
    <w:rsid w:val="00D83ABD"/>
    <w:rsid w:val="00D87911"/>
    <w:rsid w:val="00D93916"/>
    <w:rsid w:val="00DA50E7"/>
    <w:rsid w:val="00DA59A2"/>
    <w:rsid w:val="00DB7241"/>
    <w:rsid w:val="00DC1D3A"/>
    <w:rsid w:val="00DD7F70"/>
    <w:rsid w:val="00DE144F"/>
    <w:rsid w:val="00E035B4"/>
    <w:rsid w:val="00E1556C"/>
    <w:rsid w:val="00E16E4C"/>
    <w:rsid w:val="00E174FB"/>
    <w:rsid w:val="00E24219"/>
    <w:rsid w:val="00E254CB"/>
    <w:rsid w:val="00E36889"/>
    <w:rsid w:val="00E37B3B"/>
    <w:rsid w:val="00E53963"/>
    <w:rsid w:val="00E57F58"/>
    <w:rsid w:val="00E6209C"/>
    <w:rsid w:val="00E652A0"/>
    <w:rsid w:val="00E76486"/>
    <w:rsid w:val="00E77318"/>
    <w:rsid w:val="00E773D3"/>
    <w:rsid w:val="00E9220D"/>
    <w:rsid w:val="00E92AA2"/>
    <w:rsid w:val="00E9392E"/>
    <w:rsid w:val="00EA0C61"/>
    <w:rsid w:val="00EB15DC"/>
    <w:rsid w:val="00EC32BD"/>
    <w:rsid w:val="00EF0A45"/>
    <w:rsid w:val="00EF202F"/>
    <w:rsid w:val="00EF60D3"/>
    <w:rsid w:val="00EF7E26"/>
    <w:rsid w:val="00F06162"/>
    <w:rsid w:val="00F12E44"/>
    <w:rsid w:val="00F13192"/>
    <w:rsid w:val="00F143D0"/>
    <w:rsid w:val="00F269EC"/>
    <w:rsid w:val="00F270BA"/>
    <w:rsid w:val="00F4021E"/>
    <w:rsid w:val="00F41B5B"/>
    <w:rsid w:val="00F42A02"/>
    <w:rsid w:val="00F50D14"/>
    <w:rsid w:val="00F54DC2"/>
    <w:rsid w:val="00F738AD"/>
    <w:rsid w:val="00F76CB3"/>
    <w:rsid w:val="00F91890"/>
    <w:rsid w:val="00F96194"/>
    <w:rsid w:val="00FA33F0"/>
    <w:rsid w:val="00FC7279"/>
    <w:rsid w:val="00FF72B0"/>
    <w:rsid w:val="00FF7C8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3" w:unhideWhenUsed="0" w:qFormat="1"/>
    <w:lsdException w:name="heading 2" w:uiPriority="3" w:qFormat="1"/>
    <w:lsdException w:name="heading 3" w:uiPriority="3" w:qFormat="1"/>
    <w:lsdException w:name="heading 4" w:uiPriority="3" w:qFormat="1"/>
    <w:lsdException w:name="heading 5" w:uiPriority="3" w:qFormat="1"/>
    <w:lsdException w:name="heading 6" w:uiPriority="3" w:qFormat="1"/>
    <w:lsdException w:name="heading 7" w:uiPriority="3" w:qFormat="1"/>
    <w:lsdException w:name="heading 8" w:uiPriority="3" w:qFormat="1"/>
    <w:lsdException w:name="heading 9" w:uiPriority="3" w:qFormat="1"/>
    <w:lsdException w:name="index 1" w:uiPriority="49"/>
    <w:lsdException w:name="index 2" w:uiPriority="49"/>
    <w:lsdException w:name="index 3" w:uiPriority="49"/>
    <w:lsdException w:name="index 4" w:uiPriority="49"/>
    <w:lsdException w:name="index 5" w:uiPriority="49"/>
    <w:lsdException w:name="index 6" w:uiPriority="49"/>
    <w:lsdException w:name="index 7" w:uiPriority="49"/>
    <w:lsdException w:name="index 8" w:uiPriority="49"/>
    <w:lsdException w:name="index 9" w:uiPriority="49"/>
    <w:lsdException w:name="toc 1" w:uiPriority="39"/>
    <w:lsdException w:name="toc 2" w:uiPriority="39"/>
    <w:lsdException w:name="toc 3" w:uiPriority="39"/>
    <w:lsdException w:name="toc 4" w:uiPriority="39"/>
    <w:lsdException w:name="toc 5" w:uiPriority="39"/>
    <w:lsdException w:name="toc 6" w:uiPriority="49"/>
    <w:lsdException w:name="toc 7" w:uiPriority="49"/>
    <w:lsdException w:name="toc 8" w:uiPriority="49"/>
    <w:lsdException w:name="toc 9" w:uiPriority="49"/>
    <w:lsdException w:name="Normal Indent" w:uiPriority="0"/>
    <w:lsdException w:name="footnote text" w:uiPriority="49"/>
    <w:lsdException w:name="annotation text" w:uiPriority="49"/>
    <w:lsdException w:name="header" w:uiPriority="24"/>
    <w:lsdException w:name="footer" w:uiPriority="24"/>
    <w:lsdException w:name="index heading" w:uiPriority="49"/>
    <w:lsdException w:name="caption" w:uiPriority="13" w:qFormat="1"/>
    <w:lsdException w:name="envelope address" w:uiPriority="49"/>
    <w:lsdException w:name="envelope return" w:uiPriority="49"/>
    <w:lsdException w:name="footnote reference" w:uiPriority="49"/>
    <w:lsdException w:name="annotation reference" w:uiPriority="49"/>
    <w:lsdException w:name="line number" w:uiPriority="49"/>
    <w:lsdException w:name="page number" w:uiPriority="49"/>
    <w:lsdException w:name="endnote reference" w:uiPriority="49"/>
    <w:lsdException w:name="endnote text" w:uiPriority="49"/>
    <w:lsdException w:name="table of authorities" w:uiPriority="39"/>
    <w:lsdException w:name="macro" w:uiPriority="49"/>
    <w:lsdException w:name="toa heading" w:uiPriority="39"/>
    <w:lsdException w:name="List" w:uiPriority="49"/>
    <w:lsdException w:name="List Number" w:uiPriority="0" w:qFormat="1"/>
    <w:lsdException w:name="List 2" w:uiPriority="49"/>
    <w:lsdException w:name="List 3" w:uiPriority="49"/>
    <w:lsdException w:name="List 4" w:uiPriority="49"/>
    <w:lsdException w:name="List 5" w:uiPriority="49"/>
    <w:lsdException w:name="List Bullet 4" w:uiPriority="49"/>
    <w:lsdException w:name="List Bullet 5" w:uiPriority="49"/>
    <w:lsdException w:name="List Number 2" w:uiPriority="0"/>
    <w:lsdException w:name="List Number 3" w:uiPriority="0"/>
    <w:lsdException w:name="List Number 4" w:uiPriority="0"/>
    <w:lsdException w:name="List Number 5" w:uiPriority="49"/>
    <w:lsdException w:name="Title" w:semiHidden="0" w:uiPriority="28" w:unhideWhenUsed="0" w:qFormat="1"/>
    <w:lsdException w:name="Closing" w:uiPriority="49"/>
    <w:lsdException w:name="Signature" w:uiPriority="49"/>
    <w:lsdException w:name="Default Paragraph Font" w:uiPriority="1"/>
    <w:lsdException w:name="Body Text" w:uiPriority="49"/>
    <w:lsdException w:name="Body Text Indent" w:uiPriority="49"/>
    <w:lsdException w:name="List Continue" w:uiPriority="8" w:qFormat="1"/>
    <w:lsdException w:name="List Continue 2" w:uiPriority="8"/>
    <w:lsdException w:name="List Continue 3" w:uiPriority="8"/>
    <w:lsdException w:name="List Continue 4" w:uiPriority="49"/>
    <w:lsdException w:name="List Continue 5" w:uiPriority="49"/>
    <w:lsdException w:name="Message Header" w:uiPriority="49"/>
    <w:lsdException w:name="Subtitle" w:semiHidden="0" w:uiPriority="29" w:unhideWhenUsed="0" w:qFormat="1"/>
    <w:lsdException w:name="Salutation" w:uiPriority="49"/>
    <w:lsdException w:name="Date" w:uiPriority="49"/>
    <w:lsdException w:name="Body Text First Indent" w:uiPriority="49"/>
    <w:lsdException w:name="Body Text First Indent 2" w:uiPriority="49"/>
    <w:lsdException w:name="Body Text 2" w:uiPriority="49"/>
    <w:lsdException w:name="Body Text 3" w:uiPriority="49"/>
    <w:lsdException w:name="Body Text Indent 2" w:uiPriority="49"/>
    <w:lsdException w:name="Body Text Indent 3" w:uiPriority="49"/>
    <w:lsdException w:name="Block Text" w:uiPriority="49"/>
    <w:lsdException w:name="Strong" w:semiHidden="0" w:uiPriority="22" w:unhideWhenUsed="0" w:qFormat="1"/>
    <w:lsdException w:name="Emphasis" w:semiHidden="0" w:uiPriority="20" w:unhideWhenUsed="0" w:qFormat="1"/>
    <w:lsdException w:name="Document Map" w:uiPriority="49"/>
    <w:lsdException w:name="Plain Text" w:uiPriority="49"/>
    <w:lsdException w:name="E-mail Signature" w:uiPriority="49"/>
    <w:lsdException w:name="Normal (Web)" w:uiPriority="49"/>
    <w:lsdException w:name="HTML Address" w:uiPriority="49"/>
    <w:lsdException w:name="HTML Preformatted" w:uiPriority="49"/>
    <w:lsdException w:name="annotation subject" w:uiPriority="49"/>
    <w:lsdException w:name="Balloon Text" w:uiPriority="49"/>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29" w:qFormat="1"/>
  </w:latentStyles>
  <w:style w:type="paragraph" w:default="1" w:styleId="Normal">
    <w:name w:val="Normal"/>
    <w:qFormat/>
    <w:rsid w:val="00A3313F"/>
    <w:pPr>
      <w:spacing w:before="100" w:after="100"/>
      <w:ind w:left="794"/>
    </w:pPr>
    <w:rPr>
      <w:rFonts w:cs="Calibri"/>
      <w:sz w:val="22"/>
      <w:szCs w:val="22"/>
    </w:rPr>
  </w:style>
  <w:style w:type="paragraph" w:styleId="Heading1">
    <w:name w:val="heading 1"/>
    <w:basedOn w:val="Normal"/>
    <w:next w:val="Normal"/>
    <w:link w:val="Heading1Char"/>
    <w:uiPriority w:val="3"/>
    <w:qFormat/>
    <w:rsid w:val="00716818"/>
    <w:pPr>
      <w:keepNext/>
      <w:keepLines/>
      <w:pageBreakBefore/>
      <w:numPr>
        <w:numId w:val="8"/>
      </w:numPr>
      <w:spacing w:before="0" w:after="1120" w:line="216" w:lineRule="auto"/>
      <w:outlineLvl w:val="0"/>
    </w:pPr>
    <w:rPr>
      <w:color w:val="404040"/>
      <w:kern w:val="28"/>
      <w:sz w:val="40"/>
      <w:lang w:eastAsia="en-US"/>
    </w:rPr>
  </w:style>
  <w:style w:type="paragraph" w:styleId="Heading2">
    <w:name w:val="heading 2"/>
    <w:basedOn w:val="Heading1"/>
    <w:next w:val="Normal"/>
    <w:link w:val="Heading2Char"/>
    <w:uiPriority w:val="3"/>
    <w:qFormat/>
    <w:rsid w:val="00716818"/>
    <w:pPr>
      <w:pageBreakBefore w:val="0"/>
      <w:widowControl w:val="0"/>
      <w:numPr>
        <w:ilvl w:val="1"/>
      </w:numPr>
      <w:spacing w:before="280" w:after="120"/>
      <w:outlineLvl w:val="1"/>
    </w:pPr>
    <w:rPr>
      <w:color w:val="4D4D4D"/>
      <w:sz w:val="30"/>
    </w:rPr>
  </w:style>
  <w:style w:type="paragraph" w:styleId="Heading3">
    <w:name w:val="heading 3"/>
    <w:basedOn w:val="Heading2"/>
    <w:next w:val="Normal"/>
    <w:link w:val="Heading3Char"/>
    <w:uiPriority w:val="3"/>
    <w:qFormat/>
    <w:rsid w:val="00716818"/>
    <w:pPr>
      <w:numPr>
        <w:ilvl w:val="2"/>
      </w:numPr>
      <w:spacing w:before="200"/>
      <w:outlineLvl w:val="2"/>
    </w:pPr>
    <w:rPr>
      <w:b/>
      <w:sz w:val="26"/>
    </w:rPr>
  </w:style>
  <w:style w:type="paragraph" w:styleId="Heading4">
    <w:name w:val="heading 4"/>
    <w:basedOn w:val="Heading3"/>
    <w:next w:val="Normal"/>
    <w:link w:val="Heading4Char"/>
    <w:uiPriority w:val="3"/>
    <w:qFormat/>
    <w:rsid w:val="00716818"/>
    <w:pPr>
      <w:numPr>
        <w:ilvl w:val="3"/>
      </w:numPr>
      <w:spacing w:before="160" w:line="228" w:lineRule="auto"/>
      <w:outlineLvl w:val="3"/>
    </w:pPr>
    <w:rPr>
      <w:sz w:val="22"/>
    </w:rPr>
  </w:style>
  <w:style w:type="paragraph" w:styleId="Heading5">
    <w:name w:val="heading 5"/>
    <w:basedOn w:val="Heading4"/>
    <w:next w:val="Normal"/>
    <w:link w:val="Heading5Char"/>
    <w:uiPriority w:val="3"/>
    <w:qFormat/>
    <w:rsid w:val="00716818"/>
    <w:pPr>
      <w:numPr>
        <w:ilvl w:val="4"/>
      </w:numPr>
      <w:outlineLvl w:val="4"/>
    </w:pPr>
    <w:rPr>
      <w:bCs/>
      <w:i/>
      <w:color w:val="404040"/>
    </w:rPr>
  </w:style>
  <w:style w:type="paragraph" w:styleId="Heading6">
    <w:name w:val="heading 6"/>
    <w:basedOn w:val="Heading5"/>
    <w:next w:val="Normal"/>
    <w:link w:val="Heading6Char"/>
    <w:uiPriority w:val="3"/>
    <w:semiHidden/>
    <w:qFormat/>
    <w:rsid w:val="00716818"/>
    <w:pPr>
      <w:numPr>
        <w:ilvl w:val="5"/>
      </w:numPr>
      <w:outlineLvl w:val="5"/>
    </w:pPr>
    <w:rPr>
      <w:iCs/>
    </w:rPr>
  </w:style>
  <w:style w:type="paragraph" w:styleId="Heading7">
    <w:name w:val="heading 7"/>
    <w:basedOn w:val="Heading6"/>
    <w:next w:val="Normal"/>
    <w:link w:val="Heading7Char"/>
    <w:uiPriority w:val="3"/>
    <w:semiHidden/>
    <w:qFormat/>
    <w:rsid w:val="00716818"/>
    <w:pPr>
      <w:numPr>
        <w:ilvl w:val="6"/>
      </w:numPr>
      <w:outlineLvl w:val="6"/>
    </w:pPr>
    <w:rPr>
      <w:i w:val="0"/>
    </w:rPr>
  </w:style>
  <w:style w:type="paragraph" w:styleId="Heading8">
    <w:name w:val="heading 8"/>
    <w:basedOn w:val="Heading7"/>
    <w:next w:val="Normal"/>
    <w:link w:val="Heading8Char"/>
    <w:uiPriority w:val="3"/>
    <w:semiHidden/>
    <w:qFormat/>
    <w:rsid w:val="00716818"/>
    <w:pPr>
      <w:numPr>
        <w:ilvl w:val="7"/>
      </w:numPr>
      <w:outlineLvl w:val="7"/>
    </w:pPr>
    <w:rPr>
      <w:b w:val="0"/>
    </w:rPr>
  </w:style>
  <w:style w:type="paragraph" w:styleId="Heading9">
    <w:name w:val="heading 9"/>
    <w:basedOn w:val="Heading8"/>
    <w:next w:val="Normal"/>
    <w:link w:val="Heading9Char"/>
    <w:uiPriority w:val="3"/>
    <w:semiHidden/>
    <w:qFormat/>
    <w:rsid w:val="00716818"/>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24"/>
    <w:rsid w:val="00716818"/>
    <w:pPr>
      <w:tabs>
        <w:tab w:val="center" w:pos="4320"/>
        <w:tab w:val="right" w:pos="8640"/>
      </w:tabs>
      <w:spacing w:before="0" w:after="0"/>
      <w:ind w:left="0" w:right="-567"/>
    </w:pPr>
    <w:rPr>
      <w:sz w:val="24"/>
    </w:rPr>
  </w:style>
  <w:style w:type="character" w:customStyle="1" w:styleId="HeaderChar">
    <w:name w:val="Header Char"/>
    <w:basedOn w:val="DefaultParagraphFont"/>
    <w:link w:val="Header"/>
    <w:uiPriority w:val="24"/>
    <w:rsid w:val="00716818"/>
    <w:rPr>
      <w:rFonts w:cs="Calibri"/>
      <w:sz w:val="24"/>
      <w:szCs w:val="22"/>
    </w:rPr>
  </w:style>
  <w:style w:type="paragraph" w:styleId="Footer">
    <w:name w:val="footer"/>
    <w:link w:val="FooterChar"/>
    <w:uiPriority w:val="24"/>
    <w:rsid w:val="00716818"/>
    <w:pPr>
      <w:tabs>
        <w:tab w:val="right" w:pos="8220"/>
      </w:tabs>
    </w:pPr>
    <w:rPr>
      <w:rFonts w:cs="Calibri"/>
      <w:noProof/>
      <w:color w:val="4C4C4C"/>
      <w:sz w:val="12"/>
      <w:szCs w:val="22"/>
    </w:rPr>
  </w:style>
  <w:style w:type="character" w:customStyle="1" w:styleId="FooterChar">
    <w:name w:val="Footer Char"/>
    <w:basedOn w:val="DefaultParagraphFont"/>
    <w:link w:val="Footer"/>
    <w:uiPriority w:val="24"/>
    <w:rsid w:val="00716818"/>
    <w:rPr>
      <w:rFonts w:cs="Calibri"/>
      <w:noProof/>
      <w:color w:val="4C4C4C"/>
      <w:sz w:val="12"/>
      <w:szCs w:val="22"/>
    </w:rPr>
  </w:style>
  <w:style w:type="paragraph" w:styleId="Title">
    <w:name w:val="Title"/>
    <w:basedOn w:val="Normal"/>
    <w:link w:val="TitleChar"/>
    <w:uiPriority w:val="28"/>
    <w:qFormat/>
    <w:rsid w:val="00716818"/>
    <w:pPr>
      <w:spacing w:before="0" w:line="560" w:lineRule="exact"/>
      <w:ind w:left="0" w:right="3402"/>
    </w:pPr>
    <w:rPr>
      <w:b/>
      <w:color w:val="000000"/>
      <w:sz w:val="60"/>
    </w:rPr>
  </w:style>
  <w:style w:type="character" w:customStyle="1" w:styleId="TitleChar">
    <w:name w:val="Title Char"/>
    <w:basedOn w:val="DefaultParagraphFont"/>
    <w:link w:val="Title"/>
    <w:uiPriority w:val="28"/>
    <w:rsid w:val="00716818"/>
    <w:rPr>
      <w:rFonts w:cs="Calibri"/>
      <w:b/>
      <w:color w:val="000000"/>
      <w:sz w:val="60"/>
      <w:szCs w:val="22"/>
    </w:rPr>
  </w:style>
  <w:style w:type="paragraph" w:styleId="Subtitle">
    <w:name w:val="Subtitle"/>
    <w:basedOn w:val="Normal"/>
    <w:link w:val="SubtitleChar"/>
    <w:uiPriority w:val="29"/>
    <w:qFormat/>
    <w:rsid w:val="00716818"/>
    <w:pPr>
      <w:spacing w:before="0" w:after="0" w:line="440" w:lineRule="exact"/>
      <w:ind w:left="0"/>
    </w:pPr>
    <w:rPr>
      <w:color w:val="000000"/>
      <w:sz w:val="40"/>
      <w:szCs w:val="24"/>
    </w:rPr>
  </w:style>
  <w:style w:type="character" w:customStyle="1" w:styleId="SubtitleChar">
    <w:name w:val="Subtitle Char"/>
    <w:basedOn w:val="DefaultParagraphFont"/>
    <w:link w:val="Subtitle"/>
    <w:uiPriority w:val="29"/>
    <w:rsid w:val="00716818"/>
    <w:rPr>
      <w:rFonts w:cs="Calibri"/>
      <w:color w:val="000000"/>
      <w:sz w:val="40"/>
      <w:szCs w:val="24"/>
    </w:rPr>
  </w:style>
  <w:style w:type="paragraph" w:customStyle="1" w:styleId="TertiaryTitle">
    <w:name w:val="Tertiary Title"/>
    <w:basedOn w:val="Normal"/>
    <w:rsid w:val="00716818"/>
    <w:pPr>
      <w:spacing w:before="0" w:after="0" w:line="440" w:lineRule="exact"/>
      <w:ind w:left="0"/>
    </w:pPr>
    <w:rPr>
      <w:color w:val="4D4D4D"/>
      <w:sz w:val="36"/>
      <w:szCs w:val="40"/>
      <w:lang w:eastAsia="en-US"/>
    </w:rPr>
  </w:style>
  <w:style w:type="paragraph" w:styleId="BalloonText">
    <w:name w:val="Balloon Text"/>
    <w:basedOn w:val="Normal"/>
    <w:link w:val="BalloonTextChar"/>
    <w:uiPriority w:val="49"/>
    <w:semiHidden/>
    <w:rsid w:val="00716818"/>
    <w:rPr>
      <w:sz w:val="16"/>
      <w:szCs w:val="16"/>
    </w:rPr>
  </w:style>
  <w:style w:type="character" w:customStyle="1" w:styleId="BalloonTextChar">
    <w:name w:val="Balloon Text Char"/>
    <w:basedOn w:val="DefaultParagraphFont"/>
    <w:link w:val="BalloonText"/>
    <w:uiPriority w:val="49"/>
    <w:semiHidden/>
    <w:rsid w:val="00716818"/>
    <w:rPr>
      <w:rFonts w:cs="Calibri"/>
      <w:sz w:val="16"/>
      <w:szCs w:val="16"/>
    </w:rPr>
  </w:style>
  <w:style w:type="paragraph" w:customStyle="1" w:styleId="NormalTight">
    <w:name w:val="Normal Tight"/>
    <w:basedOn w:val="Normal"/>
    <w:semiHidden/>
    <w:rsid w:val="00716818"/>
    <w:pPr>
      <w:spacing w:before="0" w:after="0"/>
    </w:pPr>
  </w:style>
  <w:style w:type="paragraph" w:customStyle="1" w:styleId="BreakoutNormal">
    <w:name w:val="Breakout Normal"/>
    <w:basedOn w:val="Normal"/>
    <w:rsid w:val="00716818"/>
    <w:pPr>
      <w:ind w:left="0"/>
    </w:pPr>
    <w:rPr>
      <w:sz w:val="20"/>
    </w:rPr>
  </w:style>
  <w:style w:type="paragraph" w:customStyle="1" w:styleId="BreakoutList1">
    <w:name w:val="Breakout List 1"/>
    <w:basedOn w:val="BreakoutNormal"/>
    <w:rsid w:val="00716818"/>
    <w:pPr>
      <w:numPr>
        <w:numId w:val="5"/>
      </w:numPr>
    </w:pPr>
  </w:style>
  <w:style w:type="paragraph" w:customStyle="1" w:styleId="BreakoutList2">
    <w:name w:val="Breakout List 2"/>
    <w:basedOn w:val="BreakoutList1"/>
    <w:rsid w:val="00716818"/>
    <w:pPr>
      <w:numPr>
        <w:ilvl w:val="1"/>
      </w:numPr>
    </w:pPr>
  </w:style>
  <w:style w:type="paragraph" w:customStyle="1" w:styleId="Bullet1">
    <w:name w:val="Bullet 1"/>
    <w:basedOn w:val="Normal"/>
    <w:qFormat/>
    <w:rsid w:val="00716818"/>
    <w:pPr>
      <w:numPr>
        <w:numId w:val="6"/>
      </w:numPr>
      <w:spacing w:before="80" w:after="80"/>
    </w:pPr>
  </w:style>
  <w:style w:type="paragraph" w:customStyle="1" w:styleId="Bullet2">
    <w:name w:val="Bullet 2"/>
    <w:basedOn w:val="Bullet1"/>
    <w:rsid w:val="00716818"/>
    <w:pPr>
      <w:numPr>
        <w:ilvl w:val="1"/>
      </w:numPr>
    </w:pPr>
  </w:style>
  <w:style w:type="paragraph" w:customStyle="1" w:styleId="Bullet3">
    <w:name w:val="Bullet 3"/>
    <w:basedOn w:val="Bullet2"/>
    <w:rsid w:val="00716818"/>
    <w:pPr>
      <w:numPr>
        <w:ilvl w:val="2"/>
      </w:numPr>
    </w:pPr>
  </w:style>
  <w:style w:type="paragraph" w:styleId="Caption">
    <w:name w:val="caption"/>
    <w:basedOn w:val="Normal"/>
    <w:next w:val="Normal"/>
    <w:uiPriority w:val="13"/>
    <w:qFormat/>
    <w:rsid w:val="00716818"/>
    <w:pPr>
      <w:keepNext/>
      <w:keepLines/>
      <w:tabs>
        <w:tab w:val="left" w:pos="851"/>
      </w:tabs>
      <w:spacing w:before="60" w:after="60" w:line="228" w:lineRule="auto"/>
    </w:pPr>
    <w:rPr>
      <w:b/>
    </w:rPr>
  </w:style>
  <w:style w:type="paragraph" w:customStyle="1" w:styleId="CaptionTable">
    <w:name w:val="Caption Table"/>
    <w:basedOn w:val="Normal"/>
    <w:uiPriority w:val="14"/>
    <w:rsid w:val="00716818"/>
    <w:rPr>
      <w:b/>
    </w:rPr>
  </w:style>
  <w:style w:type="numbering" w:styleId="111111">
    <w:name w:val="Outline List 2"/>
    <w:basedOn w:val="NoList"/>
    <w:uiPriority w:val="99"/>
    <w:semiHidden/>
    <w:unhideWhenUsed/>
    <w:rsid w:val="00716818"/>
    <w:pPr>
      <w:numPr>
        <w:numId w:val="1"/>
      </w:numPr>
    </w:pPr>
  </w:style>
  <w:style w:type="numbering" w:styleId="1ai">
    <w:name w:val="Outline List 1"/>
    <w:basedOn w:val="NoList"/>
    <w:uiPriority w:val="99"/>
    <w:semiHidden/>
    <w:unhideWhenUsed/>
    <w:rsid w:val="00716818"/>
    <w:pPr>
      <w:numPr>
        <w:numId w:val="2"/>
      </w:numPr>
    </w:pPr>
  </w:style>
  <w:style w:type="character" w:customStyle="1" w:styleId="Heading1Char">
    <w:name w:val="Heading 1 Char"/>
    <w:basedOn w:val="DefaultParagraphFont"/>
    <w:link w:val="Heading1"/>
    <w:uiPriority w:val="3"/>
    <w:rsid w:val="00716818"/>
    <w:rPr>
      <w:rFonts w:cs="Calibri"/>
      <w:color w:val="404040"/>
      <w:kern w:val="28"/>
      <w:sz w:val="40"/>
      <w:szCs w:val="22"/>
      <w:lang w:eastAsia="en-US"/>
    </w:rPr>
  </w:style>
  <w:style w:type="character" w:customStyle="1" w:styleId="Heading2Char">
    <w:name w:val="Heading 2 Char"/>
    <w:basedOn w:val="DefaultParagraphFont"/>
    <w:link w:val="Heading2"/>
    <w:uiPriority w:val="3"/>
    <w:rsid w:val="00716818"/>
    <w:rPr>
      <w:rFonts w:cs="Calibri"/>
      <w:color w:val="4D4D4D"/>
      <w:kern w:val="28"/>
      <w:sz w:val="30"/>
      <w:szCs w:val="22"/>
      <w:lang w:eastAsia="en-US"/>
    </w:rPr>
  </w:style>
  <w:style w:type="character" w:customStyle="1" w:styleId="Heading3Char">
    <w:name w:val="Heading 3 Char"/>
    <w:basedOn w:val="DefaultParagraphFont"/>
    <w:link w:val="Heading3"/>
    <w:uiPriority w:val="3"/>
    <w:rsid w:val="00716818"/>
    <w:rPr>
      <w:rFonts w:cs="Calibri"/>
      <w:b/>
      <w:color w:val="4D4D4D"/>
      <w:kern w:val="28"/>
      <w:sz w:val="26"/>
      <w:szCs w:val="22"/>
      <w:lang w:eastAsia="en-US"/>
    </w:rPr>
  </w:style>
  <w:style w:type="character" w:customStyle="1" w:styleId="Heading4Char">
    <w:name w:val="Heading 4 Char"/>
    <w:basedOn w:val="DefaultParagraphFont"/>
    <w:link w:val="Heading4"/>
    <w:uiPriority w:val="3"/>
    <w:rsid w:val="00716818"/>
    <w:rPr>
      <w:rFonts w:cs="Calibri"/>
      <w:b/>
      <w:color w:val="4D4D4D"/>
      <w:kern w:val="28"/>
      <w:sz w:val="22"/>
      <w:szCs w:val="22"/>
      <w:lang w:eastAsia="en-US"/>
    </w:rPr>
  </w:style>
  <w:style w:type="character" w:customStyle="1" w:styleId="Heading5Char">
    <w:name w:val="Heading 5 Char"/>
    <w:basedOn w:val="DefaultParagraphFont"/>
    <w:link w:val="Heading5"/>
    <w:uiPriority w:val="3"/>
    <w:rsid w:val="00716818"/>
    <w:rPr>
      <w:rFonts w:cs="Calibri"/>
      <w:b/>
      <w:bCs/>
      <w:i/>
      <w:color w:val="404040"/>
      <w:kern w:val="28"/>
      <w:sz w:val="22"/>
      <w:szCs w:val="22"/>
      <w:lang w:eastAsia="en-US"/>
    </w:rPr>
  </w:style>
  <w:style w:type="character" w:customStyle="1" w:styleId="Heading6Char">
    <w:name w:val="Heading 6 Char"/>
    <w:basedOn w:val="DefaultParagraphFont"/>
    <w:link w:val="Heading6"/>
    <w:uiPriority w:val="3"/>
    <w:semiHidden/>
    <w:rsid w:val="00716818"/>
    <w:rPr>
      <w:rFonts w:cs="Calibri"/>
      <w:b/>
      <w:bCs/>
      <w:i/>
      <w:iCs/>
      <w:color w:val="404040"/>
      <w:kern w:val="28"/>
      <w:sz w:val="22"/>
      <w:szCs w:val="22"/>
      <w:lang w:eastAsia="en-US"/>
    </w:rPr>
  </w:style>
  <w:style w:type="character" w:customStyle="1" w:styleId="Heading7Char">
    <w:name w:val="Heading 7 Char"/>
    <w:basedOn w:val="DefaultParagraphFont"/>
    <w:link w:val="Heading7"/>
    <w:uiPriority w:val="3"/>
    <w:semiHidden/>
    <w:rsid w:val="00716818"/>
    <w:rPr>
      <w:rFonts w:cs="Calibri"/>
      <w:b/>
      <w:bCs/>
      <w:iCs/>
      <w:color w:val="404040"/>
      <w:kern w:val="28"/>
      <w:sz w:val="22"/>
      <w:szCs w:val="22"/>
      <w:lang w:eastAsia="en-US"/>
    </w:rPr>
  </w:style>
  <w:style w:type="character" w:customStyle="1" w:styleId="Heading8Char">
    <w:name w:val="Heading 8 Char"/>
    <w:basedOn w:val="DefaultParagraphFont"/>
    <w:link w:val="Heading8"/>
    <w:uiPriority w:val="3"/>
    <w:semiHidden/>
    <w:rsid w:val="00716818"/>
    <w:rPr>
      <w:rFonts w:cs="Calibri"/>
      <w:bCs/>
      <w:iCs/>
      <w:color w:val="404040"/>
      <w:kern w:val="28"/>
      <w:sz w:val="22"/>
      <w:szCs w:val="22"/>
      <w:lang w:eastAsia="en-US"/>
    </w:rPr>
  </w:style>
  <w:style w:type="character" w:customStyle="1" w:styleId="Heading9Char">
    <w:name w:val="Heading 9 Char"/>
    <w:basedOn w:val="DefaultParagraphFont"/>
    <w:link w:val="Heading9"/>
    <w:uiPriority w:val="3"/>
    <w:semiHidden/>
    <w:rsid w:val="00716818"/>
    <w:rPr>
      <w:rFonts w:cs="Calibri"/>
      <w:bCs/>
      <w:iCs/>
      <w:color w:val="404040"/>
      <w:kern w:val="28"/>
      <w:sz w:val="22"/>
      <w:szCs w:val="22"/>
      <w:lang w:eastAsia="en-US"/>
    </w:rPr>
  </w:style>
  <w:style w:type="numbering" w:styleId="ArticleSection">
    <w:name w:val="Outline List 3"/>
    <w:basedOn w:val="NoList"/>
    <w:uiPriority w:val="99"/>
    <w:semiHidden/>
    <w:unhideWhenUsed/>
    <w:rsid w:val="00716818"/>
    <w:pPr>
      <w:numPr>
        <w:numId w:val="3"/>
      </w:numPr>
    </w:pPr>
  </w:style>
  <w:style w:type="paragraph" w:customStyle="1" w:styleId="Attachment1">
    <w:name w:val="Attachment 1"/>
    <w:next w:val="Normal"/>
    <w:uiPriority w:val="19"/>
    <w:qFormat/>
    <w:rsid w:val="00716818"/>
    <w:pPr>
      <w:pageBreakBefore/>
      <w:numPr>
        <w:numId w:val="4"/>
      </w:numPr>
      <w:pBdr>
        <w:bottom w:val="single" w:sz="4" w:space="1" w:color="404040"/>
      </w:pBdr>
      <w:spacing w:before="400" w:after="1200"/>
    </w:pPr>
    <w:rPr>
      <w:rFonts w:cs="Calibri"/>
      <w:color w:val="404040"/>
      <w:kern w:val="28"/>
      <w:sz w:val="40"/>
      <w:szCs w:val="22"/>
      <w:lang w:eastAsia="en-US"/>
    </w:rPr>
  </w:style>
  <w:style w:type="paragraph" w:styleId="Bibliography">
    <w:name w:val="Bibliography"/>
    <w:basedOn w:val="Normal"/>
    <w:next w:val="Normal"/>
    <w:uiPriority w:val="37"/>
    <w:semiHidden/>
    <w:unhideWhenUsed/>
    <w:rsid w:val="00716818"/>
    <w:pPr>
      <w:spacing w:after="120"/>
    </w:pPr>
    <w:rPr>
      <w:i/>
      <w:sz w:val="18"/>
    </w:rPr>
  </w:style>
  <w:style w:type="paragraph" w:styleId="BlockText">
    <w:name w:val="Block Text"/>
    <w:basedOn w:val="Normal"/>
    <w:uiPriority w:val="49"/>
    <w:semiHidden/>
    <w:rsid w:val="00716818"/>
    <w:pPr>
      <w:spacing w:after="120"/>
      <w:ind w:left="1440" w:right="1440"/>
    </w:pPr>
  </w:style>
  <w:style w:type="paragraph" w:styleId="BodyText">
    <w:name w:val="Body Text"/>
    <w:basedOn w:val="Normal"/>
    <w:link w:val="BodyTextChar"/>
    <w:uiPriority w:val="49"/>
    <w:semiHidden/>
    <w:rsid w:val="00716818"/>
  </w:style>
  <w:style w:type="character" w:customStyle="1" w:styleId="BodyTextChar">
    <w:name w:val="Body Text Char"/>
    <w:basedOn w:val="DefaultParagraphFont"/>
    <w:link w:val="BodyText"/>
    <w:uiPriority w:val="49"/>
    <w:semiHidden/>
    <w:rsid w:val="00716818"/>
    <w:rPr>
      <w:rFonts w:cs="Calibri"/>
      <w:sz w:val="22"/>
      <w:szCs w:val="22"/>
    </w:rPr>
  </w:style>
  <w:style w:type="paragraph" w:styleId="BodyText2">
    <w:name w:val="Body Text 2"/>
    <w:basedOn w:val="Normal"/>
    <w:link w:val="BodyText2Char"/>
    <w:uiPriority w:val="49"/>
    <w:semiHidden/>
    <w:rsid w:val="00716818"/>
    <w:pPr>
      <w:spacing w:after="120" w:line="480" w:lineRule="auto"/>
    </w:pPr>
  </w:style>
  <w:style w:type="character" w:customStyle="1" w:styleId="BodyText2Char">
    <w:name w:val="Body Text 2 Char"/>
    <w:basedOn w:val="DefaultParagraphFont"/>
    <w:link w:val="BodyText2"/>
    <w:uiPriority w:val="49"/>
    <w:semiHidden/>
    <w:rsid w:val="00716818"/>
    <w:rPr>
      <w:rFonts w:cs="Calibri"/>
      <w:sz w:val="22"/>
      <w:szCs w:val="22"/>
    </w:rPr>
  </w:style>
  <w:style w:type="paragraph" w:styleId="BodyText3">
    <w:name w:val="Body Text 3"/>
    <w:basedOn w:val="Normal"/>
    <w:link w:val="BodyText3Char"/>
    <w:uiPriority w:val="49"/>
    <w:semiHidden/>
    <w:rsid w:val="00716818"/>
    <w:pPr>
      <w:spacing w:after="120"/>
    </w:pPr>
    <w:rPr>
      <w:sz w:val="16"/>
      <w:szCs w:val="16"/>
    </w:rPr>
  </w:style>
  <w:style w:type="character" w:customStyle="1" w:styleId="BodyText3Char">
    <w:name w:val="Body Text 3 Char"/>
    <w:basedOn w:val="DefaultParagraphFont"/>
    <w:link w:val="BodyText3"/>
    <w:uiPriority w:val="49"/>
    <w:semiHidden/>
    <w:rsid w:val="00716818"/>
    <w:rPr>
      <w:rFonts w:cs="Calibri"/>
      <w:sz w:val="16"/>
      <w:szCs w:val="16"/>
    </w:rPr>
  </w:style>
  <w:style w:type="paragraph" w:styleId="BodyTextFirstIndent">
    <w:name w:val="Body Text First Indent"/>
    <w:basedOn w:val="BodyText"/>
    <w:link w:val="BodyTextFirstIndentChar"/>
    <w:uiPriority w:val="49"/>
    <w:semiHidden/>
    <w:rsid w:val="00716818"/>
    <w:pPr>
      <w:spacing w:after="120"/>
      <w:ind w:firstLine="210"/>
    </w:pPr>
  </w:style>
  <w:style w:type="character" w:customStyle="1" w:styleId="BodyTextFirstIndentChar">
    <w:name w:val="Body Text First Indent Char"/>
    <w:basedOn w:val="BodyTextChar"/>
    <w:link w:val="BodyTextFirstIndent"/>
    <w:uiPriority w:val="49"/>
    <w:semiHidden/>
    <w:rsid w:val="00716818"/>
    <w:rPr>
      <w:rFonts w:cs="Calibri"/>
      <w:sz w:val="22"/>
      <w:szCs w:val="22"/>
    </w:rPr>
  </w:style>
  <w:style w:type="paragraph" w:styleId="BodyTextIndent">
    <w:name w:val="Body Text Indent"/>
    <w:basedOn w:val="Normal"/>
    <w:link w:val="BodyTextIndentChar"/>
    <w:uiPriority w:val="49"/>
    <w:semiHidden/>
    <w:rsid w:val="00716818"/>
    <w:pPr>
      <w:spacing w:after="120"/>
      <w:ind w:left="283"/>
    </w:pPr>
  </w:style>
  <w:style w:type="character" w:customStyle="1" w:styleId="BodyTextIndentChar">
    <w:name w:val="Body Text Indent Char"/>
    <w:basedOn w:val="DefaultParagraphFont"/>
    <w:link w:val="BodyTextIndent"/>
    <w:uiPriority w:val="49"/>
    <w:semiHidden/>
    <w:rsid w:val="00716818"/>
    <w:rPr>
      <w:rFonts w:cs="Calibri"/>
      <w:sz w:val="22"/>
      <w:szCs w:val="22"/>
    </w:rPr>
  </w:style>
  <w:style w:type="paragraph" w:styleId="BodyTextFirstIndent2">
    <w:name w:val="Body Text First Indent 2"/>
    <w:basedOn w:val="BodyTextIndent"/>
    <w:link w:val="BodyTextFirstIndent2Char"/>
    <w:uiPriority w:val="49"/>
    <w:semiHidden/>
    <w:rsid w:val="00716818"/>
    <w:pPr>
      <w:ind w:firstLine="210"/>
    </w:pPr>
  </w:style>
  <w:style w:type="character" w:customStyle="1" w:styleId="BodyTextFirstIndent2Char">
    <w:name w:val="Body Text First Indent 2 Char"/>
    <w:basedOn w:val="BodyTextIndentChar"/>
    <w:link w:val="BodyTextFirstIndent2"/>
    <w:uiPriority w:val="49"/>
    <w:semiHidden/>
    <w:rsid w:val="00716818"/>
    <w:rPr>
      <w:rFonts w:cs="Calibri"/>
      <w:sz w:val="22"/>
      <w:szCs w:val="22"/>
    </w:rPr>
  </w:style>
  <w:style w:type="paragraph" w:styleId="BodyTextIndent2">
    <w:name w:val="Body Text Indent 2"/>
    <w:basedOn w:val="Normal"/>
    <w:link w:val="BodyTextIndent2Char"/>
    <w:uiPriority w:val="49"/>
    <w:semiHidden/>
    <w:rsid w:val="00716818"/>
    <w:pPr>
      <w:spacing w:after="120" w:line="480" w:lineRule="auto"/>
      <w:ind w:left="283"/>
    </w:pPr>
  </w:style>
  <w:style w:type="character" w:customStyle="1" w:styleId="BodyTextIndent2Char">
    <w:name w:val="Body Text Indent 2 Char"/>
    <w:basedOn w:val="DefaultParagraphFont"/>
    <w:link w:val="BodyTextIndent2"/>
    <w:uiPriority w:val="49"/>
    <w:semiHidden/>
    <w:rsid w:val="00716818"/>
    <w:rPr>
      <w:rFonts w:cs="Calibri"/>
      <w:sz w:val="22"/>
      <w:szCs w:val="22"/>
    </w:rPr>
  </w:style>
  <w:style w:type="paragraph" w:styleId="BodyTextIndent3">
    <w:name w:val="Body Text Indent 3"/>
    <w:basedOn w:val="Normal"/>
    <w:link w:val="BodyTextIndent3Char"/>
    <w:uiPriority w:val="49"/>
    <w:semiHidden/>
    <w:rsid w:val="00716818"/>
    <w:pPr>
      <w:spacing w:after="120"/>
      <w:ind w:left="283"/>
    </w:pPr>
    <w:rPr>
      <w:sz w:val="16"/>
      <w:szCs w:val="16"/>
    </w:rPr>
  </w:style>
  <w:style w:type="character" w:customStyle="1" w:styleId="BodyTextIndent3Char">
    <w:name w:val="Body Text Indent 3 Char"/>
    <w:basedOn w:val="DefaultParagraphFont"/>
    <w:link w:val="BodyTextIndent3"/>
    <w:uiPriority w:val="49"/>
    <w:semiHidden/>
    <w:rsid w:val="00716818"/>
    <w:rPr>
      <w:rFonts w:cs="Calibri"/>
      <w:sz w:val="16"/>
      <w:szCs w:val="16"/>
    </w:rPr>
  </w:style>
  <w:style w:type="character" w:styleId="BookTitle">
    <w:name w:val="Book Title"/>
    <w:uiPriority w:val="33"/>
    <w:semiHidden/>
    <w:qFormat/>
    <w:rsid w:val="00716818"/>
    <w:rPr>
      <w:rFonts w:ascii="Calibri" w:hAnsi="Calibri"/>
      <w:b/>
      <w:bCs/>
      <w:smallCaps/>
      <w:spacing w:val="5"/>
    </w:rPr>
  </w:style>
  <w:style w:type="paragraph" w:styleId="Closing">
    <w:name w:val="Closing"/>
    <w:basedOn w:val="Normal"/>
    <w:link w:val="ClosingChar"/>
    <w:uiPriority w:val="49"/>
    <w:semiHidden/>
    <w:rsid w:val="00716818"/>
    <w:pPr>
      <w:ind w:left="4252"/>
    </w:pPr>
  </w:style>
  <w:style w:type="character" w:customStyle="1" w:styleId="ClosingChar">
    <w:name w:val="Closing Char"/>
    <w:basedOn w:val="DefaultParagraphFont"/>
    <w:link w:val="Closing"/>
    <w:uiPriority w:val="49"/>
    <w:semiHidden/>
    <w:rsid w:val="00716818"/>
    <w:rPr>
      <w:rFonts w:cs="Calibri"/>
      <w:sz w:val="22"/>
      <w:szCs w:val="22"/>
    </w:rPr>
  </w:style>
  <w:style w:type="table" w:styleId="ColorfulGrid">
    <w:name w:val="Colorful Grid"/>
    <w:basedOn w:val="TableNormal"/>
    <w:uiPriority w:val="73"/>
    <w:rsid w:val="00716818"/>
    <w:rPr>
      <w:rFonts w:ascii="Arial" w:hAnsi="Arial"/>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716818"/>
    <w:rPr>
      <w:rFonts w:ascii="Arial" w:hAnsi="Arial"/>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sid w:val="00716818"/>
    <w:rPr>
      <w:rFonts w:ascii="Arial" w:hAnsi="Arial"/>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716818"/>
    <w:rPr>
      <w:rFonts w:ascii="Arial" w:hAnsi="Arial"/>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716818"/>
    <w:rPr>
      <w:rFonts w:ascii="Arial" w:hAnsi="Arial"/>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716818"/>
    <w:rPr>
      <w:rFonts w:ascii="Arial" w:hAnsi="Arial"/>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716818"/>
    <w:rPr>
      <w:rFonts w:ascii="Arial" w:hAnsi="Arial"/>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ColorfulGrid1">
    <w:name w:val="Colorful Grid1"/>
    <w:basedOn w:val="TableNormal"/>
    <w:semiHidden/>
    <w:rsid w:val="00716818"/>
    <w:rPr>
      <w:rFonts w:ascii="Arial" w:hAnsi="Arial"/>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List">
    <w:name w:val="Colorful List"/>
    <w:basedOn w:val="TableNormal"/>
    <w:uiPriority w:val="72"/>
    <w:rsid w:val="00716818"/>
    <w:rPr>
      <w:rFonts w:ascii="Arial" w:hAnsi="Arial"/>
      <w:color w:val="00000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716818"/>
    <w:rPr>
      <w:rFonts w:ascii="Arial" w:hAnsi="Arial"/>
      <w:color w:val="000000"/>
    </w:rPr>
    <w:tblPr>
      <w:tblStyleRowBandSize w:val="1"/>
      <w:tblStyleColBandSize w:val="1"/>
      <w:tblInd w:w="0" w:type="dxa"/>
      <w:tblCellMar>
        <w:top w:w="0" w:type="dxa"/>
        <w:left w:w="108" w:type="dxa"/>
        <w:bottom w:w="0" w:type="dxa"/>
        <w:right w:w="108" w:type="dxa"/>
      </w:tblCellMar>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716818"/>
    <w:rPr>
      <w:rFonts w:ascii="Arial" w:hAnsi="Arial"/>
      <w:color w:val="000000"/>
    </w:rPr>
    <w:tblPr>
      <w:tblStyleRowBandSize w:val="1"/>
      <w:tblStyleColBandSize w:val="1"/>
      <w:tblInd w:w="0" w:type="dxa"/>
      <w:tblCellMar>
        <w:top w:w="0" w:type="dxa"/>
        <w:left w:w="108" w:type="dxa"/>
        <w:bottom w:w="0" w:type="dxa"/>
        <w:right w:w="108" w:type="dxa"/>
      </w:tblCellMar>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716818"/>
    <w:rPr>
      <w:rFonts w:ascii="Arial" w:hAnsi="Arial"/>
      <w:color w:val="000000"/>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716818"/>
    <w:rPr>
      <w:rFonts w:ascii="Arial" w:hAnsi="Arial"/>
      <w:color w:val="000000"/>
    </w:rPr>
    <w:tblPr>
      <w:tblStyleRowBandSize w:val="1"/>
      <w:tblStyleColBandSize w:val="1"/>
      <w:tblInd w:w="0" w:type="dxa"/>
      <w:tblCellMar>
        <w:top w:w="0" w:type="dxa"/>
        <w:left w:w="108" w:type="dxa"/>
        <w:bottom w:w="0" w:type="dxa"/>
        <w:right w:w="108" w:type="dxa"/>
      </w:tblCellMar>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716818"/>
    <w:rPr>
      <w:rFonts w:ascii="Arial" w:hAnsi="Arial"/>
      <w:color w:val="000000"/>
    </w:rPr>
    <w:tblPr>
      <w:tblStyleRowBandSize w:val="1"/>
      <w:tblStyleColBandSize w:val="1"/>
      <w:tblInd w:w="0" w:type="dxa"/>
      <w:tblCellMar>
        <w:top w:w="0" w:type="dxa"/>
        <w:left w:w="108" w:type="dxa"/>
        <w:bottom w:w="0" w:type="dxa"/>
        <w:right w:w="108" w:type="dxa"/>
      </w:tblCellMar>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716818"/>
    <w:rPr>
      <w:rFonts w:ascii="Arial" w:hAnsi="Arial"/>
      <w:color w:val="000000"/>
    </w:rPr>
    <w:tblPr>
      <w:tblStyleRowBandSize w:val="1"/>
      <w:tblStyleColBandSize w:val="1"/>
      <w:tblInd w:w="0" w:type="dxa"/>
      <w:tblCellMar>
        <w:top w:w="0" w:type="dxa"/>
        <w:left w:w="108" w:type="dxa"/>
        <w:bottom w:w="0" w:type="dxa"/>
        <w:right w:w="108" w:type="dxa"/>
      </w:tblCellMar>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ColorfulList1">
    <w:name w:val="Colorful List1"/>
    <w:basedOn w:val="TableNormal"/>
    <w:semiHidden/>
    <w:rsid w:val="00716818"/>
    <w:rPr>
      <w:rFonts w:ascii="Arial" w:hAnsi="Arial"/>
      <w:color w:val="00000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F3B38"/>
      </w:tcPr>
    </w:tblStylePr>
    <w:tblStylePr w:type="lastRow">
      <w:rPr>
        <w:b/>
        <w:bCs/>
        <w:color w:val="9F3B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cPr>
    </w:tblStylePr>
    <w:tblStylePr w:type="band1Horz">
      <w:tblPr/>
      <w:tcPr>
        <w:shd w:val="clear" w:color="auto" w:fill="CCCCCC"/>
      </w:tcPr>
    </w:tblStylePr>
  </w:style>
  <w:style w:type="table" w:styleId="ColorfulShading">
    <w:name w:val="Colorful Shading"/>
    <w:basedOn w:val="TableNormal"/>
    <w:uiPriority w:val="71"/>
    <w:rsid w:val="00716818"/>
    <w:rPr>
      <w:rFonts w:ascii="Arial" w:hAnsi="Arial"/>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716818"/>
    <w:rPr>
      <w:rFonts w:ascii="Arial" w:hAnsi="Arial"/>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716818"/>
    <w:rPr>
      <w:rFonts w:ascii="Arial" w:hAnsi="Arial"/>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716818"/>
    <w:rPr>
      <w:rFonts w:ascii="Arial" w:hAnsi="Arial"/>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716818"/>
    <w:rPr>
      <w:rFonts w:ascii="Arial" w:hAnsi="Arial"/>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716818"/>
    <w:rPr>
      <w:rFonts w:ascii="Arial" w:hAnsi="Arial"/>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716818"/>
    <w:rPr>
      <w:rFonts w:ascii="Arial" w:hAnsi="Arial"/>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ColorfulShading1">
    <w:name w:val="Colorful Shading1"/>
    <w:basedOn w:val="TableNormal"/>
    <w:semiHidden/>
    <w:rsid w:val="00716818"/>
    <w:rPr>
      <w:rFonts w:ascii="Arial" w:hAnsi="Arial"/>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character" w:styleId="CommentReference">
    <w:name w:val="annotation reference"/>
    <w:uiPriority w:val="49"/>
    <w:semiHidden/>
    <w:rsid w:val="00716818"/>
    <w:rPr>
      <w:rFonts w:ascii="Calibri" w:hAnsi="Calibri"/>
      <w:sz w:val="16"/>
    </w:rPr>
  </w:style>
  <w:style w:type="paragraph" w:styleId="CommentText">
    <w:name w:val="annotation text"/>
    <w:basedOn w:val="Normal"/>
    <w:link w:val="CommentTextChar"/>
    <w:uiPriority w:val="49"/>
    <w:semiHidden/>
    <w:rsid w:val="00716818"/>
  </w:style>
  <w:style w:type="character" w:customStyle="1" w:styleId="CommentTextChar">
    <w:name w:val="Comment Text Char"/>
    <w:basedOn w:val="DefaultParagraphFont"/>
    <w:link w:val="CommentText"/>
    <w:uiPriority w:val="49"/>
    <w:semiHidden/>
    <w:rsid w:val="00716818"/>
    <w:rPr>
      <w:rFonts w:cs="Calibri"/>
      <w:sz w:val="22"/>
      <w:szCs w:val="22"/>
    </w:rPr>
  </w:style>
  <w:style w:type="paragraph" w:styleId="CommentSubject">
    <w:name w:val="annotation subject"/>
    <w:basedOn w:val="CommentText"/>
    <w:next w:val="CommentText"/>
    <w:link w:val="CommentSubjectChar"/>
    <w:uiPriority w:val="49"/>
    <w:semiHidden/>
    <w:rsid w:val="00716818"/>
    <w:rPr>
      <w:b/>
      <w:bCs/>
    </w:rPr>
  </w:style>
  <w:style w:type="character" w:customStyle="1" w:styleId="CommentSubjectChar">
    <w:name w:val="Comment Subject Char"/>
    <w:basedOn w:val="CommentTextChar"/>
    <w:link w:val="CommentSubject"/>
    <w:uiPriority w:val="49"/>
    <w:semiHidden/>
    <w:rsid w:val="00716818"/>
    <w:rPr>
      <w:rFonts w:cs="Calibri"/>
      <w:b/>
      <w:bCs/>
      <w:sz w:val="22"/>
      <w:szCs w:val="22"/>
    </w:rPr>
  </w:style>
  <w:style w:type="table" w:styleId="DarkList">
    <w:name w:val="Dark List"/>
    <w:basedOn w:val="TableNormal"/>
    <w:uiPriority w:val="70"/>
    <w:rsid w:val="00716818"/>
    <w:rPr>
      <w:rFonts w:ascii="Arial" w:hAnsi="Arial"/>
      <w:color w:val="FFFFFF"/>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716818"/>
    <w:rPr>
      <w:rFonts w:ascii="Arial" w:hAnsi="Arial"/>
      <w:color w:val="FFFFFF"/>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716818"/>
    <w:rPr>
      <w:rFonts w:ascii="Arial" w:hAnsi="Arial"/>
      <w:color w:val="FFFFFF"/>
    </w:rPr>
    <w:tblPr>
      <w:tblStyleRowBandSize w:val="1"/>
      <w:tblStyleColBandSize w:val="1"/>
      <w:tblInd w:w="0" w:type="dxa"/>
      <w:tblCellMar>
        <w:top w:w="0" w:type="dxa"/>
        <w:left w:w="108" w:type="dxa"/>
        <w:bottom w:w="0" w:type="dxa"/>
        <w:right w:w="108" w:type="dxa"/>
      </w:tblCellMar>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716818"/>
    <w:rPr>
      <w:rFonts w:ascii="Arial" w:hAnsi="Arial"/>
      <w:color w:val="FFFFFF"/>
    </w:rPr>
    <w:tblPr>
      <w:tblStyleRowBandSize w:val="1"/>
      <w:tblStyleColBandSize w:val="1"/>
      <w:tblInd w:w="0" w:type="dxa"/>
      <w:tblCellMar>
        <w:top w:w="0" w:type="dxa"/>
        <w:left w:w="108" w:type="dxa"/>
        <w:bottom w:w="0" w:type="dxa"/>
        <w:right w:w="108" w:type="dxa"/>
      </w:tblCellMar>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716818"/>
    <w:rPr>
      <w:rFonts w:ascii="Arial" w:hAnsi="Arial"/>
      <w:color w:val="FFFFFF"/>
    </w:rPr>
    <w:tblPr>
      <w:tblStyleRowBandSize w:val="1"/>
      <w:tblStyleColBandSize w:val="1"/>
      <w:tblInd w:w="0" w:type="dxa"/>
      <w:tblCellMar>
        <w:top w:w="0" w:type="dxa"/>
        <w:left w:w="108" w:type="dxa"/>
        <w:bottom w:w="0" w:type="dxa"/>
        <w:right w:w="108" w:type="dxa"/>
      </w:tblCellMar>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716818"/>
    <w:rPr>
      <w:rFonts w:ascii="Arial" w:hAnsi="Arial"/>
      <w:color w:val="FFFFFF"/>
    </w:rPr>
    <w:tblPr>
      <w:tblStyleRowBandSize w:val="1"/>
      <w:tblStyleColBandSize w:val="1"/>
      <w:tblInd w:w="0" w:type="dxa"/>
      <w:tblCellMar>
        <w:top w:w="0" w:type="dxa"/>
        <w:left w:w="108" w:type="dxa"/>
        <w:bottom w:w="0" w:type="dxa"/>
        <w:right w:w="108" w:type="dxa"/>
      </w:tblCellMar>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716818"/>
    <w:rPr>
      <w:rFonts w:ascii="Arial" w:hAnsi="Arial"/>
      <w:color w:val="FFFFFF"/>
    </w:rPr>
    <w:tblPr>
      <w:tblStyleRowBandSize w:val="1"/>
      <w:tblStyleColBandSize w:val="1"/>
      <w:tblInd w:w="0" w:type="dxa"/>
      <w:tblCellMar>
        <w:top w:w="0" w:type="dxa"/>
        <w:left w:w="108" w:type="dxa"/>
        <w:bottom w:w="0" w:type="dxa"/>
        <w:right w:w="108" w:type="dxa"/>
      </w:tblCellMar>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DarkList1">
    <w:name w:val="Dark List1"/>
    <w:basedOn w:val="TableNormal"/>
    <w:semiHidden/>
    <w:rsid w:val="00716818"/>
    <w:rPr>
      <w:rFonts w:ascii="Arial" w:hAnsi="Arial"/>
      <w:color w:val="FFFFFF"/>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paragraph" w:styleId="Date">
    <w:name w:val="Date"/>
    <w:basedOn w:val="Normal"/>
    <w:next w:val="Normal"/>
    <w:link w:val="DateChar"/>
    <w:uiPriority w:val="49"/>
    <w:semiHidden/>
    <w:rsid w:val="00716818"/>
    <w:pPr>
      <w:ind w:left="1411"/>
    </w:pPr>
  </w:style>
  <w:style w:type="character" w:customStyle="1" w:styleId="DateChar">
    <w:name w:val="Date Char"/>
    <w:basedOn w:val="DefaultParagraphFont"/>
    <w:link w:val="Date"/>
    <w:uiPriority w:val="49"/>
    <w:semiHidden/>
    <w:rsid w:val="00716818"/>
    <w:rPr>
      <w:rFonts w:cs="Calibri"/>
      <w:sz w:val="22"/>
      <w:szCs w:val="22"/>
    </w:rPr>
  </w:style>
  <w:style w:type="paragraph" w:styleId="DocumentMap">
    <w:name w:val="Document Map"/>
    <w:basedOn w:val="Normal"/>
    <w:link w:val="DocumentMapChar"/>
    <w:uiPriority w:val="49"/>
    <w:semiHidden/>
    <w:rsid w:val="00716818"/>
    <w:pPr>
      <w:shd w:val="clear" w:color="auto" w:fill="000080"/>
    </w:pPr>
  </w:style>
  <w:style w:type="character" w:customStyle="1" w:styleId="DocumentMapChar">
    <w:name w:val="Document Map Char"/>
    <w:basedOn w:val="DefaultParagraphFont"/>
    <w:link w:val="DocumentMap"/>
    <w:uiPriority w:val="49"/>
    <w:semiHidden/>
    <w:rsid w:val="00716818"/>
    <w:rPr>
      <w:rFonts w:cs="Calibri"/>
      <w:sz w:val="22"/>
      <w:szCs w:val="22"/>
      <w:shd w:val="clear" w:color="auto" w:fill="000080"/>
    </w:rPr>
  </w:style>
  <w:style w:type="paragraph" w:styleId="E-mailSignature">
    <w:name w:val="E-mail Signature"/>
    <w:basedOn w:val="Normal"/>
    <w:link w:val="E-mailSignatureChar"/>
    <w:uiPriority w:val="49"/>
    <w:semiHidden/>
    <w:rsid w:val="00716818"/>
  </w:style>
  <w:style w:type="character" w:customStyle="1" w:styleId="E-mailSignatureChar">
    <w:name w:val="E-mail Signature Char"/>
    <w:basedOn w:val="DefaultParagraphFont"/>
    <w:link w:val="E-mailSignature"/>
    <w:uiPriority w:val="49"/>
    <w:semiHidden/>
    <w:rsid w:val="00716818"/>
    <w:rPr>
      <w:rFonts w:cs="Calibri"/>
      <w:sz w:val="22"/>
      <w:szCs w:val="22"/>
    </w:rPr>
  </w:style>
  <w:style w:type="character" w:styleId="Emphasis">
    <w:name w:val="Emphasis"/>
    <w:uiPriority w:val="20"/>
    <w:semiHidden/>
    <w:qFormat/>
    <w:rsid w:val="00716818"/>
    <w:rPr>
      <w:i/>
      <w:iCs/>
    </w:rPr>
  </w:style>
  <w:style w:type="character" w:styleId="EndnoteReference">
    <w:name w:val="endnote reference"/>
    <w:uiPriority w:val="49"/>
    <w:semiHidden/>
    <w:rsid w:val="00716818"/>
    <w:rPr>
      <w:vertAlign w:val="superscript"/>
    </w:rPr>
  </w:style>
  <w:style w:type="paragraph" w:styleId="EndnoteText">
    <w:name w:val="endnote text"/>
    <w:basedOn w:val="Normal"/>
    <w:link w:val="EndnoteTextChar"/>
    <w:uiPriority w:val="49"/>
    <w:semiHidden/>
    <w:rsid w:val="00716818"/>
  </w:style>
  <w:style w:type="character" w:customStyle="1" w:styleId="EndnoteTextChar">
    <w:name w:val="Endnote Text Char"/>
    <w:basedOn w:val="DefaultParagraphFont"/>
    <w:link w:val="EndnoteText"/>
    <w:uiPriority w:val="49"/>
    <w:semiHidden/>
    <w:rsid w:val="00716818"/>
    <w:rPr>
      <w:rFonts w:cs="Calibri"/>
      <w:sz w:val="22"/>
      <w:szCs w:val="22"/>
    </w:rPr>
  </w:style>
  <w:style w:type="paragraph" w:styleId="EnvelopeAddress">
    <w:name w:val="envelope address"/>
    <w:basedOn w:val="Normal"/>
    <w:uiPriority w:val="49"/>
    <w:semiHidden/>
    <w:rsid w:val="00716818"/>
    <w:pPr>
      <w:framePr w:w="7920" w:h="1980" w:hRule="exact" w:hSpace="180" w:wrap="auto" w:hAnchor="page" w:xAlign="center" w:yAlign="bottom"/>
      <w:ind w:left="2880"/>
    </w:pPr>
    <w:rPr>
      <w:sz w:val="24"/>
      <w:szCs w:val="24"/>
    </w:rPr>
  </w:style>
  <w:style w:type="paragraph" w:styleId="EnvelopeReturn">
    <w:name w:val="envelope return"/>
    <w:basedOn w:val="Normal"/>
    <w:uiPriority w:val="49"/>
    <w:semiHidden/>
    <w:rsid w:val="00716818"/>
  </w:style>
  <w:style w:type="paragraph" w:customStyle="1" w:styleId="FactSheetBullet1">
    <w:name w:val="Fact Sheet Bullet 1"/>
    <w:basedOn w:val="Normal"/>
    <w:semiHidden/>
    <w:rsid w:val="00716818"/>
    <w:pPr>
      <w:spacing w:after="60" w:line="220" w:lineRule="atLeast"/>
      <w:ind w:left="0"/>
      <w:contextualSpacing/>
    </w:pPr>
    <w:rPr>
      <w:sz w:val="18"/>
    </w:rPr>
  </w:style>
  <w:style w:type="paragraph" w:customStyle="1" w:styleId="FactSheetBullet2">
    <w:name w:val="Fact Sheet Bullet 2"/>
    <w:basedOn w:val="Normal"/>
    <w:semiHidden/>
    <w:rsid w:val="00716818"/>
    <w:pPr>
      <w:spacing w:before="80" w:after="60" w:line="220" w:lineRule="atLeast"/>
      <w:ind w:left="0"/>
      <w:contextualSpacing/>
    </w:pPr>
    <w:rPr>
      <w:sz w:val="18"/>
    </w:rPr>
  </w:style>
  <w:style w:type="paragraph" w:customStyle="1" w:styleId="FactSheetBullet3">
    <w:name w:val="Fact Sheet Bullet 3"/>
    <w:basedOn w:val="FactSheetBullet2"/>
    <w:semiHidden/>
    <w:rsid w:val="00716818"/>
  </w:style>
  <w:style w:type="character" w:styleId="FollowedHyperlink">
    <w:name w:val="FollowedHyperlink"/>
    <w:uiPriority w:val="99"/>
    <w:semiHidden/>
    <w:rsid w:val="00716818"/>
    <w:rPr>
      <w:color w:val="800080"/>
      <w:u w:val="single"/>
    </w:rPr>
  </w:style>
  <w:style w:type="character" w:styleId="FootnoteReference">
    <w:name w:val="footnote reference"/>
    <w:uiPriority w:val="49"/>
    <w:semiHidden/>
    <w:rsid w:val="00716818"/>
    <w:rPr>
      <w:vertAlign w:val="superscript"/>
    </w:rPr>
  </w:style>
  <w:style w:type="paragraph" w:styleId="FootnoteText">
    <w:name w:val="footnote text"/>
    <w:basedOn w:val="Normal"/>
    <w:link w:val="FootnoteTextChar"/>
    <w:uiPriority w:val="49"/>
    <w:semiHidden/>
    <w:rsid w:val="00716818"/>
  </w:style>
  <w:style w:type="character" w:customStyle="1" w:styleId="FootnoteTextChar">
    <w:name w:val="Footnote Text Char"/>
    <w:basedOn w:val="DefaultParagraphFont"/>
    <w:link w:val="FootnoteText"/>
    <w:uiPriority w:val="49"/>
    <w:semiHidden/>
    <w:rsid w:val="00716818"/>
    <w:rPr>
      <w:rFonts w:cs="Calibri"/>
      <w:sz w:val="22"/>
      <w:szCs w:val="22"/>
    </w:rPr>
  </w:style>
  <w:style w:type="paragraph" w:customStyle="1" w:styleId="Heading1NoNum">
    <w:name w:val="Heading 1 NoNum"/>
    <w:basedOn w:val="Heading1"/>
    <w:next w:val="Normal"/>
    <w:uiPriority w:val="4"/>
    <w:qFormat/>
    <w:rsid w:val="00716818"/>
    <w:pPr>
      <w:numPr>
        <w:numId w:val="0"/>
      </w:numPr>
      <w:ind w:left="794"/>
    </w:pPr>
  </w:style>
  <w:style w:type="paragraph" w:customStyle="1" w:styleId="Heading2NoNum">
    <w:name w:val="Heading 2 NoNum"/>
    <w:basedOn w:val="Heading2"/>
    <w:next w:val="Normal"/>
    <w:uiPriority w:val="4"/>
    <w:qFormat/>
    <w:rsid w:val="00716818"/>
    <w:pPr>
      <w:numPr>
        <w:ilvl w:val="0"/>
        <w:numId w:val="0"/>
      </w:numPr>
      <w:ind w:left="794"/>
    </w:pPr>
  </w:style>
  <w:style w:type="paragraph" w:customStyle="1" w:styleId="Heading3NoNum">
    <w:name w:val="Heading 3 NoNum"/>
    <w:basedOn w:val="Heading3"/>
    <w:next w:val="Normal"/>
    <w:uiPriority w:val="4"/>
    <w:qFormat/>
    <w:rsid w:val="00716818"/>
    <w:pPr>
      <w:numPr>
        <w:ilvl w:val="0"/>
        <w:numId w:val="0"/>
      </w:numPr>
      <w:ind w:left="794"/>
    </w:pPr>
  </w:style>
  <w:style w:type="paragraph" w:customStyle="1" w:styleId="Heading4NoNum">
    <w:name w:val="Heading 4 NoNum"/>
    <w:basedOn w:val="Heading4"/>
    <w:uiPriority w:val="4"/>
    <w:qFormat/>
    <w:rsid w:val="00716818"/>
    <w:pPr>
      <w:numPr>
        <w:ilvl w:val="0"/>
        <w:numId w:val="0"/>
      </w:numPr>
      <w:ind w:left="794"/>
    </w:pPr>
  </w:style>
  <w:style w:type="character" w:styleId="HTMLAcronym">
    <w:name w:val="HTML Acronym"/>
    <w:basedOn w:val="DefaultParagraphFont"/>
    <w:uiPriority w:val="99"/>
    <w:semiHidden/>
    <w:rsid w:val="00716818"/>
  </w:style>
  <w:style w:type="paragraph" w:styleId="HTMLAddress">
    <w:name w:val="HTML Address"/>
    <w:basedOn w:val="Normal"/>
    <w:link w:val="HTMLAddressChar"/>
    <w:uiPriority w:val="49"/>
    <w:semiHidden/>
    <w:rsid w:val="00716818"/>
    <w:rPr>
      <w:i/>
      <w:iCs/>
    </w:rPr>
  </w:style>
  <w:style w:type="character" w:customStyle="1" w:styleId="HTMLAddressChar">
    <w:name w:val="HTML Address Char"/>
    <w:basedOn w:val="DefaultParagraphFont"/>
    <w:link w:val="HTMLAddress"/>
    <w:uiPriority w:val="49"/>
    <w:semiHidden/>
    <w:rsid w:val="00716818"/>
    <w:rPr>
      <w:rFonts w:cs="Calibri"/>
      <w:i/>
      <w:iCs/>
      <w:sz w:val="22"/>
      <w:szCs w:val="22"/>
    </w:rPr>
  </w:style>
  <w:style w:type="character" w:styleId="HTMLCite">
    <w:name w:val="HTML Cite"/>
    <w:uiPriority w:val="99"/>
    <w:semiHidden/>
    <w:rsid w:val="00716818"/>
    <w:rPr>
      <w:i/>
      <w:iCs/>
    </w:rPr>
  </w:style>
  <w:style w:type="character" w:styleId="HTMLCode">
    <w:name w:val="HTML Code"/>
    <w:uiPriority w:val="99"/>
    <w:semiHidden/>
    <w:rsid w:val="00716818"/>
    <w:rPr>
      <w:sz w:val="20"/>
      <w:szCs w:val="20"/>
    </w:rPr>
  </w:style>
  <w:style w:type="character" w:styleId="HTMLDefinition">
    <w:name w:val="HTML Definition"/>
    <w:uiPriority w:val="99"/>
    <w:semiHidden/>
    <w:rsid w:val="00716818"/>
    <w:rPr>
      <w:i/>
      <w:iCs/>
    </w:rPr>
  </w:style>
  <w:style w:type="character" w:styleId="HTMLKeyboard">
    <w:name w:val="HTML Keyboard"/>
    <w:uiPriority w:val="99"/>
    <w:semiHidden/>
    <w:rsid w:val="00716818"/>
    <w:rPr>
      <w:sz w:val="20"/>
      <w:szCs w:val="20"/>
    </w:rPr>
  </w:style>
  <w:style w:type="paragraph" w:styleId="HTMLPreformatted">
    <w:name w:val="HTML Preformatted"/>
    <w:basedOn w:val="Normal"/>
    <w:link w:val="HTMLPreformattedChar"/>
    <w:uiPriority w:val="49"/>
    <w:semiHidden/>
    <w:rsid w:val="00716818"/>
  </w:style>
  <w:style w:type="character" w:customStyle="1" w:styleId="HTMLPreformattedChar">
    <w:name w:val="HTML Preformatted Char"/>
    <w:basedOn w:val="DefaultParagraphFont"/>
    <w:link w:val="HTMLPreformatted"/>
    <w:uiPriority w:val="49"/>
    <w:semiHidden/>
    <w:rsid w:val="00716818"/>
    <w:rPr>
      <w:rFonts w:cs="Calibri"/>
      <w:sz w:val="22"/>
      <w:szCs w:val="22"/>
    </w:rPr>
  </w:style>
  <w:style w:type="character" w:styleId="HTMLSample">
    <w:name w:val="HTML Sample"/>
    <w:uiPriority w:val="99"/>
    <w:semiHidden/>
    <w:rsid w:val="00716818"/>
    <w:rPr>
      <w:sz w:val="24"/>
      <w:szCs w:val="24"/>
    </w:rPr>
  </w:style>
  <w:style w:type="character" w:styleId="HTMLTypewriter">
    <w:name w:val="HTML Typewriter"/>
    <w:uiPriority w:val="99"/>
    <w:semiHidden/>
    <w:rsid w:val="00716818"/>
    <w:rPr>
      <w:sz w:val="20"/>
      <w:szCs w:val="20"/>
    </w:rPr>
  </w:style>
  <w:style w:type="character" w:styleId="HTMLVariable">
    <w:name w:val="HTML Variable"/>
    <w:uiPriority w:val="99"/>
    <w:semiHidden/>
    <w:rsid w:val="00716818"/>
    <w:rPr>
      <w:i/>
      <w:iCs/>
    </w:rPr>
  </w:style>
  <w:style w:type="character" w:styleId="Hyperlink">
    <w:name w:val="Hyperlink"/>
    <w:uiPriority w:val="99"/>
    <w:semiHidden/>
    <w:rsid w:val="00716818"/>
    <w:rPr>
      <w:color w:val="404040"/>
      <w:u w:val="none"/>
    </w:rPr>
  </w:style>
  <w:style w:type="paragraph" w:styleId="Index1">
    <w:name w:val="index 1"/>
    <w:basedOn w:val="Normal"/>
    <w:next w:val="Normal"/>
    <w:autoRedefine/>
    <w:uiPriority w:val="49"/>
    <w:semiHidden/>
    <w:rsid w:val="00716818"/>
    <w:pPr>
      <w:ind w:left="200" w:hanging="200"/>
    </w:pPr>
  </w:style>
  <w:style w:type="paragraph" w:styleId="Index2">
    <w:name w:val="index 2"/>
    <w:basedOn w:val="Normal"/>
    <w:next w:val="Normal"/>
    <w:autoRedefine/>
    <w:uiPriority w:val="49"/>
    <w:semiHidden/>
    <w:rsid w:val="00716818"/>
    <w:pPr>
      <w:ind w:left="400" w:hanging="200"/>
    </w:pPr>
  </w:style>
  <w:style w:type="paragraph" w:styleId="Index3">
    <w:name w:val="index 3"/>
    <w:basedOn w:val="Normal"/>
    <w:next w:val="Normal"/>
    <w:autoRedefine/>
    <w:uiPriority w:val="49"/>
    <w:semiHidden/>
    <w:rsid w:val="00716818"/>
    <w:pPr>
      <w:ind w:left="600" w:hanging="200"/>
    </w:pPr>
  </w:style>
  <w:style w:type="paragraph" w:styleId="Index4">
    <w:name w:val="index 4"/>
    <w:basedOn w:val="Normal"/>
    <w:next w:val="Normal"/>
    <w:autoRedefine/>
    <w:uiPriority w:val="49"/>
    <w:semiHidden/>
    <w:rsid w:val="00716818"/>
    <w:pPr>
      <w:ind w:left="800" w:hanging="200"/>
    </w:pPr>
  </w:style>
  <w:style w:type="paragraph" w:styleId="Index5">
    <w:name w:val="index 5"/>
    <w:basedOn w:val="Normal"/>
    <w:next w:val="Normal"/>
    <w:autoRedefine/>
    <w:uiPriority w:val="49"/>
    <w:semiHidden/>
    <w:rsid w:val="00716818"/>
    <w:pPr>
      <w:ind w:left="1000" w:hanging="200"/>
    </w:pPr>
  </w:style>
  <w:style w:type="paragraph" w:styleId="Index6">
    <w:name w:val="index 6"/>
    <w:basedOn w:val="Normal"/>
    <w:next w:val="Normal"/>
    <w:autoRedefine/>
    <w:uiPriority w:val="49"/>
    <w:semiHidden/>
    <w:rsid w:val="00716818"/>
    <w:pPr>
      <w:ind w:left="1200" w:hanging="200"/>
    </w:pPr>
  </w:style>
  <w:style w:type="paragraph" w:styleId="Index7">
    <w:name w:val="index 7"/>
    <w:basedOn w:val="Normal"/>
    <w:next w:val="Normal"/>
    <w:autoRedefine/>
    <w:uiPriority w:val="49"/>
    <w:semiHidden/>
    <w:rsid w:val="00716818"/>
    <w:pPr>
      <w:ind w:left="1400" w:hanging="200"/>
    </w:pPr>
  </w:style>
  <w:style w:type="paragraph" w:styleId="Index8">
    <w:name w:val="index 8"/>
    <w:basedOn w:val="Normal"/>
    <w:next w:val="Normal"/>
    <w:autoRedefine/>
    <w:uiPriority w:val="49"/>
    <w:semiHidden/>
    <w:rsid w:val="00716818"/>
    <w:pPr>
      <w:ind w:left="1600" w:hanging="200"/>
    </w:pPr>
  </w:style>
  <w:style w:type="paragraph" w:styleId="Index9">
    <w:name w:val="index 9"/>
    <w:basedOn w:val="Normal"/>
    <w:next w:val="Normal"/>
    <w:autoRedefine/>
    <w:uiPriority w:val="49"/>
    <w:semiHidden/>
    <w:rsid w:val="00716818"/>
    <w:pPr>
      <w:ind w:left="1800" w:hanging="200"/>
    </w:pPr>
  </w:style>
  <w:style w:type="paragraph" w:styleId="IndexHeading">
    <w:name w:val="index heading"/>
    <w:basedOn w:val="Normal"/>
    <w:next w:val="Index1"/>
    <w:uiPriority w:val="49"/>
    <w:semiHidden/>
    <w:rsid w:val="00716818"/>
    <w:rPr>
      <w:b/>
      <w:bCs/>
    </w:rPr>
  </w:style>
  <w:style w:type="character" w:styleId="IntenseEmphasis">
    <w:name w:val="Intense Emphasis"/>
    <w:uiPriority w:val="21"/>
    <w:semiHidden/>
    <w:qFormat/>
    <w:rsid w:val="00716818"/>
    <w:rPr>
      <w:b/>
      <w:bCs/>
      <w:i/>
      <w:iCs/>
      <w:color w:val="4F81BD"/>
    </w:rPr>
  </w:style>
  <w:style w:type="character" w:styleId="IntenseReference">
    <w:name w:val="Intense Reference"/>
    <w:uiPriority w:val="32"/>
    <w:semiHidden/>
    <w:qFormat/>
    <w:rsid w:val="00716818"/>
    <w:rPr>
      <w:b/>
      <w:bCs/>
      <w:smallCaps/>
      <w:color w:val="C0504D"/>
      <w:spacing w:val="5"/>
      <w:u w:val="single"/>
    </w:rPr>
  </w:style>
  <w:style w:type="table" w:styleId="LightGrid">
    <w:name w:val="Light Grid"/>
    <w:basedOn w:val="TableNormal"/>
    <w:uiPriority w:val="62"/>
    <w:rsid w:val="00716818"/>
    <w:rPr>
      <w:rFonts w:ascii="Arial" w:hAnsi="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716818"/>
    <w:rPr>
      <w:rFonts w:ascii="Arial" w:hAnsi="Arial"/>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Accent11">
    <w:name w:val="Light Grid - Accent 11"/>
    <w:basedOn w:val="TableNormal"/>
    <w:semiHidden/>
    <w:rsid w:val="00716818"/>
    <w:rPr>
      <w:rFonts w:ascii="Arial" w:hAnsi="Arial"/>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E0EF"/>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E0EF"/>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716818"/>
    <w:rPr>
      <w:rFonts w:ascii="Arial" w:hAnsi="Arial"/>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716818"/>
    <w:rPr>
      <w:rFonts w:ascii="Arial" w:hAnsi="Arial"/>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rsid w:val="00716818"/>
    <w:rPr>
      <w:rFonts w:ascii="Arial" w:hAnsi="Arial"/>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rsid w:val="00716818"/>
    <w:rPr>
      <w:rFonts w:ascii="Arial" w:hAnsi="Arial"/>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rsid w:val="00716818"/>
    <w:rPr>
      <w:rFonts w:ascii="Arial" w:hAnsi="Arial"/>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1">
    <w:name w:val="Light Grid1"/>
    <w:basedOn w:val="TableNormal"/>
    <w:semiHidden/>
    <w:rsid w:val="00716818"/>
    <w:rPr>
      <w:rFonts w:ascii="Arial" w:hAnsi="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BFBFBF"/>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BFBFBF"/>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List">
    <w:name w:val="Light List"/>
    <w:basedOn w:val="TableNormal"/>
    <w:uiPriority w:val="61"/>
    <w:rsid w:val="00716818"/>
    <w:rPr>
      <w:rFonts w:ascii="Arial" w:hAnsi="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716818"/>
    <w:rPr>
      <w:rFonts w:ascii="Arial" w:hAnsi="Arial"/>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11">
    <w:name w:val="Light List - Accent 11"/>
    <w:basedOn w:val="TableNormal"/>
    <w:semiHidden/>
    <w:rsid w:val="00716818"/>
    <w:rPr>
      <w:rFonts w:ascii="Arial" w:hAnsi="Arial"/>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716818"/>
    <w:rPr>
      <w:rFonts w:ascii="Arial" w:hAnsi="Arial"/>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716818"/>
    <w:rPr>
      <w:rFonts w:ascii="Arial" w:hAnsi="Arial"/>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716818"/>
    <w:rPr>
      <w:rFonts w:ascii="Arial" w:hAnsi="Arial"/>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rsid w:val="00716818"/>
    <w:rPr>
      <w:rFonts w:ascii="Arial" w:hAnsi="Arial"/>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716818"/>
    <w:rPr>
      <w:rFonts w:ascii="Arial" w:hAnsi="Arial"/>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1">
    <w:name w:val="Light List1"/>
    <w:basedOn w:val="TableNormal"/>
    <w:semiHidden/>
    <w:rsid w:val="00716818"/>
    <w:rPr>
      <w:rFonts w:ascii="Arial" w:hAnsi="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Shading">
    <w:name w:val="Light Shading"/>
    <w:basedOn w:val="TableNormal"/>
    <w:uiPriority w:val="60"/>
    <w:rsid w:val="00716818"/>
    <w:rPr>
      <w:rFonts w:ascii="Arial" w:hAnsi="Arial"/>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716818"/>
    <w:rPr>
      <w:rFonts w:ascii="Arial" w:hAnsi="Arial"/>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11">
    <w:name w:val="Light Shading - Accent 11"/>
    <w:basedOn w:val="TableNormal"/>
    <w:semiHidden/>
    <w:rsid w:val="00716818"/>
    <w:rPr>
      <w:rFonts w:ascii="Arial" w:hAnsi="Arial"/>
      <w:color w:val="376092"/>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E0EF"/>
      </w:tcPr>
    </w:tblStylePr>
    <w:tblStylePr w:type="band1Horz">
      <w:tblPr/>
      <w:tcPr>
        <w:tcBorders>
          <w:left w:val="nil"/>
          <w:right w:val="nil"/>
          <w:insideH w:val="nil"/>
          <w:insideV w:val="nil"/>
        </w:tcBorders>
        <w:shd w:val="clear" w:color="auto" w:fill="D3E0EF"/>
      </w:tcPr>
    </w:tblStylePr>
  </w:style>
  <w:style w:type="table" w:styleId="LightShading-Accent2">
    <w:name w:val="Light Shading Accent 2"/>
    <w:basedOn w:val="TableNormal"/>
    <w:uiPriority w:val="60"/>
    <w:rsid w:val="00716818"/>
    <w:rPr>
      <w:rFonts w:ascii="Arial" w:hAnsi="Arial"/>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716818"/>
    <w:rPr>
      <w:rFonts w:ascii="Arial" w:hAnsi="Arial"/>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716818"/>
    <w:rPr>
      <w:rFonts w:ascii="Arial" w:hAnsi="Arial"/>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716818"/>
    <w:rPr>
      <w:rFonts w:ascii="Arial" w:hAnsi="Arial"/>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716818"/>
    <w:rPr>
      <w:rFonts w:ascii="Arial" w:hAnsi="Arial"/>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LightShading1">
    <w:name w:val="Light Shading1"/>
    <w:basedOn w:val="TableNormal"/>
    <w:semiHidden/>
    <w:rsid w:val="00716818"/>
    <w:rPr>
      <w:rFonts w:ascii="Arial" w:hAnsi="Arial"/>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cPr>
    </w:tblStylePr>
    <w:tblStylePr w:type="band1Horz">
      <w:tblPr/>
      <w:tcPr>
        <w:tcBorders>
          <w:left w:val="nil"/>
          <w:right w:val="nil"/>
          <w:insideH w:val="nil"/>
          <w:insideV w:val="nil"/>
        </w:tcBorders>
        <w:shd w:val="clear" w:color="auto" w:fill="BFBFBF"/>
      </w:tcPr>
    </w:tblStylePr>
  </w:style>
  <w:style w:type="character" w:styleId="LineNumber">
    <w:name w:val="line number"/>
    <w:basedOn w:val="DefaultParagraphFont"/>
    <w:uiPriority w:val="49"/>
    <w:semiHidden/>
    <w:rsid w:val="00716818"/>
  </w:style>
  <w:style w:type="paragraph" w:styleId="List">
    <w:name w:val="List"/>
    <w:basedOn w:val="Normal"/>
    <w:uiPriority w:val="49"/>
    <w:semiHidden/>
    <w:rsid w:val="00716818"/>
    <w:pPr>
      <w:ind w:left="283" w:hanging="283"/>
    </w:pPr>
  </w:style>
  <w:style w:type="paragraph" w:styleId="List2">
    <w:name w:val="List 2"/>
    <w:basedOn w:val="Normal"/>
    <w:uiPriority w:val="49"/>
    <w:semiHidden/>
    <w:rsid w:val="00716818"/>
    <w:pPr>
      <w:ind w:left="566" w:hanging="283"/>
    </w:pPr>
  </w:style>
  <w:style w:type="paragraph" w:styleId="List3">
    <w:name w:val="List 3"/>
    <w:basedOn w:val="Normal"/>
    <w:uiPriority w:val="49"/>
    <w:semiHidden/>
    <w:rsid w:val="00716818"/>
    <w:pPr>
      <w:ind w:left="849" w:hanging="283"/>
    </w:pPr>
  </w:style>
  <w:style w:type="paragraph" w:styleId="List4">
    <w:name w:val="List 4"/>
    <w:basedOn w:val="Normal"/>
    <w:uiPriority w:val="49"/>
    <w:semiHidden/>
    <w:rsid w:val="00716818"/>
    <w:pPr>
      <w:ind w:left="1132" w:hanging="283"/>
    </w:pPr>
  </w:style>
  <w:style w:type="paragraph" w:styleId="List5">
    <w:name w:val="List 5"/>
    <w:basedOn w:val="Normal"/>
    <w:uiPriority w:val="49"/>
    <w:semiHidden/>
    <w:rsid w:val="00716818"/>
    <w:pPr>
      <w:ind w:left="1415" w:hanging="283"/>
    </w:pPr>
  </w:style>
  <w:style w:type="paragraph" w:styleId="ListBullet">
    <w:name w:val="List Bullet"/>
    <w:basedOn w:val="Normal"/>
    <w:uiPriority w:val="99"/>
    <w:semiHidden/>
    <w:unhideWhenUsed/>
    <w:rsid w:val="00716818"/>
    <w:pPr>
      <w:numPr>
        <w:numId w:val="9"/>
      </w:numPr>
      <w:contextualSpacing/>
    </w:pPr>
  </w:style>
  <w:style w:type="paragraph" w:styleId="ListBullet2">
    <w:name w:val="List Bullet 2"/>
    <w:basedOn w:val="Normal"/>
    <w:uiPriority w:val="99"/>
    <w:semiHidden/>
    <w:rsid w:val="00716818"/>
    <w:pPr>
      <w:numPr>
        <w:numId w:val="10"/>
      </w:numPr>
      <w:contextualSpacing/>
    </w:pPr>
  </w:style>
  <w:style w:type="paragraph" w:styleId="ListBullet3">
    <w:name w:val="List Bullet 3"/>
    <w:basedOn w:val="Normal"/>
    <w:uiPriority w:val="99"/>
    <w:semiHidden/>
    <w:rsid w:val="00716818"/>
    <w:pPr>
      <w:numPr>
        <w:numId w:val="11"/>
      </w:numPr>
      <w:contextualSpacing/>
    </w:pPr>
  </w:style>
  <w:style w:type="paragraph" w:styleId="ListBullet4">
    <w:name w:val="List Bullet 4"/>
    <w:basedOn w:val="Normal"/>
    <w:uiPriority w:val="49"/>
    <w:semiHidden/>
    <w:rsid w:val="00716818"/>
    <w:pPr>
      <w:tabs>
        <w:tab w:val="num" w:pos="1209"/>
      </w:tabs>
      <w:ind w:left="1209" w:hanging="360"/>
    </w:pPr>
  </w:style>
  <w:style w:type="paragraph" w:styleId="ListBullet5">
    <w:name w:val="List Bullet 5"/>
    <w:basedOn w:val="Normal"/>
    <w:uiPriority w:val="49"/>
    <w:semiHidden/>
    <w:rsid w:val="00716818"/>
    <w:pPr>
      <w:tabs>
        <w:tab w:val="num" w:pos="1492"/>
      </w:tabs>
      <w:ind w:left="1492" w:hanging="360"/>
    </w:pPr>
  </w:style>
  <w:style w:type="paragraph" w:customStyle="1" w:styleId="ListBulletBold">
    <w:name w:val="List Bullet Bold"/>
    <w:basedOn w:val="Normal"/>
    <w:next w:val="Normal"/>
    <w:uiPriority w:val="49"/>
    <w:semiHidden/>
    <w:rsid w:val="00716818"/>
    <w:rPr>
      <w:b/>
    </w:rPr>
  </w:style>
  <w:style w:type="paragraph" w:styleId="ListContinue">
    <w:name w:val="List Continue"/>
    <w:basedOn w:val="Normal"/>
    <w:uiPriority w:val="8"/>
    <w:semiHidden/>
    <w:qFormat/>
    <w:rsid w:val="00716818"/>
    <w:pPr>
      <w:spacing w:before="0" w:after="0"/>
      <w:ind w:left="1077"/>
    </w:pPr>
  </w:style>
  <w:style w:type="paragraph" w:styleId="ListContinue2">
    <w:name w:val="List Continue 2"/>
    <w:basedOn w:val="Normal"/>
    <w:uiPriority w:val="8"/>
    <w:semiHidden/>
    <w:rsid w:val="00716818"/>
    <w:pPr>
      <w:spacing w:before="0" w:after="0"/>
      <w:ind w:left="1361"/>
    </w:pPr>
  </w:style>
  <w:style w:type="paragraph" w:styleId="ListContinue3">
    <w:name w:val="List Continue 3"/>
    <w:basedOn w:val="Normal"/>
    <w:uiPriority w:val="8"/>
    <w:semiHidden/>
    <w:rsid w:val="00716818"/>
    <w:pPr>
      <w:spacing w:before="0" w:after="0"/>
      <w:ind w:left="1644"/>
    </w:pPr>
  </w:style>
  <w:style w:type="paragraph" w:styleId="ListContinue4">
    <w:name w:val="List Continue 4"/>
    <w:basedOn w:val="Normal"/>
    <w:uiPriority w:val="49"/>
    <w:semiHidden/>
    <w:rsid w:val="00716818"/>
    <w:pPr>
      <w:spacing w:after="120"/>
      <w:ind w:left="1132"/>
    </w:pPr>
  </w:style>
  <w:style w:type="paragraph" w:styleId="ListContinue5">
    <w:name w:val="List Continue 5"/>
    <w:basedOn w:val="Normal"/>
    <w:uiPriority w:val="49"/>
    <w:semiHidden/>
    <w:rsid w:val="00716818"/>
    <w:pPr>
      <w:spacing w:after="120"/>
      <w:ind w:left="1415"/>
    </w:pPr>
  </w:style>
  <w:style w:type="paragraph" w:styleId="ListNumber">
    <w:name w:val="List Number"/>
    <w:basedOn w:val="Normal"/>
    <w:qFormat/>
    <w:rsid w:val="00716818"/>
    <w:pPr>
      <w:numPr>
        <w:numId w:val="12"/>
      </w:numPr>
      <w:contextualSpacing/>
    </w:pPr>
  </w:style>
  <w:style w:type="paragraph" w:styleId="ListNumber2">
    <w:name w:val="List Number 2"/>
    <w:basedOn w:val="Normal"/>
    <w:rsid w:val="00716818"/>
    <w:pPr>
      <w:numPr>
        <w:ilvl w:val="1"/>
        <w:numId w:val="12"/>
      </w:numPr>
      <w:contextualSpacing/>
    </w:pPr>
  </w:style>
  <w:style w:type="paragraph" w:styleId="ListNumber3">
    <w:name w:val="List Number 3"/>
    <w:basedOn w:val="Normal"/>
    <w:rsid w:val="00716818"/>
    <w:pPr>
      <w:numPr>
        <w:ilvl w:val="2"/>
        <w:numId w:val="12"/>
      </w:numPr>
      <w:contextualSpacing/>
    </w:pPr>
  </w:style>
  <w:style w:type="paragraph" w:styleId="ListNumber4">
    <w:name w:val="List Number 4"/>
    <w:basedOn w:val="Normal"/>
    <w:rsid w:val="00716818"/>
    <w:pPr>
      <w:tabs>
        <w:tab w:val="num" w:pos="1209"/>
      </w:tabs>
      <w:ind w:left="1209" w:hanging="360"/>
    </w:pPr>
  </w:style>
  <w:style w:type="paragraph" w:styleId="ListNumber5">
    <w:name w:val="List Number 5"/>
    <w:basedOn w:val="Normal"/>
    <w:uiPriority w:val="49"/>
    <w:semiHidden/>
    <w:rsid w:val="00716818"/>
    <w:pPr>
      <w:tabs>
        <w:tab w:val="num" w:pos="1492"/>
      </w:tabs>
      <w:ind w:left="1492" w:hanging="360"/>
    </w:pPr>
  </w:style>
  <w:style w:type="paragraph" w:styleId="ListParagraph">
    <w:name w:val="List Paragraph"/>
    <w:basedOn w:val="Normal"/>
    <w:uiPriority w:val="34"/>
    <w:qFormat/>
    <w:rsid w:val="00716818"/>
    <w:pPr>
      <w:ind w:left="720"/>
      <w:contextualSpacing/>
    </w:pPr>
  </w:style>
  <w:style w:type="paragraph" w:styleId="MacroText">
    <w:name w:val="macro"/>
    <w:link w:val="MacroTextChar"/>
    <w:uiPriority w:val="49"/>
    <w:semiHidden/>
    <w:rsid w:val="00716818"/>
    <w:rPr>
      <w:rFonts w:cs="Calibri"/>
      <w:sz w:val="22"/>
      <w:szCs w:val="22"/>
    </w:rPr>
  </w:style>
  <w:style w:type="character" w:customStyle="1" w:styleId="MacroTextChar">
    <w:name w:val="Macro Text Char"/>
    <w:basedOn w:val="DefaultParagraphFont"/>
    <w:link w:val="MacroText"/>
    <w:uiPriority w:val="49"/>
    <w:semiHidden/>
    <w:rsid w:val="00716818"/>
    <w:rPr>
      <w:rFonts w:cs="Calibri"/>
      <w:sz w:val="22"/>
      <w:szCs w:val="22"/>
    </w:rPr>
  </w:style>
  <w:style w:type="table" w:styleId="MediumGrid1">
    <w:name w:val="Medium Grid 1"/>
    <w:basedOn w:val="TableNormal"/>
    <w:uiPriority w:val="67"/>
    <w:rsid w:val="00716818"/>
    <w:rPr>
      <w:rFonts w:ascii="Arial" w:hAnsi="Arial"/>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716818"/>
    <w:rPr>
      <w:rFonts w:ascii="Arial" w:hAnsi="Arial"/>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716818"/>
    <w:rPr>
      <w:rFonts w:ascii="Arial" w:hAnsi="Arial"/>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716818"/>
    <w:rPr>
      <w:rFonts w:ascii="Arial" w:hAnsi="Arial"/>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716818"/>
    <w:rPr>
      <w:rFonts w:ascii="Arial" w:hAnsi="Arial"/>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716818"/>
    <w:rPr>
      <w:rFonts w:ascii="Arial" w:hAnsi="Arial"/>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716818"/>
    <w:rPr>
      <w:rFonts w:ascii="Arial" w:hAnsi="Arial"/>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rid11">
    <w:name w:val="Medium Grid 11"/>
    <w:basedOn w:val="TableNormal"/>
    <w:semiHidden/>
    <w:rsid w:val="00716818"/>
    <w:rPr>
      <w:rFonts w:ascii="Arial" w:hAnsi="Arial"/>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BFBFBF"/>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2">
    <w:name w:val="Medium Grid 2"/>
    <w:basedOn w:val="TableNormal"/>
    <w:uiPriority w:val="68"/>
    <w:rsid w:val="00716818"/>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716818"/>
    <w:rPr>
      <w:rFonts w:ascii="Cambria" w:hAnsi="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716818"/>
    <w:rPr>
      <w:rFonts w:ascii="Cambria" w:hAnsi="Cambria"/>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716818"/>
    <w:rPr>
      <w:rFonts w:ascii="Cambria" w:hAnsi="Cambria"/>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716818"/>
    <w:rPr>
      <w:rFonts w:ascii="Cambria" w:hAnsi="Cambria"/>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716818"/>
    <w:rPr>
      <w:rFonts w:ascii="Cambria"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716818"/>
    <w:rPr>
      <w:rFonts w:ascii="Cambria" w:hAnsi="Cambria"/>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rid21">
    <w:name w:val="Medium Grid 21"/>
    <w:basedOn w:val="TableNormal"/>
    <w:semiHidden/>
    <w:rsid w:val="00716818"/>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BFBFBF"/>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3">
    <w:name w:val="Medium Grid 3"/>
    <w:basedOn w:val="TableNormal"/>
    <w:uiPriority w:val="69"/>
    <w:rsid w:val="00716818"/>
    <w:rPr>
      <w:rFonts w:ascii="Arial" w:hAnsi="Arial"/>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716818"/>
    <w:rPr>
      <w:rFonts w:ascii="Arial" w:hAnsi="Arial"/>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716818"/>
    <w:rPr>
      <w:rFonts w:ascii="Arial" w:hAnsi="Arial"/>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716818"/>
    <w:rPr>
      <w:rFonts w:ascii="Arial" w:hAnsi="Arial"/>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rsid w:val="00716818"/>
    <w:rPr>
      <w:rFonts w:ascii="Arial" w:hAnsi="Arial"/>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rsid w:val="00716818"/>
    <w:rPr>
      <w:rFonts w:ascii="Arial" w:hAnsi="Arial"/>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rsid w:val="00716818"/>
    <w:rPr>
      <w:rFonts w:ascii="Arial" w:hAnsi="Arial"/>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MediumGrid31">
    <w:name w:val="Medium Grid 31"/>
    <w:basedOn w:val="TableNormal"/>
    <w:semiHidden/>
    <w:rsid w:val="00716818"/>
    <w:rPr>
      <w:rFonts w:ascii="Arial" w:hAnsi="Arial"/>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BFBFBF"/>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List1">
    <w:name w:val="Medium List 1"/>
    <w:basedOn w:val="TableNormal"/>
    <w:uiPriority w:val="65"/>
    <w:rsid w:val="00716818"/>
    <w:rPr>
      <w:rFonts w:ascii="Arial" w:hAnsi="Arial"/>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716818"/>
    <w:rPr>
      <w:rFonts w:ascii="Arial" w:hAnsi="Arial"/>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11">
    <w:name w:val="Medium List 1 - Accent 11"/>
    <w:basedOn w:val="TableNormal"/>
    <w:semiHidden/>
    <w:rsid w:val="00716818"/>
    <w:rPr>
      <w:rFonts w:ascii="Arial" w:hAnsi="Arial"/>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E0EF"/>
      </w:tcPr>
    </w:tblStylePr>
    <w:tblStylePr w:type="band1Horz">
      <w:tblPr/>
      <w:tcPr>
        <w:shd w:val="clear" w:color="auto" w:fill="D3E0EF"/>
      </w:tcPr>
    </w:tblStylePr>
  </w:style>
  <w:style w:type="table" w:styleId="MediumList1-Accent2">
    <w:name w:val="Medium List 1 Accent 2"/>
    <w:basedOn w:val="TableNormal"/>
    <w:uiPriority w:val="65"/>
    <w:rsid w:val="00716818"/>
    <w:rPr>
      <w:rFonts w:ascii="Arial" w:hAnsi="Arial"/>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716818"/>
    <w:rPr>
      <w:rFonts w:ascii="Arial" w:hAnsi="Arial"/>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716818"/>
    <w:rPr>
      <w:rFonts w:ascii="Arial" w:hAnsi="Arial"/>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716818"/>
    <w:rPr>
      <w:rFonts w:ascii="Arial" w:hAnsi="Arial"/>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716818"/>
    <w:rPr>
      <w:rFonts w:ascii="Arial" w:hAnsi="Arial"/>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ediumList11">
    <w:name w:val="Medium List 11"/>
    <w:basedOn w:val="TableNormal"/>
    <w:semiHidden/>
    <w:rsid w:val="00716818"/>
    <w:rPr>
      <w:rFonts w:ascii="Arial" w:hAnsi="Arial"/>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BFBFBF"/>
      </w:tcPr>
    </w:tblStylePr>
    <w:tblStylePr w:type="band1Horz">
      <w:tblPr/>
      <w:tcPr>
        <w:shd w:val="clear" w:color="auto" w:fill="BFBFBF"/>
      </w:tcPr>
    </w:tblStylePr>
  </w:style>
  <w:style w:type="table" w:styleId="MediumList2">
    <w:name w:val="Medium List 2"/>
    <w:basedOn w:val="TableNormal"/>
    <w:uiPriority w:val="66"/>
    <w:rsid w:val="00716818"/>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716818"/>
    <w:rPr>
      <w:rFonts w:ascii="Cambria" w:hAnsi="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716818"/>
    <w:rPr>
      <w:rFonts w:ascii="Cambria" w:hAnsi="Cambria"/>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716818"/>
    <w:rPr>
      <w:rFonts w:ascii="Cambria" w:hAnsi="Cambria"/>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716818"/>
    <w:rPr>
      <w:rFonts w:ascii="Cambria" w:hAnsi="Cambria"/>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716818"/>
    <w:rPr>
      <w:rFonts w:ascii="Cambria"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716818"/>
    <w:rPr>
      <w:rFonts w:ascii="Cambria" w:hAnsi="Cambria"/>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ediumList21">
    <w:name w:val="Medium List 21"/>
    <w:basedOn w:val="TableNormal"/>
    <w:semiHidden/>
    <w:rsid w:val="00716818"/>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BFBFBF"/>
      </w:tcPr>
    </w:tblStylePr>
    <w:tblStylePr w:type="band1Horz">
      <w:tblPr/>
      <w:tcPr>
        <w:tcBorders>
          <w:top w:val="nil"/>
          <w:bottom w:val="nil"/>
          <w:insideH w:val="nil"/>
          <w:insideV w:val="nil"/>
        </w:tcBorders>
        <w:shd w:val="clear" w:color="auto" w:fill="BFBFBF"/>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716818"/>
    <w:rPr>
      <w:rFonts w:ascii="Arial" w:hAnsi="Arial"/>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716818"/>
    <w:rPr>
      <w:rFonts w:ascii="Arial" w:hAnsi="Arial"/>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1">
    <w:name w:val="Medium Shading 1 - Accent 11"/>
    <w:basedOn w:val="TableNormal"/>
    <w:semiHidden/>
    <w:rsid w:val="00716818"/>
    <w:rPr>
      <w:rFonts w:ascii="Arial" w:hAnsi="Arial"/>
    </w:rPr>
    <w:tblPr>
      <w:tblStyleRowBandSize w:val="1"/>
      <w:tblStyleColBandSize w:val="1"/>
      <w:tblInd w:w="0" w:type="dxa"/>
      <w:tblBorders>
        <w:top w:val="single" w:sz="8" w:space="0" w:color="7BA1CE"/>
        <w:left w:val="single" w:sz="8" w:space="0" w:color="7BA1CE"/>
        <w:bottom w:val="single" w:sz="8" w:space="0" w:color="7BA1CE"/>
        <w:right w:val="single" w:sz="8" w:space="0" w:color="7BA1CE"/>
        <w:insideH w:val="single" w:sz="8" w:space="0" w:color="7BA1CE"/>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1CE"/>
          <w:left w:val="single" w:sz="8" w:space="0" w:color="7BA1CE"/>
          <w:bottom w:val="single" w:sz="8" w:space="0" w:color="7BA1CE"/>
          <w:right w:val="single" w:sz="8" w:space="0" w:color="7BA1CE"/>
          <w:insideH w:val="nil"/>
          <w:insideV w:val="nil"/>
        </w:tcBorders>
        <w:shd w:val="clear" w:color="auto" w:fill="4F81BD"/>
      </w:tcPr>
    </w:tblStylePr>
    <w:tblStylePr w:type="lastRow">
      <w:pPr>
        <w:spacing w:before="0" w:after="0" w:line="240" w:lineRule="auto"/>
      </w:pPr>
      <w:rPr>
        <w:b/>
        <w:bCs/>
      </w:rPr>
      <w:tblPr/>
      <w:tcPr>
        <w:tcBorders>
          <w:top w:val="double" w:sz="6" w:space="0" w:color="7BA1CE"/>
          <w:left w:val="single" w:sz="8" w:space="0" w:color="7BA1CE"/>
          <w:bottom w:val="single" w:sz="8" w:space="0" w:color="7BA1CE"/>
          <w:right w:val="single" w:sz="8" w:space="0" w:color="7BA1CE"/>
          <w:insideH w:val="nil"/>
          <w:insideV w:val="nil"/>
        </w:tcBorders>
      </w:tcPr>
    </w:tblStylePr>
    <w:tblStylePr w:type="firstCol">
      <w:rPr>
        <w:b/>
        <w:bCs/>
      </w:rPr>
    </w:tblStylePr>
    <w:tblStylePr w:type="lastCol">
      <w:rPr>
        <w:b/>
        <w:bCs/>
      </w:rPr>
    </w:tblStylePr>
    <w:tblStylePr w:type="band1Vert">
      <w:tblPr/>
      <w:tcPr>
        <w:shd w:val="clear" w:color="auto" w:fill="D3E0EF"/>
      </w:tcPr>
    </w:tblStylePr>
    <w:tblStylePr w:type="band1Horz">
      <w:tblPr/>
      <w:tcPr>
        <w:tcBorders>
          <w:insideH w:val="nil"/>
          <w:insideV w:val="nil"/>
        </w:tcBorders>
        <w:shd w:val="clear" w:color="auto" w:fill="D3E0E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716818"/>
    <w:rPr>
      <w:rFonts w:ascii="Arial" w:hAnsi="Arial"/>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716818"/>
    <w:rPr>
      <w:rFonts w:ascii="Arial" w:hAnsi="Arial"/>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716818"/>
    <w:rPr>
      <w:rFonts w:ascii="Arial" w:hAnsi="Arial"/>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716818"/>
    <w:rPr>
      <w:rFonts w:ascii="Arial" w:hAnsi="Arial"/>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716818"/>
    <w:rPr>
      <w:rFonts w:ascii="Arial" w:hAnsi="Arial"/>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11">
    <w:name w:val="Medium Shading 11"/>
    <w:basedOn w:val="TableNormal"/>
    <w:semiHidden/>
    <w:rsid w:val="00716818"/>
    <w:rPr>
      <w:rFonts w:ascii="Arial" w:hAnsi="Arial"/>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BFBFBF"/>
      </w:tcPr>
    </w:tblStylePr>
    <w:tblStylePr w:type="band1Horz">
      <w:tblPr/>
      <w:tcPr>
        <w:tcBorders>
          <w:insideH w:val="nil"/>
          <w:insideV w:val="nil"/>
        </w:tcBorders>
        <w:shd w:val="clear" w:color="auto" w:fill="BFBFBF"/>
      </w:tcPr>
    </w:tblStylePr>
    <w:tblStylePr w:type="band2Horz">
      <w:tblPr/>
      <w:tcPr>
        <w:tcBorders>
          <w:insideH w:val="nil"/>
          <w:insideV w:val="nil"/>
        </w:tcBorders>
      </w:tcPr>
    </w:tblStylePr>
  </w:style>
  <w:style w:type="table" w:styleId="MediumShading2">
    <w:name w:val="Medium Shading 2"/>
    <w:basedOn w:val="TableNormal"/>
    <w:uiPriority w:val="64"/>
    <w:rsid w:val="00716818"/>
    <w:rPr>
      <w:rFonts w:ascii="Arial" w:hAnsi="Arial"/>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716818"/>
    <w:rPr>
      <w:rFonts w:ascii="Arial" w:hAnsi="Arial"/>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semiHidden/>
    <w:rsid w:val="00716818"/>
    <w:rPr>
      <w:rFonts w:ascii="Arial" w:hAnsi="Arial"/>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9D9D9"/>
      </w:tcPr>
    </w:tblStylePr>
    <w:tblStylePr w:type="band1Horz">
      <w:tblPr/>
      <w:tcPr>
        <w:shd w:val="clear" w:color="auto" w:fill="D9D9D9"/>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716818"/>
    <w:rPr>
      <w:rFonts w:ascii="Arial" w:hAnsi="Arial"/>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716818"/>
    <w:rPr>
      <w:rFonts w:ascii="Arial" w:hAnsi="Arial"/>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716818"/>
    <w:rPr>
      <w:rFonts w:ascii="Arial" w:hAnsi="Arial"/>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716818"/>
    <w:rPr>
      <w:rFonts w:ascii="Arial" w:hAnsi="Arial"/>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716818"/>
    <w:rPr>
      <w:rFonts w:ascii="Arial" w:hAnsi="Arial"/>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1">
    <w:name w:val="Medium Shading 21"/>
    <w:basedOn w:val="TableNormal"/>
    <w:semiHidden/>
    <w:rsid w:val="00716818"/>
    <w:rPr>
      <w:rFonts w:ascii="Arial" w:hAnsi="Arial"/>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9D9D9"/>
      </w:tcPr>
    </w:tblStylePr>
    <w:tblStylePr w:type="band1Horz">
      <w:tblPr/>
      <w:tcPr>
        <w:shd w:val="clear" w:color="auto" w:fill="D9D9D9"/>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49"/>
    <w:semiHidden/>
    <w:rsid w:val="00716818"/>
    <w:pPr>
      <w:pBdr>
        <w:top w:val="single" w:sz="6" w:space="1" w:color="auto"/>
        <w:left w:val="single" w:sz="6" w:space="1" w:color="auto"/>
        <w:bottom w:val="single" w:sz="6" w:space="1" w:color="auto"/>
        <w:right w:val="single" w:sz="6" w:space="1" w:color="auto"/>
      </w:pBdr>
      <w:shd w:val="pct20" w:color="auto" w:fill="auto"/>
      <w:ind w:left="1134" w:hanging="1134"/>
    </w:pPr>
    <w:rPr>
      <w:sz w:val="24"/>
      <w:szCs w:val="24"/>
    </w:rPr>
  </w:style>
  <w:style w:type="character" w:customStyle="1" w:styleId="MessageHeaderChar">
    <w:name w:val="Message Header Char"/>
    <w:basedOn w:val="DefaultParagraphFont"/>
    <w:link w:val="MessageHeader"/>
    <w:uiPriority w:val="49"/>
    <w:semiHidden/>
    <w:rsid w:val="00716818"/>
    <w:rPr>
      <w:rFonts w:cs="Calibri"/>
      <w:sz w:val="24"/>
      <w:szCs w:val="24"/>
      <w:shd w:val="pct20" w:color="auto" w:fill="auto"/>
    </w:rPr>
  </w:style>
  <w:style w:type="paragraph" w:styleId="NormalWeb">
    <w:name w:val="Normal (Web)"/>
    <w:basedOn w:val="Normal"/>
    <w:uiPriority w:val="49"/>
    <w:semiHidden/>
    <w:rsid w:val="00716818"/>
    <w:rPr>
      <w:sz w:val="24"/>
      <w:szCs w:val="24"/>
    </w:rPr>
  </w:style>
  <w:style w:type="paragraph" w:styleId="NormalIndent">
    <w:name w:val="Normal Indent"/>
    <w:basedOn w:val="Normal"/>
    <w:rsid w:val="00716818"/>
    <w:pPr>
      <w:spacing w:line="240" w:lineRule="exact"/>
      <w:ind w:left="1077" w:right="284"/>
    </w:pPr>
  </w:style>
  <w:style w:type="paragraph" w:customStyle="1" w:styleId="NormalIndentItalics">
    <w:name w:val="Normal Indent Italics"/>
    <w:basedOn w:val="NormalIndent"/>
    <w:uiPriority w:val="13"/>
    <w:qFormat/>
    <w:rsid w:val="00716818"/>
    <w:rPr>
      <w:i/>
    </w:rPr>
  </w:style>
  <w:style w:type="paragraph" w:customStyle="1" w:styleId="NoteNormal">
    <w:name w:val="Note Normal"/>
    <w:basedOn w:val="Normal"/>
    <w:uiPriority w:val="49"/>
    <w:rsid w:val="00716818"/>
    <w:pPr>
      <w:keepNext/>
      <w:keepLines/>
      <w:spacing w:before="80"/>
    </w:pPr>
    <w:rPr>
      <w:color w:val="000000"/>
      <w:sz w:val="18"/>
      <w:lang w:eastAsia="en-US"/>
    </w:rPr>
  </w:style>
  <w:style w:type="character" w:styleId="PageNumber">
    <w:name w:val="page number"/>
    <w:uiPriority w:val="49"/>
    <w:semiHidden/>
    <w:rsid w:val="00716818"/>
    <w:rPr>
      <w:b/>
      <w:color w:val="4C4C4C"/>
      <w:sz w:val="28"/>
    </w:rPr>
  </w:style>
  <w:style w:type="paragraph" w:customStyle="1" w:styleId="Pictwide">
    <w:name w:val="Pict wide"/>
    <w:basedOn w:val="Normal"/>
    <w:next w:val="Normal"/>
    <w:uiPriority w:val="13"/>
    <w:unhideWhenUsed/>
    <w:qFormat/>
    <w:rsid w:val="00716818"/>
    <w:pPr>
      <w:widowControl w:val="0"/>
      <w:spacing w:before="160" w:after="320"/>
    </w:pPr>
    <w:rPr>
      <w:sz w:val="24"/>
    </w:rPr>
  </w:style>
  <w:style w:type="character" w:styleId="PlaceholderText">
    <w:name w:val="Placeholder Text"/>
    <w:uiPriority w:val="99"/>
    <w:semiHidden/>
    <w:rsid w:val="00716818"/>
    <w:rPr>
      <w:color w:val="808080"/>
    </w:rPr>
  </w:style>
  <w:style w:type="paragraph" w:styleId="PlainText">
    <w:name w:val="Plain Text"/>
    <w:basedOn w:val="Normal"/>
    <w:link w:val="PlainTextChar"/>
    <w:uiPriority w:val="49"/>
    <w:semiHidden/>
    <w:rsid w:val="00716818"/>
  </w:style>
  <w:style w:type="character" w:customStyle="1" w:styleId="PlainTextChar">
    <w:name w:val="Plain Text Char"/>
    <w:basedOn w:val="DefaultParagraphFont"/>
    <w:link w:val="PlainText"/>
    <w:uiPriority w:val="49"/>
    <w:semiHidden/>
    <w:rsid w:val="00716818"/>
    <w:rPr>
      <w:rFonts w:cs="Calibri"/>
      <w:sz w:val="22"/>
      <w:szCs w:val="22"/>
    </w:rPr>
  </w:style>
  <w:style w:type="paragraph" w:customStyle="1" w:styleId="Quotation">
    <w:name w:val="Quotation"/>
    <w:basedOn w:val="Normal"/>
    <w:next w:val="Normal"/>
    <w:uiPriority w:val="49"/>
    <w:semiHidden/>
    <w:rsid w:val="00716818"/>
    <w:pPr>
      <w:keepLines/>
      <w:spacing w:before="40"/>
      <w:jc w:val="center"/>
    </w:pPr>
    <w:rPr>
      <w:i/>
      <w:iCs/>
      <w:color w:val="003399"/>
      <w:sz w:val="18"/>
      <w:lang w:eastAsia="en-US"/>
    </w:rPr>
  </w:style>
  <w:style w:type="paragraph" w:customStyle="1" w:styleId="QuoteName">
    <w:name w:val="Quote Name"/>
    <w:basedOn w:val="Normal"/>
    <w:uiPriority w:val="49"/>
    <w:semiHidden/>
    <w:rsid w:val="00716818"/>
    <w:pPr>
      <w:spacing w:after="0"/>
      <w:ind w:left="902" w:right="822"/>
      <w:jc w:val="right"/>
    </w:pPr>
    <w:rPr>
      <w:caps/>
      <w:color w:val="800000"/>
      <w:sz w:val="16"/>
    </w:rPr>
  </w:style>
  <w:style w:type="paragraph" w:styleId="Salutation">
    <w:name w:val="Salutation"/>
    <w:basedOn w:val="Normal"/>
    <w:next w:val="Normal"/>
    <w:link w:val="SalutationChar"/>
    <w:uiPriority w:val="49"/>
    <w:semiHidden/>
    <w:rsid w:val="00716818"/>
  </w:style>
  <w:style w:type="character" w:customStyle="1" w:styleId="SalutationChar">
    <w:name w:val="Salutation Char"/>
    <w:basedOn w:val="DefaultParagraphFont"/>
    <w:link w:val="Salutation"/>
    <w:uiPriority w:val="49"/>
    <w:semiHidden/>
    <w:rsid w:val="00716818"/>
    <w:rPr>
      <w:rFonts w:cs="Calibri"/>
      <w:sz w:val="22"/>
      <w:szCs w:val="22"/>
    </w:rPr>
  </w:style>
  <w:style w:type="paragraph" w:styleId="Signature">
    <w:name w:val="Signature"/>
    <w:basedOn w:val="Normal"/>
    <w:link w:val="SignatureChar"/>
    <w:uiPriority w:val="49"/>
    <w:semiHidden/>
    <w:rsid w:val="00716818"/>
    <w:pPr>
      <w:ind w:left="4252"/>
    </w:pPr>
  </w:style>
  <w:style w:type="character" w:customStyle="1" w:styleId="SignatureChar">
    <w:name w:val="Signature Char"/>
    <w:basedOn w:val="DefaultParagraphFont"/>
    <w:link w:val="Signature"/>
    <w:uiPriority w:val="49"/>
    <w:semiHidden/>
    <w:rsid w:val="00716818"/>
    <w:rPr>
      <w:rFonts w:cs="Calibri"/>
      <w:sz w:val="22"/>
      <w:szCs w:val="22"/>
    </w:rPr>
  </w:style>
  <w:style w:type="paragraph" w:customStyle="1" w:styleId="Spacer">
    <w:name w:val="Spacer"/>
    <w:basedOn w:val="Normal"/>
    <w:uiPriority w:val="13"/>
    <w:semiHidden/>
    <w:unhideWhenUsed/>
    <w:qFormat/>
    <w:rsid w:val="00716818"/>
    <w:pPr>
      <w:spacing w:before="0" w:after="0" w:line="120" w:lineRule="atLeast"/>
      <w:ind w:left="0"/>
    </w:pPr>
    <w:rPr>
      <w:sz w:val="12"/>
    </w:rPr>
  </w:style>
  <w:style w:type="character" w:styleId="Strong">
    <w:name w:val="Strong"/>
    <w:uiPriority w:val="22"/>
    <w:semiHidden/>
    <w:qFormat/>
    <w:rsid w:val="00716818"/>
    <w:rPr>
      <w:b/>
      <w:bCs/>
    </w:rPr>
  </w:style>
  <w:style w:type="character" w:styleId="SubtleEmphasis">
    <w:name w:val="Subtle Emphasis"/>
    <w:uiPriority w:val="19"/>
    <w:semiHidden/>
    <w:qFormat/>
    <w:rsid w:val="00716818"/>
    <w:rPr>
      <w:i/>
      <w:iCs/>
      <w:color w:val="808080"/>
    </w:rPr>
  </w:style>
  <w:style w:type="character" w:styleId="SubtleReference">
    <w:name w:val="Subtle Reference"/>
    <w:uiPriority w:val="31"/>
    <w:semiHidden/>
    <w:qFormat/>
    <w:rsid w:val="00716818"/>
    <w:rPr>
      <w:smallCaps/>
      <w:color w:val="C0504D"/>
      <w:u w:val="single"/>
    </w:rPr>
  </w:style>
  <w:style w:type="table" w:styleId="Table3Deffects1">
    <w:name w:val="Table 3D effects 1"/>
    <w:basedOn w:val="TableNormal"/>
    <w:uiPriority w:val="99"/>
    <w:semiHidden/>
    <w:unhideWhenUsed/>
    <w:rsid w:val="00716818"/>
    <w:pPr>
      <w:spacing w:before="80" w:after="80" w:line="240" w:lineRule="atLeast"/>
      <w:ind w:left="794"/>
    </w:pPr>
    <w:rPr>
      <w:rFonts w:ascii="Arial" w:hAnsi="Arial"/>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716818"/>
    <w:pPr>
      <w:spacing w:before="80" w:after="80" w:line="240" w:lineRule="atLeast"/>
      <w:ind w:left="794"/>
    </w:pPr>
    <w:rPr>
      <w:rFonts w:ascii="Arial" w:hAnsi="Arial"/>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716818"/>
    <w:pPr>
      <w:spacing w:before="80" w:after="80" w:line="240" w:lineRule="atLeast"/>
      <w:ind w:left="794"/>
    </w:pPr>
    <w:rPr>
      <w:rFonts w:ascii="Arial" w:hAnsi="Arial"/>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Text">
    <w:name w:val="Table Text"/>
    <w:basedOn w:val="Normal"/>
    <w:uiPriority w:val="15"/>
    <w:qFormat/>
    <w:rsid w:val="00716818"/>
    <w:pPr>
      <w:spacing w:before="20" w:after="20"/>
      <w:ind w:left="0"/>
    </w:pPr>
    <w:rPr>
      <w:sz w:val="20"/>
    </w:rPr>
  </w:style>
  <w:style w:type="paragraph" w:customStyle="1" w:styleId="TableBullet">
    <w:name w:val="Table Bullet"/>
    <w:basedOn w:val="TableText"/>
    <w:uiPriority w:val="10"/>
    <w:qFormat/>
    <w:rsid w:val="00716818"/>
    <w:pPr>
      <w:numPr>
        <w:numId w:val="13"/>
      </w:numPr>
      <w:spacing w:before="0" w:after="0"/>
    </w:pPr>
  </w:style>
  <w:style w:type="paragraph" w:customStyle="1" w:styleId="TableBulletDash">
    <w:name w:val="Table Bullet Dash"/>
    <w:basedOn w:val="Normal"/>
    <w:uiPriority w:val="10"/>
    <w:rsid w:val="00716818"/>
    <w:pPr>
      <w:numPr>
        <w:ilvl w:val="1"/>
        <w:numId w:val="13"/>
      </w:numPr>
      <w:spacing w:before="0" w:after="0"/>
    </w:pPr>
    <w:rPr>
      <w:sz w:val="20"/>
    </w:rPr>
  </w:style>
  <w:style w:type="table" w:styleId="TableGrid">
    <w:name w:val="Table Grid"/>
    <w:basedOn w:val="TableNormal"/>
    <w:rsid w:val="00716818"/>
    <w:tblPr>
      <w:tblStyleRowBandSize w:val="1"/>
      <w:tblStyleColBandSize w:val="1"/>
      <w:tblInd w:w="907" w:type="dxa"/>
      <w:tblBorders>
        <w:top w:val="single" w:sz="2" w:space="0" w:color="auto"/>
        <w:bottom w:val="single" w:sz="2" w:space="0" w:color="auto"/>
        <w:insideH w:val="single" w:sz="2" w:space="0" w:color="auto"/>
      </w:tblBorders>
      <w:tblCellMar>
        <w:top w:w="0" w:type="dxa"/>
        <w:left w:w="113" w:type="dxa"/>
        <w:bottom w:w="0" w:type="dxa"/>
        <w:right w:w="113" w:type="dxa"/>
      </w:tblCellMar>
    </w:tblPr>
    <w:trPr>
      <w:cantSplit/>
    </w:trPr>
    <w:tblStylePr w:type="firstRow">
      <w:pPr>
        <w:wordWrap/>
        <w:spacing w:beforeLines="0" w:afterLines="0" w:line="240" w:lineRule="auto"/>
        <w:ind w:leftChars="0" w:left="0" w:rightChars="0" w:right="0" w:firstLineChars="0" w:firstLine="0"/>
        <w:jc w:val="left"/>
      </w:pPr>
      <w:rPr>
        <w:rFonts w:ascii="Calibri" w:hAnsi="Calibri"/>
        <w:b w:val="0"/>
        <w:i w:val="0"/>
        <w:caps w:val="0"/>
        <w:smallCaps w:val="0"/>
        <w:strike w:val="0"/>
        <w:dstrike w:val="0"/>
        <w:vanish w:val="0"/>
        <w:color w:val="4C4C4C"/>
        <w:sz w:val="24"/>
        <w:u w:val="none"/>
        <w:vertAlign w:val="baseline"/>
      </w:rPr>
      <w:tblPr/>
      <w:tcPr>
        <w:tcBorders>
          <w:top w:val="single" w:sz="2" w:space="0" w:color="auto"/>
          <w:left w:val="nil"/>
          <w:bottom w:val="single" w:sz="2" w:space="0" w:color="auto"/>
          <w:right w:val="nil"/>
          <w:insideH w:val="nil"/>
          <w:insideV w:val="nil"/>
          <w:tl2br w:val="nil"/>
          <w:tr2bl w:val="nil"/>
        </w:tcBorders>
        <w:shd w:val="clear" w:color="auto" w:fill="D9D9D9"/>
      </w:tcPr>
    </w:tblStylePr>
    <w:tblStylePr w:type="firstCol">
      <w:rPr>
        <w:b w:val="0"/>
        <w:color w:val="auto"/>
      </w:rPr>
    </w:tblStylePr>
  </w:style>
  <w:style w:type="table" w:styleId="TableClassic1">
    <w:name w:val="Table Classic 1"/>
    <w:basedOn w:val="TableGrid"/>
    <w:uiPriority w:val="99"/>
    <w:semiHidden/>
    <w:unhideWhenUsed/>
    <w:rsid w:val="00716818"/>
    <w:pPr>
      <w:spacing w:after="120" w:line="280" w:lineRule="atLeast"/>
    </w:pPr>
    <w:tblPr>
      <w:tblStyleRowBandSize w:val="1"/>
      <w:tblStyleColBandSize w:val="1"/>
      <w:tblInd w:w="907" w:type="dxa"/>
      <w:tblBorders>
        <w:top w:val="single" w:sz="12" w:space="0" w:color="000000"/>
        <w:bottom w:val="single" w:sz="12" w:space="0" w:color="000000"/>
      </w:tblBorders>
      <w:tblCellMar>
        <w:top w:w="0" w:type="dxa"/>
        <w:left w:w="113" w:type="dxa"/>
        <w:bottom w:w="0" w:type="dxa"/>
        <w:right w:w="113" w:type="dxa"/>
      </w:tblCellMar>
    </w:tblPr>
    <w:trPr>
      <w:cantSplit/>
    </w:trPr>
    <w:tcPr>
      <w:shd w:val="clear" w:color="auto" w:fill="auto"/>
    </w:tcPr>
    <w:tblStylePr w:type="firstRow">
      <w:pPr>
        <w:wordWrap/>
        <w:spacing w:beforeLines="0" w:afterLines="0" w:line="240" w:lineRule="auto"/>
        <w:ind w:leftChars="0" w:left="0" w:rightChars="0" w:right="0" w:firstLineChars="0" w:firstLine="0"/>
        <w:jc w:val="left"/>
      </w:pPr>
      <w:rPr>
        <w:rFonts w:ascii="Helvetica" w:hAnsi="Helvetica"/>
        <w:b w:val="0"/>
        <w:i w:val="0"/>
        <w:iCs/>
        <w:caps/>
        <w:smallCaps w:val="0"/>
        <w:strike w:val="0"/>
        <w:dstrike w:val="0"/>
        <w:vanish w:val="0"/>
        <w:color w:val="365F91"/>
        <w:sz w:val="18"/>
        <w:u w:val="none"/>
        <w:vertAlign w:val="baseline"/>
      </w:rPr>
      <w:tblPr/>
      <w:trPr>
        <w:cantSplit w:val="0"/>
      </w:trPr>
      <w:tcPr>
        <w:tcBorders>
          <w:top w:val="single" w:sz="4" w:space="0" w:color="C0C0C0"/>
          <w:left w:val="single" w:sz="4" w:space="0" w:color="C0C0C0"/>
          <w:bottom w:val="single" w:sz="6" w:space="0" w:color="000000"/>
          <w:right w:val="single" w:sz="4" w:space="0" w:color="C0C0C0"/>
          <w:insideH w:val="single" w:sz="4" w:space="0" w:color="C0C0C0"/>
          <w:insideV w:val="single" w:sz="4" w:space="0" w:color="C0C0C0"/>
          <w:tl2br w:val="none" w:sz="0" w:space="0" w:color="auto"/>
          <w:tr2bl w:val="none" w:sz="0" w:space="0" w:color="auto"/>
        </w:tcBorders>
        <w:shd w:val="clear" w:color="auto" w:fill="D9D9D9"/>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color w:val="4C4C4C"/>
      </w:rPr>
      <w:tblPr/>
      <w:tcPr>
        <w:tcBorders>
          <w:top w:val="nil"/>
          <w:left w:val="nil"/>
          <w:bottom w:val="nil"/>
          <w:right w:val="single" w:sz="6" w:space="0" w:color="000000"/>
          <w:insideH w:val="nil"/>
          <w:insideV w:val="nil"/>
          <w:tl2br w:val="none" w:sz="0" w:space="0" w:color="auto"/>
          <w:tr2bl w:val="none" w:sz="0" w:space="0" w:color="auto"/>
        </w:tcBorders>
        <w:shd w:val="clear" w:color="auto" w:fill="D9D9D9"/>
      </w:tcPr>
    </w:tblStylePr>
    <w:tblStylePr w:type="band2Horz">
      <w:tblPr/>
      <w:tcPr>
        <w:shd w:val="clear" w:color="auto" w:fill="F2F2F2"/>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716818"/>
    <w:pPr>
      <w:spacing w:before="80" w:after="80" w:line="240" w:lineRule="atLeast"/>
      <w:ind w:left="794"/>
    </w:pPr>
    <w:rPr>
      <w:rFonts w:ascii="Arial" w:hAnsi="Arial"/>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716818"/>
    <w:pPr>
      <w:spacing w:before="80" w:after="80" w:line="240" w:lineRule="atLeast"/>
      <w:ind w:left="794"/>
    </w:pPr>
    <w:rPr>
      <w:rFonts w:ascii="Arial" w:hAnsi="Arial"/>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716818"/>
    <w:pPr>
      <w:spacing w:before="80" w:after="80" w:line="240" w:lineRule="atLeast"/>
      <w:ind w:left="794"/>
    </w:pPr>
    <w:rPr>
      <w:rFonts w:ascii="Arial" w:hAnsi="Arial"/>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716818"/>
    <w:pPr>
      <w:spacing w:before="80" w:after="80" w:line="240" w:lineRule="atLeast"/>
      <w:ind w:left="794"/>
    </w:pPr>
    <w:rPr>
      <w:rFonts w:ascii="Arial" w:hAnsi="Arial"/>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716818"/>
    <w:pPr>
      <w:spacing w:before="80" w:after="80" w:line="240" w:lineRule="atLeast"/>
      <w:ind w:left="794"/>
    </w:pPr>
    <w:rPr>
      <w:rFonts w:ascii="Arial" w:hAnsi="Arial"/>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716818"/>
    <w:pPr>
      <w:spacing w:before="80" w:after="80" w:line="240" w:lineRule="atLeast"/>
      <w:ind w:left="794"/>
    </w:pPr>
    <w:rPr>
      <w:rFonts w:ascii="Arial" w:hAnsi="Arial"/>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716818"/>
    <w:pPr>
      <w:spacing w:before="80" w:after="80" w:line="240" w:lineRule="atLeast"/>
      <w:ind w:left="794"/>
    </w:pPr>
    <w:rPr>
      <w:rFonts w:ascii="Arial" w:hAnsi="Arial"/>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716818"/>
    <w:pPr>
      <w:spacing w:before="80" w:after="80" w:line="240" w:lineRule="atLeast"/>
      <w:ind w:left="794"/>
    </w:pPr>
    <w:rPr>
      <w:rFonts w:ascii="Arial" w:hAnsi="Arial"/>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716818"/>
    <w:pPr>
      <w:spacing w:before="80" w:after="80" w:line="240" w:lineRule="atLeast"/>
      <w:ind w:left="794"/>
    </w:pPr>
    <w:rPr>
      <w:rFonts w:ascii="Arial" w:hAnsi="Arial"/>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716818"/>
    <w:pPr>
      <w:spacing w:before="80" w:after="80" w:line="240" w:lineRule="atLeast"/>
      <w:ind w:left="794"/>
    </w:pPr>
    <w:rPr>
      <w:rFonts w:ascii="Arial" w:hAnsi="Arial"/>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716818"/>
    <w:pPr>
      <w:spacing w:before="80" w:after="80" w:line="240" w:lineRule="atLeast"/>
      <w:ind w:left="794"/>
    </w:pPr>
    <w:rPr>
      <w:rFonts w:ascii="Arial" w:hAnsi="Arial"/>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716818"/>
    <w:pPr>
      <w:spacing w:before="80" w:after="80" w:line="240" w:lineRule="atLeast"/>
      <w:ind w:left="794"/>
    </w:pPr>
    <w:rPr>
      <w:rFonts w:ascii="Arial" w:hAnsi="Arial"/>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716818"/>
    <w:pPr>
      <w:spacing w:before="80" w:after="80" w:line="240" w:lineRule="atLeast"/>
      <w:ind w:left="794"/>
    </w:pPr>
    <w:rPr>
      <w:rFonts w:ascii="Arial" w:hAnsi="Arial"/>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Grid"/>
    <w:uiPriority w:val="99"/>
    <w:rsid w:val="00716818"/>
    <w:pPr>
      <w:spacing w:before="100" w:after="100"/>
      <w:ind w:left="794"/>
    </w:pPr>
    <w:tblPr>
      <w:tblStyleRowBandSize w:val="1"/>
      <w:tblStyleColBandSize w:val="1"/>
      <w:tblInd w:w="907" w:type="dxa"/>
      <w:tblBorders>
        <w:top w:val="single" w:sz="2" w:space="0" w:color="000000"/>
        <w:bottom w:val="single" w:sz="2" w:space="0" w:color="000000"/>
        <w:insideH w:val="single" w:sz="2" w:space="0" w:color="000000"/>
      </w:tblBorders>
      <w:tblCellMar>
        <w:top w:w="0" w:type="dxa"/>
        <w:left w:w="113" w:type="dxa"/>
        <w:bottom w:w="0" w:type="dxa"/>
        <w:right w:w="113" w:type="dxa"/>
      </w:tblCellMar>
    </w:tblPr>
    <w:trPr>
      <w:cantSplit/>
    </w:trPr>
    <w:tcPr>
      <w:shd w:val="clear" w:color="auto" w:fill="auto"/>
    </w:tcPr>
    <w:tblStylePr w:type="firstRow">
      <w:pPr>
        <w:wordWrap/>
        <w:spacing w:beforeLines="0" w:afterLines="0" w:line="240" w:lineRule="auto"/>
        <w:ind w:leftChars="0" w:left="0" w:rightChars="0" w:right="0" w:firstLineChars="0" w:firstLine="0"/>
        <w:jc w:val="left"/>
      </w:pPr>
      <w:rPr>
        <w:rFonts w:ascii="Calibri" w:hAnsi="Calibri"/>
        <w:b w:val="0"/>
        <w:i w:val="0"/>
        <w:caps w:val="0"/>
        <w:smallCaps w:val="0"/>
        <w:strike w:val="0"/>
        <w:dstrike w:val="0"/>
        <w:vanish w:val="0"/>
        <w:color w:val="auto"/>
        <w:sz w:val="24"/>
        <w:u w:val="none"/>
        <w:vertAlign w:val="baseline"/>
      </w:rPr>
      <w:tblPr/>
      <w:tcPr>
        <w:tcBorders>
          <w:top w:val="single" w:sz="2" w:space="0" w:color="auto"/>
          <w:left w:val="nil"/>
          <w:bottom w:val="single" w:sz="2" w:space="0" w:color="auto"/>
          <w:right w:val="nil"/>
          <w:insideH w:val="nil"/>
          <w:insideV w:val="nil"/>
          <w:tl2br w:val="nil"/>
          <w:tr2bl w:val="nil"/>
        </w:tcBorders>
        <w:shd w:val="clear" w:color="auto" w:fill="D9D9D9"/>
      </w:tcPr>
    </w:tblStylePr>
    <w:tblStylePr w:type="lastRow">
      <w:rPr>
        <w:i w:val="0"/>
        <w:iCs/>
      </w:rPr>
      <w:tblPr/>
      <w:tcPr>
        <w:tcBorders>
          <w:tl2br w:val="none" w:sz="0" w:space="0" w:color="auto"/>
          <w:tr2bl w:val="none" w:sz="0" w:space="0" w:color="auto"/>
        </w:tcBorders>
      </w:tcPr>
    </w:tblStylePr>
    <w:tblStylePr w:type="firstCol">
      <w:rPr>
        <w:b/>
        <w:color w:val="auto"/>
      </w:rPr>
      <w:tblPr/>
      <w:tcPr>
        <w:shd w:val="clear" w:color="auto" w:fill="E6E6E6"/>
      </w:tcPr>
    </w:tblStylePr>
    <w:tblStylePr w:type="lastCol">
      <w:rPr>
        <w:i w:val="0"/>
        <w:iCs/>
      </w:rPr>
      <w:tblPr/>
      <w:tcPr>
        <w:tcBorders>
          <w:tl2br w:val="none" w:sz="0" w:space="0" w:color="auto"/>
          <w:tr2bl w:val="none" w:sz="0" w:space="0" w:color="auto"/>
        </w:tcBorders>
      </w:tcPr>
    </w:tblStylePr>
    <w:tblStylePr w:type="nwCell">
      <w:rPr>
        <w:b/>
      </w:rPr>
    </w:tblStylePr>
  </w:style>
  <w:style w:type="table" w:styleId="TableGrid2">
    <w:name w:val="Table Grid 2"/>
    <w:basedOn w:val="TableGrid"/>
    <w:uiPriority w:val="99"/>
    <w:unhideWhenUsed/>
    <w:rsid w:val="00716818"/>
    <w:pPr>
      <w:spacing w:after="120" w:line="280" w:lineRule="atLeast"/>
    </w:pPr>
    <w:tblPr>
      <w:tblStyleRowBandSize w:val="1"/>
      <w:tblStyleColBandSize w:val="1"/>
      <w:tblInd w:w="907" w:type="dxa"/>
      <w:tblBorders>
        <w:top w:val="single" w:sz="4" w:space="0" w:color="auto"/>
        <w:bottom w:val="single" w:sz="4" w:space="0" w:color="auto"/>
        <w:insideH w:val="single" w:sz="4" w:space="0" w:color="auto"/>
      </w:tblBorders>
      <w:tblCellMar>
        <w:top w:w="0" w:type="dxa"/>
        <w:left w:w="57" w:type="dxa"/>
        <w:bottom w:w="0" w:type="dxa"/>
        <w:right w:w="57" w:type="dxa"/>
      </w:tblCellMar>
    </w:tblPr>
    <w:trPr>
      <w:cantSplit/>
    </w:trPr>
    <w:tcPr>
      <w:shd w:val="clear" w:color="auto" w:fill="auto"/>
    </w:tcPr>
    <w:tblStylePr w:type="firstRow">
      <w:pPr>
        <w:wordWrap/>
        <w:spacing w:beforeLines="0" w:afterLines="0" w:line="240" w:lineRule="auto"/>
        <w:ind w:leftChars="0" w:left="0" w:rightChars="0" w:right="0" w:firstLineChars="0" w:firstLine="0"/>
        <w:jc w:val="left"/>
      </w:pPr>
      <w:rPr>
        <w:rFonts w:ascii="Calibri" w:hAnsi="Calibri"/>
        <w:b w:val="0"/>
        <w:bCs/>
        <w:i w:val="0"/>
        <w:caps w:val="0"/>
        <w:smallCaps w:val="0"/>
        <w:strike w:val="0"/>
        <w:dstrike w:val="0"/>
        <w:vanish w:val="0"/>
        <w:color w:val="4C4C4C"/>
        <w:sz w:val="24"/>
        <w:u w:val="none"/>
        <w:vertAlign w:val="baseline"/>
      </w:rPr>
      <w:tblPr/>
      <w:tcPr>
        <w:tcBorders>
          <w:top w:val="single" w:sz="4" w:space="0" w:color="auto"/>
          <w:left w:val="nil"/>
          <w:bottom w:val="nil"/>
          <w:right w:val="nil"/>
          <w:insideH w:val="nil"/>
          <w:insideV w:val="nil"/>
          <w:tl2br w:val="nil"/>
          <w:tr2bl w:val="nil"/>
        </w:tcBorders>
        <w:shd w:val="clear" w:color="auto" w:fill="D9D9D9"/>
      </w:tcPr>
    </w:tblStylePr>
    <w:tblStylePr w:type="lastRow">
      <w:rPr>
        <w:b w:val="0"/>
        <w:bCs/>
      </w:rPr>
      <w:tblPr/>
      <w:tcPr>
        <w:tcBorders>
          <w:top w:val="single" w:sz="4" w:space="0" w:color="auto"/>
          <w:left w:val="nil"/>
          <w:bottom w:val="single" w:sz="4" w:space="0" w:color="auto"/>
          <w:right w:val="nil"/>
          <w:insideH w:val="single" w:sz="4" w:space="0" w:color="C0C0C0"/>
          <w:insideV w:val="nil"/>
          <w:tl2br w:val="nil"/>
          <w:tr2bl w:val="nil"/>
        </w:tcBorders>
        <w:shd w:val="clear" w:color="auto" w:fill="auto"/>
      </w:tcPr>
    </w:tblStylePr>
    <w:tblStylePr w:type="firstCol">
      <w:rPr>
        <w:b/>
        <w:bCs/>
        <w:caps w:val="0"/>
        <w:color w:val="auto"/>
      </w:rPr>
      <w:tblPr/>
      <w:tcPr>
        <w:tcBorders>
          <w:top w:val="single" w:sz="4" w:space="0" w:color="C0C0C0"/>
          <w:left w:val="single" w:sz="4" w:space="0" w:color="C0C0C0"/>
          <w:bottom w:val="single" w:sz="4" w:space="0" w:color="C0C0C0"/>
          <w:right w:val="nil"/>
        </w:tcBorders>
        <w:shd w:val="clear" w:color="auto" w:fill="E6E6E6"/>
      </w:tcPr>
    </w:tblStylePr>
    <w:tblStylePr w:type="lastCol">
      <w:rPr>
        <w:b w:val="0"/>
        <w:bCs/>
      </w:rPr>
      <w:tblPr/>
      <w:tcPr>
        <w:tcBorders>
          <w:tl2br w:val="none" w:sz="0" w:space="0" w:color="auto"/>
          <w:tr2bl w:val="none" w:sz="0" w:space="0" w:color="auto"/>
        </w:tcBorders>
      </w:tcPr>
    </w:tblStylePr>
    <w:tblStylePr w:type="swCell">
      <w:rPr>
        <w:b/>
        <w:color w:val="auto"/>
      </w:rPr>
      <w:tblPr/>
      <w:tcPr>
        <w:tcBorders>
          <w:top w:val="single" w:sz="6" w:space="0" w:color="auto"/>
          <w:left w:val="single" w:sz="6" w:space="0" w:color="BFBFBF"/>
          <w:bottom w:val="single" w:sz="6" w:space="0" w:color="auto"/>
          <w:right w:val="single" w:sz="6" w:space="0" w:color="BFBFBF"/>
          <w:insideH w:val="nil"/>
          <w:insideV w:val="nil"/>
          <w:tl2br w:val="nil"/>
          <w:tr2bl w:val="nil"/>
        </w:tcBorders>
        <w:shd w:val="clear" w:color="auto" w:fill="E6E6E6"/>
      </w:tcPr>
    </w:tblStylePr>
  </w:style>
  <w:style w:type="table" w:styleId="TableGrid3">
    <w:name w:val="Table Grid 3"/>
    <w:basedOn w:val="TableNormal"/>
    <w:uiPriority w:val="99"/>
    <w:semiHidden/>
    <w:unhideWhenUsed/>
    <w:rsid w:val="00716818"/>
    <w:pPr>
      <w:spacing w:before="80" w:after="80" w:line="240" w:lineRule="atLeast"/>
      <w:ind w:left="794"/>
    </w:pPr>
    <w:rPr>
      <w:rFonts w:ascii="Arial" w:hAnsi="Arial"/>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716818"/>
    <w:pPr>
      <w:spacing w:before="80" w:after="80" w:line="240" w:lineRule="atLeast"/>
      <w:ind w:left="794"/>
    </w:pPr>
    <w:rPr>
      <w:rFonts w:ascii="Arial" w:hAnsi="Arial"/>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716818"/>
    <w:pPr>
      <w:spacing w:before="80" w:after="80" w:line="240" w:lineRule="atLeast"/>
      <w:ind w:left="794"/>
    </w:pPr>
    <w:rPr>
      <w:rFonts w:ascii="Arial" w:hAnsi="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716818"/>
    <w:pPr>
      <w:spacing w:before="80" w:after="80" w:line="240" w:lineRule="atLeast"/>
      <w:ind w:left="794"/>
    </w:pPr>
    <w:rPr>
      <w:rFonts w:ascii="Arial" w:hAnsi="Arial"/>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716818"/>
    <w:pPr>
      <w:spacing w:before="80" w:after="80" w:line="240" w:lineRule="atLeast"/>
      <w:ind w:left="794"/>
    </w:pPr>
    <w:rPr>
      <w:rFonts w:ascii="Arial" w:hAnsi="Arial"/>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716818"/>
    <w:pPr>
      <w:spacing w:before="80" w:after="80" w:line="240" w:lineRule="atLeast"/>
      <w:ind w:left="794"/>
    </w:pPr>
    <w:rPr>
      <w:rFonts w:ascii="Arial" w:hAnsi="Arial"/>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TableHeader">
    <w:name w:val="Table Header"/>
    <w:basedOn w:val="TableText"/>
    <w:uiPriority w:val="15"/>
    <w:qFormat/>
    <w:rsid w:val="00716818"/>
    <w:pPr>
      <w:keepNext/>
      <w:spacing w:before="40" w:after="40"/>
    </w:pPr>
    <w:rPr>
      <w:color w:val="333333"/>
      <w:sz w:val="24"/>
    </w:rPr>
  </w:style>
  <w:style w:type="paragraph" w:customStyle="1" w:styleId="TableHeaderMinutes">
    <w:name w:val="Table Header Minutes"/>
    <w:basedOn w:val="TableHeader"/>
    <w:rsid w:val="00716818"/>
    <w:rPr>
      <w:b/>
      <w:bCs/>
      <w:color w:val="auto"/>
      <w:sz w:val="18"/>
      <w:szCs w:val="17"/>
    </w:rPr>
  </w:style>
  <w:style w:type="table" w:styleId="TableList1">
    <w:name w:val="Table List 1"/>
    <w:basedOn w:val="TableNormal"/>
    <w:uiPriority w:val="99"/>
    <w:semiHidden/>
    <w:unhideWhenUsed/>
    <w:rsid w:val="00716818"/>
    <w:pPr>
      <w:spacing w:before="80" w:after="80" w:line="240" w:lineRule="atLeast"/>
      <w:ind w:left="794"/>
    </w:pPr>
    <w:rPr>
      <w:rFonts w:ascii="Arial" w:hAnsi="Arial"/>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716818"/>
    <w:pPr>
      <w:spacing w:before="80" w:after="80" w:line="240" w:lineRule="atLeast"/>
      <w:ind w:left="794"/>
    </w:pPr>
    <w:rPr>
      <w:rFonts w:ascii="Arial" w:hAnsi="Arial"/>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716818"/>
    <w:pPr>
      <w:spacing w:before="80" w:after="80" w:line="240" w:lineRule="atLeast"/>
      <w:ind w:left="794"/>
    </w:pPr>
    <w:rPr>
      <w:rFonts w:ascii="Arial" w:hAnsi="Arial"/>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716818"/>
    <w:pPr>
      <w:spacing w:before="80" w:after="80" w:line="240" w:lineRule="atLeast"/>
      <w:ind w:left="794"/>
    </w:pPr>
    <w:rPr>
      <w:rFonts w:ascii="Arial" w:hAnsi="Arial"/>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716818"/>
    <w:pPr>
      <w:spacing w:before="80" w:after="80" w:line="240" w:lineRule="atLeast"/>
      <w:ind w:left="794"/>
    </w:pPr>
    <w:rPr>
      <w:rFonts w:ascii="Arial" w:hAnsi="Arial"/>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716818"/>
    <w:pPr>
      <w:spacing w:before="80" w:after="80" w:line="240" w:lineRule="atLeast"/>
      <w:ind w:left="794"/>
    </w:pPr>
    <w:rPr>
      <w:rFonts w:ascii="Arial" w:hAnsi="Arial"/>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716818"/>
    <w:pPr>
      <w:spacing w:before="80" w:after="80" w:line="240" w:lineRule="atLeast"/>
      <w:ind w:left="794"/>
    </w:pPr>
    <w:rPr>
      <w:rFonts w:ascii="Arial" w:hAnsi="Arial"/>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716818"/>
    <w:pPr>
      <w:spacing w:before="80" w:after="80" w:line="240" w:lineRule="atLeast"/>
      <w:ind w:left="794"/>
    </w:pPr>
    <w:rPr>
      <w:rFonts w:ascii="Arial" w:hAnsi="Arial"/>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39"/>
    <w:semiHidden/>
    <w:rsid w:val="00716818"/>
    <w:pPr>
      <w:tabs>
        <w:tab w:val="right" w:pos="9072"/>
      </w:tabs>
      <w:ind w:left="200" w:hanging="200"/>
    </w:pPr>
  </w:style>
  <w:style w:type="paragraph" w:styleId="TOCHeading">
    <w:name w:val="TOC Heading"/>
    <w:uiPriority w:val="29"/>
    <w:qFormat/>
    <w:rsid w:val="00716818"/>
    <w:pPr>
      <w:keepNext/>
      <w:pageBreakBefore/>
      <w:spacing w:after="1200"/>
    </w:pPr>
    <w:rPr>
      <w:rFonts w:cs="Calibri"/>
      <w:color w:val="4C4C4C"/>
      <w:kern w:val="28"/>
      <w:sz w:val="40"/>
      <w:szCs w:val="22"/>
    </w:rPr>
  </w:style>
  <w:style w:type="paragraph" w:styleId="TableofFigures">
    <w:name w:val="table of figures"/>
    <w:basedOn w:val="TOCHeading"/>
    <w:next w:val="Normal"/>
    <w:uiPriority w:val="99"/>
    <w:semiHidden/>
    <w:unhideWhenUsed/>
    <w:rsid w:val="00716818"/>
    <w:pPr>
      <w:spacing w:after="0"/>
    </w:pPr>
  </w:style>
  <w:style w:type="table" w:styleId="TableProfessional">
    <w:name w:val="Table Professional"/>
    <w:basedOn w:val="TableNormal"/>
    <w:uiPriority w:val="99"/>
    <w:semiHidden/>
    <w:unhideWhenUsed/>
    <w:rsid w:val="00716818"/>
    <w:pPr>
      <w:spacing w:before="80" w:after="80" w:line="240" w:lineRule="atLeast"/>
      <w:ind w:left="794"/>
    </w:pPr>
    <w:rPr>
      <w:rFonts w:ascii="Arial" w:hAnsi="Arial"/>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716818"/>
    <w:pPr>
      <w:spacing w:before="80" w:after="80" w:line="240" w:lineRule="atLeast"/>
      <w:ind w:left="794"/>
    </w:pPr>
    <w:rPr>
      <w:rFonts w:ascii="Arial" w:hAnsi="Arial"/>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716818"/>
    <w:pPr>
      <w:spacing w:before="80" w:after="80" w:line="240" w:lineRule="atLeast"/>
      <w:ind w:left="794"/>
    </w:pPr>
    <w:rPr>
      <w:rFonts w:ascii="Arial" w:hAnsi="Arial"/>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716818"/>
    <w:pPr>
      <w:spacing w:before="80" w:after="80" w:line="240" w:lineRule="atLeast"/>
      <w:ind w:left="794"/>
    </w:pPr>
    <w:rPr>
      <w:rFonts w:ascii="Arial" w:hAnsi="Arial"/>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716818"/>
    <w:pPr>
      <w:spacing w:before="80" w:after="80" w:line="240" w:lineRule="atLeast"/>
      <w:ind w:left="794"/>
    </w:pPr>
    <w:rPr>
      <w:rFonts w:ascii="Arial" w:hAnsi="Arial"/>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716818"/>
    <w:pPr>
      <w:spacing w:before="80" w:after="80" w:line="240" w:lineRule="atLeast"/>
      <w:ind w:left="794"/>
    </w:pPr>
    <w:rPr>
      <w:rFonts w:ascii="Arial" w:hAnsi="Arial"/>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716818"/>
    <w:pPr>
      <w:spacing w:before="80" w:after="80" w:line="240" w:lineRule="atLeast"/>
      <w:ind w:left="794"/>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716818"/>
    <w:pPr>
      <w:spacing w:before="80" w:after="80" w:line="240" w:lineRule="atLeast"/>
      <w:ind w:left="794"/>
    </w:pPr>
    <w:rPr>
      <w:rFonts w:ascii="Arial" w:hAnsi="Arial"/>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716818"/>
    <w:pPr>
      <w:spacing w:before="80" w:after="80" w:line="240" w:lineRule="atLeast"/>
      <w:ind w:left="794"/>
    </w:pPr>
    <w:rPr>
      <w:rFonts w:ascii="Arial" w:hAnsi="Arial"/>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716818"/>
    <w:pPr>
      <w:spacing w:before="80" w:after="80" w:line="240" w:lineRule="atLeast"/>
      <w:ind w:left="794"/>
    </w:pPr>
    <w:rPr>
      <w:rFonts w:ascii="Arial" w:hAnsi="Arial"/>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39"/>
    <w:semiHidden/>
    <w:rsid w:val="00716818"/>
    <w:pPr>
      <w:spacing w:before="120"/>
    </w:pPr>
    <w:rPr>
      <w:b/>
      <w:bCs/>
      <w:sz w:val="24"/>
      <w:szCs w:val="24"/>
    </w:rPr>
  </w:style>
  <w:style w:type="paragraph" w:styleId="TOC1">
    <w:name w:val="toc 1"/>
    <w:basedOn w:val="Normal"/>
    <w:next w:val="Normal"/>
    <w:autoRedefine/>
    <w:uiPriority w:val="39"/>
    <w:rsid w:val="00716818"/>
    <w:pPr>
      <w:tabs>
        <w:tab w:val="right" w:leader="dot" w:pos="9645"/>
      </w:tabs>
      <w:spacing w:before="240" w:line="216" w:lineRule="auto"/>
      <w:ind w:right="567" w:hanging="794"/>
    </w:pPr>
    <w:rPr>
      <w:noProof/>
      <w:color w:val="4C4C4C"/>
      <w:sz w:val="28"/>
      <w:szCs w:val="28"/>
    </w:rPr>
  </w:style>
  <w:style w:type="paragraph" w:styleId="TOC2">
    <w:name w:val="toc 2"/>
    <w:next w:val="Normal"/>
    <w:autoRedefine/>
    <w:uiPriority w:val="39"/>
    <w:rsid w:val="00716818"/>
    <w:pPr>
      <w:tabs>
        <w:tab w:val="left" w:pos="1985"/>
        <w:tab w:val="right" w:leader="dot" w:pos="9631"/>
      </w:tabs>
      <w:spacing w:before="20"/>
      <w:ind w:left="1248" w:right="567" w:hanging="454"/>
      <w:contextualSpacing/>
    </w:pPr>
    <w:rPr>
      <w:rFonts w:cs="Calibri"/>
      <w:noProof/>
      <w:color w:val="000000"/>
      <w:sz w:val="22"/>
      <w:szCs w:val="22"/>
    </w:rPr>
  </w:style>
  <w:style w:type="paragraph" w:styleId="TOC3">
    <w:name w:val="toc 3"/>
    <w:next w:val="Normal"/>
    <w:autoRedefine/>
    <w:uiPriority w:val="39"/>
    <w:rsid w:val="00716818"/>
    <w:pPr>
      <w:tabs>
        <w:tab w:val="right" w:leader="dot" w:pos="9631"/>
      </w:tabs>
      <w:ind w:left="1985" w:right="567" w:hanging="709"/>
    </w:pPr>
    <w:rPr>
      <w:rFonts w:cs="Calibri"/>
      <w:noProof/>
      <w:sz w:val="22"/>
      <w:szCs w:val="22"/>
    </w:rPr>
  </w:style>
  <w:style w:type="paragraph" w:styleId="TOC4">
    <w:name w:val="toc 4"/>
    <w:basedOn w:val="Normal"/>
    <w:next w:val="Normal"/>
    <w:autoRedefine/>
    <w:uiPriority w:val="39"/>
    <w:semiHidden/>
    <w:rsid w:val="00716818"/>
    <w:pPr>
      <w:tabs>
        <w:tab w:val="right" w:leader="dot" w:pos="9639"/>
      </w:tabs>
      <w:spacing w:before="0" w:after="0"/>
      <w:ind w:left="1985" w:right="567" w:hanging="567"/>
    </w:pPr>
    <w:rPr>
      <w:color w:val="4C4C4C"/>
      <w:sz w:val="18"/>
    </w:rPr>
  </w:style>
  <w:style w:type="paragraph" w:styleId="TOC5">
    <w:name w:val="toc 5"/>
    <w:basedOn w:val="TOC3"/>
    <w:next w:val="Normal"/>
    <w:autoRedefine/>
    <w:uiPriority w:val="39"/>
    <w:semiHidden/>
    <w:rsid w:val="00716818"/>
    <w:pPr>
      <w:ind w:left="1589" w:right="505" w:hanging="1589"/>
    </w:pPr>
    <w:rPr>
      <w:b/>
      <w:color w:val="333333"/>
    </w:rPr>
  </w:style>
  <w:style w:type="paragraph" w:styleId="TOC6">
    <w:name w:val="toc 6"/>
    <w:basedOn w:val="Normal"/>
    <w:next w:val="Normal"/>
    <w:autoRedefine/>
    <w:uiPriority w:val="49"/>
    <w:semiHidden/>
    <w:rsid w:val="00716818"/>
    <w:pPr>
      <w:spacing w:before="40" w:after="20"/>
      <w:ind w:left="1418" w:hanging="1418"/>
    </w:pPr>
    <w:rPr>
      <w:b/>
      <w:sz w:val="16"/>
    </w:rPr>
  </w:style>
  <w:style w:type="paragraph" w:styleId="TOC7">
    <w:name w:val="toc 7"/>
    <w:basedOn w:val="Normal"/>
    <w:next w:val="Normal"/>
    <w:autoRedefine/>
    <w:uiPriority w:val="49"/>
    <w:semiHidden/>
    <w:rsid w:val="00716818"/>
    <w:pPr>
      <w:ind w:left="1440"/>
    </w:pPr>
  </w:style>
  <w:style w:type="paragraph" w:styleId="TOC8">
    <w:name w:val="toc 8"/>
    <w:basedOn w:val="Normal"/>
    <w:next w:val="Normal"/>
    <w:autoRedefine/>
    <w:uiPriority w:val="49"/>
    <w:semiHidden/>
    <w:rsid w:val="00716818"/>
    <w:pPr>
      <w:ind w:left="1680"/>
    </w:pPr>
  </w:style>
  <w:style w:type="paragraph" w:styleId="TOC9">
    <w:name w:val="toc 9"/>
    <w:basedOn w:val="Normal"/>
    <w:next w:val="Normal"/>
    <w:autoRedefine/>
    <w:uiPriority w:val="49"/>
    <w:semiHidden/>
    <w:rsid w:val="00716818"/>
    <w:pPr>
      <w:ind w:left="2835" w:right="2835"/>
    </w:pPr>
  </w:style>
  <w:style w:type="table" w:customStyle="1" w:styleId="TableGrid10">
    <w:name w:val="Table Grid1"/>
    <w:basedOn w:val="TableNormal"/>
    <w:next w:val="TableGrid"/>
    <w:rsid w:val="00470CA0"/>
    <w:tblPr>
      <w:tblStyleRowBandSize w:val="1"/>
      <w:tblStyleColBandSize w:val="1"/>
      <w:tblInd w:w="907" w:type="dxa"/>
      <w:tblBorders>
        <w:top w:val="single" w:sz="2" w:space="0" w:color="auto"/>
        <w:bottom w:val="single" w:sz="2" w:space="0" w:color="auto"/>
        <w:insideH w:val="single" w:sz="2" w:space="0" w:color="auto"/>
      </w:tblBorders>
      <w:tblCellMar>
        <w:top w:w="0" w:type="dxa"/>
        <w:left w:w="113" w:type="dxa"/>
        <w:bottom w:w="0" w:type="dxa"/>
        <w:right w:w="113" w:type="dxa"/>
      </w:tblCellMar>
    </w:tblPr>
    <w:trPr>
      <w:cantSplit/>
    </w:trPr>
    <w:tblStylePr w:type="firstRow">
      <w:pPr>
        <w:wordWrap/>
        <w:spacing w:beforeLines="0" w:afterLines="0" w:line="240" w:lineRule="auto"/>
        <w:ind w:leftChars="0" w:left="0" w:rightChars="0" w:right="0" w:firstLineChars="0" w:firstLine="0"/>
        <w:jc w:val="left"/>
      </w:pPr>
      <w:rPr>
        <w:rFonts w:ascii="Calibri" w:hAnsi="Calibri"/>
        <w:b w:val="0"/>
        <w:i w:val="0"/>
        <w:caps w:val="0"/>
        <w:smallCaps w:val="0"/>
        <w:strike w:val="0"/>
        <w:dstrike w:val="0"/>
        <w:vanish w:val="0"/>
        <w:color w:val="4C4C4C"/>
        <w:sz w:val="24"/>
        <w:u w:val="none"/>
        <w:vertAlign w:val="baseline"/>
      </w:rPr>
      <w:tblPr/>
      <w:tcPr>
        <w:tcBorders>
          <w:top w:val="single" w:sz="2" w:space="0" w:color="auto"/>
          <w:left w:val="nil"/>
          <w:bottom w:val="single" w:sz="2" w:space="0" w:color="auto"/>
          <w:right w:val="nil"/>
          <w:insideH w:val="nil"/>
          <w:insideV w:val="nil"/>
          <w:tl2br w:val="nil"/>
          <w:tr2bl w:val="nil"/>
        </w:tcBorders>
        <w:shd w:val="clear" w:color="auto" w:fill="D9D9D9"/>
      </w:tcPr>
    </w:tblStylePr>
    <w:tblStylePr w:type="firstCol">
      <w:rPr>
        <w:b w:val="0"/>
        <w:color w:val="auto"/>
      </w:rPr>
    </w:tblStylePr>
  </w:style>
  <w:style w:type="paragraph" w:customStyle="1" w:styleId="Pa14">
    <w:name w:val="Pa14"/>
    <w:basedOn w:val="Normal"/>
    <w:next w:val="Normal"/>
    <w:uiPriority w:val="99"/>
    <w:rsid w:val="008F0D0F"/>
    <w:pPr>
      <w:autoSpaceDE w:val="0"/>
      <w:autoSpaceDN w:val="0"/>
      <w:adjustRightInd w:val="0"/>
      <w:spacing w:before="0" w:after="0" w:line="201" w:lineRule="atLeast"/>
      <w:ind w:left="0"/>
    </w:pPr>
    <w:rPr>
      <w:rFonts w:ascii="Times New Roman" w:eastAsiaTheme="minorHAnsi" w:hAnsi="Times New Roman" w:cs="Times New Roman"/>
      <w:sz w:val="24"/>
      <w:szCs w:val="24"/>
      <w:lang w:eastAsia="en-US"/>
    </w:rPr>
  </w:style>
  <w:style w:type="paragraph" w:customStyle="1" w:styleId="Pa0">
    <w:name w:val="Pa0"/>
    <w:basedOn w:val="Normal"/>
    <w:next w:val="Normal"/>
    <w:uiPriority w:val="99"/>
    <w:rsid w:val="008F0D0F"/>
    <w:pPr>
      <w:autoSpaceDE w:val="0"/>
      <w:autoSpaceDN w:val="0"/>
      <w:adjustRightInd w:val="0"/>
      <w:spacing w:before="0" w:after="0" w:line="201" w:lineRule="atLeast"/>
      <w:ind w:left="0"/>
    </w:pPr>
    <w:rPr>
      <w:rFonts w:ascii="Times New Roman" w:eastAsiaTheme="minorHAnsi" w:hAnsi="Times New Roman" w:cs="Times New Roman"/>
      <w:sz w:val="24"/>
      <w:szCs w:val="24"/>
      <w:lang w:eastAsia="en-US"/>
    </w:rPr>
  </w:style>
  <w:style w:type="paragraph" w:customStyle="1" w:styleId="Pa15">
    <w:name w:val="Pa15"/>
    <w:basedOn w:val="Normal"/>
    <w:next w:val="Normal"/>
    <w:uiPriority w:val="99"/>
    <w:rsid w:val="008F0D0F"/>
    <w:pPr>
      <w:autoSpaceDE w:val="0"/>
      <w:autoSpaceDN w:val="0"/>
      <w:adjustRightInd w:val="0"/>
      <w:spacing w:before="0" w:after="0" w:line="201" w:lineRule="atLeast"/>
      <w:ind w:left="0"/>
    </w:pPr>
    <w:rPr>
      <w:rFonts w:ascii="Times New Roman" w:eastAsiaTheme="minorHAnsi" w:hAnsi="Times New Roman" w:cs="Times New Roman"/>
      <w:sz w:val="24"/>
      <w:szCs w:val="24"/>
      <w:lang w:eastAsia="en-US"/>
    </w:rPr>
  </w:style>
  <w:style w:type="paragraph" w:customStyle="1" w:styleId="Pa26">
    <w:name w:val="Pa26"/>
    <w:basedOn w:val="Normal"/>
    <w:next w:val="Normal"/>
    <w:uiPriority w:val="99"/>
    <w:rsid w:val="008F0D0F"/>
    <w:pPr>
      <w:autoSpaceDE w:val="0"/>
      <w:autoSpaceDN w:val="0"/>
      <w:adjustRightInd w:val="0"/>
      <w:spacing w:before="0" w:after="0" w:line="201" w:lineRule="atLeast"/>
      <w:ind w:left="0"/>
    </w:pPr>
    <w:rPr>
      <w:rFonts w:ascii="Times New Roman" w:eastAsiaTheme="minorHAnsi" w:hAnsi="Times New Roman" w:cs="Times New Roman"/>
      <w:sz w:val="24"/>
      <w:szCs w:val="24"/>
      <w:lang w:eastAsia="en-US"/>
    </w:rPr>
  </w:style>
  <w:style w:type="paragraph" w:customStyle="1" w:styleId="Pa23">
    <w:name w:val="Pa23"/>
    <w:basedOn w:val="Normal"/>
    <w:next w:val="Normal"/>
    <w:uiPriority w:val="99"/>
    <w:rsid w:val="008F0D0F"/>
    <w:pPr>
      <w:autoSpaceDE w:val="0"/>
      <w:autoSpaceDN w:val="0"/>
      <w:adjustRightInd w:val="0"/>
      <w:spacing w:before="0" w:after="0" w:line="201" w:lineRule="atLeast"/>
      <w:ind w:left="0"/>
    </w:pPr>
    <w:rPr>
      <w:rFonts w:ascii="Times New Roman" w:eastAsiaTheme="minorHAnsi" w:hAnsi="Times New Roman" w:cs="Times New Roman"/>
      <w:sz w:val="24"/>
      <w:szCs w:val="24"/>
      <w:lang w:eastAsia="en-US"/>
    </w:rPr>
  </w:style>
  <w:style w:type="paragraph" w:customStyle="1" w:styleId="Char">
    <w:name w:val="Char"/>
    <w:basedOn w:val="Normal"/>
    <w:rsid w:val="00170323"/>
    <w:pPr>
      <w:spacing w:before="0" w:after="0"/>
      <w:ind w:left="0"/>
    </w:pPr>
    <w:rPr>
      <w:rFonts w:ascii="Arial" w:hAnsi="Arial" w:cs="Arial"/>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3" w:unhideWhenUsed="0" w:qFormat="1"/>
    <w:lsdException w:name="heading 2" w:uiPriority="3" w:qFormat="1"/>
    <w:lsdException w:name="heading 3" w:uiPriority="3" w:qFormat="1"/>
    <w:lsdException w:name="heading 4" w:uiPriority="3" w:qFormat="1"/>
    <w:lsdException w:name="heading 5" w:uiPriority="3" w:qFormat="1"/>
    <w:lsdException w:name="heading 6" w:uiPriority="3" w:qFormat="1"/>
    <w:lsdException w:name="heading 7" w:uiPriority="3" w:qFormat="1"/>
    <w:lsdException w:name="heading 8" w:uiPriority="3" w:qFormat="1"/>
    <w:lsdException w:name="heading 9" w:uiPriority="3" w:qFormat="1"/>
    <w:lsdException w:name="index 1" w:uiPriority="49"/>
    <w:lsdException w:name="index 2" w:uiPriority="49"/>
    <w:lsdException w:name="index 3" w:uiPriority="49"/>
    <w:lsdException w:name="index 4" w:uiPriority="49"/>
    <w:lsdException w:name="index 5" w:uiPriority="49"/>
    <w:lsdException w:name="index 6" w:uiPriority="49"/>
    <w:lsdException w:name="index 7" w:uiPriority="49"/>
    <w:lsdException w:name="index 8" w:uiPriority="49"/>
    <w:lsdException w:name="index 9" w:uiPriority="49"/>
    <w:lsdException w:name="toc 1" w:uiPriority="39"/>
    <w:lsdException w:name="toc 2" w:uiPriority="39"/>
    <w:lsdException w:name="toc 3" w:uiPriority="39"/>
    <w:lsdException w:name="toc 4" w:uiPriority="39"/>
    <w:lsdException w:name="toc 5" w:uiPriority="39"/>
    <w:lsdException w:name="toc 6" w:uiPriority="49"/>
    <w:lsdException w:name="toc 7" w:uiPriority="49"/>
    <w:lsdException w:name="toc 8" w:uiPriority="49"/>
    <w:lsdException w:name="toc 9" w:uiPriority="49"/>
    <w:lsdException w:name="Normal Indent" w:uiPriority="0"/>
    <w:lsdException w:name="footnote text" w:uiPriority="49"/>
    <w:lsdException w:name="annotation text" w:uiPriority="49"/>
    <w:lsdException w:name="header" w:uiPriority="24"/>
    <w:lsdException w:name="footer" w:uiPriority="24"/>
    <w:lsdException w:name="index heading" w:uiPriority="49"/>
    <w:lsdException w:name="caption" w:uiPriority="13" w:qFormat="1"/>
    <w:lsdException w:name="envelope address" w:uiPriority="49"/>
    <w:lsdException w:name="envelope return" w:uiPriority="49"/>
    <w:lsdException w:name="footnote reference" w:uiPriority="49"/>
    <w:lsdException w:name="annotation reference" w:uiPriority="49"/>
    <w:lsdException w:name="line number" w:uiPriority="49"/>
    <w:lsdException w:name="page number" w:uiPriority="49"/>
    <w:lsdException w:name="endnote reference" w:uiPriority="49"/>
    <w:lsdException w:name="endnote text" w:uiPriority="49"/>
    <w:lsdException w:name="table of authorities" w:uiPriority="39"/>
    <w:lsdException w:name="macro" w:uiPriority="49"/>
    <w:lsdException w:name="toa heading" w:uiPriority="39"/>
    <w:lsdException w:name="List" w:uiPriority="49"/>
    <w:lsdException w:name="List Number" w:uiPriority="0" w:qFormat="1"/>
    <w:lsdException w:name="List 2" w:uiPriority="49"/>
    <w:lsdException w:name="List 3" w:uiPriority="49"/>
    <w:lsdException w:name="List 4" w:uiPriority="49"/>
    <w:lsdException w:name="List 5" w:uiPriority="49"/>
    <w:lsdException w:name="List Bullet 4" w:uiPriority="49"/>
    <w:lsdException w:name="List Bullet 5" w:uiPriority="49"/>
    <w:lsdException w:name="List Number 2" w:uiPriority="0"/>
    <w:lsdException w:name="List Number 3" w:uiPriority="0"/>
    <w:lsdException w:name="List Number 4" w:uiPriority="0"/>
    <w:lsdException w:name="List Number 5" w:uiPriority="49"/>
    <w:lsdException w:name="Title" w:semiHidden="0" w:uiPriority="28" w:unhideWhenUsed="0" w:qFormat="1"/>
    <w:lsdException w:name="Closing" w:uiPriority="49"/>
    <w:lsdException w:name="Signature" w:uiPriority="49"/>
    <w:lsdException w:name="Default Paragraph Font" w:uiPriority="1"/>
    <w:lsdException w:name="Body Text" w:uiPriority="49"/>
    <w:lsdException w:name="Body Text Indent" w:uiPriority="49"/>
    <w:lsdException w:name="List Continue" w:uiPriority="8" w:qFormat="1"/>
    <w:lsdException w:name="List Continue 2" w:uiPriority="8"/>
    <w:lsdException w:name="List Continue 3" w:uiPriority="8"/>
    <w:lsdException w:name="List Continue 4" w:uiPriority="49"/>
    <w:lsdException w:name="List Continue 5" w:uiPriority="49"/>
    <w:lsdException w:name="Message Header" w:uiPriority="49"/>
    <w:lsdException w:name="Subtitle" w:semiHidden="0" w:uiPriority="29" w:unhideWhenUsed="0" w:qFormat="1"/>
    <w:lsdException w:name="Salutation" w:uiPriority="49"/>
    <w:lsdException w:name="Date" w:uiPriority="49"/>
    <w:lsdException w:name="Body Text First Indent" w:uiPriority="49"/>
    <w:lsdException w:name="Body Text First Indent 2" w:uiPriority="49"/>
    <w:lsdException w:name="Body Text 2" w:uiPriority="49"/>
    <w:lsdException w:name="Body Text 3" w:uiPriority="49"/>
    <w:lsdException w:name="Body Text Indent 2" w:uiPriority="49"/>
    <w:lsdException w:name="Body Text Indent 3" w:uiPriority="49"/>
    <w:lsdException w:name="Block Text" w:uiPriority="49"/>
    <w:lsdException w:name="Strong" w:semiHidden="0" w:uiPriority="22" w:unhideWhenUsed="0" w:qFormat="1"/>
    <w:lsdException w:name="Emphasis" w:semiHidden="0" w:uiPriority="20" w:unhideWhenUsed="0" w:qFormat="1"/>
    <w:lsdException w:name="Document Map" w:uiPriority="49"/>
    <w:lsdException w:name="Plain Text" w:uiPriority="49"/>
    <w:lsdException w:name="E-mail Signature" w:uiPriority="49"/>
    <w:lsdException w:name="Normal (Web)" w:uiPriority="49"/>
    <w:lsdException w:name="HTML Address" w:uiPriority="49"/>
    <w:lsdException w:name="HTML Preformatted" w:uiPriority="49"/>
    <w:lsdException w:name="annotation subject" w:uiPriority="49"/>
    <w:lsdException w:name="Balloon Text" w:uiPriority="49"/>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29" w:qFormat="1"/>
  </w:latentStyles>
  <w:style w:type="paragraph" w:default="1" w:styleId="Normal">
    <w:name w:val="Normal"/>
    <w:qFormat/>
    <w:rsid w:val="00A3313F"/>
    <w:pPr>
      <w:spacing w:before="100" w:after="100"/>
      <w:ind w:left="794"/>
    </w:pPr>
    <w:rPr>
      <w:rFonts w:cs="Calibri"/>
      <w:sz w:val="22"/>
      <w:szCs w:val="22"/>
    </w:rPr>
  </w:style>
  <w:style w:type="paragraph" w:styleId="Heading1">
    <w:name w:val="heading 1"/>
    <w:basedOn w:val="Normal"/>
    <w:next w:val="Normal"/>
    <w:link w:val="Heading1Char"/>
    <w:uiPriority w:val="3"/>
    <w:qFormat/>
    <w:rsid w:val="00716818"/>
    <w:pPr>
      <w:keepNext/>
      <w:keepLines/>
      <w:pageBreakBefore/>
      <w:numPr>
        <w:numId w:val="8"/>
      </w:numPr>
      <w:spacing w:before="0" w:after="1120" w:line="216" w:lineRule="auto"/>
      <w:outlineLvl w:val="0"/>
    </w:pPr>
    <w:rPr>
      <w:color w:val="404040"/>
      <w:kern w:val="28"/>
      <w:sz w:val="40"/>
      <w:lang w:eastAsia="en-US"/>
    </w:rPr>
  </w:style>
  <w:style w:type="paragraph" w:styleId="Heading2">
    <w:name w:val="heading 2"/>
    <w:basedOn w:val="Heading1"/>
    <w:next w:val="Normal"/>
    <w:link w:val="Heading2Char"/>
    <w:uiPriority w:val="3"/>
    <w:qFormat/>
    <w:rsid w:val="00716818"/>
    <w:pPr>
      <w:pageBreakBefore w:val="0"/>
      <w:widowControl w:val="0"/>
      <w:numPr>
        <w:ilvl w:val="1"/>
      </w:numPr>
      <w:spacing w:before="280" w:after="120"/>
      <w:outlineLvl w:val="1"/>
    </w:pPr>
    <w:rPr>
      <w:color w:val="4D4D4D"/>
      <w:sz w:val="30"/>
    </w:rPr>
  </w:style>
  <w:style w:type="paragraph" w:styleId="Heading3">
    <w:name w:val="heading 3"/>
    <w:basedOn w:val="Heading2"/>
    <w:next w:val="Normal"/>
    <w:link w:val="Heading3Char"/>
    <w:uiPriority w:val="3"/>
    <w:qFormat/>
    <w:rsid w:val="00716818"/>
    <w:pPr>
      <w:numPr>
        <w:ilvl w:val="2"/>
      </w:numPr>
      <w:spacing w:before="200"/>
      <w:outlineLvl w:val="2"/>
    </w:pPr>
    <w:rPr>
      <w:b/>
      <w:sz w:val="26"/>
    </w:rPr>
  </w:style>
  <w:style w:type="paragraph" w:styleId="Heading4">
    <w:name w:val="heading 4"/>
    <w:basedOn w:val="Heading3"/>
    <w:next w:val="Normal"/>
    <w:link w:val="Heading4Char"/>
    <w:uiPriority w:val="3"/>
    <w:qFormat/>
    <w:rsid w:val="00716818"/>
    <w:pPr>
      <w:numPr>
        <w:ilvl w:val="3"/>
      </w:numPr>
      <w:spacing w:before="160" w:line="228" w:lineRule="auto"/>
      <w:outlineLvl w:val="3"/>
    </w:pPr>
    <w:rPr>
      <w:sz w:val="22"/>
    </w:rPr>
  </w:style>
  <w:style w:type="paragraph" w:styleId="Heading5">
    <w:name w:val="heading 5"/>
    <w:basedOn w:val="Heading4"/>
    <w:next w:val="Normal"/>
    <w:link w:val="Heading5Char"/>
    <w:uiPriority w:val="3"/>
    <w:qFormat/>
    <w:rsid w:val="00716818"/>
    <w:pPr>
      <w:numPr>
        <w:ilvl w:val="4"/>
      </w:numPr>
      <w:outlineLvl w:val="4"/>
    </w:pPr>
    <w:rPr>
      <w:bCs/>
      <w:i/>
      <w:color w:val="404040"/>
    </w:rPr>
  </w:style>
  <w:style w:type="paragraph" w:styleId="Heading6">
    <w:name w:val="heading 6"/>
    <w:basedOn w:val="Heading5"/>
    <w:next w:val="Normal"/>
    <w:link w:val="Heading6Char"/>
    <w:uiPriority w:val="3"/>
    <w:semiHidden/>
    <w:qFormat/>
    <w:rsid w:val="00716818"/>
    <w:pPr>
      <w:numPr>
        <w:ilvl w:val="5"/>
      </w:numPr>
      <w:outlineLvl w:val="5"/>
    </w:pPr>
    <w:rPr>
      <w:iCs/>
    </w:rPr>
  </w:style>
  <w:style w:type="paragraph" w:styleId="Heading7">
    <w:name w:val="heading 7"/>
    <w:basedOn w:val="Heading6"/>
    <w:next w:val="Normal"/>
    <w:link w:val="Heading7Char"/>
    <w:uiPriority w:val="3"/>
    <w:semiHidden/>
    <w:qFormat/>
    <w:rsid w:val="00716818"/>
    <w:pPr>
      <w:numPr>
        <w:ilvl w:val="6"/>
      </w:numPr>
      <w:outlineLvl w:val="6"/>
    </w:pPr>
    <w:rPr>
      <w:i w:val="0"/>
    </w:rPr>
  </w:style>
  <w:style w:type="paragraph" w:styleId="Heading8">
    <w:name w:val="heading 8"/>
    <w:basedOn w:val="Heading7"/>
    <w:next w:val="Normal"/>
    <w:link w:val="Heading8Char"/>
    <w:uiPriority w:val="3"/>
    <w:semiHidden/>
    <w:qFormat/>
    <w:rsid w:val="00716818"/>
    <w:pPr>
      <w:numPr>
        <w:ilvl w:val="7"/>
      </w:numPr>
      <w:outlineLvl w:val="7"/>
    </w:pPr>
    <w:rPr>
      <w:b w:val="0"/>
    </w:rPr>
  </w:style>
  <w:style w:type="paragraph" w:styleId="Heading9">
    <w:name w:val="heading 9"/>
    <w:basedOn w:val="Heading8"/>
    <w:next w:val="Normal"/>
    <w:link w:val="Heading9Char"/>
    <w:uiPriority w:val="3"/>
    <w:semiHidden/>
    <w:qFormat/>
    <w:rsid w:val="00716818"/>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24"/>
    <w:rsid w:val="00716818"/>
    <w:pPr>
      <w:tabs>
        <w:tab w:val="center" w:pos="4320"/>
        <w:tab w:val="right" w:pos="8640"/>
      </w:tabs>
      <w:spacing w:before="0" w:after="0"/>
      <w:ind w:left="0" w:right="-567"/>
    </w:pPr>
    <w:rPr>
      <w:sz w:val="24"/>
    </w:rPr>
  </w:style>
  <w:style w:type="character" w:customStyle="1" w:styleId="HeaderChar">
    <w:name w:val="Header Char"/>
    <w:basedOn w:val="DefaultParagraphFont"/>
    <w:link w:val="Header"/>
    <w:uiPriority w:val="24"/>
    <w:rsid w:val="00716818"/>
    <w:rPr>
      <w:rFonts w:cs="Calibri"/>
      <w:sz w:val="24"/>
      <w:szCs w:val="22"/>
    </w:rPr>
  </w:style>
  <w:style w:type="paragraph" w:styleId="Footer">
    <w:name w:val="footer"/>
    <w:link w:val="FooterChar"/>
    <w:uiPriority w:val="24"/>
    <w:rsid w:val="00716818"/>
    <w:pPr>
      <w:tabs>
        <w:tab w:val="right" w:pos="8220"/>
      </w:tabs>
    </w:pPr>
    <w:rPr>
      <w:rFonts w:cs="Calibri"/>
      <w:noProof/>
      <w:color w:val="4C4C4C"/>
      <w:sz w:val="12"/>
      <w:szCs w:val="22"/>
    </w:rPr>
  </w:style>
  <w:style w:type="character" w:customStyle="1" w:styleId="FooterChar">
    <w:name w:val="Footer Char"/>
    <w:basedOn w:val="DefaultParagraphFont"/>
    <w:link w:val="Footer"/>
    <w:uiPriority w:val="24"/>
    <w:rsid w:val="00716818"/>
    <w:rPr>
      <w:rFonts w:cs="Calibri"/>
      <w:noProof/>
      <w:color w:val="4C4C4C"/>
      <w:sz w:val="12"/>
      <w:szCs w:val="22"/>
    </w:rPr>
  </w:style>
  <w:style w:type="paragraph" w:styleId="Title">
    <w:name w:val="Title"/>
    <w:basedOn w:val="Normal"/>
    <w:link w:val="TitleChar"/>
    <w:uiPriority w:val="28"/>
    <w:qFormat/>
    <w:rsid w:val="00716818"/>
    <w:pPr>
      <w:spacing w:before="0" w:line="560" w:lineRule="exact"/>
      <w:ind w:left="0" w:right="3402"/>
    </w:pPr>
    <w:rPr>
      <w:b/>
      <w:color w:val="000000"/>
      <w:sz w:val="60"/>
    </w:rPr>
  </w:style>
  <w:style w:type="character" w:customStyle="1" w:styleId="TitleChar">
    <w:name w:val="Title Char"/>
    <w:basedOn w:val="DefaultParagraphFont"/>
    <w:link w:val="Title"/>
    <w:uiPriority w:val="28"/>
    <w:rsid w:val="00716818"/>
    <w:rPr>
      <w:rFonts w:cs="Calibri"/>
      <w:b/>
      <w:color w:val="000000"/>
      <w:sz w:val="60"/>
      <w:szCs w:val="22"/>
    </w:rPr>
  </w:style>
  <w:style w:type="paragraph" w:styleId="Subtitle">
    <w:name w:val="Subtitle"/>
    <w:basedOn w:val="Normal"/>
    <w:link w:val="SubtitleChar"/>
    <w:uiPriority w:val="29"/>
    <w:qFormat/>
    <w:rsid w:val="00716818"/>
    <w:pPr>
      <w:spacing w:before="0" w:after="0" w:line="440" w:lineRule="exact"/>
      <w:ind w:left="0"/>
    </w:pPr>
    <w:rPr>
      <w:color w:val="000000"/>
      <w:sz w:val="40"/>
      <w:szCs w:val="24"/>
    </w:rPr>
  </w:style>
  <w:style w:type="character" w:customStyle="1" w:styleId="SubtitleChar">
    <w:name w:val="Subtitle Char"/>
    <w:basedOn w:val="DefaultParagraphFont"/>
    <w:link w:val="Subtitle"/>
    <w:uiPriority w:val="29"/>
    <w:rsid w:val="00716818"/>
    <w:rPr>
      <w:rFonts w:cs="Calibri"/>
      <w:color w:val="000000"/>
      <w:sz w:val="40"/>
      <w:szCs w:val="24"/>
    </w:rPr>
  </w:style>
  <w:style w:type="paragraph" w:customStyle="1" w:styleId="TertiaryTitle">
    <w:name w:val="Tertiary Title"/>
    <w:basedOn w:val="Normal"/>
    <w:rsid w:val="00716818"/>
    <w:pPr>
      <w:spacing w:before="0" w:after="0" w:line="440" w:lineRule="exact"/>
      <w:ind w:left="0"/>
    </w:pPr>
    <w:rPr>
      <w:color w:val="4D4D4D"/>
      <w:sz w:val="36"/>
      <w:szCs w:val="40"/>
      <w:lang w:eastAsia="en-US"/>
    </w:rPr>
  </w:style>
  <w:style w:type="paragraph" w:styleId="BalloonText">
    <w:name w:val="Balloon Text"/>
    <w:basedOn w:val="Normal"/>
    <w:link w:val="BalloonTextChar"/>
    <w:uiPriority w:val="49"/>
    <w:semiHidden/>
    <w:rsid w:val="00716818"/>
    <w:rPr>
      <w:sz w:val="16"/>
      <w:szCs w:val="16"/>
    </w:rPr>
  </w:style>
  <w:style w:type="character" w:customStyle="1" w:styleId="BalloonTextChar">
    <w:name w:val="Balloon Text Char"/>
    <w:basedOn w:val="DefaultParagraphFont"/>
    <w:link w:val="BalloonText"/>
    <w:uiPriority w:val="49"/>
    <w:semiHidden/>
    <w:rsid w:val="00716818"/>
    <w:rPr>
      <w:rFonts w:cs="Calibri"/>
      <w:sz w:val="16"/>
      <w:szCs w:val="16"/>
    </w:rPr>
  </w:style>
  <w:style w:type="paragraph" w:customStyle="1" w:styleId="NormalTight">
    <w:name w:val="Normal Tight"/>
    <w:basedOn w:val="Normal"/>
    <w:semiHidden/>
    <w:rsid w:val="00716818"/>
    <w:pPr>
      <w:spacing w:before="0" w:after="0"/>
    </w:pPr>
  </w:style>
  <w:style w:type="paragraph" w:customStyle="1" w:styleId="BreakoutNormal">
    <w:name w:val="Breakout Normal"/>
    <w:basedOn w:val="Normal"/>
    <w:rsid w:val="00716818"/>
    <w:pPr>
      <w:ind w:left="0"/>
    </w:pPr>
    <w:rPr>
      <w:sz w:val="20"/>
    </w:rPr>
  </w:style>
  <w:style w:type="paragraph" w:customStyle="1" w:styleId="BreakoutList1">
    <w:name w:val="Breakout List 1"/>
    <w:basedOn w:val="BreakoutNormal"/>
    <w:rsid w:val="00716818"/>
    <w:pPr>
      <w:numPr>
        <w:numId w:val="5"/>
      </w:numPr>
    </w:pPr>
  </w:style>
  <w:style w:type="paragraph" w:customStyle="1" w:styleId="BreakoutList2">
    <w:name w:val="Breakout List 2"/>
    <w:basedOn w:val="BreakoutList1"/>
    <w:rsid w:val="00716818"/>
    <w:pPr>
      <w:numPr>
        <w:ilvl w:val="1"/>
      </w:numPr>
    </w:pPr>
  </w:style>
  <w:style w:type="paragraph" w:customStyle="1" w:styleId="Bullet1">
    <w:name w:val="Bullet 1"/>
    <w:basedOn w:val="Normal"/>
    <w:qFormat/>
    <w:rsid w:val="00716818"/>
    <w:pPr>
      <w:numPr>
        <w:numId w:val="6"/>
      </w:numPr>
      <w:spacing w:before="80" w:after="80"/>
    </w:pPr>
  </w:style>
  <w:style w:type="paragraph" w:customStyle="1" w:styleId="Bullet2">
    <w:name w:val="Bullet 2"/>
    <w:basedOn w:val="Bullet1"/>
    <w:rsid w:val="00716818"/>
    <w:pPr>
      <w:numPr>
        <w:ilvl w:val="1"/>
      </w:numPr>
    </w:pPr>
  </w:style>
  <w:style w:type="paragraph" w:customStyle="1" w:styleId="Bullet3">
    <w:name w:val="Bullet 3"/>
    <w:basedOn w:val="Bullet2"/>
    <w:rsid w:val="00716818"/>
    <w:pPr>
      <w:numPr>
        <w:ilvl w:val="2"/>
      </w:numPr>
    </w:pPr>
  </w:style>
  <w:style w:type="paragraph" w:styleId="Caption">
    <w:name w:val="caption"/>
    <w:basedOn w:val="Normal"/>
    <w:next w:val="Normal"/>
    <w:uiPriority w:val="13"/>
    <w:qFormat/>
    <w:rsid w:val="00716818"/>
    <w:pPr>
      <w:keepNext/>
      <w:keepLines/>
      <w:tabs>
        <w:tab w:val="left" w:pos="851"/>
      </w:tabs>
      <w:spacing w:before="60" w:after="60" w:line="228" w:lineRule="auto"/>
    </w:pPr>
    <w:rPr>
      <w:b/>
    </w:rPr>
  </w:style>
  <w:style w:type="paragraph" w:customStyle="1" w:styleId="CaptionTable">
    <w:name w:val="Caption Table"/>
    <w:basedOn w:val="Normal"/>
    <w:uiPriority w:val="14"/>
    <w:rsid w:val="00716818"/>
    <w:rPr>
      <w:b/>
    </w:rPr>
  </w:style>
  <w:style w:type="numbering" w:styleId="111111">
    <w:name w:val="Outline List 2"/>
    <w:basedOn w:val="NoList"/>
    <w:uiPriority w:val="99"/>
    <w:semiHidden/>
    <w:unhideWhenUsed/>
    <w:rsid w:val="00716818"/>
    <w:pPr>
      <w:numPr>
        <w:numId w:val="1"/>
      </w:numPr>
    </w:pPr>
  </w:style>
  <w:style w:type="numbering" w:styleId="1ai">
    <w:name w:val="Outline List 1"/>
    <w:basedOn w:val="NoList"/>
    <w:uiPriority w:val="99"/>
    <w:semiHidden/>
    <w:unhideWhenUsed/>
    <w:rsid w:val="00716818"/>
    <w:pPr>
      <w:numPr>
        <w:numId w:val="2"/>
      </w:numPr>
    </w:pPr>
  </w:style>
  <w:style w:type="character" w:customStyle="1" w:styleId="Heading1Char">
    <w:name w:val="Heading 1 Char"/>
    <w:basedOn w:val="DefaultParagraphFont"/>
    <w:link w:val="Heading1"/>
    <w:uiPriority w:val="3"/>
    <w:rsid w:val="00716818"/>
    <w:rPr>
      <w:rFonts w:cs="Calibri"/>
      <w:color w:val="404040"/>
      <w:kern w:val="28"/>
      <w:sz w:val="40"/>
      <w:szCs w:val="22"/>
      <w:lang w:eastAsia="en-US"/>
    </w:rPr>
  </w:style>
  <w:style w:type="character" w:customStyle="1" w:styleId="Heading2Char">
    <w:name w:val="Heading 2 Char"/>
    <w:basedOn w:val="DefaultParagraphFont"/>
    <w:link w:val="Heading2"/>
    <w:uiPriority w:val="3"/>
    <w:rsid w:val="00716818"/>
    <w:rPr>
      <w:rFonts w:cs="Calibri"/>
      <w:color w:val="4D4D4D"/>
      <w:kern w:val="28"/>
      <w:sz w:val="30"/>
      <w:szCs w:val="22"/>
      <w:lang w:eastAsia="en-US"/>
    </w:rPr>
  </w:style>
  <w:style w:type="character" w:customStyle="1" w:styleId="Heading3Char">
    <w:name w:val="Heading 3 Char"/>
    <w:basedOn w:val="DefaultParagraphFont"/>
    <w:link w:val="Heading3"/>
    <w:uiPriority w:val="3"/>
    <w:rsid w:val="00716818"/>
    <w:rPr>
      <w:rFonts w:cs="Calibri"/>
      <w:b/>
      <w:color w:val="4D4D4D"/>
      <w:kern w:val="28"/>
      <w:sz w:val="26"/>
      <w:szCs w:val="22"/>
      <w:lang w:eastAsia="en-US"/>
    </w:rPr>
  </w:style>
  <w:style w:type="character" w:customStyle="1" w:styleId="Heading4Char">
    <w:name w:val="Heading 4 Char"/>
    <w:basedOn w:val="DefaultParagraphFont"/>
    <w:link w:val="Heading4"/>
    <w:uiPriority w:val="3"/>
    <w:rsid w:val="00716818"/>
    <w:rPr>
      <w:rFonts w:cs="Calibri"/>
      <w:b/>
      <w:color w:val="4D4D4D"/>
      <w:kern w:val="28"/>
      <w:sz w:val="22"/>
      <w:szCs w:val="22"/>
      <w:lang w:eastAsia="en-US"/>
    </w:rPr>
  </w:style>
  <w:style w:type="character" w:customStyle="1" w:styleId="Heading5Char">
    <w:name w:val="Heading 5 Char"/>
    <w:basedOn w:val="DefaultParagraphFont"/>
    <w:link w:val="Heading5"/>
    <w:uiPriority w:val="3"/>
    <w:rsid w:val="00716818"/>
    <w:rPr>
      <w:rFonts w:cs="Calibri"/>
      <w:b/>
      <w:bCs/>
      <w:i/>
      <w:color w:val="404040"/>
      <w:kern w:val="28"/>
      <w:sz w:val="22"/>
      <w:szCs w:val="22"/>
      <w:lang w:eastAsia="en-US"/>
    </w:rPr>
  </w:style>
  <w:style w:type="character" w:customStyle="1" w:styleId="Heading6Char">
    <w:name w:val="Heading 6 Char"/>
    <w:basedOn w:val="DefaultParagraphFont"/>
    <w:link w:val="Heading6"/>
    <w:uiPriority w:val="3"/>
    <w:semiHidden/>
    <w:rsid w:val="00716818"/>
    <w:rPr>
      <w:rFonts w:cs="Calibri"/>
      <w:b/>
      <w:bCs/>
      <w:i/>
      <w:iCs/>
      <w:color w:val="404040"/>
      <w:kern w:val="28"/>
      <w:sz w:val="22"/>
      <w:szCs w:val="22"/>
      <w:lang w:eastAsia="en-US"/>
    </w:rPr>
  </w:style>
  <w:style w:type="character" w:customStyle="1" w:styleId="Heading7Char">
    <w:name w:val="Heading 7 Char"/>
    <w:basedOn w:val="DefaultParagraphFont"/>
    <w:link w:val="Heading7"/>
    <w:uiPriority w:val="3"/>
    <w:semiHidden/>
    <w:rsid w:val="00716818"/>
    <w:rPr>
      <w:rFonts w:cs="Calibri"/>
      <w:b/>
      <w:bCs/>
      <w:iCs/>
      <w:color w:val="404040"/>
      <w:kern w:val="28"/>
      <w:sz w:val="22"/>
      <w:szCs w:val="22"/>
      <w:lang w:eastAsia="en-US"/>
    </w:rPr>
  </w:style>
  <w:style w:type="character" w:customStyle="1" w:styleId="Heading8Char">
    <w:name w:val="Heading 8 Char"/>
    <w:basedOn w:val="DefaultParagraphFont"/>
    <w:link w:val="Heading8"/>
    <w:uiPriority w:val="3"/>
    <w:semiHidden/>
    <w:rsid w:val="00716818"/>
    <w:rPr>
      <w:rFonts w:cs="Calibri"/>
      <w:bCs/>
      <w:iCs/>
      <w:color w:val="404040"/>
      <w:kern w:val="28"/>
      <w:sz w:val="22"/>
      <w:szCs w:val="22"/>
      <w:lang w:eastAsia="en-US"/>
    </w:rPr>
  </w:style>
  <w:style w:type="character" w:customStyle="1" w:styleId="Heading9Char">
    <w:name w:val="Heading 9 Char"/>
    <w:basedOn w:val="DefaultParagraphFont"/>
    <w:link w:val="Heading9"/>
    <w:uiPriority w:val="3"/>
    <w:semiHidden/>
    <w:rsid w:val="00716818"/>
    <w:rPr>
      <w:rFonts w:cs="Calibri"/>
      <w:bCs/>
      <w:iCs/>
      <w:color w:val="404040"/>
      <w:kern w:val="28"/>
      <w:sz w:val="22"/>
      <w:szCs w:val="22"/>
      <w:lang w:eastAsia="en-US"/>
    </w:rPr>
  </w:style>
  <w:style w:type="numbering" w:styleId="ArticleSection">
    <w:name w:val="Outline List 3"/>
    <w:basedOn w:val="NoList"/>
    <w:uiPriority w:val="99"/>
    <w:semiHidden/>
    <w:unhideWhenUsed/>
    <w:rsid w:val="00716818"/>
    <w:pPr>
      <w:numPr>
        <w:numId w:val="3"/>
      </w:numPr>
    </w:pPr>
  </w:style>
  <w:style w:type="paragraph" w:customStyle="1" w:styleId="Attachment1">
    <w:name w:val="Attachment 1"/>
    <w:next w:val="Normal"/>
    <w:uiPriority w:val="19"/>
    <w:qFormat/>
    <w:rsid w:val="00716818"/>
    <w:pPr>
      <w:pageBreakBefore/>
      <w:numPr>
        <w:numId w:val="4"/>
      </w:numPr>
      <w:pBdr>
        <w:bottom w:val="single" w:sz="4" w:space="1" w:color="404040"/>
      </w:pBdr>
      <w:spacing w:before="400" w:after="1200"/>
    </w:pPr>
    <w:rPr>
      <w:rFonts w:cs="Calibri"/>
      <w:color w:val="404040"/>
      <w:kern w:val="28"/>
      <w:sz w:val="40"/>
      <w:szCs w:val="22"/>
      <w:lang w:eastAsia="en-US"/>
    </w:rPr>
  </w:style>
  <w:style w:type="paragraph" w:styleId="Bibliography">
    <w:name w:val="Bibliography"/>
    <w:basedOn w:val="Normal"/>
    <w:next w:val="Normal"/>
    <w:uiPriority w:val="37"/>
    <w:semiHidden/>
    <w:unhideWhenUsed/>
    <w:rsid w:val="00716818"/>
    <w:pPr>
      <w:spacing w:after="120"/>
    </w:pPr>
    <w:rPr>
      <w:i/>
      <w:sz w:val="18"/>
    </w:rPr>
  </w:style>
  <w:style w:type="paragraph" w:styleId="BlockText">
    <w:name w:val="Block Text"/>
    <w:basedOn w:val="Normal"/>
    <w:uiPriority w:val="49"/>
    <w:semiHidden/>
    <w:rsid w:val="00716818"/>
    <w:pPr>
      <w:spacing w:after="120"/>
      <w:ind w:left="1440" w:right="1440"/>
    </w:pPr>
  </w:style>
  <w:style w:type="paragraph" w:styleId="BodyText">
    <w:name w:val="Body Text"/>
    <w:basedOn w:val="Normal"/>
    <w:link w:val="BodyTextChar"/>
    <w:uiPriority w:val="49"/>
    <w:semiHidden/>
    <w:rsid w:val="00716818"/>
  </w:style>
  <w:style w:type="character" w:customStyle="1" w:styleId="BodyTextChar">
    <w:name w:val="Body Text Char"/>
    <w:basedOn w:val="DefaultParagraphFont"/>
    <w:link w:val="BodyText"/>
    <w:uiPriority w:val="49"/>
    <w:semiHidden/>
    <w:rsid w:val="00716818"/>
    <w:rPr>
      <w:rFonts w:cs="Calibri"/>
      <w:sz w:val="22"/>
      <w:szCs w:val="22"/>
    </w:rPr>
  </w:style>
  <w:style w:type="paragraph" w:styleId="BodyText2">
    <w:name w:val="Body Text 2"/>
    <w:basedOn w:val="Normal"/>
    <w:link w:val="BodyText2Char"/>
    <w:uiPriority w:val="49"/>
    <w:semiHidden/>
    <w:rsid w:val="00716818"/>
    <w:pPr>
      <w:spacing w:after="120" w:line="480" w:lineRule="auto"/>
    </w:pPr>
  </w:style>
  <w:style w:type="character" w:customStyle="1" w:styleId="BodyText2Char">
    <w:name w:val="Body Text 2 Char"/>
    <w:basedOn w:val="DefaultParagraphFont"/>
    <w:link w:val="BodyText2"/>
    <w:uiPriority w:val="49"/>
    <w:semiHidden/>
    <w:rsid w:val="00716818"/>
    <w:rPr>
      <w:rFonts w:cs="Calibri"/>
      <w:sz w:val="22"/>
      <w:szCs w:val="22"/>
    </w:rPr>
  </w:style>
  <w:style w:type="paragraph" w:styleId="BodyText3">
    <w:name w:val="Body Text 3"/>
    <w:basedOn w:val="Normal"/>
    <w:link w:val="BodyText3Char"/>
    <w:uiPriority w:val="49"/>
    <w:semiHidden/>
    <w:rsid w:val="00716818"/>
    <w:pPr>
      <w:spacing w:after="120"/>
    </w:pPr>
    <w:rPr>
      <w:sz w:val="16"/>
      <w:szCs w:val="16"/>
    </w:rPr>
  </w:style>
  <w:style w:type="character" w:customStyle="1" w:styleId="BodyText3Char">
    <w:name w:val="Body Text 3 Char"/>
    <w:basedOn w:val="DefaultParagraphFont"/>
    <w:link w:val="BodyText3"/>
    <w:uiPriority w:val="49"/>
    <w:semiHidden/>
    <w:rsid w:val="00716818"/>
    <w:rPr>
      <w:rFonts w:cs="Calibri"/>
      <w:sz w:val="16"/>
      <w:szCs w:val="16"/>
    </w:rPr>
  </w:style>
  <w:style w:type="paragraph" w:styleId="BodyTextFirstIndent">
    <w:name w:val="Body Text First Indent"/>
    <w:basedOn w:val="BodyText"/>
    <w:link w:val="BodyTextFirstIndentChar"/>
    <w:uiPriority w:val="49"/>
    <w:semiHidden/>
    <w:rsid w:val="00716818"/>
    <w:pPr>
      <w:spacing w:after="120"/>
      <w:ind w:firstLine="210"/>
    </w:pPr>
  </w:style>
  <w:style w:type="character" w:customStyle="1" w:styleId="BodyTextFirstIndentChar">
    <w:name w:val="Body Text First Indent Char"/>
    <w:basedOn w:val="BodyTextChar"/>
    <w:link w:val="BodyTextFirstIndent"/>
    <w:uiPriority w:val="49"/>
    <w:semiHidden/>
    <w:rsid w:val="00716818"/>
    <w:rPr>
      <w:rFonts w:cs="Calibri"/>
      <w:sz w:val="22"/>
      <w:szCs w:val="22"/>
    </w:rPr>
  </w:style>
  <w:style w:type="paragraph" w:styleId="BodyTextIndent">
    <w:name w:val="Body Text Indent"/>
    <w:basedOn w:val="Normal"/>
    <w:link w:val="BodyTextIndentChar"/>
    <w:uiPriority w:val="49"/>
    <w:semiHidden/>
    <w:rsid w:val="00716818"/>
    <w:pPr>
      <w:spacing w:after="120"/>
      <w:ind w:left="283"/>
    </w:pPr>
  </w:style>
  <w:style w:type="character" w:customStyle="1" w:styleId="BodyTextIndentChar">
    <w:name w:val="Body Text Indent Char"/>
    <w:basedOn w:val="DefaultParagraphFont"/>
    <w:link w:val="BodyTextIndent"/>
    <w:uiPriority w:val="49"/>
    <w:semiHidden/>
    <w:rsid w:val="00716818"/>
    <w:rPr>
      <w:rFonts w:cs="Calibri"/>
      <w:sz w:val="22"/>
      <w:szCs w:val="22"/>
    </w:rPr>
  </w:style>
  <w:style w:type="paragraph" w:styleId="BodyTextFirstIndent2">
    <w:name w:val="Body Text First Indent 2"/>
    <w:basedOn w:val="BodyTextIndent"/>
    <w:link w:val="BodyTextFirstIndent2Char"/>
    <w:uiPriority w:val="49"/>
    <w:semiHidden/>
    <w:rsid w:val="00716818"/>
    <w:pPr>
      <w:ind w:firstLine="210"/>
    </w:pPr>
  </w:style>
  <w:style w:type="character" w:customStyle="1" w:styleId="BodyTextFirstIndent2Char">
    <w:name w:val="Body Text First Indent 2 Char"/>
    <w:basedOn w:val="BodyTextIndentChar"/>
    <w:link w:val="BodyTextFirstIndent2"/>
    <w:uiPriority w:val="49"/>
    <w:semiHidden/>
    <w:rsid w:val="00716818"/>
    <w:rPr>
      <w:rFonts w:cs="Calibri"/>
      <w:sz w:val="22"/>
      <w:szCs w:val="22"/>
    </w:rPr>
  </w:style>
  <w:style w:type="paragraph" w:styleId="BodyTextIndent2">
    <w:name w:val="Body Text Indent 2"/>
    <w:basedOn w:val="Normal"/>
    <w:link w:val="BodyTextIndent2Char"/>
    <w:uiPriority w:val="49"/>
    <w:semiHidden/>
    <w:rsid w:val="00716818"/>
    <w:pPr>
      <w:spacing w:after="120" w:line="480" w:lineRule="auto"/>
      <w:ind w:left="283"/>
    </w:pPr>
  </w:style>
  <w:style w:type="character" w:customStyle="1" w:styleId="BodyTextIndent2Char">
    <w:name w:val="Body Text Indent 2 Char"/>
    <w:basedOn w:val="DefaultParagraphFont"/>
    <w:link w:val="BodyTextIndent2"/>
    <w:uiPriority w:val="49"/>
    <w:semiHidden/>
    <w:rsid w:val="00716818"/>
    <w:rPr>
      <w:rFonts w:cs="Calibri"/>
      <w:sz w:val="22"/>
      <w:szCs w:val="22"/>
    </w:rPr>
  </w:style>
  <w:style w:type="paragraph" w:styleId="BodyTextIndent3">
    <w:name w:val="Body Text Indent 3"/>
    <w:basedOn w:val="Normal"/>
    <w:link w:val="BodyTextIndent3Char"/>
    <w:uiPriority w:val="49"/>
    <w:semiHidden/>
    <w:rsid w:val="00716818"/>
    <w:pPr>
      <w:spacing w:after="120"/>
      <w:ind w:left="283"/>
    </w:pPr>
    <w:rPr>
      <w:sz w:val="16"/>
      <w:szCs w:val="16"/>
    </w:rPr>
  </w:style>
  <w:style w:type="character" w:customStyle="1" w:styleId="BodyTextIndent3Char">
    <w:name w:val="Body Text Indent 3 Char"/>
    <w:basedOn w:val="DefaultParagraphFont"/>
    <w:link w:val="BodyTextIndent3"/>
    <w:uiPriority w:val="49"/>
    <w:semiHidden/>
    <w:rsid w:val="00716818"/>
    <w:rPr>
      <w:rFonts w:cs="Calibri"/>
      <w:sz w:val="16"/>
      <w:szCs w:val="16"/>
    </w:rPr>
  </w:style>
  <w:style w:type="character" w:styleId="BookTitle">
    <w:name w:val="Book Title"/>
    <w:uiPriority w:val="33"/>
    <w:semiHidden/>
    <w:qFormat/>
    <w:rsid w:val="00716818"/>
    <w:rPr>
      <w:rFonts w:ascii="Calibri" w:hAnsi="Calibri"/>
      <w:b/>
      <w:bCs/>
      <w:smallCaps/>
      <w:spacing w:val="5"/>
    </w:rPr>
  </w:style>
  <w:style w:type="paragraph" w:styleId="Closing">
    <w:name w:val="Closing"/>
    <w:basedOn w:val="Normal"/>
    <w:link w:val="ClosingChar"/>
    <w:uiPriority w:val="49"/>
    <w:semiHidden/>
    <w:rsid w:val="00716818"/>
    <w:pPr>
      <w:ind w:left="4252"/>
    </w:pPr>
  </w:style>
  <w:style w:type="character" w:customStyle="1" w:styleId="ClosingChar">
    <w:name w:val="Closing Char"/>
    <w:basedOn w:val="DefaultParagraphFont"/>
    <w:link w:val="Closing"/>
    <w:uiPriority w:val="49"/>
    <w:semiHidden/>
    <w:rsid w:val="00716818"/>
    <w:rPr>
      <w:rFonts w:cs="Calibri"/>
      <w:sz w:val="22"/>
      <w:szCs w:val="22"/>
    </w:rPr>
  </w:style>
  <w:style w:type="table" w:styleId="ColorfulGrid">
    <w:name w:val="Colorful Grid"/>
    <w:basedOn w:val="TableNormal"/>
    <w:uiPriority w:val="73"/>
    <w:rsid w:val="00716818"/>
    <w:rPr>
      <w:rFonts w:ascii="Arial" w:hAnsi="Arial"/>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716818"/>
    <w:rPr>
      <w:rFonts w:ascii="Arial" w:hAnsi="Arial"/>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sid w:val="00716818"/>
    <w:rPr>
      <w:rFonts w:ascii="Arial" w:hAnsi="Arial"/>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716818"/>
    <w:rPr>
      <w:rFonts w:ascii="Arial" w:hAnsi="Arial"/>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716818"/>
    <w:rPr>
      <w:rFonts w:ascii="Arial" w:hAnsi="Arial"/>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716818"/>
    <w:rPr>
      <w:rFonts w:ascii="Arial" w:hAnsi="Arial"/>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716818"/>
    <w:rPr>
      <w:rFonts w:ascii="Arial" w:hAnsi="Arial"/>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ColorfulGrid1">
    <w:name w:val="Colorful Grid1"/>
    <w:basedOn w:val="TableNormal"/>
    <w:semiHidden/>
    <w:rsid w:val="00716818"/>
    <w:rPr>
      <w:rFonts w:ascii="Arial" w:hAnsi="Arial"/>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List">
    <w:name w:val="Colorful List"/>
    <w:basedOn w:val="TableNormal"/>
    <w:uiPriority w:val="72"/>
    <w:rsid w:val="00716818"/>
    <w:rPr>
      <w:rFonts w:ascii="Arial" w:hAnsi="Arial"/>
      <w:color w:val="00000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716818"/>
    <w:rPr>
      <w:rFonts w:ascii="Arial" w:hAnsi="Arial"/>
      <w:color w:val="000000"/>
    </w:rPr>
    <w:tblPr>
      <w:tblStyleRowBandSize w:val="1"/>
      <w:tblStyleColBandSize w:val="1"/>
      <w:tblInd w:w="0" w:type="dxa"/>
      <w:tblCellMar>
        <w:top w:w="0" w:type="dxa"/>
        <w:left w:w="108" w:type="dxa"/>
        <w:bottom w:w="0" w:type="dxa"/>
        <w:right w:w="108" w:type="dxa"/>
      </w:tblCellMar>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716818"/>
    <w:rPr>
      <w:rFonts w:ascii="Arial" w:hAnsi="Arial"/>
      <w:color w:val="000000"/>
    </w:rPr>
    <w:tblPr>
      <w:tblStyleRowBandSize w:val="1"/>
      <w:tblStyleColBandSize w:val="1"/>
      <w:tblInd w:w="0" w:type="dxa"/>
      <w:tblCellMar>
        <w:top w:w="0" w:type="dxa"/>
        <w:left w:w="108" w:type="dxa"/>
        <w:bottom w:w="0" w:type="dxa"/>
        <w:right w:w="108" w:type="dxa"/>
      </w:tblCellMar>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716818"/>
    <w:rPr>
      <w:rFonts w:ascii="Arial" w:hAnsi="Arial"/>
      <w:color w:val="000000"/>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716818"/>
    <w:rPr>
      <w:rFonts w:ascii="Arial" w:hAnsi="Arial"/>
      <w:color w:val="000000"/>
    </w:rPr>
    <w:tblPr>
      <w:tblStyleRowBandSize w:val="1"/>
      <w:tblStyleColBandSize w:val="1"/>
      <w:tblInd w:w="0" w:type="dxa"/>
      <w:tblCellMar>
        <w:top w:w="0" w:type="dxa"/>
        <w:left w:w="108" w:type="dxa"/>
        <w:bottom w:w="0" w:type="dxa"/>
        <w:right w:w="108" w:type="dxa"/>
      </w:tblCellMar>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716818"/>
    <w:rPr>
      <w:rFonts w:ascii="Arial" w:hAnsi="Arial"/>
      <w:color w:val="000000"/>
    </w:rPr>
    <w:tblPr>
      <w:tblStyleRowBandSize w:val="1"/>
      <w:tblStyleColBandSize w:val="1"/>
      <w:tblInd w:w="0" w:type="dxa"/>
      <w:tblCellMar>
        <w:top w:w="0" w:type="dxa"/>
        <w:left w:w="108" w:type="dxa"/>
        <w:bottom w:w="0" w:type="dxa"/>
        <w:right w:w="108" w:type="dxa"/>
      </w:tblCellMar>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716818"/>
    <w:rPr>
      <w:rFonts w:ascii="Arial" w:hAnsi="Arial"/>
      <w:color w:val="000000"/>
    </w:rPr>
    <w:tblPr>
      <w:tblStyleRowBandSize w:val="1"/>
      <w:tblStyleColBandSize w:val="1"/>
      <w:tblInd w:w="0" w:type="dxa"/>
      <w:tblCellMar>
        <w:top w:w="0" w:type="dxa"/>
        <w:left w:w="108" w:type="dxa"/>
        <w:bottom w:w="0" w:type="dxa"/>
        <w:right w:w="108" w:type="dxa"/>
      </w:tblCellMar>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ColorfulList1">
    <w:name w:val="Colorful List1"/>
    <w:basedOn w:val="TableNormal"/>
    <w:semiHidden/>
    <w:rsid w:val="00716818"/>
    <w:rPr>
      <w:rFonts w:ascii="Arial" w:hAnsi="Arial"/>
      <w:color w:val="00000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F3B38"/>
      </w:tcPr>
    </w:tblStylePr>
    <w:tblStylePr w:type="lastRow">
      <w:rPr>
        <w:b/>
        <w:bCs/>
        <w:color w:val="9F3B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cPr>
    </w:tblStylePr>
    <w:tblStylePr w:type="band1Horz">
      <w:tblPr/>
      <w:tcPr>
        <w:shd w:val="clear" w:color="auto" w:fill="CCCCCC"/>
      </w:tcPr>
    </w:tblStylePr>
  </w:style>
  <w:style w:type="table" w:styleId="ColorfulShading">
    <w:name w:val="Colorful Shading"/>
    <w:basedOn w:val="TableNormal"/>
    <w:uiPriority w:val="71"/>
    <w:rsid w:val="00716818"/>
    <w:rPr>
      <w:rFonts w:ascii="Arial" w:hAnsi="Arial"/>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716818"/>
    <w:rPr>
      <w:rFonts w:ascii="Arial" w:hAnsi="Arial"/>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716818"/>
    <w:rPr>
      <w:rFonts w:ascii="Arial" w:hAnsi="Arial"/>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716818"/>
    <w:rPr>
      <w:rFonts w:ascii="Arial" w:hAnsi="Arial"/>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716818"/>
    <w:rPr>
      <w:rFonts w:ascii="Arial" w:hAnsi="Arial"/>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716818"/>
    <w:rPr>
      <w:rFonts w:ascii="Arial" w:hAnsi="Arial"/>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716818"/>
    <w:rPr>
      <w:rFonts w:ascii="Arial" w:hAnsi="Arial"/>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ColorfulShading1">
    <w:name w:val="Colorful Shading1"/>
    <w:basedOn w:val="TableNormal"/>
    <w:semiHidden/>
    <w:rsid w:val="00716818"/>
    <w:rPr>
      <w:rFonts w:ascii="Arial" w:hAnsi="Arial"/>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character" w:styleId="CommentReference">
    <w:name w:val="annotation reference"/>
    <w:uiPriority w:val="49"/>
    <w:semiHidden/>
    <w:rsid w:val="00716818"/>
    <w:rPr>
      <w:rFonts w:ascii="Calibri" w:hAnsi="Calibri"/>
      <w:sz w:val="16"/>
    </w:rPr>
  </w:style>
  <w:style w:type="paragraph" w:styleId="CommentText">
    <w:name w:val="annotation text"/>
    <w:basedOn w:val="Normal"/>
    <w:link w:val="CommentTextChar"/>
    <w:uiPriority w:val="49"/>
    <w:semiHidden/>
    <w:rsid w:val="00716818"/>
  </w:style>
  <w:style w:type="character" w:customStyle="1" w:styleId="CommentTextChar">
    <w:name w:val="Comment Text Char"/>
    <w:basedOn w:val="DefaultParagraphFont"/>
    <w:link w:val="CommentText"/>
    <w:uiPriority w:val="49"/>
    <w:semiHidden/>
    <w:rsid w:val="00716818"/>
    <w:rPr>
      <w:rFonts w:cs="Calibri"/>
      <w:sz w:val="22"/>
      <w:szCs w:val="22"/>
    </w:rPr>
  </w:style>
  <w:style w:type="paragraph" w:styleId="CommentSubject">
    <w:name w:val="annotation subject"/>
    <w:basedOn w:val="CommentText"/>
    <w:next w:val="CommentText"/>
    <w:link w:val="CommentSubjectChar"/>
    <w:uiPriority w:val="49"/>
    <w:semiHidden/>
    <w:rsid w:val="00716818"/>
    <w:rPr>
      <w:b/>
      <w:bCs/>
    </w:rPr>
  </w:style>
  <w:style w:type="character" w:customStyle="1" w:styleId="CommentSubjectChar">
    <w:name w:val="Comment Subject Char"/>
    <w:basedOn w:val="CommentTextChar"/>
    <w:link w:val="CommentSubject"/>
    <w:uiPriority w:val="49"/>
    <w:semiHidden/>
    <w:rsid w:val="00716818"/>
    <w:rPr>
      <w:rFonts w:cs="Calibri"/>
      <w:b/>
      <w:bCs/>
      <w:sz w:val="22"/>
      <w:szCs w:val="22"/>
    </w:rPr>
  </w:style>
  <w:style w:type="table" w:styleId="DarkList">
    <w:name w:val="Dark List"/>
    <w:basedOn w:val="TableNormal"/>
    <w:uiPriority w:val="70"/>
    <w:rsid w:val="00716818"/>
    <w:rPr>
      <w:rFonts w:ascii="Arial" w:hAnsi="Arial"/>
      <w:color w:val="FFFFFF"/>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716818"/>
    <w:rPr>
      <w:rFonts w:ascii="Arial" w:hAnsi="Arial"/>
      <w:color w:val="FFFFFF"/>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716818"/>
    <w:rPr>
      <w:rFonts w:ascii="Arial" w:hAnsi="Arial"/>
      <w:color w:val="FFFFFF"/>
    </w:rPr>
    <w:tblPr>
      <w:tblStyleRowBandSize w:val="1"/>
      <w:tblStyleColBandSize w:val="1"/>
      <w:tblInd w:w="0" w:type="dxa"/>
      <w:tblCellMar>
        <w:top w:w="0" w:type="dxa"/>
        <w:left w:w="108" w:type="dxa"/>
        <w:bottom w:w="0" w:type="dxa"/>
        <w:right w:w="108" w:type="dxa"/>
      </w:tblCellMar>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716818"/>
    <w:rPr>
      <w:rFonts w:ascii="Arial" w:hAnsi="Arial"/>
      <w:color w:val="FFFFFF"/>
    </w:rPr>
    <w:tblPr>
      <w:tblStyleRowBandSize w:val="1"/>
      <w:tblStyleColBandSize w:val="1"/>
      <w:tblInd w:w="0" w:type="dxa"/>
      <w:tblCellMar>
        <w:top w:w="0" w:type="dxa"/>
        <w:left w:w="108" w:type="dxa"/>
        <w:bottom w:w="0" w:type="dxa"/>
        <w:right w:w="108" w:type="dxa"/>
      </w:tblCellMar>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716818"/>
    <w:rPr>
      <w:rFonts w:ascii="Arial" w:hAnsi="Arial"/>
      <w:color w:val="FFFFFF"/>
    </w:rPr>
    <w:tblPr>
      <w:tblStyleRowBandSize w:val="1"/>
      <w:tblStyleColBandSize w:val="1"/>
      <w:tblInd w:w="0" w:type="dxa"/>
      <w:tblCellMar>
        <w:top w:w="0" w:type="dxa"/>
        <w:left w:w="108" w:type="dxa"/>
        <w:bottom w:w="0" w:type="dxa"/>
        <w:right w:w="108" w:type="dxa"/>
      </w:tblCellMar>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716818"/>
    <w:rPr>
      <w:rFonts w:ascii="Arial" w:hAnsi="Arial"/>
      <w:color w:val="FFFFFF"/>
    </w:rPr>
    <w:tblPr>
      <w:tblStyleRowBandSize w:val="1"/>
      <w:tblStyleColBandSize w:val="1"/>
      <w:tblInd w:w="0" w:type="dxa"/>
      <w:tblCellMar>
        <w:top w:w="0" w:type="dxa"/>
        <w:left w:w="108" w:type="dxa"/>
        <w:bottom w:w="0" w:type="dxa"/>
        <w:right w:w="108" w:type="dxa"/>
      </w:tblCellMar>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716818"/>
    <w:rPr>
      <w:rFonts w:ascii="Arial" w:hAnsi="Arial"/>
      <w:color w:val="FFFFFF"/>
    </w:rPr>
    <w:tblPr>
      <w:tblStyleRowBandSize w:val="1"/>
      <w:tblStyleColBandSize w:val="1"/>
      <w:tblInd w:w="0" w:type="dxa"/>
      <w:tblCellMar>
        <w:top w:w="0" w:type="dxa"/>
        <w:left w:w="108" w:type="dxa"/>
        <w:bottom w:w="0" w:type="dxa"/>
        <w:right w:w="108" w:type="dxa"/>
      </w:tblCellMar>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DarkList1">
    <w:name w:val="Dark List1"/>
    <w:basedOn w:val="TableNormal"/>
    <w:semiHidden/>
    <w:rsid w:val="00716818"/>
    <w:rPr>
      <w:rFonts w:ascii="Arial" w:hAnsi="Arial"/>
      <w:color w:val="FFFFFF"/>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paragraph" w:styleId="Date">
    <w:name w:val="Date"/>
    <w:basedOn w:val="Normal"/>
    <w:next w:val="Normal"/>
    <w:link w:val="DateChar"/>
    <w:uiPriority w:val="49"/>
    <w:semiHidden/>
    <w:rsid w:val="00716818"/>
    <w:pPr>
      <w:ind w:left="1411"/>
    </w:pPr>
  </w:style>
  <w:style w:type="character" w:customStyle="1" w:styleId="DateChar">
    <w:name w:val="Date Char"/>
    <w:basedOn w:val="DefaultParagraphFont"/>
    <w:link w:val="Date"/>
    <w:uiPriority w:val="49"/>
    <w:semiHidden/>
    <w:rsid w:val="00716818"/>
    <w:rPr>
      <w:rFonts w:cs="Calibri"/>
      <w:sz w:val="22"/>
      <w:szCs w:val="22"/>
    </w:rPr>
  </w:style>
  <w:style w:type="paragraph" w:styleId="DocumentMap">
    <w:name w:val="Document Map"/>
    <w:basedOn w:val="Normal"/>
    <w:link w:val="DocumentMapChar"/>
    <w:uiPriority w:val="49"/>
    <w:semiHidden/>
    <w:rsid w:val="00716818"/>
    <w:pPr>
      <w:shd w:val="clear" w:color="auto" w:fill="000080"/>
    </w:pPr>
  </w:style>
  <w:style w:type="character" w:customStyle="1" w:styleId="DocumentMapChar">
    <w:name w:val="Document Map Char"/>
    <w:basedOn w:val="DefaultParagraphFont"/>
    <w:link w:val="DocumentMap"/>
    <w:uiPriority w:val="49"/>
    <w:semiHidden/>
    <w:rsid w:val="00716818"/>
    <w:rPr>
      <w:rFonts w:cs="Calibri"/>
      <w:sz w:val="22"/>
      <w:szCs w:val="22"/>
      <w:shd w:val="clear" w:color="auto" w:fill="000080"/>
    </w:rPr>
  </w:style>
  <w:style w:type="paragraph" w:styleId="E-mailSignature">
    <w:name w:val="E-mail Signature"/>
    <w:basedOn w:val="Normal"/>
    <w:link w:val="E-mailSignatureChar"/>
    <w:uiPriority w:val="49"/>
    <w:semiHidden/>
    <w:rsid w:val="00716818"/>
  </w:style>
  <w:style w:type="character" w:customStyle="1" w:styleId="E-mailSignatureChar">
    <w:name w:val="E-mail Signature Char"/>
    <w:basedOn w:val="DefaultParagraphFont"/>
    <w:link w:val="E-mailSignature"/>
    <w:uiPriority w:val="49"/>
    <w:semiHidden/>
    <w:rsid w:val="00716818"/>
    <w:rPr>
      <w:rFonts w:cs="Calibri"/>
      <w:sz w:val="22"/>
      <w:szCs w:val="22"/>
    </w:rPr>
  </w:style>
  <w:style w:type="character" w:styleId="Emphasis">
    <w:name w:val="Emphasis"/>
    <w:uiPriority w:val="20"/>
    <w:semiHidden/>
    <w:qFormat/>
    <w:rsid w:val="00716818"/>
    <w:rPr>
      <w:i/>
      <w:iCs/>
    </w:rPr>
  </w:style>
  <w:style w:type="character" w:styleId="EndnoteReference">
    <w:name w:val="endnote reference"/>
    <w:uiPriority w:val="49"/>
    <w:semiHidden/>
    <w:rsid w:val="00716818"/>
    <w:rPr>
      <w:vertAlign w:val="superscript"/>
    </w:rPr>
  </w:style>
  <w:style w:type="paragraph" w:styleId="EndnoteText">
    <w:name w:val="endnote text"/>
    <w:basedOn w:val="Normal"/>
    <w:link w:val="EndnoteTextChar"/>
    <w:uiPriority w:val="49"/>
    <w:semiHidden/>
    <w:rsid w:val="00716818"/>
  </w:style>
  <w:style w:type="character" w:customStyle="1" w:styleId="EndnoteTextChar">
    <w:name w:val="Endnote Text Char"/>
    <w:basedOn w:val="DefaultParagraphFont"/>
    <w:link w:val="EndnoteText"/>
    <w:uiPriority w:val="49"/>
    <w:semiHidden/>
    <w:rsid w:val="00716818"/>
    <w:rPr>
      <w:rFonts w:cs="Calibri"/>
      <w:sz w:val="22"/>
      <w:szCs w:val="22"/>
    </w:rPr>
  </w:style>
  <w:style w:type="paragraph" w:styleId="EnvelopeAddress">
    <w:name w:val="envelope address"/>
    <w:basedOn w:val="Normal"/>
    <w:uiPriority w:val="49"/>
    <w:semiHidden/>
    <w:rsid w:val="00716818"/>
    <w:pPr>
      <w:framePr w:w="7920" w:h="1980" w:hRule="exact" w:hSpace="180" w:wrap="auto" w:hAnchor="page" w:xAlign="center" w:yAlign="bottom"/>
      <w:ind w:left="2880"/>
    </w:pPr>
    <w:rPr>
      <w:sz w:val="24"/>
      <w:szCs w:val="24"/>
    </w:rPr>
  </w:style>
  <w:style w:type="paragraph" w:styleId="EnvelopeReturn">
    <w:name w:val="envelope return"/>
    <w:basedOn w:val="Normal"/>
    <w:uiPriority w:val="49"/>
    <w:semiHidden/>
    <w:rsid w:val="00716818"/>
  </w:style>
  <w:style w:type="paragraph" w:customStyle="1" w:styleId="FactSheetBullet1">
    <w:name w:val="Fact Sheet Bullet 1"/>
    <w:basedOn w:val="Normal"/>
    <w:semiHidden/>
    <w:rsid w:val="00716818"/>
    <w:pPr>
      <w:spacing w:after="60" w:line="220" w:lineRule="atLeast"/>
      <w:ind w:left="0"/>
      <w:contextualSpacing/>
    </w:pPr>
    <w:rPr>
      <w:sz w:val="18"/>
    </w:rPr>
  </w:style>
  <w:style w:type="paragraph" w:customStyle="1" w:styleId="FactSheetBullet2">
    <w:name w:val="Fact Sheet Bullet 2"/>
    <w:basedOn w:val="Normal"/>
    <w:semiHidden/>
    <w:rsid w:val="00716818"/>
    <w:pPr>
      <w:spacing w:before="80" w:after="60" w:line="220" w:lineRule="atLeast"/>
      <w:ind w:left="0"/>
      <w:contextualSpacing/>
    </w:pPr>
    <w:rPr>
      <w:sz w:val="18"/>
    </w:rPr>
  </w:style>
  <w:style w:type="paragraph" w:customStyle="1" w:styleId="FactSheetBullet3">
    <w:name w:val="Fact Sheet Bullet 3"/>
    <w:basedOn w:val="FactSheetBullet2"/>
    <w:semiHidden/>
    <w:rsid w:val="00716818"/>
  </w:style>
  <w:style w:type="character" w:styleId="FollowedHyperlink">
    <w:name w:val="FollowedHyperlink"/>
    <w:uiPriority w:val="99"/>
    <w:semiHidden/>
    <w:rsid w:val="00716818"/>
    <w:rPr>
      <w:color w:val="800080"/>
      <w:u w:val="single"/>
    </w:rPr>
  </w:style>
  <w:style w:type="character" w:styleId="FootnoteReference">
    <w:name w:val="footnote reference"/>
    <w:uiPriority w:val="49"/>
    <w:semiHidden/>
    <w:rsid w:val="00716818"/>
    <w:rPr>
      <w:vertAlign w:val="superscript"/>
    </w:rPr>
  </w:style>
  <w:style w:type="paragraph" w:styleId="FootnoteText">
    <w:name w:val="footnote text"/>
    <w:basedOn w:val="Normal"/>
    <w:link w:val="FootnoteTextChar"/>
    <w:uiPriority w:val="49"/>
    <w:semiHidden/>
    <w:rsid w:val="00716818"/>
  </w:style>
  <w:style w:type="character" w:customStyle="1" w:styleId="FootnoteTextChar">
    <w:name w:val="Footnote Text Char"/>
    <w:basedOn w:val="DefaultParagraphFont"/>
    <w:link w:val="FootnoteText"/>
    <w:uiPriority w:val="49"/>
    <w:semiHidden/>
    <w:rsid w:val="00716818"/>
    <w:rPr>
      <w:rFonts w:cs="Calibri"/>
      <w:sz w:val="22"/>
      <w:szCs w:val="22"/>
    </w:rPr>
  </w:style>
  <w:style w:type="paragraph" w:customStyle="1" w:styleId="Heading1NoNum">
    <w:name w:val="Heading 1 NoNum"/>
    <w:basedOn w:val="Heading1"/>
    <w:next w:val="Normal"/>
    <w:uiPriority w:val="4"/>
    <w:qFormat/>
    <w:rsid w:val="00716818"/>
    <w:pPr>
      <w:numPr>
        <w:numId w:val="0"/>
      </w:numPr>
      <w:ind w:left="794"/>
    </w:pPr>
  </w:style>
  <w:style w:type="paragraph" w:customStyle="1" w:styleId="Heading2NoNum">
    <w:name w:val="Heading 2 NoNum"/>
    <w:basedOn w:val="Heading2"/>
    <w:next w:val="Normal"/>
    <w:uiPriority w:val="4"/>
    <w:qFormat/>
    <w:rsid w:val="00716818"/>
    <w:pPr>
      <w:numPr>
        <w:ilvl w:val="0"/>
        <w:numId w:val="0"/>
      </w:numPr>
      <w:ind w:left="794"/>
    </w:pPr>
  </w:style>
  <w:style w:type="paragraph" w:customStyle="1" w:styleId="Heading3NoNum">
    <w:name w:val="Heading 3 NoNum"/>
    <w:basedOn w:val="Heading3"/>
    <w:next w:val="Normal"/>
    <w:uiPriority w:val="4"/>
    <w:qFormat/>
    <w:rsid w:val="00716818"/>
    <w:pPr>
      <w:numPr>
        <w:ilvl w:val="0"/>
        <w:numId w:val="0"/>
      </w:numPr>
      <w:ind w:left="794"/>
    </w:pPr>
  </w:style>
  <w:style w:type="paragraph" w:customStyle="1" w:styleId="Heading4NoNum">
    <w:name w:val="Heading 4 NoNum"/>
    <w:basedOn w:val="Heading4"/>
    <w:uiPriority w:val="4"/>
    <w:qFormat/>
    <w:rsid w:val="00716818"/>
    <w:pPr>
      <w:numPr>
        <w:ilvl w:val="0"/>
        <w:numId w:val="0"/>
      </w:numPr>
      <w:ind w:left="794"/>
    </w:pPr>
  </w:style>
  <w:style w:type="character" w:styleId="HTMLAcronym">
    <w:name w:val="HTML Acronym"/>
    <w:basedOn w:val="DefaultParagraphFont"/>
    <w:uiPriority w:val="99"/>
    <w:semiHidden/>
    <w:rsid w:val="00716818"/>
  </w:style>
  <w:style w:type="paragraph" w:styleId="HTMLAddress">
    <w:name w:val="HTML Address"/>
    <w:basedOn w:val="Normal"/>
    <w:link w:val="HTMLAddressChar"/>
    <w:uiPriority w:val="49"/>
    <w:semiHidden/>
    <w:rsid w:val="00716818"/>
    <w:rPr>
      <w:i/>
      <w:iCs/>
    </w:rPr>
  </w:style>
  <w:style w:type="character" w:customStyle="1" w:styleId="HTMLAddressChar">
    <w:name w:val="HTML Address Char"/>
    <w:basedOn w:val="DefaultParagraphFont"/>
    <w:link w:val="HTMLAddress"/>
    <w:uiPriority w:val="49"/>
    <w:semiHidden/>
    <w:rsid w:val="00716818"/>
    <w:rPr>
      <w:rFonts w:cs="Calibri"/>
      <w:i/>
      <w:iCs/>
      <w:sz w:val="22"/>
      <w:szCs w:val="22"/>
    </w:rPr>
  </w:style>
  <w:style w:type="character" w:styleId="HTMLCite">
    <w:name w:val="HTML Cite"/>
    <w:uiPriority w:val="99"/>
    <w:semiHidden/>
    <w:rsid w:val="00716818"/>
    <w:rPr>
      <w:i/>
      <w:iCs/>
    </w:rPr>
  </w:style>
  <w:style w:type="character" w:styleId="HTMLCode">
    <w:name w:val="HTML Code"/>
    <w:uiPriority w:val="99"/>
    <w:semiHidden/>
    <w:rsid w:val="00716818"/>
    <w:rPr>
      <w:sz w:val="20"/>
      <w:szCs w:val="20"/>
    </w:rPr>
  </w:style>
  <w:style w:type="character" w:styleId="HTMLDefinition">
    <w:name w:val="HTML Definition"/>
    <w:uiPriority w:val="99"/>
    <w:semiHidden/>
    <w:rsid w:val="00716818"/>
    <w:rPr>
      <w:i/>
      <w:iCs/>
    </w:rPr>
  </w:style>
  <w:style w:type="character" w:styleId="HTMLKeyboard">
    <w:name w:val="HTML Keyboard"/>
    <w:uiPriority w:val="99"/>
    <w:semiHidden/>
    <w:rsid w:val="00716818"/>
    <w:rPr>
      <w:sz w:val="20"/>
      <w:szCs w:val="20"/>
    </w:rPr>
  </w:style>
  <w:style w:type="paragraph" w:styleId="HTMLPreformatted">
    <w:name w:val="HTML Preformatted"/>
    <w:basedOn w:val="Normal"/>
    <w:link w:val="HTMLPreformattedChar"/>
    <w:uiPriority w:val="49"/>
    <w:semiHidden/>
    <w:rsid w:val="00716818"/>
  </w:style>
  <w:style w:type="character" w:customStyle="1" w:styleId="HTMLPreformattedChar">
    <w:name w:val="HTML Preformatted Char"/>
    <w:basedOn w:val="DefaultParagraphFont"/>
    <w:link w:val="HTMLPreformatted"/>
    <w:uiPriority w:val="49"/>
    <w:semiHidden/>
    <w:rsid w:val="00716818"/>
    <w:rPr>
      <w:rFonts w:cs="Calibri"/>
      <w:sz w:val="22"/>
      <w:szCs w:val="22"/>
    </w:rPr>
  </w:style>
  <w:style w:type="character" w:styleId="HTMLSample">
    <w:name w:val="HTML Sample"/>
    <w:uiPriority w:val="99"/>
    <w:semiHidden/>
    <w:rsid w:val="00716818"/>
    <w:rPr>
      <w:sz w:val="24"/>
      <w:szCs w:val="24"/>
    </w:rPr>
  </w:style>
  <w:style w:type="character" w:styleId="HTMLTypewriter">
    <w:name w:val="HTML Typewriter"/>
    <w:uiPriority w:val="99"/>
    <w:semiHidden/>
    <w:rsid w:val="00716818"/>
    <w:rPr>
      <w:sz w:val="20"/>
      <w:szCs w:val="20"/>
    </w:rPr>
  </w:style>
  <w:style w:type="character" w:styleId="HTMLVariable">
    <w:name w:val="HTML Variable"/>
    <w:uiPriority w:val="99"/>
    <w:semiHidden/>
    <w:rsid w:val="00716818"/>
    <w:rPr>
      <w:i/>
      <w:iCs/>
    </w:rPr>
  </w:style>
  <w:style w:type="character" w:styleId="Hyperlink">
    <w:name w:val="Hyperlink"/>
    <w:uiPriority w:val="99"/>
    <w:semiHidden/>
    <w:rsid w:val="00716818"/>
    <w:rPr>
      <w:color w:val="404040"/>
      <w:u w:val="none"/>
    </w:rPr>
  </w:style>
  <w:style w:type="paragraph" w:styleId="Index1">
    <w:name w:val="index 1"/>
    <w:basedOn w:val="Normal"/>
    <w:next w:val="Normal"/>
    <w:autoRedefine/>
    <w:uiPriority w:val="49"/>
    <w:semiHidden/>
    <w:rsid w:val="00716818"/>
    <w:pPr>
      <w:ind w:left="200" w:hanging="200"/>
    </w:pPr>
  </w:style>
  <w:style w:type="paragraph" w:styleId="Index2">
    <w:name w:val="index 2"/>
    <w:basedOn w:val="Normal"/>
    <w:next w:val="Normal"/>
    <w:autoRedefine/>
    <w:uiPriority w:val="49"/>
    <w:semiHidden/>
    <w:rsid w:val="00716818"/>
    <w:pPr>
      <w:ind w:left="400" w:hanging="200"/>
    </w:pPr>
  </w:style>
  <w:style w:type="paragraph" w:styleId="Index3">
    <w:name w:val="index 3"/>
    <w:basedOn w:val="Normal"/>
    <w:next w:val="Normal"/>
    <w:autoRedefine/>
    <w:uiPriority w:val="49"/>
    <w:semiHidden/>
    <w:rsid w:val="00716818"/>
    <w:pPr>
      <w:ind w:left="600" w:hanging="200"/>
    </w:pPr>
  </w:style>
  <w:style w:type="paragraph" w:styleId="Index4">
    <w:name w:val="index 4"/>
    <w:basedOn w:val="Normal"/>
    <w:next w:val="Normal"/>
    <w:autoRedefine/>
    <w:uiPriority w:val="49"/>
    <w:semiHidden/>
    <w:rsid w:val="00716818"/>
    <w:pPr>
      <w:ind w:left="800" w:hanging="200"/>
    </w:pPr>
  </w:style>
  <w:style w:type="paragraph" w:styleId="Index5">
    <w:name w:val="index 5"/>
    <w:basedOn w:val="Normal"/>
    <w:next w:val="Normal"/>
    <w:autoRedefine/>
    <w:uiPriority w:val="49"/>
    <w:semiHidden/>
    <w:rsid w:val="00716818"/>
    <w:pPr>
      <w:ind w:left="1000" w:hanging="200"/>
    </w:pPr>
  </w:style>
  <w:style w:type="paragraph" w:styleId="Index6">
    <w:name w:val="index 6"/>
    <w:basedOn w:val="Normal"/>
    <w:next w:val="Normal"/>
    <w:autoRedefine/>
    <w:uiPriority w:val="49"/>
    <w:semiHidden/>
    <w:rsid w:val="00716818"/>
    <w:pPr>
      <w:ind w:left="1200" w:hanging="200"/>
    </w:pPr>
  </w:style>
  <w:style w:type="paragraph" w:styleId="Index7">
    <w:name w:val="index 7"/>
    <w:basedOn w:val="Normal"/>
    <w:next w:val="Normal"/>
    <w:autoRedefine/>
    <w:uiPriority w:val="49"/>
    <w:semiHidden/>
    <w:rsid w:val="00716818"/>
    <w:pPr>
      <w:ind w:left="1400" w:hanging="200"/>
    </w:pPr>
  </w:style>
  <w:style w:type="paragraph" w:styleId="Index8">
    <w:name w:val="index 8"/>
    <w:basedOn w:val="Normal"/>
    <w:next w:val="Normal"/>
    <w:autoRedefine/>
    <w:uiPriority w:val="49"/>
    <w:semiHidden/>
    <w:rsid w:val="00716818"/>
    <w:pPr>
      <w:ind w:left="1600" w:hanging="200"/>
    </w:pPr>
  </w:style>
  <w:style w:type="paragraph" w:styleId="Index9">
    <w:name w:val="index 9"/>
    <w:basedOn w:val="Normal"/>
    <w:next w:val="Normal"/>
    <w:autoRedefine/>
    <w:uiPriority w:val="49"/>
    <w:semiHidden/>
    <w:rsid w:val="00716818"/>
    <w:pPr>
      <w:ind w:left="1800" w:hanging="200"/>
    </w:pPr>
  </w:style>
  <w:style w:type="paragraph" w:styleId="IndexHeading">
    <w:name w:val="index heading"/>
    <w:basedOn w:val="Normal"/>
    <w:next w:val="Index1"/>
    <w:uiPriority w:val="49"/>
    <w:semiHidden/>
    <w:rsid w:val="00716818"/>
    <w:rPr>
      <w:b/>
      <w:bCs/>
    </w:rPr>
  </w:style>
  <w:style w:type="character" w:styleId="IntenseEmphasis">
    <w:name w:val="Intense Emphasis"/>
    <w:uiPriority w:val="21"/>
    <w:semiHidden/>
    <w:qFormat/>
    <w:rsid w:val="00716818"/>
    <w:rPr>
      <w:b/>
      <w:bCs/>
      <w:i/>
      <w:iCs/>
      <w:color w:val="4F81BD"/>
    </w:rPr>
  </w:style>
  <w:style w:type="character" w:styleId="IntenseReference">
    <w:name w:val="Intense Reference"/>
    <w:uiPriority w:val="32"/>
    <w:semiHidden/>
    <w:qFormat/>
    <w:rsid w:val="00716818"/>
    <w:rPr>
      <w:b/>
      <w:bCs/>
      <w:smallCaps/>
      <w:color w:val="C0504D"/>
      <w:spacing w:val="5"/>
      <w:u w:val="single"/>
    </w:rPr>
  </w:style>
  <w:style w:type="table" w:styleId="LightGrid">
    <w:name w:val="Light Grid"/>
    <w:basedOn w:val="TableNormal"/>
    <w:uiPriority w:val="62"/>
    <w:rsid w:val="00716818"/>
    <w:rPr>
      <w:rFonts w:ascii="Arial" w:hAnsi="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716818"/>
    <w:rPr>
      <w:rFonts w:ascii="Arial" w:hAnsi="Arial"/>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Accent11">
    <w:name w:val="Light Grid - Accent 11"/>
    <w:basedOn w:val="TableNormal"/>
    <w:semiHidden/>
    <w:rsid w:val="00716818"/>
    <w:rPr>
      <w:rFonts w:ascii="Arial" w:hAnsi="Arial"/>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E0EF"/>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E0EF"/>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716818"/>
    <w:rPr>
      <w:rFonts w:ascii="Arial" w:hAnsi="Arial"/>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716818"/>
    <w:rPr>
      <w:rFonts w:ascii="Arial" w:hAnsi="Arial"/>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rsid w:val="00716818"/>
    <w:rPr>
      <w:rFonts w:ascii="Arial" w:hAnsi="Arial"/>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rsid w:val="00716818"/>
    <w:rPr>
      <w:rFonts w:ascii="Arial" w:hAnsi="Arial"/>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rsid w:val="00716818"/>
    <w:rPr>
      <w:rFonts w:ascii="Arial" w:hAnsi="Arial"/>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Grid1">
    <w:name w:val="Light Grid1"/>
    <w:basedOn w:val="TableNormal"/>
    <w:semiHidden/>
    <w:rsid w:val="00716818"/>
    <w:rPr>
      <w:rFonts w:ascii="Arial" w:hAnsi="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BFBFBF"/>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BFBFBF"/>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List">
    <w:name w:val="Light List"/>
    <w:basedOn w:val="TableNormal"/>
    <w:uiPriority w:val="61"/>
    <w:rsid w:val="00716818"/>
    <w:rPr>
      <w:rFonts w:ascii="Arial" w:hAnsi="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716818"/>
    <w:rPr>
      <w:rFonts w:ascii="Arial" w:hAnsi="Arial"/>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11">
    <w:name w:val="Light List - Accent 11"/>
    <w:basedOn w:val="TableNormal"/>
    <w:semiHidden/>
    <w:rsid w:val="00716818"/>
    <w:rPr>
      <w:rFonts w:ascii="Arial" w:hAnsi="Arial"/>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716818"/>
    <w:rPr>
      <w:rFonts w:ascii="Arial" w:hAnsi="Arial"/>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716818"/>
    <w:rPr>
      <w:rFonts w:ascii="Arial" w:hAnsi="Arial"/>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716818"/>
    <w:rPr>
      <w:rFonts w:ascii="Arial" w:hAnsi="Arial"/>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rsid w:val="00716818"/>
    <w:rPr>
      <w:rFonts w:ascii="Arial" w:hAnsi="Arial"/>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716818"/>
    <w:rPr>
      <w:rFonts w:ascii="Arial" w:hAnsi="Arial"/>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1">
    <w:name w:val="Light List1"/>
    <w:basedOn w:val="TableNormal"/>
    <w:semiHidden/>
    <w:rsid w:val="00716818"/>
    <w:rPr>
      <w:rFonts w:ascii="Arial" w:hAnsi="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Shading">
    <w:name w:val="Light Shading"/>
    <w:basedOn w:val="TableNormal"/>
    <w:uiPriority w:val="60"/>
    <w:rsid w:val="00716818"/>
    <w:rPr>
      <w:rFonts w:ascii="Arial" w:hAnsi="Arial"/>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716818"/>
    <w:rPr>
      <w:rFonts w:ascii="Arial" w:hAnsi="Arial"/>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11">
    <w:name w:val="Light Shading - Accent 11"/>
    <w:basedOn w:val="TableNormal"/>
    <w:semiHidden/>
    <w:rsid w:val="00716818"/>
    <w:rPr>
      <w:rFonts w:ascii="Arial" w:hAnsi="Arial"/>
      <w:color w:val="376092"/>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E0EF"/>
      </w:tcPr>
    </w:tblStylePr>
    <w:tblStylePr w:type="band1Horz">
      <w:tblPr/>
      <w:tcPr>
        <w:tcBorders>
          <w:left w:val="nil"/>
          <w:right w:val="nil"/>
          <w:insideH w:val="nil"/>
          <w:insideV w:val="nil"/>
        </w:tcBorders>
        <w:shd w:val="clear" w:color="auto" w:fill="D3E0EF"/>
      </w:tcPr>
    </w:tblStylePr>
  </w:style>
  <w:style w:type="table" w:styleId="LightShading-Accent2">
    <w:name w:val="Light Shading Accent 2"/>
    <w:basedOn w:val="TableNormal"/>
    <w:uiPriority w:val="60"/>
    <w:rsid w:val="00716818"/>
    <w:rPr>
      <w:rFonts w:ascii="Arial" w:hAnsi="Arial"/>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716818"/>
    <w:rPr>
      <w:rFonts w:ascii="Arial" w:hAnsi="Arial"/>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716818"/>
    <w:rPr>
      <w:rFonts w:ascii="Arial" w:hAnsi="Arial"/>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716818"/>
    <w:rPr>
      <w:rFonts w:ascii="Arial" w:hAnsi="Arial"/>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716818"/>
    <w:rPr>
      <w:rFonts w:ascii="Arial" w:hAnsi="Arial"/>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LightShading1">
    <w:name w:val="Light Shading1"/>
    <w:basedOn w:val="TableNormal"/>
    <w:semiHidden/>
    <w:rsid w:val="00716818"/>
    <w:rPr>
      <w:rFonts w:ascii="Arial" w:hAnsi="Arial"/>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cPr>
    </w:tblStylePr>
    <w:tblStylePr w:type="band1Horz">
      <w:tblPr/>
      <w:tcPr>
        <w:tcBorders>
          <w:left w:val="nil"/>
          <w:right w:val="nil"/>
          <w:insideH w:val="nil"/>
          <w:insideV w:val="nil"/>
        </w:tcBorders>
        <w:shd w:val="clear" w:color="auto" w:fill="BFBFBF"/>
      </w:tcPr>
    </w:tblStylePr>
  </w:style>
  <w:style w:type="character" w:styleId="LineNumber">
    <w:name w:val="line number"/>
    <w:basedOn w:val="DefaultParagraphFont"/>
    <w:uiPriority w:val="49"/>
    <w:semiHidden/>
    <w:rsid w:val="00716818"/>
  </w:style>
  <w:style w:type="paragraph" w:styleId="List">
    <w:name w:val="List"/>
    <w:basedOn w:val="Normal"/>
    <w:uiPriority w:val="49"/>
    <w:semiHidden/>
    <w:rsid w:val="00716818"/>
    <w:pPr>
      <w:ind w:left="283" w:hanging="283"/>
    </w:pPr>
  </w:style>
  <w:style w:type="paragraph" w:styleId="List2">
    <w:name w:val="List 2"/>
    <w:basedOn w:val="Normal"/>
    <w:uiPriority w:val="49"/>
    <w:semiHidden/>
    <w:rsid w:val="00716818"/>
    <w:pPr>
      <w:ind w:left="566" w:hanging="283"/>
    </w:pPr>
  </w:style>
  <w:style w:type="paragraph" w:styleId="List3">
    <w:name w:val="List 3"/>
    <w:basedOn w:val="Normal"/>
    <w:uiPriority w:val="49"/>
    <w:semiHidden/>
    <w:rsid w:val="00716818"/>
    <w:pPr>
      <w:ind w:left="849" w:hanging="283"/>
    </w:pPr>
  </w:style>
  <w:style w:type="paragraph" w:styleId="List4">
    <w:name w:val="List 4"/>
    <w:basedOn w:val="Normal"/>
    <w:uiPriority w:val="49"/>
    <w:semiHidden/>
    <w:rsid w:val="00716818"/>
    <w:pPr>
      <w:ind w:left="1132" w:hanging="283"/>
    </w:pPr>
  </w:style>
  <w:style w:type="paragraph" w:styleId="List5">
    <w:name w:val="List 5"/>
    <w:basedOn w:val="Normal"/>
    <w:uiPriority w:val="49"/>
    <w:semiHidden/>
    <w:rsid w:val="00716818"/>
    <w:pPr>
      <w:ind w:left="1415" w:hanging="283"/>
    </w:pPr>
  </w:style>
  <w:style w:type="paragraph" w:styleId="ListBullet">
    <w:name w:val="List Bullet"/>
    <w:basedOn w:val="Normal"/>
    <w:uiPriority w:val="99"/>
    <w:semiHidden/>
    <w:unhideWhenUsed/>
    <w:rsid w:val="00716818"/>
    <w:pPr>
      <w:numPr>
        <w:numId w:val="9"/>
      </w:numPr>
      <w:contextualSpacing/>
    </w:pPr>
  </w:style>
  <w:style w:type="paragraph" w:styleId="ListBullet2">
    <w:name w:val="List Bullet 2"/>
    <w:basedOn w:val="Normal"/>
    <w:uiPriority w:val="99"/>
    <w:semiHidden/>
    <w:rsid w:val="00716818"/>
    <w:pPr>
      <w:numPr>
        <w:numId w:val="10"/>
      </w:numPr>
      <w:contextualSpacing/>
    </w:pPr>
  </w:style>
  <w:style w:type="paragraph" w:styleId="ListBullet3">
    <w:name w:val="List Bullet 3"/>
    <w:basedOn w:val="Normal"/>
    <w:uiPriority w:val="99"/>
    <w:semiHidden/>
    <w:rsid w:val="00716818"/>
    <w:pPr>
      <w:numPr>
        <w:numId w:val="11"/>
      </w:numPr>
      <w:contextualSpacing/>
    </w:pPr>
  </w:style>
  <w:style w:type="paragraph" w:styleId="ListBullet4">
    <w:name w:val="List Bullet 4"/>
    <w:basedOn w:val="Normal"/>
    <w:uiPriority w:val="49"/>
    <w:semiHidden/>
    <w:rsid w:val="00716818"/>
    <w:pPr>
      <w:tabs>
        <w:tab w:val="num" w:pos="1209"/>
      </w:tabs>
      <w:ind w:left="1209" w:hanging="360"/>
    </w:pPr>
  </w:style>
  <w:style w:type="paragraph" w:styleId="ListBullet5">
    <w:name w:val="List Bullet 5"/>
    <w:basedOn w:val="Normal"/>
    <w:uiPriority w:val="49"/>
    <w:semiHidden/>
    <w:rsid w:val="00716818"/>
    <w:pPr>
      <w:tabs>
        <w:tab w:val="num" w:pos="1492"/>
      </w:tabs>
      <w:ind w:left="1492" w:hanging="360"/>
    </w:pPr>
  </w:style>
  <w:style w:type="paragraph" w:customStyle="1" w:styleId="ListBulletBold">
    <w:name w:val="List Bullet Bold"/>
    <w:basedOn w:val="Normal"/>
    <w:next w:val="Normal"/>
    <w:uiPriority w:val="49"/>
    <w:semiHidden/>
    <w:rsid w:val="00716818"/>
    <w:rPr>
      <w:b/>
    </w:rPr>
  </w:style>
  <w:style w:type="paragraph" w:styleId="ListContinue">
    <w:name w:val="List Continue"/>
    <w:basedOn w:val="Normal"/>
    <w:uiPriority w:val="8"/>
    <w:semiHidden/>
    <w:qFormat/>
    <w:rsid w:val="00716818"/>
    <w:pPr>
      <w:spacing w:before="0" w:after="0"/>
      <w:ind w:left="1077"/>
    </w:pPr>
  </w:style>
  <w:style w:type="paragraph" w:styleId="ListContinue2">
    <w:name w:val="List Continue 2"/>
    <w:basedOn w:val="Normal"/>
    <w:uiPriority w:val="8"/>
    <w:semiHidden/>
    <w:rsid w:val="00716818"/>
    <w:pPr>
      <w:spacing w:before="0" w:after="0"/>
      <w:ind w:left="1361"/>
    </w:pPr>
  </w:style>
  <w:style w:type="paragraph" w:styleId="ListContinue3">
    <w:name w:val="List Continue 3"/>
    <w:basedOn w:val="Normal"/>
    <w:uiPriority w:val="8"/>
    <w:semiHidden/>
    <w:rsid w:val="00716818"/>
    <w:pPr>
      <w:spacing w:before="0" w:after="0"/>
      <w:ind w:left="1644"/>
    </w:pPr>
  </w:style>
  <w:style w:type="paragraph" w:styleId="ListContinue4">
    <w:name w:val="List Continue 4"/>
    <w:basedOn w:val="Normal"/>
    <w:uiPriority w:val="49"/>
    <w:semiHidden/>
    <w:rsid w:val="00716818"/>
    <w:pPr>
      <w:spacing w:after="120"/>
      <w:ind w:left="1132"/>
    </w:pPr>
  </w:style>
  <w:style w:type="paragraph" w:styleId="ListContinue5">
    <w:name w:val="List Continue 5"/>
    <w:basedOn w:val="Normal"/>
    <w:uiPriority w:val="49"/>
    <w:semiHidden/>
    <w:rsid w:val="00716818"/>
    <w:pPr>
      <w:spacing w:after="120"/>
      <w:ind w:left="1415"/>
    </w:pPr>
  </w:style>
  <w:style w:type="paragraph" w:styleId="ListNumber">
    <w:name w:val="List Number"/>
    <w:basedOn w:val="Normal"/>
    <w:qFormat/>
    <w:rsid w:val="00716818"/>
    <w:pPr>
      <w:numPr>
        <w:numId w:val="12"/>
      </w:numPr>
      <w:contextualSpacing/>
    </w:pPr>
  </w:style>
  <w:style w:type="paragraph" w:styleId="ListNumber2">
    <w:name w:val="List Number 2"/>
    <w:basedOn w:val="Normal"/>
    <w:rsid w:val="00716818"/>
    <w:pPr>
      <w:numPr>
        <w:ilvl w:val="1"/>
        <w:numId w:val="12"/>
      </w:numPr>
      <w:contextualSpacing/>
    </w:pPr>
  </w:style>
  <w:style w:type="paragraph" w:styleId="ListNumber3">
    <w:name w:val="List Number 3"/>
    <w:basedOn w:val="Normal"/>
    <w:rsid w:val="00716818"/>
    <w:pPr>
      <w:numPr>
        <w:ilvl w:val="2"/>
        <w:numId w:val="12"/>
      </w:numPr>
      <w:contextualSpacing/>
    </w:pPr>
  </w:style>
  <w:style w:type="paragraph" w:styleId="ListNumber4">
    <w:name w:val="List Number 4"/>
    <w:basedOn w:val="Normal"/>
    <w:rsid w:val="00716818"/>
    <w:pPr>
      <w:tabs>
        <w:tab w:val="num" w:pos="1209"/>
      </w:tabs>
      <w:ind w:left="1209" w:hanging="360"/>
    </w:pPr>
  </w:style>
  <w:style w:type="paragraph" w:styleId="ListNumber5">
    <w:name w:val="List Number 5"/>
    <w:basedOn w:val="Normal"/>
    <w:uiPriority w:val="49"/>
    <w:semiHidden/>
    <w:rsid w:val="00716818"/>
    <w:pPr>
      <w:tabs>
        <w:tab w:val="num" w:pos="1492"/>
      </w:tabs>
      <w:ind w:left="1492" w:hanging="360"/>
    </w:pPr>
  </w:style>
  <w:style w:type="paragraph" w:styleId="ListParagraph">
    <w:name w:val="List Paragraph"/>
    <w:basedOn w:val="Normal"/>
    <w:uiPriority w:val="34"/>
    <w:qFormat/>
    <w:rsid w:val="00716818"/>
    <w:pPr>
      <w:ind w:left="720"/>
      <w:contextualSpacing/>
    </w:pPr>
  </w:style>
  <w:style w:type="paragraph" w:styleId="MacroText">
    <w:name w:val="macro"/>
    <w:link w:val="MacroTextChar"/>
    <w:uiPriority w:val="49"/>
    <w:semiHidden/>
    <w:rsid w:val="00716818"/>
    <w:rPr>
      <w:rFonts w:cs="Calibri"/>
      <w:sz w:val="22"/>
      <w:szCs w:val="22"/>
    </w:rPr>
  </w:style>
  <w:style w:type="character" w:customStyle="1" w:styleId="MacroTextChar">
    <w:name w:val="Macro Text Char"/>
    <w:basedOn w:val="DefaultParagraphFont"/>
    <w:link w:val="MacroText"/>
    <w:uiPriority w:val="49"/>
    <w:semiHidden/>
    <w:rsid w:val="00716818"/>
    <w:rPr>
      <w:rFonts w:cs="Calibri"/>
      <w:sz w:val="22"/>
      <w:szCs w:val="22"/>
    </w:rPr>
  </w:style>
  <w:style w:type="table" w:styleId="MediumGrid1">
    <w:name w:val="Medium Grid 1"/>
    <w:basedOn w:val="TableNormal"/>
    <w:uiPriority w:val="67"/>
    <w:rsid w:val="00716818"/>
    <w:rPr>
      <w:rFonts w:ascii="Arial" w:hAnsi="Arial"/>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716818"/>
    <w:rPr>
      <w:rFonts w:ascii="Arial" w:hAnsi="Arial"/>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716818"/>
    <w:rPr>
      <w:rFonts w:ascii="Arial" w:hAnsi="Arial"/>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716818"/>
    <w:rPr>
      <w:rFonts w:ascii="Arial" w:hAnsi="Arial"/>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716818"/>
    <w:rPr>
      <w:rFonts w:ascii="Arial" w:hAnsi="Arial"/>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716818"/>
    <w:rPr>
      <w:rFonts w:ascii="Arial" w:hAnsi="Arial"/>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716818"/>
    <w:rPr>
      <w:rFonts w:ascii="Arial" w:hAnsi="Arial"/>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rid11">
    <w:name w:val="Medium Grid 11"/>
    <w:basedOn w:val="TableNormal"/>
    <w:semiHidden/>
    <w:rsid w:val="00716818"/>
    <w:rPr>
      <w:rFonts w:ascii="Arial" w:hAnsi="Arial"/>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BFBFBF"/>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2">
    <w:name w:val="Medium Grid 2"/>
    <w:basedOn w:val="TableNormal"/>
    <w:uiPriority w:val="68"/>
    <w:rsid w:val="00716818"/>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716818"/>
    <w:rPr>
      <w:rFonts w:ascii="Cambria" w:hAnsi="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716818"/>
    <w:rPr>
      <w:rFonts w:ascii="Cambria" w:hAnsi="Cambria"/>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716818"/>
    <w:rPr>
      <w:rFonts w:ascii="Cambria" w:hAnsi="Cambria"/>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716818"/>
    <w:rPr>
      <w:rFonts w:ascii="Cambria" w:hAnsi="Cambria"/>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716818"/>
    <w:rPr>
      <w:rFonts w:ascii="Cambria"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716818"/>
    <w:rPr>
      <w:rFonts w:ascii="Cambria" w:hAnsi="Cambria"/>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rid21">
    <w:name w:val="Medium Grid 21"/>
    <w:basedOn w:val="TableNormal"/>
    <w:semiHidden/>
    <w:rsid w:val="00716818"/>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BFBFBF"/>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3">
    <w:name w:val="Medium Grid 3"/>
    <w:basedOn w:val="TableNormal"/>
    <w:uiPriority w:val="69"/>
    <w:rsid w:val="00716818"/>
    <w:rPr>
      <w:rFonts w:ascii="Arial" w:hAnsi="Arial"/>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716818"/>
    <w:rPr>
      <w:rFonts w:ascii="Arial" w:hAnsi="Arial"/>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716818"/>
    <w:rPr>
      <w:rFonts w:ascii="Arial" w:hAnsi="Arial"/>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716818"/>
    <w:rPr>
      <w:rFonts w:ascii="Arial" w:hAnsi="Arial"/>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rsid w:val="00716818"/>
    <w:rPr>
      <w:rFonts w:ascii="Arial" w:hAnsi="Arial"/>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rsid w:val="00716818"/>
    <w:rPr>
      <w:rFonts w:ascii="Arial" w:hAnsi="Arial"/>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rsid w:val="00716818"/>
    <w:rPr>
      <w:rFonts w:ascii="Arial" w:hAnsi="Arial"/>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MediumGrid31">
    <w:name w:val="Medium Grid 31"/>
    <w:basedOn w:val="TableNormal"/>
    <w:semiHidden/>
    <w:rsid w:val="00716818"/>
    <w:rPr>
      <w:rFonts w:ascii="Arial" w:hAnsi="Arial"/>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BFBFBF"/>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List1">
    <w:name w:val="Medium List 1"/>
    <w:basedOn w:val="TableNormal"/>
    <w:uiPriority w:val="65"/>
    <w:rsid w:val="00716818"/>
    <w:rPr>
      <w:rFonts w:ascii="Arial" w:hAnsi="Arial"/>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716818"/>
    <w:rPr>
      <w:rFonts w:ascii="Arial" w:hAnsi="Arial"/>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11">
    <w:name w:val="Medium List 1 - Accent 11"/>
    <w:basedOn w:val="TableNormal"/>
    <w:semiHidden/>
    <w:rsid w:val="00716818"/>
    <w:rPr>
      <w:rFonts w:ascii="Arial" w:hAnsi="Arial"/>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E0EF"/>
      </w:tcPr>
    </w:tblStylePr>
    <w:tblStylePr w:type="band1Horz">
      <w:tblPr/>
      <w:tcPr>
        <w:shd w:val="clear" w:color="auto" w:fill="D3E0EF"/>
      </w:tcPr>
    </w:tblStylePr>
  </w:style>
  <w:style w:type="table" w:styleId="MediumList1-Accent2">
    <w:name w:val="Medium List 1 Accent 2"/>
    <w:basedOn w:val="TableNormal"/>
    <w:uiPriority w:val="65"/>
    <w:rsid w:val="00716818"/>
    <w:rPr>
      <w:rFonts w:ascii="Arial" w:hAnsi="Arial"/>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716818"/>
    <w:rPr>
      <w:rFonts w:ascii="Arial" w:hAnsi="Arial"/>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716818"/>
    <w:rPr>
      <w:rFonts w:ascii="Arial" w:hAnsi="Arial"/>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716818"/>
    <w:rPr>
      <w:rFonts w:ascii="Arial" w:hAnsi="Arial"/>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716818"/>
    <w:rPr>
      <w:rFonts w:ascii="Arial" w:hAnsi="Arial"/>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ediumList11">
    <w:name w:val="Medium List 11"/>
    <w:basedOn w:val="TableNormal"/>
    <w:semiHidden/>
    <w:rsid w:val="00716818"/>
    <w:rPr>
      <w:rFonts w:ascii="Arial" w:hAnsi="Arial"/>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BFBFBF"/>
      </w:tcPr>
    </w:tblStylePr>
    <w:tblStylePr w:type="band1Horz">
      <w:tblPr/>
      <w:tcPr>
        <w:shd w:val="clear" w:color="auto" w:fill="BFBFBF"/>
      </w:tcPr>
    </w:tblStylePr>
  </w:style>
  <w:style w:type="table" w:styleId="MediumList2">
    <w:name w:val="Medium List 2"/>
    <w:basedOn w:val="TableNormal"/>
    <w:uiPriority w:val="66"/>
    <w:rsid w:val="00716818"/>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716818"/>
    <w:rPr>
      <w:rFonts w:ascii="Cambria" w:hAnsi="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716818"/>
    <w:rPr>
      <w:rFonts w:ascii="Cambria" w:hAnsi="Cambria"/>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716818"/>
    <w:rPr>
      <w:rFonts w:ascii="Cambria" w:hAnsi="Cambria"/>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716818"/>
    <w:rPr>
      <w:rFonts w:ascii="Cambria" w:hAnsi="Cambria"/>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716818"/>
    <w:rPr>
      <w:rFonts w:ascii="Cambria"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716818"/>
    <w:rPr>
      <w:rFonts w:ascii="Cambria" w:hAnsi="Cambria"/>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ediumList21">
    <w:name w:val="Medium List 21"/>
    <w:basedOn w:val="TableNormal"/>
    <w:semiHidden/>
    <w:rsid w:val="00716818"/>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BFBFBF"/>
      </w:tcPr>
    </w:tblStylePr>
    <w:tblStylePr w:type="band1Horz">
      <w:tblPr/>
      <w:tcPr>
        <w:tcBorders>
          <w:top w:val="nil"/>
          <w:bottom w:val="nil"/>
          <w:insideH w:val="nil"/>
          <w:insideV w:val="nil"/>
        </w:tcBorders>
        <w:shd w:val="clear" w:color="auto" w:fill="BFBFBF"/>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716818"/>
    <w:rPr>
      <w:rFonts w:ascii="Arial" w:hAnsi="Arial"/>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716818"/>
    <w:rPr>
      <w:rFonts w:ascii="Arial" w:hAnsi="Arial"/>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1">
    <w:name w:val="Medium Shading 1 - Accent 11"/>
    <w:basedOn w:val="TableNormal"/>
    <w:semiHidden/>
    <w:rsid w:val="00716818"/>
    <w:rPr>
      <w:rFonts w:ascii="Arial" w:hAnsi="Arial"/>
    </w:rPr>
    <w:tblPr>
      <w:tblStyleRowBandSize w:val="1"/>
      <w:tblStyleColBandSize w:val="1"/>
      <w:tblInd w:w="0" w:type="dxa"/>
      <w:tblBorders>
        <w:top w:val="single" w:sz="8" w:space="0" w:color="7BA1CE"/>
        <w:left w:val="single" w:sz="8" w:space="0" w:color="7BA1CE"/>
        <w:bottom w:val="single" w:sz="8" w:space="0" w:color="7BA1CE"/>
        <w:right w:val="single" w:sz="8" w:space="0" w:color="7BA1CE"/>
        <w:insideH w:val="single" w:sz="8" w:space="0" w:color="7BA1CE"/>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1CE"/>
          <w:left w:val="single" w:sz="8" w:space="0" w:color="7BA1CE"/>
          <w:bottom w:val="single" w:sz="8" w:space="0" w:color="7BA1CE"/>
          <w:right w:val="single" w:sz="8" w:space="0" w:color="7BA1CE"/>
          <w:insideH w:val="nil"/>
          <w:insideV w:val="nil"/>
        </w:tcBorders>
        <w:shd w:val="clear" w:color="auto" w:fill="4F81BD"/>
      </w:tcPr>
    </w:tblStylePr>
    <w:tblStylePr w:type="lastRow">
      <w:pPr>
        <w:spacing w:before="0" w:after="0" w:line="240" w:lineRule="auto"/>
      </w:pPr>
      <w:rPr>
        <w:b/>
        <w:bCs/>
      </w:rPr>
      <w:tblPr/>
      <w:tcPr>
        <w:tcBorders>
          <w:top w:val="double" w:sz="6" w:space="0" w:color="7BA1CE"/>
          <w:left w:val="single" w:sz="8" w:space="0" w:color="7BA1CE"/>
          <w:bottom w:val="single" w:sz="8" w:space="0" w:color="7BA1CE"/>
          <w:right w:val="single" w:sz="8" w:space="0" w:color="7BA1CE"/>
          <w:insideH w:val="nil"/>
          <w:insideV w:val="nil"/>
        </w:tcBorders>
      </w:tcPr>
    </w:tblStylePr>
    <w:tblStylePr w:type="firstCol">
      <w:rPr>
        <w:b/>
        <w:bCs/>
      </w:rPr>
    </w:tblStylePr>
    <w:tblStylePr w:type="lastCol">
      <w:rPr>
        <w:b/>
        <w:bCs/>
      </w:rPr>
    </w:tblStylePr>
    <w:tblStylePr w:type="band1Vert">
      <w:tblPr/>
      <w:tcPr>
        <w:shd w:val="clear" w:color="auto" w:fill="D3E0EF"/>
      </w:tcPr>
    </w:tblStylePr>
    <w:tblStylePr w:type="band1Horz">
      <w:tblPr/>
      <w:tcPr>
        <w:tcBorders>
          <w:insideH w:val="nil"/>
          <w:insideV w:val="nil"/>
        </w:tcBorders>
        <w:shd w:val="clear" w:color="auto" w:fill="D3E0E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716818"/>
    <w:rPr>
      <w:rFonts w:ascii="Arial" w:hAnsi="Arial"/>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716818"/>
    <w:rPr>
      <w:rFonts w:ascii="Arial" w:hAnsi="Arial"/>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716818"/>
    <w:rPr>
      <w:rFonts w:ascii="Arial" w:hAnsi="Arial"/>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716818"/>
    <w:rPr>
      <w:rFonts w:ascii="Arial" w:hAnsi="Arial"/>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716818"/>
    <w:rPr>
      <w:rFonts w:ascii="Arial" w:hAnsi="Arial"/>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11">
    <w:name w:val="Medium Shading 11"/>
    <w:basedOn w:val="TableNormal"/>
    <w:semiHidden/>
    <w:rsid w:val="00716818"/>
    <w:rPr>
      <w:rFonts w:ascii="Arial" w:hAnsi="Arial"/>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BFBFBF"/>
      </w:tcPr>
    </w:tblStylePr>
    <w:tblStylePr w:type="band1Horz">
      <w:tblPr/>
      <w:tcPr>
        <w:tcBorders>
          <w:insideH w:val="nil"/>
          <w:insideV w:val="nil"/>
        </w:tcBorders>
        <w:shd w:val="clear" w:color="auto" w:fill="BFBFBF"/>
      </w:tcPr>
    </w:tblStylePr>
    <w:tblStylePr w:type="band2Horz">
      <w:tblPr/>
      <w:tcPr>
        <w:tcBorders>
          <w:insideH w:val="nil"/>
          <w:insideV w:val="nil"/>
        </w:tcBorders>
      </w:tcPr>
    </w:tblStylePr>
  </w:style>
  <w:style w:type="table" w:styleId="MediumShading2">
    <w:name w:val="Medium Shading 2"/>
    <w:basedOn w:val="TableNormal"/>
    <w:uiPriority w:val="64"/>
    <w:rsid w:val="00716818"/>
    <w:rPr>
      <w:rFonts w:ascii="Arial" w:hAnsi="Arial"/>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716818"/>
    <w:rPr>
      <w:rFonts w:ascii="Arial" w:hAnsi="Arial"/>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semiHidden/>
    <w:rsid w:val="00716818"/>
    <w:rPr>
      <w:rFonts w:ascii="Arial" w:hAnsi="Arial"/>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9D9D9"/>
      </w:tcPr>
    </w:tblStylePr>
    <w:tblStylePr w:type="band1Horz">
      <w:tblPr/>
      <w:tcPr>
        <w:shd w:val="clear" w:color="auto" w:fill="D9D9D9"/>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716818"/>
    <w:rPr>
      <w:rFonts w:ascii="Arial" w:hAnsi="Arial"/>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716818"/>
    <w:rPr>
      <w:rFonts w:ascii="Arial" w:hAnsi="Arial"/>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716818"/>
    <w:rPr>
      <w:rFonts w:ascii="Arial" w:hAnsi="Arial"/>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716818"/>
    <w:rPr>
      <w:rFonts w:ascii="Arial" w:hAnsi="Arial"/>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716818"/>
    <w:rPr>
      <w:rFonts w:ascii="Arial" w:hAnsi="Arial"/>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1">
    <w:name w:val="Medium Shading 21"/>
    <w:basedOn w:val="TableNormal"/>
    <w:semiHidden/>
    <w:rsid w:val="00716818"/>
    <w:rPr>
      <w:rFonts w:ascii="Arial" w:hAnsi="Arial"/>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9D9D9"/>
      </w:tcPr>
    </w:tblStylePr>
    <w:tblStylePr w:type="band1Horz">
      <w:tblPr/>
      <w:tcPr>
        <w:shd w:val="clear" w:color="auto" w:fill="D9D9D9"/>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49"/>
    <w:semiHidden/>
    <w:rsid w:val="00716818"/>
    <w:pPr>
      <w:pBdr>
        <w:top w:val="single" w:sz="6" w:space="1" w:color="auto"/>
        <w:left w:val="single" w:sz="6" w:space="1" w:color="auto"/>
        <w:bottom w:val="single" w:sz="6" w:space="1" w:color="auto"/>
        <w:right w:val="single" w:sz="6" w:space="1" w:color="auto"/>
      </w:pBdr>
      <w:shd w:val="pct20" w:color="auto" w:fill="auto"/>
      <w:ind w:left="1134" w:hanging="1134"/>
    </w:pPr>
    <w:rPr>
      <w:sz w:val="24"/>
      <w:szCs w:val="24"/>
    </w:rPr>
  </w:style>
  <w:style w:type="character" w:customStyle="1" w:styleId="MessageHeaderChar">
    <w:name w:val="Message Header Char"/>
    <w:basedOn w:val="DefaultParagraphFont"/>
    <w:link w:val="MessageHeader"/>
    <w:uiPriority w:val="49"/>
    <w:semiHidden/>
    <w:rsid w:val="00716818"/>
    <w:rPr>
      <w:rFonts w:cs="Calibri"/>
      <w:sz w:val="24"/>
      <w:szCs w:val="24"/>
      <w:shd w:val="pct20" w:color="auto" w:fill="auto"/>
    </w:rPr>
  </w:style>
  <w:style w:type="paragraph" w:styleId="NormalWeb">
    <w:name w:val="Normal (Web)"/>
    <w:basedOn w:val="Normal"/>
    <w:uiPriority w:val="49"/>
    <w:semiHidden/>
    <w:rsid w:val="00716818"/>
    <w:rPr>
      <w:sz w:val="24"/>
      <w:szCs w:val="24"/>
    </w:rPr>
  </w:style>
  <w:style w:type="paragraph" w:styleId="NormalIndent">
    <w:name w:val="Normal Indent"/>
    <w:basedOn w:val="Normal"/>
    <w:rsid w:val="00716818"/>
    <w:pPr>
      <w:spacing w:line="240" w:lineRule="exact"/>
      <w:ind w:left="1077" w:right="284"/>
    </w:pPr>
  </w:style>
  <w:style w:type="paragraph" w:customStyle="1" w:styleId="NormalIndentItalics">
    <w:name w:val="Normal Indent Italics"/>
    <w:basedOn w:val="NormalIndent"/>
    <w:uiPriority w:val="13"/>
    <w:qFormat/>
    <w:rsid w:val="00716818"/>
    <w:rPr>
      <w:i/>
    </w:rPr>
  </w:style>
  <w:style w:type="paragraph" w:customStyle="1" w:styleId="NoteNormal">
    <w:name w:val="Note Normal"/>
    <w:basedOn w:val="Normal"/>
    <w:uiPriority w:val="49"/>
    <w:rsid w:val="00716818"/>
    <w:pPr>
      <w:keepNext/>
      <w:keepLines/>
      <w:spacing w:before="80"/>
    </w:pPr>
    <w:rPr>
      <w:color w:val="000000"/>
      <w:sz w:val="18"/>
      <w:lang w:eastAsia="en-US"/>
    </w:rPr>
  </w:style>
  <w:style w:type="character" w:styleId="PageNumber">
    <w:name w:val="page number"/>
    <w:uiPriority w:val="49"/>
    <w:semiHidden/>
    <w:rsid w:val="00716818"/>
    <w:rPr>
      <w:b/>
      <w:color w:val="4C4C4C"/>
      <w:sz w:val="28"/>
    </w:rPr>
  </w:style>
  <w:style w:type="paragraph" w:customStyle="1" w:styleId="Pictwide">
    <w:name w:val="Pict wide"/>
    <w:basedOn w:val="Normal"/>
    <w:next w:val="Normal"/>
    <w:uiPriority w:val="13"/>
    <w:unhideWhenUsed/>
    <w:qFormat/>
    <w:rsid w:val="00716818"/>
    <w:pPr>
      <w:widowControl w:val="0"/>
      <w:spacing w:before="160" w:after="320"/>
    </w:pPr>
    <w:rPr>
      <w:sz w:val="24"/>
    </w:rPr>
  </w:style>
  <w:style w:type="character" w:styleId="PlaceholderText">
    <w:name w:val="Placeholder Text"/>
    <w:uiPriority w:val="99"/>
    <w:semiHidden/>
    <w:rsid w:val="00716818"/>
    <w:rPr>
      <w:color w:val="808080"/>
    </w:rPr>
  </w:style>
  <w:style w:type="paragraph" w:styleId="PlainText">
    <w:name w:val="Plain Text"/>
    <w:basedOn w:val="Normal"/>
    <w:link w:val="PlainTextChar"/>
    <w:uiPriority w:val="49"/>
    <w:semiHidden/>
    <w:rsid w:val="00716818"/>
  </w:style>
  <w:style w:type="character" w:customStyle="1" w:styleId="PlainTextChar">
    <w:name w:val="Plain Text Char"/>
    <w:basedOn w:val="DefaultParagraphFont"/>
    <w:link w:val="PlainText"/>
    <w:uiPriority w:val="49"/>
    <w:semiHidden/>
    <w:rsid w:val="00716818"/>
    <w:rPr>
      <w:rFonts w:cs="Calibri"/>
      <w:sz w:val="22"/>
      <w:szCs w:val="22"/>
    </w:rPr>
  </w:style>
  <w:style w:type="paragraph" w:customStyle="1" w:styleId="Quotation">
    <w:name w:val="Quotation"/>
    <w:basedOn w:val="Normal"/>
    <w:next w:val="Normal"/>
    <w:uiPriority w:val="49"/>
    <w:semiHidden/>
    <w:rsid w:val="00716818"/>
    <w:pPr>
      <w:keepLines/>
      <w:spacing w:before="40"/>
      <w:jc w:val="center"/>
    </w:pPr>
    <w:rPr>
      <w:i/>
      <w:iCs/>
      <w:color w:val="003399"/>
      <w:sz w:val="18"/>
      <w:lang w:eastAsia="en-US"/>
    </w:rPr>
  </w:style>
  <w:style w:type="paragraph" w:customStyle="1" w:styleId="QuoteName">
    <w:name w:val="Quote Name"/>
    <w:basedOn w:val="Normal"/>
    <w:uiPriority w:val="49"/>
    <w:semiHidden/>
    <w:rsid w:val="00716818"/>
    <w:pPr>
      <w:spacing w:after="0"/>
      <w:ind w:left="902" w:right="822"/>
      <w:jc w:val="right"/>
    </w:pPr>
    <w:rPr>
      <w:caps/>
      <w:color w:val="800000"/>
      <w:sz w:val="16"/>
    </w:rPr>
  </w:style>
  <w:style w:type="paragraph" w:styleId="Salutation">
    <w:name w:val="Salutation"/>
    <w:basedOn w:val="Normal"/>
    <w:next w:val="Normal"/>
    <w:link w:val="SalutationChar"/>
    <w:uiPriority w:val="49"/>
    <w:semiHidden/>
    <w:rsid w:val="00716818"/>
  </w:style>
  <w:style w:type="character" w:customStyle="1" w:styleId="SalutationChar">
    <w:name w:val="Salutation Char"/>
    <w:basedOn w:val="DefaultParagraphFont"/>
    <w:link w:val="Salutation"/>
    <w:uiPriority w:val="49"/>
    <w:semiHidden/>
    <w:rsid w:val="00716818"/>
    <w:rPr>
      <w:rFonts w:cs="Calibri"/>
      <w:sz w:val="22"/>
      <w:szCs w:val="22"/>
    </w:rPr>
  </w:style>
  <w:style w:type="paragraph" w:styleId="Signature">
    <w:name w:val="Signature"/>
    <w:basedOn w:val="Normal"/>
    <w:link w:val="SignatureChar"/>
    <w:uiPriority w:val="49"/>
    <w:semiHidden/>
    <w:rsid w:val="00716818"/>
    <w:pPr>
      <w:ind w:left="4252"/>
    </w:pPr>
  </w:style>
  <w:style w:type="character" w:customStyle="1" w:styleId="SignatureChar">
    <w:name w:val="Signature Char"/>
    <w:basedOn w:val="DefaultParagraphFont"/>
    <w:link w:val="Signature"/>
    <w:uiPriority w:val="49"/>
    <w:semiHidden/>
    <w:rsid w:val="00716818"/>
    <w:rPr>
      <w:rFonts w:cs="Calibri"/>
      <w:sz w:val="22"/>
      <w:szCs w:val="22"/>
    </w:rPr>
  </w:style>
  <w:style w:type="paragraph" w:customStyle="1" w:styleId="Spacer">
    <w:name w:val="Spacer"/>
    <w:basedOn w:val="Normal"/>
    <w:uiPriority w:val="13"/>
    <w:semiHidden/>
    <w:unhideWhenUsed/>
    <w:qFormat/>
    <w:rsid w:val="00716818"/>
    <w:pPr>
      <w:spacing w:before="0" w:after="0" w:line="120" w:lineRule="atLeast"/>
      <w:ind w:left="0"/>
    </w:pPr>
    <w:rPr>
      <w:sz w:val="12"/>
    </w:rPr>
  </w:style>
  <w:style w:type="character" w:styleId="Strong">
    <w:name w:val="Strong"/>
    <w:uiPriority w:val="22"/>
    <w:semiHidden/>
    <w:qFormat/>
    <w:rsid w:val="00716818"/>
    <w:rPr>
      <w:b/>
      <w:bCs/>
    </w:rPr>
  </w:style>
  <w:style w:type="character" w:styleId="SubtleEmphasis">
    <w:name w:val="Subtle Emphasis"/>
    <w:uiPriority w:val="19"/>
    <w:semiHidden/>
    <w:qFormat/>
    <w:rsid w:val="00716818"/>
    <w:rPr>
      <w:i/>
      <w:iCs/>
      <w:color w:val="808080"/>
    </w:rPr>
  </w:style>
  <w:style w:type="character" w:styleId="SubtleReference">
    <w:name w:val="Subtle Reference"/>
    <w:uiPriority w:val="31"/>
    <w:semiHidden/>
    <w:qFormat/>
    <w:rsid w:val="00716818"/>
    <w:rPr>
      <w:smallCaps/>
      <w:color w:val="C0504D"/>
      <w:u w:val="single"/>
    </w:rPr>
  </w:style>
  <w:style w:type="table" w:styleId="Table3Deffects1">
    <w:name w:val="Table 3D effects 1"/>
    <w:basedOn w:val="TableNormal"/>
    <w:uiPriority w:val="99"/>
    <w:semiHidden/>
    <w:unhideWhenUsed/>
    <w:rsid w:val="00716818"/>
    <w:pPr>
      <w:spacing w:before="80" w:after="80" w:line="240" w:lineRule="atLeast"/>
      <w:ind w:left="794"/>
    </w:pPr>
    <w:rPr>
      <w:rFonts w:ascii="Arial" w:hAnsi="Arial"/>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716818"/>
    <w:pPr>
      <w:spacing w:before="80" w:after="80" w:line="240" w:lineRule="atLeast"/>
      <w:ind w:left="794"/>
    </w:pPr>
    <w:rPr>
      <w:rFonts w:ascii="Arial" w:hAnsi="Arial"/>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716818"/>
    <w:pPr>
      <w:spacing w:before="80" w:after="80" w:line="240" w:lineRule="atLeast"/>
      <w:ind w:left="794"/>
    </w:pPr>
    <w:rPr>
      <w:rFonts w:ascii="Arial" w:hAnsi="Arial"/>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Text">
    <w:name w:val="Table Text"/>
    <w:basedOn w:val="Normal"/>
    <w:uiPriority w:val="15"/>
    <w:qFormat/>
    <w:rsid w:val="00716818"/>
    <w:pPr>
      <w:spacing w:before="20" w:after="20"/>
      <w:ind w:left="0"/>
    </w:pPr>
    <w:rPr>
      <w:sz w:val="20"/>
    </w:rPr>
  </w:style>
  <w:style w:type="paragraph" w:customStyle="1" w:styleId="TableBullet">
    <w:name w:val="Table Bullet"/>
    <w:basedOn w:val="TableText"/>
    <w:uiPriority w:val="10"/>
    <w:qFormat/>
    <w:rsid w:val="00716818"/>
    <w:pPr>
      <w:numPr>
        <w:numId w:val="13"/>
      </w:numPr>
      <w:spacing w:before="0" w:after="0"/>
    </w:pPr>
  </w:style>
  <w:style w:type="paragraph" w:customStyle="1" w:styleId="TableBulletDash">
    <w:name w:val="Table Bullet Dash"/>
    <w:basedOn w:val="Normal"/>
    <w:uiPriority w:val="10"/>
    <w:rsid w:val="00716818"/>
    <w:pPr>
      <w:numPr>
        <w:ilvl w:val="1"/>
        <w:numId w:val="13"/>
      </w:numPr>
      <w:spacing w:before="0" w:after="0"/>
    </w:pPr>
    <w:rPr>
      <w:sz w:val="20"/>
    </w:rPr>
  </w:style>
  <w:style w:type="table" w:styleId="TableGrid">
    <w:name w:val="Table Grid"/>
    <w:basedOn w:val="TableNormal"/>
    <w:rsid w:val="00716818"/>
    <w:tblPr>
      <w:tblStyleRowBandSize w:val="1"/>
      <w:tblStyleColBandSize w:val="1"/>
      <w:tblInd w:w="907" w:type="dxa"/>
      <w:tblBorders>
        <w:top w:val="single" w:sz="2" w:space="0" w:color="auto"/>
        <w:bottom w:val="single" w:sz="2" w:space="0" w:color="auto"/>
        <w:insideH w:val="single" w:sz="2" w:space="0" w:color="auto"/>
      </w:tblBorders>
      <w:tblCellMar>
        <w:top w:w="0" w:type="dxa"/>
        <w:left w:w="113" w:type="dxa"/>
        <w:bottom w:w="0" w:type="dxa"/>
        <w:right w:w="113" w:type="dxa"/>
      </w:tblCellMar>
    </w:tblPr>
    <w:trPr>
      <w:cantSplit/>
    </w:trPr>
    <w:tblStylePr w:type="firstRow">
      <w:pPr>
        <w:wordWrap/>
        <w:spacing w:beforeLines="0" w:afterLines="0" w:line="240" w:lineRule="auto"/>
        <w:ind w:leftChars="0" w:left="0" w:rightChars="0" w:right="0" w:firstLineChars="0" w:firstLine="0"/>
        <w:jc w:val="left"/>
      </w:pPr>
      <w:rPr>
        <w:rFonts w:ascii="Calibri" w:hAnsi="Calibri"/>
        <w:b w:val="0"/>
        <w:i w:val="0"/>
        <w:caps w:val="0"/>
        <w:smallCaps w:val="0"/>
        <w:strike w:val="0"/>
        <w:dstrike w:val="0"/>
        <w:vanish w:val="0"/>
        <w:color w:val="4C4C4C"/>
        <w:sz w:val="24"/>
        <w:u w:val="none"/>
        <w:vertAlign w:val="baseline"/>
      </w:rPr>
      <w:tblPr/>
      <w:tcPr>
        <w:tcBorders>
          <w:top w:val="single" w:sz="2" w:space="0" w:color="auto"/>
          <w:left w:val="nil"/>
          <w:bottom w:val="single" w:sz="2" w:space="0" w:color="auto"/>
          <w:right w:val="nil"/>
          <w:insideH w:val="nil"/>
          <w:insideV w:val="nil"/>
          <w:tl2br w:val="nil"/>
          <w:tr2bl w:val="nil"/>
        </w:tcBorders>
        <w:shd w:val="clear" w:color="auto" w:fill="D9D9D9"/>
      </w:tcPr>
    </w:tblStylePr>
    <w:tblStylePr w:type="firstCol">
      <w:rPr>
        <w:b w:val="0"/>
        <w:color w:val="auto"/>
      </w:rPr>
    </w:tblStylePr>
  </w:style>
  <w:style w:type="table" w:styleId="TableClassic1">
    <w:name w:val="Table Classic 1"/>
    <w:basedOn w:val="TableGrid"/>
    <w:uiPriority w:val="99"/>
    <w:semiHidden/>
    <w:unhideWhenUsed/>
    <w:rsid w:val="00716818"/>
    <w:pPr>
      <w:spacing w:after="120" w:line="280" w:lineRule="atLeast"/>
    </w:pPr>
    <w:tblPr>
      <w:tblStyleRowBandSize w:val="1"/>
      <w:tblStyleColBandSize w:val="1"/>
      <w:tblInd w:w="907" w:type="dxa"/>
      <w:tblBorders>
        <w:top w:val="single" w:sz="12" w:space="0" w:color="000000"/>
        <w:bottom w:val="single" w:sz="12" w:space="0" w:color="000000"/>
      </w:tblBorders>
      <w:tblCellMar>
        <w:top w:w="0" w:type="dxa"/>
        <w:left w:w="113" w:type="dxa"/>
        <w:bottom w:w="0" w:type="dxa"/>
        <w:right w:w="113" w:type="dxa"/>
      </w:tblCellMar>
    </w:tblPr>
    <w:trPr>
      <w:cantSplit/>
    </w:trPr>
    <w:tcPr>
      <w:shd w:val="clear" w:color="auto" w:fill="auto"/>
    </w:tcPr>
    <w:tblStylePr w:type="firstRow">
      <w:pPr>
        <w:wordWrap/>
        <w:spacing w:beforeLines="0" w:afterLines="0" w:line="240" w:lineRule="auto"/>
        <w:ind w:leftChars="0" w:left="0" w:rightChars="0" w:right="0" w:firstLineChars="0" w:firstLine="0"/>
        <w:jc w:val="left"/>
      </w:pPr>
      <w:rPr>
        <w:rFonts w:ascii="Helvetica" w:hAnsi="Helvetica"/>
        <w:b w:val="0"/>
        <w:i w:val="0"/>
        <w:iCs/>
        <w:caps/>
        <w:smallCaps w:val="0"/>
        <w:strike w:val="0"/>
        <w:dstrike w:val="0"/>
        <w:vanish w:val="0"/>
        <w:color w:val="365F91"/>
        <w:sz w:val="18"/>
        <w:u w:val="none"/>
        <w:vertAlign w:val="baseline"/>
      </w:rPr>
      <w:tblPr/>
      <w:trPr>
        <w:cantSplit w:val="0"/>
      </w:trPr>
      <w:tcPr>
        <w:tcBorders>
          <w:top w:val="single" w:sz="4" w:space="0" w:color="C0C0C0"/>
          <w:left w:val="single" w:sz="4" w:space="0" w:color="C0C0C0"/>
          <w:bottom w:val="single" w:sz="6" w:space="0" w:color="000000"/>
          <w:right w:val="single" w:sz="4" w:space="0" w:color="C0C0C0"/>
          <w:insideH w:val="single" w:sz="4" w:space="0" w:color="C0C0C0"/>
          <w:insideV w:val="single" w:sz="4" w:space="0" w:color="C0C0C0"/>
          <w:tl2br w:val="none" w:sz="0" w:space="0" w:color="auto"/>
          <w:tr2bl w:val="none" w:sz="0" w:space="0" w:color="auto"/>
        </w:tcBorders>
        <w:shd w:val="clear" w:color="auto" w:fill="D9D9D9"/>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color w:val="4C4C4C"/>
      </w:rPr>
      <w:tblPr/>
      <w:tcPr>
        <w:tcBorders>
          <w:top w:val="nil"/>
          <w:left w:val="nil"/>
          <w:bottom w:val="nil"/>
          <w:right w:val="single" w:sz="6" w:space="0" w:color="000000"/>
          <w:insideH w:val="nil"/>
          <w:insideV w:val="nil"/>
          <w:tl2br w:val="none" w:sz="0" w:space="0" w:color="auto"/>
          <w:tr2bl w:val="none" w:sz="0" w:space="0" w:color="auto"/>
        </w:tcBorders>
        <w:shd w:val="clear" w:color="auto" w:fill="D9D9D9"/>
      </w:tcPr>
    </w:tblStylePr>
    <w:tblStylePr w:type="band2Horz">
      <w:tblPr/>
      <w:tcPr>
        <w:shd w:val="clear" w:color="auto" w:fill="F2F2F2"/>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716818"/>
    <w:pPr>
      <w:spacing w:before="80" w:after="80" w:line="240" w:lineRule="atLeast"/>
      <w:ind w:left="794"/>
    </w:pPr>
    <w:rPr>
      <w:rFonts w:ascii="Arial" w:hAnsi="Arial"/>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716818"/>
    <w:pPr>
      <w:spacing w:before="80" w:after="80" w:line="240" w:lineRule="atLeast"/>
      <w:ind w:left="794"/>
    </w:pPr>
    <w:rPr>
      <w:rFonts w:ascii="Arial" w:hAnsi="Arial"/>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716818"/>
    <w:pPr>
      <w:spacing w:before="80" w:after="80" w:line="240" w:lineRule="atLeast"/>
      <w:ind w:left="794"/>
    </w:pPr>
    <w:rPr>
      <w:rFonts w:ascii="Arial" w:hAnsi="Arial"/>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716818"/>
    <w:pPr>
      <w:spacing w:before="80" w:after="80" w:line="240" w:lineRule="atLeast"/>
      <w:ind w:left="794"/>
    </w:pPr>
    <w:rPr>
      <w:rFonts w:ascii="Arial" w:hAnsi="Arial"/>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716818"/>
    <w:pPr>
      <w:spacing w:before="80" w:after="80" w:line="240" w:lineRule="atLeast"/>
      <w:ind w:left="794"/>
    </w:pPr>
    <w:rPr>
      <w:rFonts w:ascii="Arial" w:hAnsi="Arial"/>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716818"/>
    <w:pPr>
      <w:spacing w:before="80" w:after="80" w:line="240" w:lineRule="atLeast"/>
      <w:ind w:left="794"/>
    </w:pPr>
    <w:rPr>
      <w:rFonts w:ascii="Arial" w:hAnsi="Arial"/>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716818"/>
    <w:pPr>
      <w:spacing w:before="80" w:after="80" w:line="240" w:lineRule="atLeast"/>
      <w:ind w:left="794"/>
    </w:pPr>
    <w:rPr>
      <w:rFonts w:ascii="Arial" w:hAnsi="Arial"/>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716818"/>
    <w:pPr>
      <w:spacing w:before="80" w:after="80" w:line="240" w:lineRule="atLeast"/>
      <w:ind w:left="794"/>
    </w:pPr>
    <w:rPr>
      <w:rFonts w:ascii="Arial" w:hAnsi="Arial"/>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716818"/>
    <w:pPr>
      <w:spacing w:before="80" w:after="80" w:line="240" w:lineRule="atLeast"/>
      <w:ind w:left="794"/>
    </w:pPr>
    <w:rPr>
      <w:rFonts w:ascii="Arial" w:hAnsi="Arial"/>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716818"/>
    <w:pPr>
      <w:spacing w:before="80" w:after="80" w:line="240" w:lineRule="atLeast"/>
      <w:ind w:left="794"/>
    </w:pPr>
    <w:rPr>
      <w:rFonts w:ascii="Arial" w:hAnsi="Arial"/>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716818"/>
    <w:pPr>
      <w:spacing w:before="80" w:after="80" w:line="240" w:lineRule="atLeast"/>
      <w:ind w:left="794"/>
    </w:pPr>
    <w:rPr>
      <w:rFonts w:ascii="Arial" w:hAnsi="Arial"/>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716818"/>
    <w:pPr>
      <w:spacing w:before="80" w:after="80" w:line="240" w:lineRule="atLeast"/>
      <w:ind w:left="794"/>
    </w:pPr>
    <w:rPr>
      <w:rFonts w:ascii="Arial" w:hAnsi="Arial"/>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716818"/>
    <w:pPr>
      <w:spacing w:before="80" w:after="80" w:line="240" w:lineRule="atLeast"/>
      <w:ind w:left="794"/>
    </w:pPr>
    <w:rPr>
      <w:rFonts w:ascii="Arial" w:hAnsi="Arial"/>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Grid"/>
    <w:uiPriority w:val="99"/>
    <w:rsid w:val="00716818"/>
    <w:pPr>
      <w:spacing w:before="100" w:after="100"/>
      <w:ind w:left="794"/>
    </w:pPr>
    <w:tblPr>
      <w:tblStyleRowBandSize w:val="1"/>
      <w:tblStyleColBandSize w:val="1"/>
      <w:tblInd w:w="907" w:type="dxa"/>
      <w:tblBorders>
        <w:top w:val="single" w:sz="2" w:space="0" w:color="000000"/>
        <w:bottom w:val="single" w:sz="2" w:space="0" w:color="000000"/>
        <w:insideH w:val="single" w:sz="2" w:space="0" w:color="000000"/>
      </w:tblBorders>
      <w:tblCellMar>
        <w:top w:w="0" w:type="dxa"/>
        <w:left w:w="113" w:type="dxa"/>
        <w:bottom w:w="0" w:type="dxa"/>
        <w:right w:w="113" w:type="dxa"/>
      </w:tblCellMar>
    </w:tblPr>
    <w:trPr>
      <w:cantSplit/>
    </w:trPr>
    <w:tcPr>
      <w:shd w:val="clear" w:color="auto" w:fill="auto"/>
    </w:tcPr>
    <w:tblStylePr w:type="firstRow">
      <w:pPr>
        <w:wordWrap/>
        <w:spacing w:beforeLines="0" w:afterLines="0" w:line="240" w:lineRule="auto"/>
        <w:ind w:leftChars="0" w:left="0" w:rightChars="0" w:right="0" w:firstLineChars="0" w:firstLine="0"/>
        <w:jc w:val="left"/>
      </w:pPr>
      <w:rPr>
        <w:rFonts w:ascii="Calibri" w:hAnsi="Calibri"/>
        <w:b w:val="0"/>
        <w:i w:val="0"/>
        <w:caps w:val="0"/>
        <w:smallCaps w:val="0"/>
        <w:strike w:val="0"/>
        <w:dstrike w:val="0"/>
        <w:vanish w:val="0"/>
        <w:color w:val="auto"/>
        <w:sz w:val="24"/>
        <w:u w:val="none"/>
        <w:vertAlign w:val="baseline"/>
      </w:rPr>
      <w:tblPr/>
      <w:tcPr>
        <w:tcBorders>
          <w:top w:val="single" w:sz="2" w:space="0" w:color="auto"/>
          <w:left w:val="nil"/>
          <w:bottom w:val="single" w:sz="2" w:space="0" w:color="auto"/>
          <w:right w:val="nil"/>
          <w:insideH w:val="nil"/>
          <w:insideV w:val="nil"/>
          <w:tl2br w:val="nil"/>
          <w:tr2bl w:val="nil"/>
        </w:tcBorders>
        <w:shd w:val="clear" w:color="auto" w:fill="D9D9D9"/>
      </w:tcPr>
    </w:tblStylePr>
    <w:tblStylePr w:type="lastRow">
      <w:rPr>
        <w:i w:val="0"/>
        <w:iCs/>
      </w:rPr>
      <w:tblPr/>
      <w:tcPr>
        <w:tcBorders>
          <w:tl2br w:val="none" w:sz="0" w:space="0" w:color="auto"/>
          <w:tr2bl w:val="none" w:sz="0" w:space="0" w:color="auto"/>
        </w:tcBorders>
      </w:tcPr>
    </w:tblStylePr>
    <w:tblStylePr w:type="firstCol">
      <w:rPr>
        <w:b/>
        <w:color w:val="auto"/>
      </w:rPr>
      <w:tblPr/>
      <w:tcPr>
        <w:shd w:val="clear" w:color="auto" w:fill="E6E6E6"/>
      </w:tcPr>
    </w:tblStylePr>
    <w:tblStylePr w:type="lastCol">
      <w:rPr>
        <w:i w:val="0"/>
        <w:iCs/>
      </w:rPr>
      <w:tblPr/>
      <w:tcPr>
        <w:tcBorders>
          <w:tl2br w:val="none" w:sz="0" w:space="0" w:color="auto"/>
          <w:tr2bl w:val="none" w:sz="0" w:space="0" w:color="auto"/>
        </w:tcBorders>
      </w:tcPr>
    </w:tblStylePr>
    <w:tblStylePr w:type="nwCell">
      <w:rPr>
        <w:b/>
      </w:rPr>
    </w:tblStylePr>
  </w:style>
  <w:style w:type="table" w:styleId="TableGrid2">
    <w:name w:val="Table Grid 2"/>
    <w:basedOn w:val="TableGrid"/>
    <w:uiPriority w:val="99"/>
    <w:unhideWhenUsed/>
    <w:rsid w:val="00716818"/>
    <w:pPr>
      <w:spacing w:after="120" w:line="280" w:lineRule="atLeast"/>
    </w:pPr>
    <w:tblPr>
      <w:tblStyleRowBandSize w:val="1"/>
      <w:tblStyleColBandSize w:val="1"/>
      <w:tblInd w:w="907" w:type="dxa"/>
      <w:tblBorders>
        <w:top w:val="single" w:sz="4" w:space="0" w:color="auto"/>
        <w:bottom w:val="single" w:sz="4" w:space="0" w:color="auto"/>
        <w:insideH w:val="single" w:sz="4" w:space="0" w:color="auto"/>
      </w:tblBorders>
      <w:tblCellMar>
        <w:top w:w="0" w:type="dxa"/>
        <w:left w:w="57" w:type="dxa"/>
        <w:bottom w:w="0" w:type="dxa"/>
        <w:right w:w="57" w:type="dxa"/>
      </w:tblCellMar>
    </w:tblPr>
    <w:trPr>
      <w:cantSplit/>
    </w:trPr>
    <w:tcPr>
      <w:shd w:val="clear" w:color="auto" w:fill="auto"/>
    </w:tcPr>
    <w:tblStylePr w:type="firstRow">
      <w:pPr>
        <w:wordWrap/>
        <w:spacing w:beforeLines="0" w:afterLines="0" w:line="240" w:lineRule="auto"/>
        <w:ind w:leftChars="0" w:left="0" w:rightChars="0" w:right="0" w:firstLineChars="0" w:firstLine="0"/>
        <w:jc w:val="left"/>
      </w:pPr>
      <w:rPr>
        <w:rFonts w:ascii="Calibri" w:hAnsi="Calibri"/>
        <w:b w:val="0"/>
        <w:bCs/>
        <w:i w:val="0"/>
        <w:caps w:val="0"/>
        <w:smallCaps w:val="0"/>
        <w:strike w:val="0"/>
        <w:dstrike w:val="0"/>
        <w:vanish w:val="0"/>
        <w:color w:val="4C4C4C"/>
        <w:sz w:val="24"/>
        <w:u w:val="none"/>
        <w:vertAlign w:val="baseline"/>
      </w:rPr>
      <w:tblPr/>
      <w:tcPr>
        <w:tcBorders>
          <w:top w:val="single" w:sz="4" w:space="0" w:color="auto"/>
          <w:left w:val="nil"/>
          <w:bottom w:val="nil"/>
          <w:right w:val="nil"/>
          <w:insideH w:val="nil"/>
          <w:insideV w:val="nil"/>
          <w:tl2br w:val="nil"/>
          <w:tr2bl w:val="nil"/>
        </w:tcBorders>
        <w:shd w:val="clear" w:color="auto" w:fill="D9D9D9"/>
      </w:tcPr>
    </w:tblStylePr>
    <w:tblStylePr w:type="lastRow">
      <w:rPr>
        <w:b w:val="0"/>
        <w:bCs/>
      </w:rPr>
      <w:tblPr/>
      <w:tcPr>
        <w:tcBorders>
          <w:top w:val="single" w:sz="4" w:space="0" w:color="auto"/>
          <w:left w:val="nil"/>
          <w:bottom w:val="single" w:sz="4" w:space="0" w:color="auto"/>
          <w:right w:val="nil"/>
          <w:insideH w:val="single" w:sz="4" w:space="0" w:color="C0C0C0"/>
          <w:insideV w:val="nil"/>
          <w:tl2br w:val="nil"/>
          <w:tr2bl w:val="nil"/>
        </w:tcBorders>
        <w:shd w:val="clear" w:color="auto" w:fill="auto"/>
      </w:tcPr>
    </w:tblStylePr>
    <w:tblStylePr w:type="firstCol">
      <w:rPr>
        <w:b/>
        <w:bCs/>
        <w:caps w:val="0"/>
        <w:color w:val="auto"/>
      </w:rPr>
      <w:tblPr/>
      <w:tcPr>
        <w:tcBorders>
          <w:top w:val="single" w:sz="4" w:space="0" w:color="C0C0C0"/>
          <w:left w:val="single" w:sz="4" w:space="0" w:color="C0C0C0"/>
          <w:bottom w:val="single" w:sz="4" w:space="0" w:color="C0C0C0"/>
          <w:right w:val="nil"/>
        </w:tcBorders>
        <w:shd w:val="clear" w:color="auto" w:fill="E6E6E6"/>
      </w:tcPr>
    </w:tblStylePr>
    <w:tblStylePr w:type="lastCol">
      <w:rPr>
        <w:b w:val="0"/>
        <w:bCs/>
      </w:rPr>
      <w:tblPr/>
      <w:tcPr>
        <w:tcBorders>
          <w:tl2br w:val="none" w:sz="0" w:space="0" w:color="auto"/>
          <w:tr2bl w:val="none" w:sz="0" w:space="0" w:color="auto"/>
        </w:tcBorders>
      </w:tcPr>
    </w:tblStylePr>
    <w:tblStylePr w:type="swCell">
      <w:rPr>
        <w:b/>
        <w:color w:val="auto"/>
      </w:rPr>
      <w:tblPr/>
      <w:tcPr>
        <w:tcBorders>
          <w:top w:val="single" w:sz="6" w:space="0" w:color="auto"/>
          <w:left w:val="single" w:sz="6" w:space="0" w:color="BFBFBF"/>
          <w:bottom w:val="single" w:sz="6" w:space="0" w:color="auto"/>
          <w:right w:val="single" w:sz="6" w:space="0" w:color="BFBFBF"/>
          <w:insideH w:val="nil"/>
          <w:insideV w:val="nil"/>
          <w:tl2br w:val="nil"/>
          <w:tr2bl w:val="nil"/>
        </w:tcBorders>
        <w:shd w:val="clear" w:color="auto" w:fill="E6E6E6"/>
      </w:tcPr>
    </w:tblStylePr>
  </w:style>
  <w:style w:type="table" w:styleId="TableGrid3">
    <w:name w:val="Table Grid 3"/>
    <w:basedOn w:val="TableNormal"/>
    <w:uiPriority w:val="99"/>
    <w:semiHidden/>
    <w:unhideWhenUsed/>
    <w:rsid w:val="00716818"/>
    <w:pPr>
      <w:spacing w:before="80" w:after="80" w:line="240" w:lineRule="atLeast"/>
      <w:ind w:left="794"/>
    </w:pPr>
    <w:rPr>
      <w:rFonts w:ascii="Arial" w:hAnsi="Arial"/>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716818"/>
    <w:pPr>
      <w:spacing w:before="80" w:after="80" w:line="240" w:lineRule="atLeast"/>
      <w:ind w:left="794"/>
    </w:pPr>
    <w:rPr>
      <w:rFonts w:ascii="Arial" w:hAnsi="Arial"/>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716818"/>
    <w:pPr>
      <w:spacing w:before="80" w:after="80" w:line="240" w:lineRule="atLeast"/>
      <w:ind w:left="794"/>
    </w:pPr>
    <w:rPr>
      <w:rFonts w:ascii="Arial" w:hAnsi="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716818"/>
    <w:pPr>
      <w:spacing w:before="80" w:after="80" w:line="240" w:lineRule="atLeast"/>
      <w:ind w:left="794"/>
    </w:pPr>
    <w:rPr>
      <w:rFonts w:ascii="Arial" w:hAnsi="Arial"/>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716818"/>
    <w:pPr>
      <w:spacing w:before="80" w:after="80" w:line="240" w:lineRule="atLeast"/>
      <w:ind w:left="794"/>
    </w:pPr>
    <w:rPr>
      <w:rFonts w:ascii="Arial" w:hAnsi="Arial"/>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716818"/>
    <w:pPr>
      <w:spacing w:before="80" w:after="80" w:line="240" w:lineRule="atLeast"/>
      <w:ind w:left="794"/>
    </w:pPr>
    <w:rPr>
      <w:rFonts w:ascii="Arial" w:hAnsi="Arial"/>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TableHeader">
    <w:name w:val="Table Header"/>
    <w:basedOn w:val="TableText"/>
    <w:uiPriority w:val="15"/>
    <w:qFormat/>
    <w:rsid w:val="00716818"/>
    <w:pPr>
      <w:keepNext/>
      <w:spacing w:before="40" w:after="40"/>
    </w:pPr>
    <w:rPr>
      <w:color w:val="333333"/>
      <w:sz w:val="24"/>
    </w:rPr>
  </w:style>
  <w:style w:type="paragraph" w:customStyle="1" w:styleId="TableHeaderMinutes">
    <w:name w:val="Table Header Minutes"/>
    <w:basedOn w:val="TableHeader"/>
    <w:rsid w:val="00716818"/>
    <w:rPr>
      <w:b/>
      <w:bCs/>
      <w:color w:val="auto"/>
      <w:sz w:val="18"/>
      <w:szCs w:val="17"/>
    </w:rPr>
  </w:style>
  <w:style w:type="table" w:styleId="TableList1">
    <w:name w:val="Table List 1"/>
    <w:basedOn w:val="TableNormal"/>
    <w:uiPriority w:val="99"/>
    <w:semiHidden/>
    <w:unhideWhenUsed/>
    <w:rsid w:val="00716818"/>
    <w:pPr>
      <w:spacing w:before="80" w:after="80" w:line="240" w:lineRule="atLeast"/>
      <w:ind w:left="794"/>
    </w:pPr>
    <w:rPr>
      <w:rFonts w:ascii="Arial" w:hAnsi="Arial"/>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716818"/>
    <w:pPr>
      <w:spacing w:before="80" w:after="80" w:line="240" w:lineRule="atLeast"/>
      <w:ind w:left="794"/>
    </w:pPr>
    <w:rPr>
      <w:rFonts w:ascii="Arial" w:hAnsi="Arial"/>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716818"/>
    <w:pPr>
      <w:spacing w:before="80" w:after="80" w:line="240" w:lineRule="atLeast"/>
      <w:ind w:left="794"/>
    </w:pPr>
    <w:rPr>
      <w:rFonts w:ascii="Arial" w:hAnsi="Arial"/>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716818"/>
    <w:pPr>
      <w:spacing w:before="80" w:after="80" w:line="240" w:lineRule="atLeast"/>
      <w:ind w:left="794"/>
    </w:pPr>
    <w:rPr>
      <w:rFonts w:ascii="Arial" w:hAnsi="Arial"/>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716818"/>
    <w:pPr>
      <w:spacing w:before="80" w:after="80" w:line="240" w:lineRule="atLeast"/>
      <w:ind w:left="794"/>
    </w:pPr>
    <w:rPr>
      <w:rFonts w:ascii="Arial" w:hAnsi="Arial"/>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716818"/>
    <w:pPr>
      <w:spacing w:before="80" w:after="80" w:line="240" w:lineRule="atLeast"/>
      <w:ind w:left="794"/>
    </w:pPr>
    <w:rPr>
      <w:rFonts w:ascii="Arial" w:hAnsi="Arial"/>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716818"/>
    <w:pPr>
      <w:spacing w:before="80" w:after="80" w:line="240" w:lineRule="atLeast"/>
      <w:ind w:left="794"/>
    </w:pPr>
    <w:rPr>
      <w:rFonts w:ascii="Arial" w:hAnsi="Arial"/>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716818"/>
    <w:pPr>
      <w:spacing w:before="80" w:after="80" w:line="240" w:lineRule="atLeast"/>
      <w:ind w:left="794"/>
    </w:pPr>
    <w:rPr>
      <w:rFonts w:ascii="Arial" w:hAnsi="Arial"/>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39"/>
    <w:semiHidden/>
    <w:rsid w:val="00716818"/>
    <w:pPr>
      <w:tabs>
        <w:tab w:val="right" w:pos="9072"/>
      </w:tabs>
      <w:ind w:left="200" w:hanging="200"/>
    </w:pPr>
  </w:style>
  <w:style w:type="paragraph" w:styleId="TOCHeading">
    <w:name w:val="TOC Heading"/>
    <w:uiPriority w:val="29"/>
    <w:qFormat/>
    <w:rsid w:val="00716818"/>
    <w:pPr>
      <w:keepNext/>
      <w:pageBreakBefore/>
      <w:spacing w:after="1200"/>
    </w:pPr>
    <w:rPr>
      <w:rFonts w:cs="Calibri"/>
      <w:color w:val="4C4C4C"/>
      <w:kern w:val="28"/>
      <w:sz w:val="40"/>
      <w:szCs w:val="22"/>
    </w:rPr>
  </w:style>
  <w:style w:type="paragraph" w:styleId="TableofFigures">
    <w:name w:val="table of figures"/>
    <w:basedOn w:val="TOCHeading"/>
    <w:next w:val="Normal"/>
    <w:uiPriority w:val="99"/>
    <w:semiHidden/>
    <w:unhideWhenUsed/>
    <w:rsid w:val="00716818"/>
    <w:pPr>
      <w:spacing w:after="0"/>
    </w:pPr>
  </w:style>
  <w:style w:type="table" w:styleId="TableProfessional">
    <w:name w:val="Table Professional"/>
    <w:basedOn w:val="TableNormal"/>
    <w:uiPriority w:val="99"/>
    <w:semiHidden/>
    <w:unhideWhenUsed/>
    <w:rsid w:val="00716818"/>
    <w:pPr>
      <w:spacing w:before="80" w:after="80" w:line="240" w:lineRule="atLeast"/>
      <w:ind w:left="794"/>
    </w:pPr>
    <w:rPr>
      <w:rFonts w:ascii="Arial" w:hAnsi="Arial"/>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716818"/>
    <w:pPr>
      <w:spacing w:before="80" w:after="80" w:line="240" w:lineRule="atLeast"/>
      <w:ind w:left="794"/>
    </w:pPr>
    <w:rPr>
      <w:rFonts w:ascii="Arial" w:hAnsi="Arial"/>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716818"/>
    <w:pPr>
      <w:spacing w:before="80" w:after="80" w:line="240" w:lineRule="atLeast"/>
      <w:ind w:left="794"/>
    </w:pPr>
    <w:rPr>
      <w:rFonts w:ascii="Arial" w:hAnsi="Arial"/>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716818"/>
    <w:pPr>
      <w:spacing w:before="80" w:after="80" w:line="240" w:lineRule="atLeast"/>
      <w:ind w:left="794"/>
    </w:pPr>
    <w:rPr>
      <w:rFonts w:ascii="Arial" w:hAnsi="Arial"/>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716818"/>
    <w:pPr>
      <w:spacing w:before="80" w:after="80" w:line="240" w:lineRule="atLeast"/>
      <w:ind w:left="794"/>
    </w:pPr>
    <w:rPr>
      <w:rFonts w:ascii="Arial" w:hAnsi="Arial"/>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716818"/>
    <w:pPr>
      <w:spacing w:before="80" w:after="80" w:line="240" w:lineRule="atLeast"/>
      <w:ind w:left="794"/>
    </w:pPr>
    <w:rPr>
      <w:rFonts w:ascii="Arial" w:hAnsi="Arial"/>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716818"/>
    <w:pPr>
      <w:spacing w:before="80" w:after="80" w:line="240" w:lineRule="atLeast"/>
      <w:ind w:left="794"/>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716818"/>
    <w:pPr>
      <w:spacing w:before="80" w:after="80" w:line="240" w:lineRule="atLeast"/>
      <w:ind w:left="794"/>
    </w:pPr>
    <w:rPr>
      <w:rFonts w:ascii="Arial" w:hAnsi="Arial"/>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716818"/>
    <w:pPr>
      <w:spacing w:before="80" w:after="80" w:line="240" w:lineRule="atLeast"/>
      <w:ind w:left="794"/>
    </w:pPr>
    <w:rPr>
      <w:rFonts w:ascii="Arial" w:hAnsi="Arial"/>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716818"/>
    <w:pPr>
      <w:spacing w:before="80" w:after="80" w:line="240" w:lineRule="atLeast"/>
      <w:ind w:left="794"/>
    </w:pPr>
    <w:rPr>
      <w:rFonts w:ascii="Arial" w:hAnsi="Arial"/>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39"/>
    <w:semiHidden/>
    <w:rsid w:val="00716818"/>
    <w:pPr>
      <w:spacing w:before="120"/>
    </w:pPr>
    <w:rPr>
      <w:b/>
      <w:bCs/>
      <w:sz w:val="24"/>
      <w:szCs w:val="24"/>
    </w:rPr>
  </w:style>
  <w:style w:type="paragraph" w:styleId="TOC1">
    <w:name w:val="toc 1"/>
    <w:basedOn w:val="Normal"/>
    <w:next w:val="Normal"/>
    <w:autoRedefine/>
    <w:uiPriority w:val="39"/>
    <w:rsid w:val="00716818"/>
    <w:pPr>
      <w:tabs>
        <w:tab w:val="right" w:leader="dot" w:pos="9645"/>
      </w:tabs>
      <w:spacing w:before="240" w:line="216" w:lineRule="auto"/>
      <w:ind w:right="567" w:hanging="794"/>
    </w:pPr>
    <w:rPr>
      <w:noProof/>
      <w:color w:val="4C4C4C"/>
      <w:sz w:val="28"/>
      <w:szCs w:val="28"/>
    </w:rPr>
  </w:style>
  <w:style w:type="paragraph" w:styleId="TOC2">
    <w:name w:val="toc 2"/>
    <w:next w:val="Normal"/>
    <w:autoRedefine/>
    <w:uiPriority w:val="39"/>
    <w:rsid w:val="00716818"/>
    <w:pPr>
      <w:tabs>
        <w:tab w:val="left" w:pos="1985"/>
        <w:tab w:val="right" w:leader="dot" w:pos="9631"/>
      </w:tabs>
      <w:spacing w:before="20"/>
      <w:ind w:left="1248" w:right="567" w:hanging="454"/>
      <w:contextualSpacing/>
    </w:pPr>
    <w:rPr>
      <w:rFonts w:cs="Calibri"/>
      <w:noProof/>
      <w:color w:val="000000"/>
      <w:sz w:val="22"/>
      <w:szCs w:val="22"/>
    </w:rPr>
  </w:style>
  <w:style w:type="paragraph" w:styleId="TOC3">
    <w:name w:val="toc 3"/>
    <w:next w:val="Normal"/>
    <w:autoRedefine/>
    <w:uiPriority w:val="39"/>
    <w:rsid w:val="00716818"/>
    <w:pPr>
      <w:tabs>
        <w:tab w:val="right" w:leader="dot" w:pos="9631"/>
      </w:tabs>
      <w:ind w:left="1985" w:right="567" w:hanging="709"/>
    </w:pPr>
    <w:rPr>
      <w:rFonts w:cs="Calibri"/>
      <w:noProof/>
      <w:sz w:val="22"/>
      <w:szCs w:val="22"/>
    </w:rPr>
  </w:style>
  <w:style w:type="paragraph" w:styleId="TOC4">
    <w:name w:val="toc 4"/>
    <w:basedOn w:val="Normal"/>
    <w:next w:val="Normal"/>
    <w:autoRedefine/>
    <w:uiPriority w:val="39"/>
    <w:semiHidden/>
    <w:rsid w:val="00716818"/>
    <w:pPr>
      <w:tabs>
        <w:tab w:val="right" w:leader="dot" w:pos="9639"/>
      </w:tabs>
      <w:spacing w:before="0" w:after="0"/>
      <w:ind w:left="1985" w:right="567" w:hanging="567"/>
    </w:pPr>
    <w:rPr>
      <w:color w:val="4C4C4C"/>
      <w:sz w:val="18"/>
    </w:rPr>
  </w:style>
  <w:style w:type="paragraph" w:styleId="TOC5">
    <w:name w:val="toc 5"/>
    <w:basedOn w:val="TOC3"/>
    <w:next w:val="Normal"/>
    <w:autoRedefine/>
    <w:uiPriority w:val="39"/>
    <w:semiHidden/>
    <w:rsid w:val="00716818"/>
    <w:pPr>
      <w:ind w:left="1589" w:right="505" w:hanging="1589"/>
    </w:pPr>
    <w:rPr>
      <w:b/>
      <w:color w:val="333333"/>
    </w:rPr>
  </w:style>
  <w:style w:type="paragraph" w:styleId="TOC6">
    <w:name w:val="toc 6"/>
    <w:basedOn w:val="Normal"/>
    <w:next w:val="Normal"/>
    <w:autoRedefine/>
    <w:uiPriority w:val="49"/>
    <w:semiHidden/>
    <w:rsid w:val="00716818"/>
    <w:pPr>
      <w:spacing w:before="40" w:after="20"/>
      <w:ind w:left="1418" w:hanging="1418"/>
    </w:pPr>
    <w:rPr>
      <w:b/>
      <w:sz w:val="16"/>
    </w:rPr>
  </w:style>
  <w:style w:type="paragraph" w:styleId="TOC7">
    <w:name w:val="toc 7"/>
    <w:basedOn w:val="Normal"/>
    <w:next w:val="Normal"/>
    <w:autoRedefine/>
    <w:uiPriority w:val="49"/>
    <w:semiHidden/>
    <w:rsid w:val="00716818"/>
    <w:pPr>
      <w:ind w:left="1440"/>
    </w:pPr>
  </w:style>
  <w:style w:type="paragraph" w:styleId="TOC8">
    <w:name w:val="toc 8"/>
    <w:basedOn w:val="Normal"/>
    <w:next w:val="Normal"/>
    <w:autoRedefine/>
    <w:uiPriority w:val="49"/>
    <w:semiHidden/>
    <w:rsid w:val="00716818"/>
    <w:pPr>
      <w:ind w:left="1680"/>
    </w:pPr>
  </w:style>
  <w:style w:type="paragraph" w:styleId="TOC9">
    <w:name w:val="toc 9"/>
    <w:basedOn w:val="Normal"/>
    <w:next w:val="Normal"/>
    <w:autoRedefine/>
    <w:uiPriority w:val="49"/>
    <w:semiHidden/>
    <w:rsid w:val="00716818"/>
    <w:pPr>
      <w:ind w:left="2835" w:right="2835"/>
    </w:pPr>
  </w:style>
  <w:style w:type="table" w:customStyle="1" w:styleId="TableGrid10">
    <w:name w:val="Table Grid1"/>
    <w:basedOn w:val="TableNormal"/>
    <w:next w:val="TableGrid"/>
    <w:rsid w:val="00470CA0"/>
    <w:tblPr>
      <w:tblStyleRowBandSize w:val="1"/>
      <w:tblStyleColBandSize w:val="1"/>
      <w:tblInd w:w="907" w:type="dxa"/>
      <w:tblBorders>
        <w:top w:val="single" w:sz="2" w:space="0" w:color="auto"/>
        <w:bottom w:val="single" w:sz="2" w:space="0" w:color="auto"/>
        <w:insideH w:val="single" w:sz="2" w:space="0" w:color="auto"/>
      </w:tblBorders>
      <w:tblCellMar>
        <w:top w:w="0" w:type="dxa"/>
        <w:left w:w="113" w:type="dxa"/>
        <w:bottom w:w="0" w:type="dxa"/>
        <w:right w:w="113" w:type="dxa"/>
      </w:tblCellMar>
    </w:tblPr>
    <w:trPr>
      <w:cantSplit/>
    </w:trPr>
    <w:tblStylePr w:type="firstRow">
      <w:pPr>
        <w:wordWrap/>
        <w:spacing w:beforeLines="0" w:afterLines="0" w:line="240" w:lineRule="auto"/>
        <w:ind w:leftChars="0" w:left="0" w:rightChars="0" w:right="0" w:firstLineChars="0" w:firstLine="0"/>
        <w:jc w:val="left"/>
      </w:pPr>
      <w:rPr>
        <w:rFonts w:ascii="Calibri" w:hAnsi="Calibri"/>
        <w:b w:val="0"/>
        <w:i w:val="0"/>
        <w:caps w:val="0"/>
        <w:smallCaps w:val="0"/>
        <w:strike w:val="0"/>
        <w:dstrike w:val="0"/>
        <w:vanish w:val="0"/>
        <w:color w:val="4C4C4C"/>
        <w:sz w:val="24"/>
        <w:u w:val="none"/>
        <w:vertAlign w:val="baseline"/>
      </w:rPr>
      <w:tblPr/>
      <w:tcPr>
        <w:tcBorders>
          <w:top w:val="single" w:sz="2" w:space="0" w:color="auto"/>
          <w:left w:val="nil"/>
          <w:bottom w:val="single" w:sz="2" w:space="0" w:color="auto"/>
          <w:right w:val="nil"/>
          <w:insideH w:val="nil"/>
          <w:insideV w:val="nil"/>
          <w:tl2br w:val="nil"/>
          <w:tr2bl w:val="nil"/>
        </w:tcBorders>
        <w:shd w:val="clear" w:color="auto" w:fill="D9D9D9"/>
      </w:tcPr>
    </w:tblStylePr>
    <w:tblStylePr w:type="firstCol">
      <w:rPr>
        <w:b w:val="0"/>
        <w:color w:val="auto"/>
      </w:rPr>
    </w:tblStylePr>
  </w:style>
  <w:style w:type="paragraph" w:customStyle="1" w:styleId="Pa14">
    <w:name w:val="Pa14"/>
    <w:basedOn w:val="Normal"/>
    <w:next w:val="Normal"/>
    <w:uiPriority w:val="99"/>
    <w:rsid w:val="008F0D0F"/>
    <w:pPr>
      <w:autoSpaceDE w:val="0"/>
      <w:autoSpaceDN w:val="0"/>
      <w:adjustRightInd w:val="0"/>
      <w:spacing w:before="0" w:after="0" w:line="201" w:lineRule="atLeast"/>
      <w:ind w:left="0"/>
    </w:pPr>
    <w:rPr>
      <w:rFonts w:ascii="Times New Roman" w:eastAsiaTheme="minorHAnsi" w:hAnsi="Times New Roman" w:cs="Times New Roman"/>
      <w:sz w:val="24"/>
      <w:szCs w:val="24"/>
      <w:lang w:eastAsia="en-US"/>
    </w:rPr>
  </w:style>
  <w:style w:type="paragraph" w:customStyle="1" w:styleId="Pa0">
    <w:name w:val="Pa0"/>
    <w:basedOn w:val="Normal"/>
    <w:next w:val="Normal"/>
    <w:uiPriority w:val="99"/>
    <w:rsid w:val="008F0D0F"/>
    <w:pPr>
      <w:autoSpaceDE w:val="0"/>
      <w:autoSpaceDN w:val="0"/>
      <w:adjustRightInd w:val="0"/>
      <w:spacing w:before="0" w:after="0" w:line="201" w:lineRule="atLeast"/>
      <w:ind w:left="0"/>
    </w:pPr>
    <w:rPr>
      <w:rFonts w:ascii="Times New Roman" w:eastAsiaTheme="minorHAnsi" w:hAnsi="Times New Roman" w:cs="Times New Roman"/>
      <w:sz w:val="24"/>
      <w:szCs w:val="24"/>
      <w:lang w:eastAsia="en-US"/>
    </w:rPr>
  </w:style>
  <w:style w:type="paragraph" w:customStyle="1" w:styleId="Pa15">
    <w:name w:val="Pa15"/>
    <w:basedOn w:val="Normal"/>
    <w:next w:val="Normal"/>
    <w:uiPriority w:val="99"/>
    <w:rsid w:val="008F0D0F"/>
    <w:pPr>
      <w:autoSpaceDE w:val="0"/>
      <w:autoSpaceDN w:val="0"/>
      <w:adjustRightInd w:val="0"/>
      <w:spacing w:before="0" w:after="0" w:line="201" w:lineRule="atLeast"/>
      <w:ind w:left="0"/>
    </w:pPr>
    <w:rPr>
      <w:rFonts w:ascii="Times New Roman" w:eastAsiaTheme="minorHAnsi" w:hAnsi="Times New Roman" w:cs="Times New Roman"/>
      <w:sz w:val="24"/>
      <w:szCs w:val="24"/>
      <w:lang w:eastAsia="en-US"/>
    </w:rPr>
  </w:style>
  <w:style w:type="paragraph" w:customStyle="1" w:styleId="Pa26">
    <w:name w:val="Pa26"/>
    <w:basedOn w:val="Normal"/>
    <w:next w:val="Normal"/>
    <w:uiPriority w:val="99"/>
    <w:rsid w:val="008F0D0F"/>
    <w:pPr>
      <w:autoSpaceDE w:val="0"/>
      <w:autoSpaceDN w:val="0"/>
      <w:adjustRightInd w:val="0"/>
      <w:spacing w:before="0" w:after="0" w:line="201" w:lineRule="atLeast"/>
      <w:ind w:left="0"/>
    </w:pPr>
    <w:rPr>
      <w:rFonts w:ascii="Times New Roman" w:eastAsiaTheme="minorHAnsi" w:hAnsi="Times New Roman" w:cs="Times New Roman"/>
      <w:sz w:val="24"/>
      <w:szCs w:val="24"/>
      <w:lang w:eastAsia="en-US"/>
    </w:rPr>
  </w:style>
  <w:style w:type="paragraph" w:customStyle="1" w:styleId="Pa23">
    <w:name w:val="Pa23"/>
    <w:basedOn w:val="Normal"/>
    <w:next w:val="Normal"/>
    <w:uiPriority w:val="99"/>
    <w:rsid w:val="008F0D0F"/>
    <w:pPr>
      <w:autoSpaceDE w:val="0"/>
      <w:autoSpaceDN w:val="0"/>
      <w:adjustRightInd w:val="0"/>
      <w:spacing w:before="0" w:after="0" w:line="201" w:lineRule="atLeast"/>
      <w:ind w:left="0"/>
    </w:pPr>
    <w:rPr>
      <w:rFonts w:ascii="Times New Roman" w:eastAsiaTheme="minorHAnsi" w:hAnsi="Times New Roman" w:cs="Times New Roman"/>
      <w:sz w:val="24"/>
      <w:szCs w:val="24"/>
      <w:lang w:eastAsia="en-US"/>
    </w:rPr>
  </w:style>
  <w:style w:type="paragraph" w:customStyle="1" w:styleId="Char">
    <w:name w:val="Char"/>
    <w:basedOn w:val="Normal"/>
    <w:rsid w:val="00170323"/>
    <w:pPr>
      <w:spacing w:before="0" w:after="0"/>
      <w:ind w:left="0"/>
    </w:pPr>
    <w:rPr>
      <w:rFonts w:ascii="Arial" w:hAnsi="Arial" w:cs="Aria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522371">
      <w:bodyDiv w:val="1"/>
      <w:marLeft w:val="0"/>
      <w:marRight w:val="0"/>
      <w:marTop w:val="0"/>
      <w:marBottom w:val="0"/>
      <w:divBdr>
        <w:top w:val="none" w:sz="0" w:space="0" w:color="auto"/>
        <w:left w:val="none" w:sz="0" w:space="0" w:color="auto"/>
        <w:bottom w:val="none" w:sz="0" w:space="0" w:color="auto"/>
        <w:right w:val="none" w:sz="0" w:space="0" w:color="auto"/>
      </w:divBdr>
      <w:divsChild>
        <w:div w:id="161168399">
          <w:marLeft w:val="0"/>
          <w:marRight w:val="0"/>
          <w:marTop w:val="0"/>
          <w:marBottom w:val="0"/>
          <w:divBdr>
            <w:top w:val="none" w:sz="0" w:space="0" w:color="auto"/>
            <w:left w:val="none" w:sz="0" w:space="0" w:color="auto"/>
            <w:bottom w:val="none" w:sz="0" w:space="0" w:color="auto"/>
            <w:right w:val="none" w:sz="0" w:space="0" w:color="auto"/>
          </w:divBdr>
          <w:divsChild>
            <w:div w:id="1400202961">
              <w:marLeft w:val="0"/>
              <w:marRight w:val="0"/>
              <w:marTop w:val="0"/>
              <w:marBottom w:val="0"/>
              <w:divBdr>
                <w:top w:val="none" w:sz="0" w:space="0" w:color="auto"/>
                <w:left w:val="none" w:sz="0" w:space="0" w:color="auto"/>
                <w:bottom w:val="none" w:sz="0" w:space="0" w:color="auto"/>
                <w:right w:val="none" w:sz="0" w:space="0" w:color="auto"/>
              </w:divBdr>
              <w:divsChild>
                <w:div w:id="1121417056">
                  <w:marLeft w:val="0"/>
                  <w:marRight w:val="0"/>
                  <w:marTop w:val="0"/>
                  <w:marBottom w:val="0"/>
                  <w:divBdr>
                    <w:top w:val="none" w:sz="0" w:space="0" w:color="auto"/>
                    <w:left w:val="none" w:sz="0" w:space="0" w:color="auto"/>
                    <w:bottom w:val="none" w:sz="0" w:space="0" w:color="auto"/>
                    <w:right w:val="none" w:sz="0" w:space="0" w:color="auto"/>
                  </w:divBdr>
                  <w:divsChild>
                    <w:div w:id="88819362">
                      <w:marLeft w:val="0"/>
                      <w:marRight w:val="0"/>
                      <w:marTop w:val="0"/>
                      <w:marBottom w:val="0"/>
                      <w:divBdr>
                        <w:top w:val="none" w:sz="0" w:space="0" w:color="auto"/>
                        <w:left w:val="none" w:sz="0" w:space="0" w:color="auto"/>
                        <w:bottom w:val="none" w:sz="0" w:space="0" w:color="auto"/>
                        <w:right w:val="none" w:sz="0" w:space="0" w:color="auto"/>
                      </w:divBdr>
                      <w:divsChild>
                        <w:div w:id="971326135">
                          <w:marLeft w:val="0"/>
                          <w:marRight w:val="0"/>
                          <w:marTop w:val="0"/>
                          <w:marBottom w:val="0"/>
                          <w:divBdr>
                            <w:top w:val="none" w:sz="0" w:space="0" w:color="auto"/>
                            <w:left w:val="none" w:sz="0" w:space="0" w:color="auto"/>
                            <w:bottom w:val="none" w:sz="0" w:space="0" w:color="auto"/>
                            <w:right w:val="none" w:sz="0" w:space="0" w:color="auto"/>
                          </w:divBdr>
                          <w:divsChild>
                            <w:div w:id="870802270">
                              <w:marLeft w:val="0"/>
                              <w:marRight w:val="0"/>
                              <w:marTop w:val="0"/>
                              <w:marBottom w:val="0"/>
                              <w:divBdr>
                                <w:top w:val="none" w:sz="0" w:space="0" w:color="auto"/>
                                <w:left w:val="none" w:sz="0" w:space="0" w:color="auto"/>
                                <w:bottom w:val="none" w:sz="0" w:space="0" w:color="auto"/>
                                <w:right w:val="none" w:sz="0" w:space="0" w:color="auto"/>
                              </w:divBdr>
                              <w:divsChild>
                                <w:div w:id="34931026">
                                  <w:marLeft w:val="0"/>
                                  <w:marRight w:val="0"/>
                                  <w:marTop w:val="0"/>
                                  <w:marBottom w:val="0"/>
                                  <w:divBdr>
                                    <w:top w:val="none" w:sz="0" w:space="0" w:color="auto"/>
                                    <w:left w:val="none" w:sz="0" w:space="0" w:color="auto"/>
                                    <w:bottom w:val="none" w:sz="0" w:space="0" w:color="auto"/>
                                    <w:right w:val="none" w:sz="0" w:space="0" w:color="auto"/>
                                  </w:divBdr>
                                  <w:divsChild>
                                    <w:div w:id="581842094">
                                      <w:marLeft w:val="0"/>
                                      <w:marRight w:val="0"/>
                                      <w:marTop w:val="0"/>
                                      <w:marBottom w:val="0"/>
                                      <w:divBdr>
                                        <w:top w:val="none" w:sz="0" w:space="0" w:color="auto"/>
                                        <w:left w:val="none" w:sz="0" w:space="0" w:color="auto"/>
                                        <w:bottom w:val="none" w:sz="0" w:space="0" w:color="auto"/>
                                        <w:right w:val="none" w:sz="0" w:space="0" w:color="auto"/>
                                      </w:divBdr>
                                      <w:divsChild>
                                        <w:div w:id="100296889">
                                          <w:marLeft w:val="0"/>
                                          <w:marRight w:val="-14400"/>
                                          <w:marTop w:val="0"/>
                                          <w:marBottom w:val="0"/>
                                          <w:divBdr>
                                            <w:top w:val="none" w:sz="0" w:space="0" w:color="auto"/>
                                            <w:left w:val="none" w:sz="0" w:space="0" w:color="auto"/>
                                            <w:bottom w:val="none" w:sz="0" w:space="0" w:color="auto"/>
                                            <w:right w:val="none" w:sz="0" w:space="0" w:color="auto"/>
                                          </w:divBdr>
                                          <w:divsChild>
                                            <w:div w:id="1928732494">
                                              <w:marLeft w:val="0"/>
                                              <w:marRight w:val="0"/>
                                              <w:marTop w:val="0"/>
                                              <w:marBottom w:val="0"/>
                                              <w:divBdr>
                                                <w:top w:val="none" w:sz="0" w:space="0" w:color="auto"/>
                                                <w:left w:val="none" w:sz="0" w:space="0" w:color="auto"/>
                                                <w:bottom w:val="none" w:sz="0" w:space="0" w:color="auto"/>
                                                <w:right w:val="none" w:sz="0" w:space="0" w:color="auto"/>
                                              </w:divBdr>
                                              <w:divsChild>
                                                <w:div w:id="269164602">
                                                  <w:marLeft w:val="0"/>
                                                  <w:marRight w:val="0"/>
                                                  <w:marTop w:val="0"/>
                                                  <w:marBottom w:val="0"/>
                                                  <w:divBdr>
                                                    <w:top w:val="none" w:sz="0" w:space="0" w:color="auto"/>
                                                    <w:left w:val="none" w:sz="0" w:space="0" w:color="auto"/>
                                                    <w:bottom w:val="none" w:sz="0" w:space="0" w:color="auto"/>
                                                    <w:right w:val="none" w:sz="0" w:space="0" w:color="auto"/>
                                                  </w:divBdr>
                                                  <w:divsChild>
                                                    <w:div w:id="377584332">
                                                      <w:marLeft w:val="0"/>
                                                      <w:marRight w:val="0"/>
                                                      <w:marTop w:val="0"/>
                                                      <w:marBottom w:val="360"/>
                                                      <w:divBdr>
                                                        <w:top w:val="none" w:sz="0" w:space="0" w:color="auto"/>
                                                        <w:left w:val="none" w:sz="0" w:space="0" w:color="auto"/>
                                                        <w:bottom w:val="none" w:sz="0" w:space="0" w:color="auto"/>
                                                        <w:right w:val="none" w:sz="0" w:space="0" w:color="auto"/>
                                                      </w:divBdr>
                                                      <w:divsChild>
                                                        <w:div w:id="1627662092">
                                                          <w:marLeft w:val="0"/>
                                                          <w:marRight w:val="0"/>
                                                          <w:marTop w:val="0"/>
                                                          <w:marBottom w:val="0"/>
                                                          <w:divBdr>
                                                            <w:top w:val="none" w:sz="0" w:space="0" w:color="auto"/>
                                                            <w:left w:val="none" w:sz="0" w:space="0" w:color="auto"/>
                                                            <w:bottom w:val="none" w:sz="0" w:space="0" w:color="auto"/>
                                                            <w:right w:val="none" w:sz="0" w:space="0" w:color="auto"/>
                                                          </w:divBdr>
                                                          <w:divsChild>
                                                            <w:div w:id="1922910229">
                                                              <w:marLeft w:val="0"/>
                                                              <w:marRight w:val="0"/>
                                                              <w:marTop w:val="0"/>
                                                              <w:marBottom w:val="0"/>
                                                              <w:divBdr>
                                                                <w:top w:val="none" w:sz="0" w:space="0" w:color="auto"/>
                                                                <w:left w:val="none" w:sz="0" w:space="0" w:color="auto"/>
                                                                <w:bottom w:val="none" w:sz="0" w:space="0" w:color="auto"/>
                                                                <w:right w:val="none" w:sz="0" w:space="0" w:color="auto"/>
                                                              </w:divBdr>
                                                              <w:divsChild>
                                                                <w:div w:id="309676003">
                                                                  <w:marLeft w:val="0"/>
                                                                  <w:marRight w:val="0"/>
                                                                  <w:marTop w:val="0"/>
                                                                  <w:marBottom w:val="0"/>
                                                                  <w:divBdr>
                                                                    <w:top w:val="none" w:sz="0" w:space="0" w:color="auto"/>
                                                                    <w:left w:val="none" w:sz="0" w:space="0" w:color="auto"/>
                                                                    <w:bottom w:val="none" w:sz="0" w:space="0" w:color="auto"/>
                                                                    <w:right w:val="none" w:sz="0" w:space="0" w:color="auto"/>
                                                                  </w:divBdr>
                                                                  <w:divsChild>
                                                                    <w:div w:id="349333381">
                                                                      <w:marLeft w:val="0"/>
                                                                      <w:marRight w:val="0"/>
                                                                      <w:marTop w:val="0"/>
                                                                      <w:marBottom w:val="180"/>
                                                                      <w:divBdr>
                                                                        <w:top w:val="none" w:sz="0" w:space="0" w:color="auto"/>
                                                                        <w:left w:val="none" w:sz="0" w:space="0" w:color="auto"/>
                                                                        <w:bottom w:val="none" w:sz="0" w:space="0" w:color="auto"/>
                                                                        <w:right w:val="none" w:sz="0" w:space="0" w:color="auto"/>
                                                                      </w:divBdr>
                                                                      <w:divsChild>
                                                                        <w:div w:id="353270673">
                                                                          <w:marLeft w:val="0"/>
                                                                          <w:marRight w:val="0"/>
                                                                          <w:marTop w:val="0"/>
                                                                          <w:marBottom w:val="0"/>
                                                                          <w:divBdr>
                                                                            <w:top w:val="none" w:sz="0" w:space="0" w:color="auto"/>
                                                                            <w:left w:val="none" w:sz="0" w:space="0" w:color="auto"/>
                                                                            <w:bottom w:val="none" w:sz="0" w:space="0" w:color="auto"/>
                                                                            <w:right w:val="none" w:sz="0" w:space="0" w:color="auto"/>
                                                                          </w:divBdr>
                                                                          <w:divsChild>
                                                                            <w:div w:id="54764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5081253">
      <w:bodyDiv w:val="1"/>
      <w:marLeft w:val="0"/>
      <w:marRight w:val="0"/>
      <w:marTop w:val="0"/>
      <w:marBottom w:val="0"/>
      <w:divBdr>
        <w:top w:val="none" w:sz="0" w:space="0" w:color="auto"/>
        <w:left w:val="none" w:sz="0" w:space="0" w:color="auto"/>
        <w:bottom w:val="none" w:sz="0" w:space="0" w:color="auto"/>
        <w:right w:val="none" w:sz="0" w:space="0" w:color="auto"/>
      </w:divBdr>
    </w:div>
    <w:div w:id="1487624940">
      <w:bodyDiv w:val="1"/>
      <w:marLeft w:val="0"/>
      <w:marRight w:val="0"/>
      <w:marTop w:val="0"/>
      <w:marBottom w:val="0"/>
      <w:divBdr>
        <w:top w:val="none" w:sz="0" w:space="0" w:color="auto"/>
        <w:left w:val="none" w:sz="0" w:space="0" w:color="auto"/>
        <w:bottom w:val="none" w:sz="0" w:space="0" w:color="auto"/>
        <w:right w:val="none" w:sz="0" w:space="0" w:color="auto"/>
      </w:divBdr>
      <w:divsChild>
        <w:div w:id="158737743">
          <w:marLeft w:val="0"/>
          <w:marRight w:val="0"/>
          <w:marTop w:val="0"/>
          <w:marBottom w:val="0"/>
          <w:divBdr>
            <w:top w:val="none" w:sz="0" w:space="0" w:color="auto"/>
            <w:left w:val="none" w:sz="0" w:space="0" w:color="auto"/>
            <w:bottom w:val="none" w:sz="0" w:space="0" w:color="auto"/>
            <w:right w:val="none" w:sz="0" w:space="0" w:color="auto"/>
          </w:divBdr>
          <w:divsChild>
            <w:div w:id="1050030057">
              <w:marLeft w:val="0"/>
              <w:marRight w:val="0"/>
              <w:marTop w:val="0"/>
              <w:marBottom w:val="0"/>
              <w:divBdr>
                <w:top w:val="none" w:sz="0" w:space="0" w:color="auto"/>
                <w:left w:val="none" w:sz="0" w:space="0" w:color="auto"/>
                <w:bottom w:val="none" w:sz="0" w:space="0" w:color="auto"/>
                <w:right w:val="none" w:sz="0" w:space="0" w:color="auto"/>
              </w:divBdr>
              <w:divsChild>
                <w:div w:id="227886990">
                  <w:marLeft w:val="0"/>
                  <w:marRight w:val="0"/>
                  <w:marTop w:val="0"/>
                  <w:marBottom w:val="0"/>
                  <w:divBdr>
                    <w:top w:val="none" w:sz="0" w:space="0" w:color="auto"/>
                    <w:left w:val="none" w:sz="0" w:space="0" w:color="auto"/>
                    <w:bottom w:val="none" w:sz="0" w:space="0" w:color="auto"/>
                    <w:right w:val="none" w:sz="0" w:space="0" w:color="auto"/>
                  </w:divBdr>
                  <w:divsChild>
                    <w:div w:id="157234477">
                      <w:marLeft w:val="0"/>
                      <w:marRight w:val="0"/>
                      <w:marTop w:val="0"/>
                      <w:marBottom w:val="0"/>
                      <w:divBdr>
                        <w:top w:val="none" w:sz="0" w:space="0" w:color="auto"/>
                        <w:left w:val="none" w:sz="0" w:space="0" w:color="auto"/>
                        <w:bottom w:val="none" w:sz="0" w:space="0" w:color="auto"/>
                        <w:right w:val="none" w:sz="0" w:space="0" w:color="auto"/>
                      </w:divBdr>
                      <w:divsChild>
                        <w:div w:id="740910858">
                          <w:marLeft w:val="0"/>
                          <w:marRight w:val="0"/>
                          <w:marTop w:val="0"/>
                          <w:marBottom w:val="0"/>
                          <w:divBdr>
                            <w:top w:val="none" w:sz="0" w:space="0" w:color="auto"/>
                            <w:left w:val="none" w:sz="0" w:space="0" w:color="auto"/>
                            <w:bottom w:val="none" w:sz="0" w:space="0" w:color="auto"/>
                            <w:right w:val="none" w:sz="0" w:space="0" w:color="auto"/>
                          </w:divBdr>
                          <w:divsChild>
                            <w:div w:id="952832746">
                              <w:marLeft w:val="0"/>
                              <w:marRight w:val="0"/>
                              <w:marTop w:val="0"/>
                              <w:marBottom w:val="0"/>
                              <w:divBdr>
                                <w:top w:val="none" w:sz="0" w:space="0" w:color="auto"/>
                                <w:left w:val="none" w:sz="0" w:space="0" w:color="auto"/>
                                <w:bottom w:val="none" w:sz="0" w:space="0" w:color="auto"/>
                                <w:right w:val="none" w:sz="0" w:space="0" w:color="auto"/>
                              </w:divBdr>
                              <w:divsChild>
                                <w:div w:id="828440697">
                                  <w:marLeft w:val="0"/>
                                  <w:marRight w:val="0"/>
                                  <w:marTop w:val="0"/>
                                  <w:marBottom w:val="0"/>
                                  <w:divBdr>
                                    <w:top w:val="none" w:sz="0" w:space="0" w:color="auto"/>
                                    <w:left w:val="none" w:sz="0" w:space="0" w:color="auto"/>
                                    <w:bottom w:val="none" w:sz="0" w:space="0" w:color="auto"/>
                                    <w:right w:val="none" w:sz="0" w:space="0" w:color="auto"/>
                                  </w:divBdr>
                                  <w:divsChild>
                                    <w:div w:id="1783189941">
                                      <w:marLeft w:val="0"/>
                                      <w:marRight w:val="0"/>
                                      <w:marTop w:val="0"/>
                                      <w:marBottom w:val="0"/>
                                      <w:divBdr>
                                        <w:top w:val="none" w:sz="0" w:space="0" w:color="auto"/>
                                        <w:left w:val="none" w:sz="0" w:space="0" w:color="auto"/>
                                        <w:bottom w:val="none" w:sz="0" w:space="0" w:color="auto"/>
                                        <w:right w:val="none" w:sz="0" w:space="0" w:color="auto"/>
                                      </w:divBdr>
                                      <w:divsChild>
                                        <w:div w:id="46955758">
                                          <w:marLeft w:val="0"/>
                                          <w:marRight w:val="-14400"/>
                                          <w:marTop w:val="0"/>
                                          <w:marBottom w:val="0"/>
                                          <w:divBdr>
                                            <w:top w:val="none" w:sz="0" w:space="0" w:color="auto"/>
                                            <w:left w:val="none" w:sz="0" w:space="0" w:color="auto"/>
                                            <w:bottom w:val="none" w:sz="0" w:space="0" w:color="auto"/>
                                            <w:right w:val="none" w:sz="0" w:space="0" w:color="auto"/>
                                          </w:divBdr>
                                          <w:divsChild>
                                            <w:div w:id="973098109">
                                              <w:marLeft w:val="0"/>
                                              <w:marRight w:val="0"/>
                                              <w:marTop w:val="0"/>
                                              <w:marBottom w:val="0"/>
                                              <w:divBdr>
                                                <w:top w:val="none" w:sz="0" w:space="0" w:color="auto"/>
                                                <w:left w:val="none" w:sz="0" w:space="0" w:color="auto"/>
                                                <w:bottom w:val="none" w:sz="0" w:space="0" w:color="auto"/>
                                                <w:right w:val="none" w:sz="0" w:space="0" w:color="auto"/>
                                              </w:divBdr>
                                              <w:divsChild>
                                                <w:div w:id="1760322211">
                                                  <w:marLeft w:val="0"/>
                                                  <w:marRight w:val="0"/>
                                                  <w:marTop w:val="0"/>
                                                  <w:marBottom w:val="0"/>
                                                  <w:divBdr>
                                                    <w:top w:val="none" w:sz="0" w:space="0" w:color="auto"/>
                                                    <w:left w:val="none" w:sz="0" w:space="0" w:color="auto"/>
                                                    <w:bottom w:val="none" w:sz="0" w:space="0" w:color="auto"/>
                                                    <w:right w:val="none" w:sz="0" w:space="0" w:color="auto"/>
                                                  </w:divBdr>
                                                  <w:divsChild>
                                                    <w:div w:id="556816970">
                                                      <w:marLeft w:val="0"/>
                                                      <w:marRight w:val="0"/>
                                                      <w:marTop w:val="0"/>
                                                      <w:marBottom w:val="360"/>
                                                      <w:divBdr>
                                                        <w:top w:val="none" w:sz="0" w:space="0" w:color="auto"/>
                                                        <w:left w:val="none" w:sz="0" w:space="0" w:color="auto"/>
                                                        <w:bottom w:val="none" w:sz="0" w:space="0" w:color="auto"/>
                                                        <w:right w:val="none" w:sz="0" w:space="0" w:color="auto"/>
                                                      </w:divBdr>
                                                      <w:divsChild>
                                                        <w:div w:id="504051913">
                                                          <w:marLeft w:val="0"/>
                                                          <w:marRight w:val="0"/>
                                                          <w:marTop w:val="0"/>
                                                          <w:marBottom w:val="0"/>
                                                          <w:divBdr>
                                                            <w:top w:val="none" w:sz="0" w:space="0" w:color="auto"/>
                                                            <w:left w:val="none" w:sz="0" w:space="0" w:color="auto"/>
                                                            <w:bottom w:val="none" w:sz="0" w:space="0" w:color="auto"/>
                                                            <w:right w:val="none" w:sz="0" w:space="0" w:color="auto"/>
                                                          </w:divBdr>
                                                          <w:divsChild>
                                                            <w:div w:id="1238006810">
                                                              <w:marLeft w:val="0"/>
                                                              <w:marRight w:val="0"/>
                                                              <w:marTop w:val="0"/>
                                                              <w:marBottom w:val="0"/>
                                                              <w:divBdr>
                                                                <w:top w:val="none" w:sz="0" w:space="0" w:color="auto"/>
                                                                <w:left w:val="none" w:sz="0" w:space="0" w:color="auto"/>
                                                                <w:bottom w:val="none" w:sz="0" w:space="0" w:color="auto"/>
                                                                <w:right w:val="none" w:sz="0" w:space="0" w:color="auto"/>
                                                              </w:divBdr>
                                                              <w:divsChild>
                                                                <w:div w:id="946078382">
                                                                  <w:marLeft w:val="0"/>
                                                                  <w:marRight w:val="0"/>
                                                                  <w:marTop w:val="0"/>
                                                                  <w:marBottom w:val="0"/>
                                                                  <w:divBdr>
                                                                    <w:top w:val="none" w:sz="0" w:space="0" w:color="auto"/>
                                                                    <w:left w:val="none" w:sz="0" w:space="0" w:color="auto"/>
                                                                    <w:bottom w:val="none" w:sz="0" w:space="0" w:color="auto"/>
                                                                    <w:right w:val="none" w:sz="0" w:space="0" w:color="auto"/>
                                                                  </w:divBdr>
                                                                  <w:divsChild>
                                                                    <w:div w:id="1106537080">
                                                                      <w:marLeft w:val="0"/>
                                                                      <w:marRight w:val="0"/>
                                                                      <w:marTop w:val="0"/>
                                                                      <w:marBottom w:val="180"/>
                                                                      <w:divBdr>
                                                                        <w:top w:val="none" w:sz="0" w:space="0" w:color="auto"/>
                                                                        <w:left w:val="none" w:sz="0" w:space="0" w:color="auto"/>
                                                                        <w:bottom w:val="none" w:sz="0" w:space="0" w:color="auto"/>
                                                                        <w:right w:val="none" w:sz="0" w:space="0" w:color="auto"/>
                                                                      </w:divBdr>
                                                                      <w:divsChild>
                                                                        <w:div w:id="524632721">
                                                                          <w:marLeft w:val="0"/>
                                                                          <w:marRight w:val="0"/>
                                                                          <w:marTop w:val="0"/>
                                                                          <w:marBottom w:val="0"/>
                                                                          <w:divBdr>
                                                                            <w:top w:val="none" w:sz="0" w:space="0" w:color="auto"/>
                                                                            <w:left w:val="none" w:sz="0" w:space="0" w:color="auto"/>
                                                                            <w:bottom w:val="none" w:sz="0" w:space="0" w:color="auto"/>
                                                                            <w:right w:val="none" w:sz="0" w:space="0" w:color="auto"/>
                                                                          </w:divBdr>
                                                                          <w:divsChild>
                                                                            <w:div w:id="1770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header" Target="header4.xm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footer" Target="footer2.xml"/><Relationship Id="rId25" Type="http://schemas.openxmlformats.org/officeDocument/2006/relationships/header" Target="header5.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mailto:supervisionchargeris@dtf.vic.gov.au"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o:%20information@dtf.vic.gov.au" TargetMode="External"/><Relationship Id="rId24" Type="http://schemas.openxmlformats.org/officeDocument/2006/relationships/chart" Target="charts/chart2.xml"/><Relationship Id="rId32" Type="http://schemas.openxmlformats.org/officeDocument/2006/relationships/hyperlink" Target="http://www.dtf.vic.gov.au" TargetMode="Externa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chart" Target="charts/chart1.xml"/><Relationship Id="rId28" Type="http://schemas.openxmlformats.org/officeDocument/2006/relationships/header" Target="header7.xml"/><Relationship Id="rId10" Type="http://schemas.openxmlformats.org/officeDocument/2006/relationships/image" Target="media/image2.png"/><Relationship Id="rId19" Type="http://schemas.openxmlformats.org/officeDocument/2006/relationships/hyperlink" Target="mailto:supervisionchargeris@dtf.vic.gov.au" TargetMode="External"/><Relationship Id="rId31" Type="http://schemas.openxmlformats.org/officeDocument/2006/relationships/hyperlink" Target="http://www.dtf.vic.gov.au"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 Id="rId22" Type="http://schemas.openxmlformats.org/officeDocument/2006/relationships/image" Target="media/image6.jpeg"/><Relationship Id="rId27" Type="http://schemas.openxmlformats.org/officeDocument/2006/relationships/footer" Target="footer3.xml"/><Relationship Id="rId30"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G:\Zen\Template\Communication%20Templates\DTF%20Reports.dotm"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pvfdtf001\DTF_USER01$\HOME\pez\EDRMS7\Offline%20Records%20(PT)\Chapter%206%20-%20Assessment%20of%20options\supervision%20charge%20RIS%20-%20costs%20calculation.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pvfdtf001\DTF_USER01$\HOME\pez\EDRMS7\Offline%20Records%20(PT)\Chapter%206%20-%20Assessment%20of%20options\supervision%20charge%20RIS%20-%20costs%20calculation.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7314129483814522"/>
          <c:y val="5.1400554097404488E-2"/>
          <c:w val="0.76903783902012257"/>
          <c:h val="0.68352216389617959"/>
        </c:manualLayout>
      </c:layout>
      <c:lineChart>
        <c:grouping val="standard"/>
        <c:varyColors val="0"/>
        <c:ser>
          <c:idx val="0"/>
          <c:order val="0"/>
          <c:tx>
            <c:strRef>
              <c:f>summary!$B$14</c:f>
              <c:strCache>
                <c:ptCount val="1"/>
                <c:pt idx="0">
                  <c:v>Option A</c:v>
                </c:pt>
              </c:strCache>
            </c:strRef>
          </c:tx>
          <c:marker>
            <c:symbol val="none"/>
          </c:marker>
          <c:cat>
            <c:numRef>
              <c:f>summary!$A$15:$A$22</c:f>
              <c:numCache>
                <c:formatCode>General</c:formatCode>
                <c:ptCount val="8"/>
                <c:pt idx="0">
                  <c:v>10</c:v>
                </c:pt>
                <c:pt idx="1">
                  <c:v>20</c:v>
                </c:pt>
                <c:pt idx="2">
                  <c:v>30</c:v>
                </c:pt>
                <c:pt idx="3">
                  <c:v>40</c:v>
                </c:pt>
                <c:pt idx="4">
                  <c:v>50</c:v>
                </c:pt>
                <c:pt idx="5">
                  <c:v>60</c:v>
                </c:pt>
                <c:pt idx="6">
                  <c:v>70</c:v>
                </c:pt>
                <c:pt idx="7">
                  <c:v>80</c:v>
                </c:pt>
              </c:numCache>
            </c:numRef>
          </c:cat>
          <c:val>
            <c:numRef>
              <c:f>summary!$B$15:$B$22</c:f>
              <c:numCache>
                <c:formatCode>_-* #,##0_-;\-* #,##0_-;_-* "-"??_-;_-@_-</c:formatCode>
                <c:ptCount val="8"/>
                <c:pt idx="0">
                  <c:v>2080.2439345442058</c:v>
                </c:pt>
                <c:pt idx="1">
                  <c:v>4160.4878690884116</c:v>
                </c:pt>
                <c:pt idx="2">
                  <c:v>6240.7318036326169</c:v>
                </c:pt>
                <c:pt idx="3">
                  <c:v>8320.9757381768231</c:v>
                </c:pt>
                <c:pt idx="4">
                  <c:v>10401.219672721028</c:v>
                </c:pt>
                <c:pt idx="5">
                  <c:v>12481.463607265234</c:v>
                </c:pt>
                <c:pt idx="6">
                  <c:v>14561.707541809439</c:v>
                </c:pt>
                <c:pt idx="7">
                  <c:v>16641.951476353646</c:v>
                </c:pt>
              </c:numCache>
            </c:numRef>
          </c:val>
          <c:smooth val="0"/>
        </c:ser>
        <c:ser>
          <c:idx val="1"/>
          <c:order val="1"/>
          <c:tx>
            <c:strRef>
              <c:f>summary!$C$14</c:f>
              <c:strCache>
                <c:ptCount val="1"/>
                <c:pt idx="0">
                  <c:v>Option B</c:v>
                </c:pt>
              </c:strCache>
            </c:strRef>
          </c:tx>
          <c:marker>
            <c:symbol val="none"/>
          </c:marker>
          <c:cat>
            <c:numRef>
              <c:f>summary!$A$15:$A$22</c:f>
              <c:numCache>
                <c:formatCode>General</c:formatCode>
                <c:ptCount val="8"/>
                <c:pt idx="0">
                  <c:v>10</c:v>
                </c:pt>
                <c:pt idx="1">
                  <c:v>20</c:v>
                </c:pt>
                <c:pt idx="2">
                  <c:v>30</c:v>
                </c:pt>
                <c:pt idx="3">
                  <c:v>40</c:v>
                </c:pt>
                <c:pt idx="4">
                  <c:v>50</c:v>
                </c:pt>
                <c:pt idx="5">
                  <c:v>60</c:v>
                </c:pt>
                <c:pt idx="6">
                  <c:v>70</c:v>
                </c:pt>
                <c:pt idx="7">
                  <c:v>80</c:v>
                </c:pt>
              </c:numCache>
            </c:numRef>
          </c:cat>
          <c:val>
            <c:numRef>
              <c:f>summary!$C$15:$C$22</c:f>
              <c:numCache>
                <c:formatCode>_-* #,##0_-;\-* #,##0_-;_-* "-"??_-;_-@_-</c:formatCode>
                <c:ptCount val="8"/>
                <c:pt idx="0">
                  <c:v>1957.4546991583047</c:v>
                </c:pt>
                <c:pt idx="1">
                  <c:v>3914.9093983166094</c:v>
                </c:pt>
                <c:pt idx="2">
                  <c:v>5872.3640974749142</c:v>
                </c:pt>
                <c:pt idx="3">
                  <c:v>7829.8187966332189</c:v>
                </c:pt>
                <c:pt idx="4">
                  <c:v>9787.2734957915236</c:v>
                </c:pt>
                <c:pt idx="5">
                  <c:v>11744.728194949828</c:v>
                </c:pt>
                <c:pt idx="6">
                  <c:v>13702.182894108133</c:v>
                </c:pt>
                <c:pt idx="7">
                  <c:v>15659.637593266438</c:v>
                </c:pt>
              </c:numCache>
            </c:numRef>
          </c:val>
          <c:smooth val="0"/>
        </c:ser>
        <c:ser>
          <c:idx val="2"/>
          <c:order val="2"/>
          <c:tx>
            <c:strRef>
              <c:f>summary!$D$14</c:f>
              <c:strCache>
                <c:ptCount val="1"/>
                <c:pt idx="0">
                  <c:v>Option C</c:v>
                </c:pt>
              </c:strCache>
            </c:strRef>
          </c:tx>
          <c:spPr>
            <a:ln>
              <a:prstDash val="dash"/>
            </a:ln>
          </c:spPr>
          <c:marker>
            <c:symbol val="none"/>
          </c:marker>
          <c:cat>
            <c:numRef>
              <c:f>summary!$A$15:$A$22</c:f>
              <c:numCache>
                <c:formatCode>General</c:formatCode>
                <c:ptCount val="8"/>
                <c:pt idx="0">
                  <c:v>10</c:v>
                </c:pt>
                <c:pt idx="1">
                  <c:v>20</c:v>
                </c:pt>
                <c:pt idx="2">
                  <c:v>30</c:v>
                </c:pt>
                <c:pt idx="3">
                  <c:v>40</c:v>
                </c:pt>
                <c:pt idx="4">
                  <c:v>50</c:v>
                </c:pt>
                <c:pt idx="5">
                  <c:v>60</c:v>
                </c:pt>
                <c:pt idx="6">
                  <c:v>70</c:v>
                </c:pt>
                <c:pt idx="7">
                  <c:v>80</c:v>
                </c:pt>
              </c:numCache>
            </c:numRef>
          </c:cat>
          <c:val>
            <c:numRef>
              <c:f>summary!$D$15:$D$22</c:f>
              <c:numCache>
                <c:formatCode>_-* #,##0_-;\-* #,##0_-;_-* "-"??_-;_-@_-</c:formatCode>
                <c:ptCount val="8"/>
                <c:pt idx="0">
                  <c:v>2091.4416431039899</c:v>
                </c:pt>
                <c:pt idx="1">
                  <c:v>4182.8832862079798</c:v>
                </c:pt>
                <c:pt idx="2">
                  <c:v>6274.3249293119698</c:v>
                </c:pt>
                <c:pt idx="3">
                  <c:v>8365.7665724159597</c:v>
                </c:pt>
                <c:pt idx="4">
                  <c:v>10457.20821551995</c:v>
                </c:pt>
                <c:pt idx="5">
                  <c:v>12548.64985862394</c:v>
                </c:pt>
                <c:pt idx="6">
                  <c:v>14640.091501727929</c:v>
                </c:pt>
                <c:pt idx="7">
                  <c:v>16731.533144831919</c:v>
                </c:pt>
              </c:numCache>
            </c:numRef>
          </c:val>
          <c:smooth val="0"/>
        </c:ser>
        <c:ser>
          <c:idx val="3"/>
          <c:order val="3"/>
          <c:tx>
            <c:strRef>
              <c:f>summary!$E$14</c:f>
              <c:strCache>
                <c:ptCount val="1"/>
                <c:pt idx="0">
                  <c:v>Option D</c:v>
                </c:pt>
              </c:strCache>
            </c:strRef>
          </c:tx>
          <c:spPr>
            <a:ln>
              <a:prstDash val="dash"/>
            </a:ln>
          </c:spPr>
          <c:marker>
            <c:symbol val="none"/>
          </c:marker>
          <c:cat>
            <c:numRef>
              <c:f>summary!$A$15:$A$22</c:f>
              <c:numCache>
                <c:formatCode>General</c:formatCode>
                <c:ptCount val="8"/>
                <c:pt idx="0">
                  <c:v>10</c:v>
                </c:pt>
                <c:pt idx="1">
                  <c:v>20</c:v>
                </c:pt>
                <c:pt idx="2">
                  <c:v>30</c:v>
                </c:pt>
                <c:pt idx="3">
                  <c:v>40</c:v>
                </c:pt>
                <c:pt idx="4">
                  <c:v>50</c:v>
                </c:pt>
                <c:pt idx="5">
                  <c:v>60</c:v>
                </c:pt>
                <c:pt idx="6">
                  <c:v>70</c:v>
                </c:pt>
                <c:pt idx="7">
                  <c:v>80</c:v>
                </c:pt>
              </c:numCache>
            </c:numRef>
          </c:cat>
          <c:val>
            <c:numRef>
              <c:f>summary!$E$15:$E$22</c:f>
              <c:numCache>
                <c:formatCode>_-* #,##0_-;\-* #,##0_-;_-* "-"??_-;_-@_-</c:formatCode>
                <c:ptCount val="8"/>
                <c:pt idx="0">
                  <c:v>1957.4546991583047</c:v>
                </c:pt>
                <c:pt idx="1">
                  <c:v>3914.9093983166094</c:v>
                </c:pt>
                <c:pt idx="2">
                  <c:v>5872.3640974749142</c:v>
                </c:pt>
                <c:pt idx="3">
                  <c:v>7829.8187966332189</c:v>
                </c:pt>
                <c:pt idx="4">
                  <c:v>9787.2734957915236</c:v>
                </c:pt>
                <c:pt idx="5">
                  <c:v>11744.728194949828</c:v>
                </c:pt>
                <c:pt idx="6">
                  <c:v>13702.182894108133</c:v>
                </c:pt>
                <c:pt idx="7">
                  <c:v>15659.637593266438</c:v>
                </c:pt>
              </c:numCache>
            </c:numRef>
          </c:val>
          <c:smooth val="0"/>
        </c:ser>
        <c:dLbls>
          <c:showLegendKey val="0"/>
          <c:showVal val="0"/>
          <c:showCatName val="0"/>
          <c:showSerName val="0"/>
          <c:showPercent val="0"/>
          <c:showBubbleSize val="0"/>
        </c:dLbls>
        <c:marker val="1"/>
        <c:smooth val="0"/>
        <c:axId val="228800768"/>
        <c:axId val="228811136"/>
      </c:lineChart>
      <c:catAx>
        <c:axId val="228800768"/>
        <c:scaling>
          <c:orientation val="minMax"/>
        </c:scaling>
        <c:delete val="0"/>
        <c:axPos val="b"/>
        <c:title>
          <c:tx>
            <c:rich>
              <a:bodyPr/>
              <a:lstStyle/>
              <a:p>
                <a:pPr>
                  <a:defRPr sz="1000" b="1" i="0" u="none" strike="noStrike" baseline="0">
                    <a:solidFill>
                      <a:srgbClr val="000000"/>
                    </a:solidFill>
                    <a:latin typeface="Calibri"/>
                    <a:ea typeface="Calibri"/>
                    <a:cs typeface="Calibri"/>
                  </a:defRPr>
                </a:pPr>
                <a:r>
                  <a:rPr lang="en-AU"/>
                  <a:t>No. operating </a:t>
                </a:r>
                <a:r>
                  <a:rPr lang="en-AU" sz="1000" b="1" i="0" u="none" strike="noStrike" kern="1200" baseline="0">
                    <a:solidFill>
                      <a:srgbClr val="000000"/>
                    </a:solidFill>
                    <a:latin typeface="Calibri"/>
                    <a:cs typeface="Calibri"/>
                  </a:rPr>
                  <a:t>Gaming machines</a:t>
                </a:r>
                <a:endParaRPr lang="en-AU"/>
              </a:p>
            </c:rich>
          </c:tx>
          <c:layout>
            <c:manualLayout>
              <c:xMode val="edge"/>
              <c:yMode val="edge"/>
              <c:x val="0.33402821522309711"/>
              <c:y val="0.80923592884222806"/>
            </c:manualLayout>
          </c:layout>
          <c:overlay val="0"/>
        </c:title>
        <c:numFmt formatCode="General"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228811136"/>
        <c:crosses val="autoZero"/>
        <c:auto val="1"/>
        <c:lblAlgn val="ctr"/>
        <c:lblOffset val="100"/>
        <c:noMultiLvlLbl val="0"/>
      </c:catAx>
      <c:valAx>
        <c:axId val="228811136"/>
        <c:scaling>
          <c:orientation val="minMax"/>
        </c:scaling>
        <c:delete val="0"/>
        <c:axPos val="l"/>
        <c:majorGridlines/>
        <c:title>
          <c:tx>
            <c:rich>
              <a:bodyPr/>
              <a:lstStyle/>
              <a:p>
                <a:pPr>
                  <a:defRPr sz="1000" b="1" i="0" u="none" strike="noStrike" baseline="0">
                    <a:solidFill>
                      <a:srgbClr val="000000"/>
                    </a:solidFill>
                    <a:latin typeface="Calibri"/>
                    <a:ea typeface="Calibri"/>
                    <a:cs typeface="Calibri"/>
                  </a:defRPr>
                </a:pPr>
                <a:r>
                  <a:rPr lang="en-AU"/>
                  <a:t>annual supervision charge</a:t>
                </a:r>
                <a:r>
                  <a:rPr lang="en-AU" baseline="0"/>
                  <a:t> ($)</a:t>
                </a:r>
                <a:endParaRPr lang="en-AU"/>
              </a:p>
            </c:rich>
          </c:tx>
          <c:overlay val="0"/>
        </c:title>
        <c:numFmt formatCode="_-* #,##0_-;\-* #,##0_-;_-* &quot;-&quot;??_-;_-@_-"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228800768"/>
        <c:crosses val="autoZero"/>
        <c:crossBetween val="between"/>
      </c:valAx>
    </c:plotArea>
    <c:legend>
      <c:legendPos val="r"/>
      <c:layout>
        <c:manualLayout>
          <c:xMode val="edge"/>
          <c:yMode val="edge"/>
          <c:x val="5.0512467191601046E-2"/>
          <c:y val="0.84645450568678915"/>
          <c:w val="0.89670975503062111"/>
          <c:h val="0.13116506270049577"/>
        </c:manualLayout>
      </c:layout>
      <c:overlay val="0"/>
      <c:txPr>
        <a:bodyPr/>
        <a:lstStyle/>
        <a:p>
          <a:pPr>
            <a:defRPr sz="920" b="0" i="0" u="none" strike="noStrike" baseline="0">
              <a:solidFill>
                <a:srgbClr val="000000"/>
              </a:solidFill>
              <a:latin typeface="Calibri"/>
              <a:ea typeface="Calibri"/>
              <a:cs typeface="Calibri"/>
            </a:defRPr>
          </a:pPr>
          <a:endParaRPr lang="en-US"/>
        </a:p>
      </c:txPr>
    </c:legend>
    <c:plotVisOnly val="1"/>
    <c:dispBlanksAs val="gap"/>
    <c:showDLblsOverMax val="0"/>
  </c:chart>
  <c:spPr>
    <a:ln>
      <a:noFill/>
    </a:ln>
  </c:spPr>
  <c:txPr>
    <a:bodyPr/>
    <a:lstStyle/>
    <a:p>
      <a:pPr>
        <a:defRPr sz="1000" b="0" i="0" u="none" strike="noStrike" baseline="0">
          <a:solidFill>
            <a:srgbClr val="000000"/>
          </a:solidFill>
          <a:latin typeface="Calibri"/>
          <a:ea typeface="Calibri"/>
          <a:cs typeface="Calibri"/>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7168307086614173"/>
          <c:y val="5.1400554097404488E-2"/>
          <c:w val="0.7816071741032371"/>
          <c:h val="0.65669364246135897"/>
        </c:manualLayout>
      </c:layout>
      <c:lineChart>
        <c:grouping val="standard"/>
        <c:varyColors val="0"/>
        <c:ser>
          <c:idx val="0"/>
          <c:order val="0"/>
          <c:tx>
            <c:strRef>
              <c:f>summary!$B$25</c:f>
              <c:strCache>
                <c:ptCount val="1"/>
                <c:pt idx="0">
                  <c:v>Option A</c:v>
                </c:pt>
              </c:strCache>
            </c:strRef>
          </c:tx>
          <c:marker>
            <c:symbol val="none"/>
          </c:marker>
          <c:cat>
            <c:numRef>
              <c:f>summary!$A$26:$A$33</c:f>
              <c:numCache>
                <c:formatCode>General</c:formatCode>
                <c:ptCount val="8"/>
                <c:pt idx="0">
                  <c:v>10</c:v>
                </c:pt>
                <c:pt idx="1">
                  <c:v>20</c:v>
                </c:pt>
                <c:pt idx="2">
                  <c:v>30</c:v>
                </c:pt>
                <c:pt idx="3">
                  <c:v>40</c:v>
                </c:pt>
                <c:pt idx="4">
                  <c:v>50</c:v>
                </c:pt>
                <c:pt idx="5">
                  <c:v>60</c:v>
                </c:pt>
                <c:pt idx="6">
                  <c:v>70</c:v>
                </c:pt>
                <c:pt idx="7">
                  <c:v>80</c:v>
                </c:pt>
              </c:numCache>
            </c:numRef>
          </c:cat>
          <c:val>
            <c:numRef>
              <c:f>summary!$B$26:$B$33</c:f>
              <c:numCache>
                <c:formatCode>_-* #,##0_-;\-* #,##0_-;_-* "-"??_-;_-@_-</c:formatCode>
                <c:ptCount val="8"/>
                <c:pt idx="0">
                  <c:v>163.59062006101371</c:v>
                </c:pt>
                <c:pt idx="1">
                  <c:v>327.18124012202742</c:v>
                </c:pt>
                <c:pt idx="2">
                  <c:v>490.77186018304116</c:v>
                </c:pt>
                <c:pt idx="3">
                  <c:v>654.36248024405484</c:v>
                </c:pt>
                <c:pt idx="4">
                  <c:v>817.95310030506857</c:v>
                </c:pt>
                <c:pt idx="5">
                  <c:v>981.54372036608231</c:v>
                </c:pt>
                <c:pt idx="6">
                  <c:v>1145.134340427096</c:v>
                </c:pt>
                <c:pt idx="7">
                  <c:v>1308.7249604881097</c:v>
                </c:pt>
              </c:numCache>
            </c:numRef>
          </c:val>
          <c:smooth val="0"/>
        </c:ser>
        <c:ser>
          <c:idx val="1"/>
          <c:order val="1"/>
          <c:tx>
            <c:strRef>
              <c:f>summary!$C$25</c:f>
              <c:strCache>
                <c:ptCount val="1"/>
                <c:pt idx="0">
                  <c:v>Option B</c:v>
                </c:pt>
              </c:strCache>
            </c:strRef>
          </c:tx>
          <c:marker>
            <c:symbol val="none"/>
          </c:marker>
          <c:cat>
            <c:numRef>
              <c:f>summary!$A$26:$A$33</c:f>
              <c:numCache>
                <c:formatCode>General</c:formatCode>
                <c:ptCount val="8"/>
                <c:pt idx="0">
                  <c:v>10</c:v>
                </c:pt>
                <c:pt idx="1">
                  <c:v>20</c:v>
                </c:pt>
                <c:pt idx="2">
                  <c:v>30</c:v>
                </c:pt>
                <c:pt idx="3">
                  <c:v>40</c:v>
                </c:pt>
                <c:pt idx="4">
                  <c:v>50</c:v>
                </c:pt>
                <c:pt idx="5">
                  <c:v>60</c:v>
                </c:pt>
                <c:pt idx="6">
                  <c:v>70</c:v>
                </c:pt>
                <c:pt idx="7">
                  <c:v>80</c:v>
                </c:pt>
              </c:numCache>
            </c:numRef>
          </c:cat>
          <c:val>
            <c:numRef>
              <c:f>summary!$C$26:$C$33</c:f>
              <c:numCache>
                <c:formatCode>_-* #,##0_-;\-* #,##0_-;_-* "-"??_-;_-@_-</c:formatCode>
                <c:ptCount val="8"/>
                <c:pt idx="0">
                  <c:v>1957.4546991583047</c:v>
                </c:pt>
                <c:pt idx="1">
                  <c:v>3914.9093983166094</c:v>
                </c:pt>
                <c:pt idx="2">
                  <c:v>5872.3640974749142</c:v>
                </c:pt>
                <c:pt idx="3">
                  <c:v>7829.8187966332189</c:v>
                </c:pt>
                <c:pt idx="4">
                  <c:v>9787.2734957915236</c:v>
                </c:pt>
                <c:pt idx="5">
                  <c:v>11744.728194949828</c:v>
                </c:pt>
                <c:pt idx="6">
                  <c:v>13702.182894108133</c:v>
                </c:pt>
                <c:pt idx="7">
                  <c:v>15659.637593266438</c:v>
                </c:pt>
              </c:numCache>
            </c:numRef>
          </c:val>
          <c:smooth val="0"/>
        </c:ser>
        <c:ser>
          <c:idx val="2"/>
          <c:order val="2"/>
          <c:tx>
            <c:strRef>
              <c:f>summary!$D$25</c:f>
              <c:strCache>
                <c:ptCount val="1"/>
                <c:pt idx="0">
                  <c:v>Option C</c:v>
                </c:pt>
              </c:strCache>
            </c:strRef>
          </c:tx>
          <c:marker>
            <c:symbol val="none"/>
          </c:marker>
          <c:cat>
            <c:numRef>
              <c:f>summary!$A$26:$A$33</c:f>
              <c:numCache>
                <c:formatCode>General</c:formatCode>
                <c:ptCount val="8"/>
                <c:pt idx="0">
                  <c:v>10</c:v>
                </c:pt>
                <c:pt idx="1">
                  <c:v>20</c:v>
                </c:pt>
                <c:pt idx="2">
                  <c:v>30</c:v>
                </c:pt>
                <c:pt idx="3">
                  <c:v>40</c:v>
                </c:pt>
                <c:pt idx="4">
                  <c:v>50</c:v>
                </c:pt>
                <c:pt idx="5">
                  <c:v>60</c:v>
                </c:pt>
                <c:pt idx="6">
                  <c:v>70</c:v>
                </c:pt>
                <c:pt idx="7">
                  <c:v>80</c:v>
                </c:pt>
              </c:numCache>
            </c:numRef>
          </c:cat>
          <c:val>
            <c:numRef>
              <c:f>summary!$D$26:$D$33</c:f>
              <c:numCache>
                <c:formatCode>_-* #,##0_-;\-* #,##0_-;_-* "-"??_-;_-@_-</c:formatCode>
                <c:ptCount val="8"/>
                <c:pt idx="0">
                  <c:v>0</c:v>
                </c:pt>
                <c:pt idx="1">
                  <c:v>0</c:v>
                </c:pt>
                <c:pt idx="2">
                  <c:v>0</c:v>
                </c:pt>
                <c:pt idx="3">
                  <c:v>0</c:v>
                </c:pt>
                <c:pt idx="4">
                  <c:v>0</c:v>
                </c:pt>
                <c:pt idx="5">
                  <c:v>0</c:v>
                </c:pt>
                <c:pt idx="6">
                  <c:v>0</c:v>
                </c:pt>
                <c:pt idx="7">
                  <c:v>0</c:v>
                </c:pt>
              </c:numCache>
            </c:numRef>
          </c:val>
          <c:smooth val="0"/>
        </c:ser>
        <c:ser>
          <c:idx val="3"/>
          <c:order val="3"/>
          <c:tx>
            <c:strRef>
              <c:f>summary!$E$25</c:f>
              <c:strCache>
                <c:ptCount val="1"/>
                <c:pt idx="0">
                  <c:v>Option D</c:v>
                </c:pt>
              </c:strCache>
            </c:strRef>
          </c:tx>
          <c:spPr>
            <a:ln>
              <a:prstDash val="dash"/>
            </a:ln>
          </c:spPr>
          <c:marker>
            <c:symbol val="none"/>
          </c:marker>
          <c:cat>
            <c:numRef>
              <c:f>summary!$A$26:$A$33</c:f>
              <c:numCache>
                <c:formatCode>General</c:formatCode>
                <c:ptCount val="8"/>
                <c:pt idx="0">
                  <c:v>10</c:v>
                </c:pt>
                <c:pt idx="1">
                  <c:v>20</c:v>
                </c:pt>
                <c:pt idx="2">
                  <c:v>30</c:v>
                </c:pt>
                <c:pt idx="3">
                  <c:v>40</c:v>
                </c:pt>
                <c:pt idx="4">
                  <c:v>50</c:v>
                </c:pt>
                <c:pt idx="5">
                  <c:v>60</c:v>
                </c:pt>
                <c:pt idx="6">
                  <c:v>70</c:v>
                </c:pt>
                <c:pt idx="7">
                  <c:v>80</c:v>
                </c:pt>
              </c:numCache>
            </c:numRef>
          </c:cat>
          <c:val>
            <c:numRef>
              <c:f>summary!$E$26:$E$33</c:f>
              <c:numCache>
                <c:formatCode>_-* #,##0_-;\-* #,##0_-;_-* "-"??_-;_-@_-</c:formatCode>
                <c:ptCount val="8"/>
                <c:pt idx="0">
                  <c:v>1957.4546991583047</c:v>
                </c:pt>
                <c:pt idx="1">
                  <c:v>3914.9093983166094</c:v>
                </c:pt>
                <c:pt idx="2">
                  <c:v>5872.3640974749142</c:v>
                </c:pt>
                <c:pt idx="3">
                  <c:v>7829.8187966332189</c:v>
                </c:pt>
                <c:pt idx="4">
                  <c:v>9787.2734957915236</c:v>
                </c:pt>
                <c:pt idx="5">
                  <c:v>11744.728194949828</c:v>
                </c:pt>
                <c:pt idx="6">
                  <c:v>13702.182894108133</c:v>
                </c:pt>
                <c:pt idx="7">
                  <c:v>15659.637593266438</c:v>
                </c:pt>
              </c:numCache>
            </c:numRef>
          </c:val>
          <c:smooth val="0"/>
        </c:ser>
        <c:dLbls>
          <c:showLegendKey val="0"/>
          <c:showVal val="0"/>
          <c:showCatName val="0"/>
          <c:showSerName val="0"/>
          <c:showPercent val="0"/>
          <c:showBubbleSize val="0"/>
        </c:dLbls>
        <c:marker val="1"/>
        <c:smooth val="0"/>
        <c:axId val="228829824"/>
        <c:axId val="228832000"/>
      </c:lineChart>
      <c:catAx>
        <c:axId val="228829824"/>
        <c:scaling>
          <c:orientation val="minMax"/>
        </c:scaling>
        <c:delete val="0"/>
        <c:axPos val="b"/>
        <c:title>
          <c:tx>
            <c:rich>
              <a:bodyPr/>
              <a:lstStyle/>
              <a:p>
                <a:pPr>
                  <a:defRPr sz="1000" b="1" i="0" u="none" strike="noStrike" baseline="0">
                    <a:solidFill>
                      <a:srgbClr val="000000"/>
                    </a:solidFill>
                    <a:latin typeface="Calibri"/>
                    <a:ea typeface="Calibri"/>
                    <a:cs typeface="Calibri"/>
                  </a:defRPr>
                </a:pPr>
                <a:r>
                  <a:rPr lang="en-AU"/>
                  <a:t>No. unused entitlements</a:t>
                </a:r>
              </a:p>
            </c:rich>
          </c:tx>
          <c:overlay val="0"/>
        </c:title>
        <c:numFmt formatCode="General"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228832000"/>
        <c:crosses val="autoZero"/>
        <c:auto val="1"/>
        <c:lblAlgn val="ctr"/>
        <c:lblOffset val="100"/>
        <c:noMultiLvlLbl val="0"/>
      </c:catAx>
      <c:valAx>
        <c:axId val="228832000"/>
        <c:scaling>
          <c:orientation val="minMax"/>
        </c:scaling>
        <c:delete val="0"/>
        <c:axPos val="l"/>
        <c:majorGridlines/>
        <c:title>
          <c:tx>
            <c:rich>
              <a:bodyPr/>
              <a:lstStyle/>
              <a:p>
                <a:pPr>
                  <a:defRPr sz="1000" b="1" i="0" u="none" strike="noStrike" baseline="0">
                    <a:solidFill>
                      <a:srgbClr val="000000"/>
                    </a:solidFill>
                    <a:latin typeface="Calibri"/>
                    <a:ea typeface="Calibri"/>
                    <a:cs typeface="Calibri"/>
                  </a:defRPr>
                </a:pPr>
                <a:r>
                  <a:rPr lang="en-AU"/>
                  <a:t>annual supervision charge ($)</a:t>
                </a:r>
              </a:p>
            </c:rich>
          </c:tx>
          <c:overlay val="0"/>
        </c:title>
        <c:numFmt formatCode="_-* #,##0_-;\-* #,##0_-;_-* &quot;-&quot;??_-;_-@_-"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228829824"/>
        <c:crosses val="autoZero"/>
        <c:crossBetween val="between"/>
      </c:valAx>
    </c:plotArea>
    <c:legend>
      <c:legendPos val="r"/>
      <c:layout>
        <c:manualLayout>
          <c:xMode val="edge"/>
          <c:yMode val="edge"/>
          <c:x val="8.3845800524934386E-2"/>
          <c:y val="0.86960265383493729"/>
          <c:w val="0.84670975503062118"/>
          <c:h val="0.11727617381160693"/>
        </c:manualLayout>
      </c:layout>
      <c:overlay val="0"/>
      <c:txPr>
        <a:bodyPr/>
        <a:lstStyle/>
        <a:p>
          <a:pPr>
            <a:defRPr sz="920" b="0" i="0" u="none" strike="noStrike" baseline="0">
              <a:solidFill>
                <a:srgbClr val="000000"/>
              </a:solidFill>
              <a:latin typeface="Calibri"/>
              <a:ea typeface="Calibri"/>
              <a:cs typeface="Calibri"/>
            </a:defRPr>
          </a:pPr>
          <a:endParaRPr lang="en-US"/>
        </a:p>
      </c:txPr>
    </c:legend>
    <c:plotVisOnly val="1"/>
    <c:dispBlanksAs val="gap"/>
    <c:showDLblsOverMax val="0"/>
  </c:chart>
  <c:spPr>
    <a:ln>
      <a:noFill/>
    </a:ln>
  </c:spPr>
  <c:txPr>
    <a:bodyPr/>
    <a:lstStyle/>
    <a:p>
      <a:pPr>
        <a:defRPr sz="1000" b="0" i="0" u="none" strike="noStrike" baseline="0">
          <a:solidFill>
            <a:srgbClr val="000000"/>
          </a:solidFill>
          <a:latin typeface="Calibri"/>
          <a:ea typeface="Calibri"/>
          <a:cs typeface="Calibri"/>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0BA169-3D53-48A9-848D-CACEB7AED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DTF Reports</Template>
  <TotalTime>0</TotalTime>
  <Pages>5</Pages>
  <Words>16435</Words>
  <Characters>93682</Characters>
  <Application>Microsoft Office Word</Application>
  <DocSecurity>0</DocSecurity>
  <Lines>780</Lines>
  <Paragraphs>219</Paragraphs>
  <ScaleCrop>false</ScaleCrop>
  <HeadingPairs>
    <vt:vector size="2" baseType="variant">
      <vt:variant>
        <vt:lpstr>Title</vt:lpstr>
      </vt:variant>
      <vt:variant>
        <vt:i4>1</vt:i4>
      </vt:variant>
    </vt:vector>
  </HeadingPairs>
  <TitlesOfParts>
    <vt:vector size="1" baseType="lpstr">
      <vt:lpstr/>
    </vt:vector>
  </TitlesOfParts>
  <Company>CenITex</Company>
  <LinksUpToDate>false</LinksUpToDate>
  <CharactersWithSpaces>109898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Mouratidis</dc:creator>
  <cp:keywords/>
  <dc:description/>
  <cp:lastModifiedBy>Jules Jamison</cp:lastModifiedBy>
  <cp:revision>2</cp:revision>
  <cp:lastPrinted>2013-05-30T06:46:00Z</cp:lastPrinted>
  <dcterms:created xsi:type="dcterms:W3CDTF">2013-06-06T23:22:00Z</dcterms:created>
  <dcterms:modified xsi:type="dcterms:W3CDTF">2013-06-06T23:22:00Z</dcterms:modified>
</cp:coreProperties>
</file>