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C48" w:rsidRPr="00E84DC2" w:rsidRDefault="00512CA5" w:rsidP="00371DFB">
      <w:pPr>
        <w:rPr>
          <w:rFonts w:ascii="Tahoma" w:eastAsia="Times New Roman" w:hAnsi="Tahoma" w:cs="Tahoma"/>
          <w:sz w:val="22"/>
          <w:szCs w:val="22"/>
          <w:lang w:val="en-AU"/>
        </w:rPr>
      </w:pPr>
      <w:bookmarkStart w:id="0" w:name="_GoBack"/>
      <w:bookmarkEnd w:id="0"/>
      <w:r>
        <w:rPr>
          <w:rFonts w:ascii="Tahoma" w:eastAsia="Times New Roman" w:hAnsi="Tahoma" w:cs="Tahoma"/>
          <w:noProof/>
          <w:sz w:val="22"/>
          <w:szCs w:val="22"/>
          <w:lang w:val="en-AU" w:eastAsia="en-AU"/>
        </w:rPr>
        <w:drawing>
          <wp:anchor distT="0" distB="0" distL="114300" distR="114300" simplePos="0" relativeHeight="251706880" behindDoc="1" locked="0" layoutInCell="1" allowOverlap="1">
            <wp:simplePos x="0" y="0"/>
            <wp:positionH relativeFrom="column">
              <wp:posOffset>-1192189</wp:posOffset>
            </wp:positionH>
            <wp:positionV relativeFrom="paragraph">
              <wp:posOffset>-914401</wp:posOffset>
            </wp:positionV>
            <wp:extent cx="7670033" cy="10836322"/>
            <wp:effectExtent l="19050" t="0" r="7117" b="0"/>
            <wp:wrapNone/>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T Word template_portrait_5"/>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7670033" cy="10836322"/>
                    </a:xfrm>
                    <a:prstGeom prst="rect">
                      <a:avLst/>
                    </a:prstGeom>
                    <a:noFill/>
                  </pic:spPr>
                </pic:pic>
              </a:graphicData>
            </a:graphic>
          </wp:anchor>
        </w:drawing>
      </w:r>
    </w:p>
    <w:p w:rsidR="000129AC" w:rsidRPr="00E84DC2" w:rsidRDefault="000129AC" w:rsidP="00C85DE9">
      <w:pPr>
        <w:rPr>
          <w:rFonts w:ascii="Tahoma" w:eastAsia="Times New Roman" w:hAnsi="Tahoma" w:cs="Tahoma"/>
          <w:sz w:val="22"/>
          <w:szCs w:val="22"/>
          <w:lang w:val="en-AU"/>
        </w:rPr>
      </w:pPr>
    </w:p>
    <w:p w:rsidR="00001CA3" w:rsidRPr="00E84DC2" w:rsidRDefault="00D733EB" w:rsidP="00001CA3">
      <w:pPr>
        <w:rPr>
          <w:rFonts w:ascii="Tahoma" w:eastAsia="Times New Roman" w:hAnsi="Tahoma" w:cs="Tahoma"/>
          <w:sz w:val="22"/>
          <w:szCs w:val="22"/>
          <w:lang w:val="en-AU"/>
        </w:rPr>
      </w:pPr>
      <w:r w:rsidRPr="00D733EB">
        <w:rPr>
          <w:rFonts w:ascii="Tahoma" w:eastAsia="Times New Roman" w:hAnsi="Tahoma" w:cs="Tahoma"/>
          <w:sz w:val="22"/>
          <w:szCs w:val="22"/>
          <w:lang w:val="en-AU"/>
        </w:rPr>
        <w:t xml:space="preserve"> </w:t>
      </w:r>
    </w:p>
    <w:p w:rsidR="00001CA3" w:rsidRPr="00E84DC2" w:rsidRDefault="00001CA3" w:rsidP="00001CA3">
      <w:pPr>
        <w:rPr>
          <w:rFonts w:ascii="Tahoma" w:eastAsia="Times New Roman" w:hAnsi="Tahoma" w:cs="Tahoma"/>
          <w:sz w:val="22"/>
          <w:szCs w:val="22"/>
          <w:lang w:val="en-AU"/>
        </w:rPr>
      </w:pPr>
    </w:p>
    <w:p w:rsidR="00951330" w:rsidRPr="00E84DC2" w:rsidRDefault="00951330" w:rsidP="00951330">
      <w:pPr>
        <w:rPr>
          <w:rFonts w:ascii="Tahoma" w:eastAsia="Times New Roman" w:hAnsi="Tahoma" w:cs="Tahoma"/>
          <w:color w:val="FFFFFF" w:themeColor="background1"/>
          <w:sz w:val="28"/>
          <w:szCs w:val="28"/>
          <w:lang w:val="en-AU"/>
        </w:rPr>
      </w:pPr>
    </w:p>
    <w:p w:rsidR="00951330" w:rsidRPr="00E84DC2" w:rsidRDefault="00DC14B1" w:rsidP="00C91784">
      <w:pPr>
        <w:rPr>
          <w:rFonts w:ascii="Tahoma" w:eastAsia="Times New Roman" w:hAnsi="Tahoma" w:cs="Tahoma"/>
          <w:color w:val="FFFFFF" w:themeColor="background1"/>
          <w:sz w:val="54"/>
          <w:szCs w:val="54"/>
          <w:lang w:val="en-AU"/>
        </w:rPr>
      </w:pPr>
      <w:r w:rsidRPr="00E84DC2">
        <w:rPr>
          <w:rFonts w:ascii="Tahoma" w:eastAsia="Times New Roman" w:hAnsi="Tahoma" w:cs="Tahoma"/>
          <w:color w:val="FFFFFF" w:themeColor="background1"/>
          <w:sz w:val="54"/>
          <w:szCs w:val="54"/>
          <w:lang w:val="en-AU"/>
        </w:rPr>
        <w:t>Regulatory Impact Statement</w:t>
      </w:r>
    </w:p>
    <w:p w:rsidR="00951330" w:rsidRPr="00E84DC2" w:rsidRDefault="00D733EB" w:rsidP="00951330">
      <w:pPr>
        <w:rPr>
          <w:rFonts w:ascii="Tahoma" w:eastAsia="Times New Roman" w:hAnsi="Tahoma" w:cs="Tahoma"/>
          <w:color w:val="FFFFFF" w:themeColor="background1"/>
          <w:sz w:val="52"/>
          <w:szCs w:val="52"/>
          <w:lang w:val="en-AU"/>
        </w:rPr>
      </w:pPr>
      <w:r>
        <w:rPr>
          <w:rFonts w:ascii="Tahoma" w:eastAsia="Times New Roman" w:hAnsi="Tahoma" w:cs="Tahoma"/>
          <w:color w:val="FFFFFF" w:themeColor="background1"/>
          <w:sz w:val="28"/>
          <w:szCs w:val="26"/>
          <w:lang w:val="en-AU"/>
        </w:rPr>
        <w:t>Local Government (Planning and Reporting) Regulations 2014</w:t>
      </w:r>
    </w:p>
    <w:p w:rsidR="00951330" w:rsidRPr="00E84DC2" w:rsidRDefault="00951330" w:rsidP="00951330">
      <w:pPr>
        <w:rPr>
          <w:rFonts w:ascii="Tahoma" w:eastAsia="Times New Roman" w:hAnsi="Tahoma" w:cs="Tahoma"/>
          <w:sz w:val="52"/>
          <w:szCs w:val="52"/>
          <w:lang w:val="en-AU"/>
        </w:rPr>
      </w:pPr>
    </w:p>
    <w:p w:rsidR="00F62F3E" w:rsidRPr="00E84DC2" w:rsidRDefault="00F62F3E" w:rsidP="002A5F82">
      <w:pPr>
        <w:rPr>
          <w:rFonts w:ascii="Tahoma" w:eastAsia="Times New Roman" w:hAnsi="Tahoma" w:cs="Tahoma"/>
          <w:sz w:val="44"/>
          <w:szCs w:val="44"/>
          <w:lang w:val="en-AU"/>
        </w:rPr>
      </w:pPr>
    </w:p>
    <w:p w:rsidR="00951330" w:rsidRPr="00E84DC2" w:rsidRDefault="00951330" w:rsidP="00951330">
      <w:pPr>
        <w:rPr>
          <w:rFonts w:ascii="Tahoma" w:eastAsia="Times New Roman" w:hAnsi="Tahoma" w:cs="Tahoma"/>
          <w:sz w:val="52"/>
          <w:szCs w:val="52"/>
          <w:lang w:val="en-AU"/>
        </w:rPr>
      </w:pPr>
    </w:p>
    <w:p w:rsidR="00951330" w:rsidRPr="00E84DC2" w:rsidRDefault="00951330" w:rsidP="00951330">
      <w:pPr>
        <w:rPr>
          <w:rFonts w:ascii="Tahoma" w:eastAsia="Times New Roman" w:hAnsi="Tahoma" w:cs="Tahoma"/>
          <w:sz w:val="52"/>
          <w:szCs w:val="52"/>
          <w:lang w:val="en-AU"/>
        </w:rPr>
      </w:pPr>
    </w:p>
    <w:p w:rsidR="00951330" w:rsidRPr="00E84DC2" w:rsidRDefault="00951330" w:rsidP="00951330">
      <w:pPr>
        <w:rPr>
          <w:rFonts w:ascii="Tahoma" w:eastAsia="Times New Roman" w:hAnsi="Tahoma" w:cs="Tahoma"/>
          <w:sz w:val="52"/>
          <w:szCs w:val="52"/>
          <w:lang w:val="en-AU"/>
        </w:rPr>
      </w:pPr>
    </w:p>
    <w:p w:rsidR="00F62F3E" w:rsidRPr="00E84DC2" w:rsidRDefault="00F62F3E" w:rsidP="00951330">
      <w:pPr>
        <w:rPr>
          <w:rFonts w:ascii="Tahoma" w:eastAsia="Times New Roman" w:hAnsi="Tahoma" w:cs="Tahoma"/>
          <w:sz w:val="28"/>
          <w:szCs w:val="28"/>
          <w:lang w:val="en-AU"/>
        </w:rPr>
      </w:pPr>
    </w:p>
    <w:p w:rsidR="00F62F3E" w:rsidRPr="00E84DC2" w:rsidRDefault="00F62F3E" w:rsidP="00951330">
      <w:pPr>
        <w:rPr>
          <w:rFonts w:ascii="Tahoma" w:eastAsia="Times New Roman" w:hAnsi="Tahoma" w:cs="Tahoma"/>
          <w:sz w:val="28"/>
          <w:szCs w:val="28"/>
          <w:lang w:val="en-AU"/>
        </w:rPr>
      </w:pPr>
    </w:p>
    <w:p w:rsidR="00F62F3E" w:rsidRPr="00E84DC2" w:rsidRDefault="00F62F3E" w:rsidP="00951330">
      <w:pPr>
        <w:rPr>
          <w:rFonts w:ascii="Tahoma" w:eastAsia="Times New Roman" w:hAnsi="Tahoma" w:cs="Tahoma"/>
          <w:sz w:val="28"/>
          <w:szCs w:val="28"/>
          <w:lang w:val="en-AU"/>
        </w:rPr>
      </w:pPr>
    </w:p>
    <w:p w:rsidR="00F62F3E" w:rsidRPr="00E84DC2" w:rsidRDefault="00F62F3E" w:rsidP="00951330">
      <w:pPr>
        <w:rPr>
          <w:rFonts w:ascii="Tahoma" w:eastAsia="Times New Roman" w:hAnsi="Tahoma" w:cs="Tahoma"/>
          <w:sz w:val="28"/>
          <w:szCs w:val="28"/>
          <w:lang w:val="en-AU"/>
        </w:rPr>
      </w:pPr>
    </w:p>
    <w:p w:rsidR="00F62F3E" w:rsidRPr="00E84DC2" w:rsidRDefault="00F62F3E" w:rsidP="00951330">
      <w:pPr>
        <w:rPr>
          <w:rFonts w:ascii="Tahoma" w:eastAsia="Times New Roman" w:hAnsi="Tahoma" w:cs="Tahoma"/>
          <w:sz w:val="28"/>
          <w:szCs w:val="28"/>
          <w:lang w:val="en-AU"/>
        </w:rPr>
      </w:pPr>
    </w:p>
    <w:p w:rsidR="00F62F3E" w:rsidRPr="00E84DC2" w:rsidRDefault="00F62F3E" w:rsidP="00951330">
      <w:pPr>
        <w:rPr>
          <w:rFonts w:ascii="Tahoma" w:eastAsia="Times New Roman" w:hAnsi="Tahoma" w:cs="Tahoma"/>
          <w:sz w:val="28"/>
          <w:szCs w:val="28"/>
          <w:lang w:val="en-AU"/>
        </w:rPr>
      </w:pPr>
    </w:p>
    <w:p w:rsidR="00F62F3E" w:rsidRPr="00E84DC2" w:rsidRDefault="00F62F3E" w:rsidP="00951330">
      <w:pPr>
        <w:rPr>
          <w:rFonts w:ascii="Tahoma" w:eastAsia="Times New Roman" w:hAnsi="Tahoma" w:cs="Tahoma"/>
          <w:sz w:val="28"/>
          <w:szCs w:val="28"/>
          <w:lang w:val="en-AU"/>
        </w:rPr>
      </w:pPr>
    </w:p>
    <w:p w:rsidR="00F62F3E" w:rsidRPr="00E84DC2" w:rsidRDefault="00F62F3E" w:rsidP="00951330">
      <w:pPr>
        <w:rPr>
          <w:rFonts w:ascii="Tahoma" w:eastAsia="Times New Roman" w:hAnsi="Tahoma" w:cs="Tahoma"/>
          <w:sz w:val="28"/>
          <w:szCs w:val="28"/>
          <w:lang w:val="en-AU"/>
        </w:rPr>
      </w:pPr>
    </w:p>
    <w:p w:rsidR="00F62F3E" w:rsidRPr="00E84DC2" w:rsidRDefault="00F62F3E" w:rsidP="00951330">
      <w:pPr>
        <w:rPr>
          <w:rFonts w:ascii="Tahoma" w:eastAsia="Times New Roman" w:hAnsi="Tahoma" w:cs="Tahoma"/>
          <w:sz w:val="28"/>
          <w:szCs w:val="28"/>
          <w:lang w:val="en-AU"/>
        </w:rPr>
      </w:pPr>
    </w:p>
    <w:p w:rsidR="00F62F3E" w:rsidRPr="00E84DC2" w:rsidRDefault="00F62F3E" w:rsidP="00951330">
      <w:pPr>
        <w:rPr>
          <w:rFonts w:ascii="Tahoma" w:eastAsia="Times New Roman" w:hAnsi="Tahoma" w:cs="Tahoma"/>
          <w:sz w:val="28"/>
          <w:szCs w:val="28"/>
          <w:lang w:val="en-AU"/>
        </w:rPr>
      </w:pPr>
    </w:p>
    <w:p w:rsidR="00F62F3E" w:rsidRPr="00E84DC2" w:rsidRDefault="00F62F3E" w:rsidP="00951330">
      <w:pPr>
        <w:rPr>
          <w:rFonts w:ascii="Tahoma" w:eastAsia="Times New Roman" w:hAnsi="Tahoma" w:cs="Tahoma"/>
          <w:sz w:val="28"/>
          <w:szCs w:val="28"/>
          <w:lang w:val="en-AU"/>
        </w:rPr>
      </w:pPr>
    </w:p>
    <w:p w:rsidR="00F62F3E" w:rsidRPr="00E84DC2" w:rsidRDefault="00F62F3E" w:rsidP="00951330">
      <w:pPr>
        <w:rPr>
          <w:rFonts w:ascii="Tahoma" w:eastAsia="Times New Roman" w:hAnsi="Tahoma" w:cs="Tahoma"/>
          <w:sz w:val="28"/>
          <w:szCs w:val="28"/>
          <w:lang w:val="en-AU"/>
        </w:rPr>
      </w:pPr>
    </w:p>
    <w:p w:rsidR="00F62F3E" w:rsidRPr="00E84DC2" w:rsidRDefault="00F62F3E" w:rsidP="00951330">
      <w:pPr>
        <w:rPr>
          <w:rFonts w:ascii="Tahoma" w:eastAsia="Times New Roman" w:hAnsi="Tahoma" w:cs="Tahoma"/>
          <w:sz w:val="28"/>
          <w:szCs w:val="28"/>
          <w:lang w:val="en-AU"/>
        </w:rPr>
      </w:pPr>
    </w:p>
    <w:p w:rsidR="00951330" w:rsidRPr="00E84DC2" w:rsidRDefault="00D733EB" w:rsidP="00951330">
      <w:pPr>
        <w:rPr>
          <w:rFonts w:ascii="Tahoma" w:eastAsia="Times New Roman" w:hAnsi="Tahoma" w:cs="Tahoma"/>
          <w:b/>
          <w:sz w:val="28"/>
          <w:szCs w:val="22"/>
          <w:lang w:val="en-AU"/>
        </w:rPr>
      </w:pPr>
      <w:r>
        <w:rPr>
          <w:rFonts w:ascii="Tahoma" w:eastAsia="Times New Roman" w:hAnsi="Tahoma" w:cs="Tahoma"/>
          <w:b/>
          <w:sz w:val="28"/>
          <w:szCs w:val="22"/>
          <w:lang w:val="en-AU"/>
        </w:rPr>
        <w:t>February 2014</w:t>
      </w:r>
    </w:p>
    <w:p w:rsidR="00001CA3" w:rsidRPr="00E84DC2" w:rsidRDefault="00001CA3" w:rsidP="00001CA3">
      <w:pPr>
        <w:jc w:val="center"/>
        <w:rPr>
          <w:rFonts w:ascii="Tahoma" w:eastAsia="Times New Roman" w:hAnsi="Tahoma" w:cs="Tahoma"/>
          <w:sz w:val="28"/>
          <w:szCs w:val="28"/>
          <w:lang w:val="en-AU"/>
        </w:rPr>
      </w:pPr>
    </w:p>
    <w:p w:rsidR="00C91784" w:rsidRPr="00E84DC2" w:rsidRDefault="00C91784" w:rsidP="00F62F3E">
      <w:pPr>
        <w:ind w:right="-180"/>
        <w:rPr>
          <w:rFonts w:ascii="Tahoma" w:eastAsia="Times New Roman" w:hAnsi="Tahoma" w:cs="Tahoma"/>
          <w:sz w:val="22"/>
          <w:szCs w:val="22"/>
          <w:lang w:val="en-AU"/>
        </w:rPr>
      </w:pPr>
    </w:p>
    <w:p w:rsidR="00C91784" w:rsidRPr="00E84DC2" w:rsidRDefault="00C91784" w:rsidP="00F62F3E">
      <w:pPr>
        <w:ind w:right="-180"/>
        <w:rPr>
          <w:rFonts w:ascii="Tahoma" w:eastAsia="Times New Roman" w:hAnsi="Tahoma" w:cs="Tahoma"/>
          <w:sz w:val="22"/>
          <w:szCs w:val="22"/>
          <w:lang w:val="en-AU"/>
        </w:rPr>
      </w:pPr>
    </w:p>
    <w:p w:rsidR="00001CA3" w:rsidRPr="00E84DC2" w:rsidRDefault="00001CA3" w:rsidP="00001CA3">
      <w:pPr>
        <w:jc w:val="center"/>
        <w:rPr>
          <w:rFonts w:ascii="Tahoma" w:eastAsia="Times New Roman" w:hAnsi="Tahoma" w:cs="Tahoma"/>
          <w:b/>
          <w:sz w:val="22"/>
          <w:szCs w:val="22"/>
          <w:lang w:val="en-AU"/>
        </w:rPr>
      </w:pPr>
    </w:p>
    <w:p w:rsidR="00E84DC2" w:rsidRPr="00E84DC2" w:rsidRDefault="00E84DC2" w:rsidP="0001739B">
      <w:pPr>
        <w:jc w:val="center"/>
        <w:rPr>
          <w:rFonts w:ascii="Tahoma" w:eastAsia="Times New Roman" w:hAnsi="Tahoma" w:cs="Tahoma"/>
          <w:b/>
          <w:sz w:val="22"/>
          <w:szCs w:val="22"/>
          <w:lang w:val="en-AU"/>
        </w:rPr>
      </w:pPr>
    </w:p>
    <w:p w:rsidR="00E84DC2" w:rsidRPr="00E84DC2" w:rsidRDefault="00E84DC2" w:rsidP="0001739B">
      <w:pPr>
        <w:jc w:val="center"/>
        <w:rPr>
          <w:rFonts w:ascii="Tahoma" w:eastAsia="Times New Roman" w:hAnsi="Tahoma" w:cs="Tahoma"/>
          <w:b/>
          <w:sz w:val="22"/>
          <w:szCs w:val="22"/>
          <w:lang w:val="en-AU"/>
        </w:rPr>
      </w:pPr>
    </w:p>
    <w:p w:rsidR="00E84DC2" w:rsidRPr="00E84DC2" w:rsidRDefault="00E84DC2" w:rsidP="0001739B">
      <w:pPr>
        <w:jc w:val="center"/>
        <w:rPr>
          <w:rFonts w:ascii="Tahoma" w:eastAsia="Times New Roman" w:hAnsi="Tahoma" w:cs="Tahoma"/>
          <w:b/>
          <w:sz w:val="22"/>
          <w:szCs w:val="22"/>
          <w:lang w:val="en-AU"/>
        </w:rPr>
      </w:pPr>
    </w:p>
    <w:p w:rsidR="00E84DC2" w:rsidRPr="00E84DC2" w:rsidRDefault="00E84DC2" w:rsidP="0001739B">
      <w:pPr>
        <w:jc w:val="center"/>
        <w:rPr>
          <w:rFonts w:ascii="Tahoma" w:eastAsia="Times New Roman" w:hAnsi="Tahoma" w:cs="Tahoma"/>
          <w:b/>
          <w:sz w:val="22"/>
          <w:szCs w:val="22"/>
          <w:lang w:val="en-AU"/>
        </w:rPr>
      </w:pPr>
    </w:p>
    <w:p w:rsidR="00E84DC2" w:rsidRPr="00E84DC2" w:rsidRDefault="00E84DC2" w:rsidP="0001739B">
      <w:pPr>
        <w:jc w:val="center"/>
        <w:rPr>
          <w:rFonts w:ascii="Tahoma" w:eastAsia="Times New Roman" w:hAnsi="Tahoma" w:cs="Tahoma"/>
          <w:b/>
          <w:sz w:val="22"/>
          <w:szCs w:val="22"/>
          <w:lang w:val="en-AU"/>
        </w:rPr>
      </w:pPr>
    </w:p>
    <w:p w:rsidR="00E84DC2" w:rsidRPr="00E84DC2" w:rsidRDefault="00E84DC2" w:rsidP="0001739B">
      <w:pPr>
        <w:jc w:val="center"/>
        <w:rPr>
          <w:rFonts w:ascii="Tahoma" w:eastAsia="Times New Roman" w:hAnsi="Tahoma" w:cs="Tahoma"/>
          <w:b/>
          <w:sz w:val="22"/>
          <w:szCs w:val="22"/>
          <w:lang w:val="en-AU"/>
        </w:rPr>
      </w:pPr>
    </w:p>
    <w:p w:rsidR="00E84DC2" w:rsidRPr="00E84DC2" w:rsidRDefault="00E84DC2" w:rsidP="0001739B">
      <w:pPr>
        <w:jc w:val="center"/>
        <w:rPr>
          <w:rFonts w:ascii="Tahoma" w:eastAsia="Times New Roman" w:hAnsi="Tahoma" w:cs="Tahoma"/>
          <w:b/>
          <w:sz w:val="22"/>
          <w:szCs w:val="22"/>
          <w:lang w:val="en-AU"/>
        </w:rPr>
      </w:pPr>
    </w:p>
    <w:p w:rsidR="00E84DC2" w:rsidRPr="00E84DC2" w:rsidRDefault="00E84DC2" w:rsidP="0001739B">
      <w:pPr>
        <w:jc w:val="center"/>
        <w:rPr>
          <w:rFonts w:ascii="Tahoma" w:eastAsia="Times New Roman" w:hAnsi="Tahoma" w:cs="Tahoma"/>
          <w:b/>
          <w:sz w:val="22"/>
          <w:szCs w:val="22"/>
          <w:lang w:val="en-AU"/>
        </w:rPr>
      </w:pPr>
    </w:p>
    <w:p w:rsidR="00C91784" w:rsidRPr="00E84DC2" w:rsidRDefault="00C91784" w:rsidP="0001739B">
      <w:pPr>
        <w:jc w:val="center"/>
        <w:rPr>
          <w:rFonts w:ascii="Tahoma" w:eastAsia="Times New Roman" w:hAnsi="Tahoma" w:cs="Tahoma"/>
          <w:b/>
          <w:caps/>
          <w:sz w:val="28"/>
          <w:szCs w:val="28"/>
          <w:lang w:val="en-AU"/>
        </w:rPr>
      </w:pPr>
    </w:p>
    <w:tbl>
      <w:tblPr>
        <w:tblW w:w="0" w:type="auto"/>
        <w:tblInd w:w="216" w:type="dxa"/>
        <w:tblCellMar>
          <w:left w:w="10" w:type="dxa"/>
          <w:right w:w="10" w:type="dxa"/>
        </w:tblCellMar>
        <w:tblLook w:val="0000" w:firstRow="0" w:lastRow="0" w:firstColumn="0" w:lastColumn="0" w:noHBand="0" w:noVBand="0"/>
      </w:tblPr>
      <w:tblGrid>
        <w:gridCol w:w="8114"/>
      </w:tblGrid>
      <w:tr w:rsidR="00001CA3" w:rsidRPr="00E84DC2" w:rsidTr="008E1FEE">
        <w:trPr>
          <w:trHeight w:val="1"/>
        </w:trPr>
        <w:tc>
          <w:tcPr>
            <w:tcW w:w="8114" w:type="dxa"/>
            <w:tcBorders>
              <w:top w:val="single" w:sz="2" w:space="0" w:color="000000"/>
              <w:left w:val="single" w:sz="2" w:space="0" w:color="000000"/>
              <w:bottom w:val="single" w:sz="2" w:space="0" w:color="000000"/>
              <w:right w:val="single" w:sz="2" w:space="0" w:color="000000"/>
            </w:tcBorders>
            <w:shd w:val="clear" w:color="auto" w:fill="C6D9F1" w:themeFill="text2" w:themeFillTint="33"/>
            <w:tcMar>
              <w:left w:w="108" w:type="dxa"/>
              <w:right w:w="108" w:type="dxa"/>
            </w:tcMar>
          </w:tcPr>
          <w:p w:rsidR="00E84DC2" w:rsidRPr="00E84DC2" w:rsidRDefault="00E84DC2" w:rsidP="00001CA3">
            <w:pPr>
              <w:ind w:left="318" w:right="317"/>
              <w:rPr>
                <w:rFonts w:ascii="Tahoma" w:eastAsia="Times New Roman" w:hAnsi="Tahoma" w:cs="Tahoma"/>
                <w:sz w:val="22"/>
                <w:szCs w:val="22"/>
                <w:lang w:val="en-AU"/>
              </w:rPr>
            </w:pPr>
          </w:p>
          <w:p w:rsidR="00E84DC2" w:rsidRPr="00E84DC2" w:rsidRDefault="00D733EB" w:rsidP="00001CA3">
            <w:pPr>
              <w:ind w:left="318" w:right="317"/>
              <w:rPr>
                <w:rFonts w:ascii="Tahoma" w:eastAsia="Times New Roman" w:hAnsi="Tahoma" w:cs="Tahoma"/>
                <w:sz w:val="22"/>
                <w:szCs w:val="22"/>
                <w:lang w:val="en-AU"/>
              </w:rPr>
            </w:pPr>
            <w:r>
              <w:rPr>
                <w:rFonts w:ascii="Tahoma" w:eastAsia="Times New Roman" w:hAnsi="Tahoma" w:cs="Tahoma"/>
                <w:sz w:val="22"/>
                <w:szCs w:val="22"/>
                <w:lang w:val="en-AU"/>
              </w:rPr>
              <w:t xml:space="preserve">This Regulatory Impact Statement has been prepared in accordance with the requirements of the Subordinate Legislation Act 1994 and the </w:t>
            </w:r>
            <w:r w:rsidRPr="00D733EB">
              <w:rPr>
                <w:rFonts w:ascii="Tahoma" w:eastAsia="Times New Roman" w:hAnsi="Tahoma" w:cs="Tahoma"/>
                <w:i/>
                <w:sz w:val="22"/>
                <w:szCs w:val="22"/>
                <w:lang w:val="en-AU"/>
              </w:rPr>
              <w:t>Victorian Guide to Regulation</w:t>
            </w:r>
            <w:r w:rsidR="00E84DC2" w:rsidRPr="00E84DC2">
              <w:rPr>
                <w:rFonts w:ascii="Tahoma" w:eastAsia="Times New Roman" w:hAnsi="Tahoma" w:cs="Tahoma"/>
                <w:sz w:val="22"/>
                <w:szCs w:val="22"/>
                <w:lang w:val="en-AU"/>
              </w:rPr>
              <w:t xml:space="preserve">  </w:t>
            </w:r>
          </w:p>
          <w:p w:rsidR="00E84DC2" w:rsidRPr="00E84DC2" w:rsidRDefault="00E84DC2" w:rsidP="00001CA3">
            <w:pPr>
              <w:ind w:left="318" w:right="317"/>
              <w:rPr>
                <w:rFonts w:ascii="Tahoma" w:eastAsia="Times New Roman" w:hAnsi="Tahoma" w:cs="Tahoma"/>
                <w:sz w:val="22"/>
                <w:szCs w:val="22"/>
                <w:lang w:val="en-AU"/>
              </w:rPr>
            </w:pPr>
          </w:p>
          <w:p w:rsidR="00001CA3" w:rsidRPr="00E84DC2" w:rsidRDefault="00D733EB" w:rsidP="00001CA3">
            <w:pPr>
              <w:ind w:left="318" w:right="317"/>
              <w:rPr>
                <w:rFonts w:ascii="Tahoma" w:eastAsia="Times New Roman" w:hAnsi="Tahoma" w:cs="Tahoma"/>
                <w:sz w:val="22"/>
                <w:szCs w:val="22"/>
                <w:lang w:val="en-AU"/>
              </w:rPr>
            </w:pPr>
            <w:r>
              <w:rPr>
                <w:rFonts w:ascii="Tahoma" w:eastAsia="Times New Roman" w:hAnsi="Tahoma" w:cs="Tahoma"/>
                <w:sz w:val="22"/>
                <w:szCs w:val="22"/>
                <w:lang w:val="en-AU"/>
              </w:rPr>
              <w:t xml:space="preserve">In accordance with the </w:t>
            </w:r>
            <w:r>
              <w:rPr>
                <w:rFonts w:ascii="Tahoma" w:eastAsia="Times New Roman" w:hAnsi="Tahoma" w:cs="Tahoma"/>
                <w:i/>
                <w:sz w:val="22"/>
                <w:szCs w:val="22"/>
                <w:lang w:val="en-AU"/>
              </w:rPr>
              <w:t>Victorian Guide to Regulation</w:t>
            </w:r>
            <w:r>
              <w:rPr>
                <w:rFonts w:ascii="Tahoma" w:eastAsia="Times New Roman" w:hAnsi="Tahoma" w:cs="Tahoma"/>
                <w:sz w:val="22"/>
                <w:szCs w:val="22"/>
                <w:lang w:val="en-AU"/>
              </w:rPr>
              <w:t>, the Victorian Government seeks to ensure that regulations are well targeted, effective and appropriate, and that they impose the lowest possible burden on Victorian businesses and the community.</w:t>
            </w:r>
          </w:p>
          <w:p w:rsidR="00001CA3" w:rsidRPr="00E84DC2" w:rsidRDefault="00001CA3" w:rsidP="00001CA3">
            <w:pPr>
              <w:ind w:left="318" w:right="317"/>
              <w:rPr>
                <w:rFonts w:ascii="Tahoma" w:eastAsia="Times New Roman" w:hAnsi="Tahoma" w:cs="Tahoma"/>
                <w:sz w:val="22"/>
                <w:szCs w:val="22"/>
                <w:lang w:val="en-AU"/>
              </w:rPr>
            </w:pPr>
          </w:p>
          <w:p w:rsidR="00001CA3" w:rsidRPr="00E84DC2" w:rsidRDefault="00D733EB" w:rsidP="00001CA3">
            <w:pPr>
              <w:ind w:left="318" w:right="317"/>
              <w:rPr>
                <w:rFonts w:ascii="Tahoma" w:eastAsia="Times New Roman" w:hAnsi="Tahoma" w:cs="Tahoma"/>
                <w:sz w:val="22"/>
                <w:szCs w:val="22"/>
                <w:lang w:val="en-AU"/>
              </w:rPr>
            </w:pPr>
            <w:r>
              <w:rPr>
                <w:rFonts w:ascii="Tahoma" w:eastAsia="Times New Roman" w:hAnsi="Tahoma" w:cs="Tahoma"/>
                <w:sz w:val="22"/>
                <w:szCs w:val="22"/>
                <w:lang w:val="en-AU"/>
              </w:rPr>
              <w:t>The Regulatory Impact Statement (RIS) process involves an assessment of regulatory proposals and allows members of the community to comment on proposed regulations before they are finalised. Such public input provides valuable information and perspectives, and improves the overall quality of regulations.</w:t>
            </w:r>
          </w:p>
          <w:p w:rsidR="00001CA3" w:rsidRPr="00E84DC2" w:rsidRDefault="00001CA3" w:rsidP="00001CA3">
            <w:pPr>
              <w:ind w:left="318" w:right="317"/>
              <w:rPr>
                <w:rFonts w:ascii="Tahoma" w:eastAsia="Times New Roman" w:hAnsi="Tahoma" w:cs="Tahoma"/>
                <w:sz w:val="22"/>
                <w:szCs w:val="22"/>
                <w:lang w:val="en-AU"/>
              </w:rPr>
            </w:pPr>
          </w:p>
          <w:p w:rsidR="00001CA3" w:rsidRPr="00E84DC2" w:rsidRDefault="00D733EB" w:rsidP="00001CA3">
            <w:pPr>
              <w:ind w:left="318" w:right="317"/>
              <w:rPr>
                <w:rFonts w:ascii="Tahoma" w:eastAsia="Times New Roman" w:hAnsi="Tahoma" w:cs="Tahoma"/>
                <w:sz w:val="22"/>
                <w:szCs w:val="22"/>
                <w:lang w:val="en-AU"/>
              </w:rPr>
            </w:pPr>
            <w:r>
              <w:rPr>
                <w:rFonts w:ascii="Tahoma" w:eastAsia="Times New Roman" w:hAnsi="Tahoma" w:cs="Tahoma"/>
                <w:sz w:val="22"/>
                <w:szCs w:val="22"/>
                <w:lang w:val="en-AU"/>
              </w:rPr>
              <w:t xml:space="preserve">This RIS has been prepared to facilitate public consultation on the proposed Local Government (Financial Planning and Reporting) Regulations 2014 (the </w:t>
            </w:r>
            <w:r>
              <w:rPr>
                <w:rFonts w:ascii="Tahoma" w:eastAsia="Times New Roman" w:hAnsi="Tahoma" w:cs="Tahoma"/>
                <w:i/>
                <w:sz w:val="22"/>
                <w:szCs w:val="22"/>
                <w:lang w:val="en-AU"/>
              </w:rPr>
              <w:t>proposed</w:t>
            </w:r>
            <w:r>
              <w:rPr>
                <w:rFonts w:ascii="Tahoma" w:eastAsia="Times New Roman" w:hAnsi="Tahoma" w:cs="Tahoma"/>
                <w:sz w:val="22"/>
                <w:szCs w:val="22"/>
                <w:lang w:val="en-AU"/>
              </w:rPr>
              <w:t xml:space="preserve"> Regulations). The proposed Regulations remake the Local Government (Finance and Reporting) Regulations 2004 (the </w:t>
            </w:r>
            <w:r>
              <w:rPr>
                <w:rFonts w:ascii="Tahoma" w:eastAsia="Times New Roman" w:hAnsi="Tahoma" w:cs="Tahoma"/>
                <w:i/>
                <w:sz w:val="22"/>
                <w:szCs w:val="22"/>
                <w:lang w:val="en-AU"/>
              </w:rPr>
              <w:t>current</w:t>
            </w:r>
            <w:r>
              <w:rPr>
                <w:rFonts w:ascii="Tahoma" w:eastAsia="Times New Roman" w:hAnsi="Tahoma" w:cs="Tahoma"/>
                <w:sz w:val="22"/>
                <w:szCs w:val="22"/>
                <w:lang w:val="en-AU"/>
              </w:rPr>
              <w:t xml:space="preserve"> Regulations). The proposed Regulations contain some significant changes and contain a performance reporting framework. A copy of the proposed Regulations is attached to this RIS.</w:t>
            </w:r>
          </w:p>
          <w:p w:rsidR="00001CA3" w:rsidRPr="00E84DC2" w:rsidRDefault="00001CA3" w:rsidP="00001CA3">
            <w:pPr>
              <w:ind w:left="318" w:right="317"/>
              <w:rPr>
                <w:rFonts w:ascii="Tahoma" w:eastAsia="Times New Roman" w:hAnsi="Tahoma" w:cs="Tahoma"/>
                <w:sz w:val="22"/>
                <w:szCs w:val="22"/>
                <w:lang w:val="en-AU"/>
              </w:rPr>
            </w:pPr>
          </w:p>
          <w:p w:rsidR="00001CA3" w:rsidRPr="00E84DC2" w:rsidRDefault="00D733EB" w:rsidP="00001CA3">
            <w:pPr>
              <w:ind w:left="318" w:right="317"/>
              <w:rPr>
                <w:rFonts w:ascii="Tahoma" w:eastAsia="Times New Roman" w:hAnsi="Tahoma" w:cs="Tahoma"/>
                <w:sz w:val="22"/>
                <w:szCs w:val="22"/>
                <w:lang w:val="en-AU"/>
              </w:rPr>
            </w:pPr>
            <w:r>
              <w:rPr>
                <w:rFonts w:ascii="Tahoma" w:eastAsia="Times New Roman" w:hAnsi="Tahoma" w:cs="Tahoma"/>
                <w:sz w:val="22"/>
                <w:szCs w:val="22"/>
                <w:lang w:val="en-AU"/>
              </w:rPr>
              <w:t xml:space="preserve">Submissions are now invited on the proposed Regulations. Unless requested by the author, all submissions will be treated as public documents and may be made available to other parties. </w:t>
            </w:r>
          </w:p>
          <w:p w:rsidR="00001CA3" w:rsidRPr="00E84DC2" w:rsidRDefault="00001CA3" w:rsidP="00001CA3">
            <w:pPr>
              <w:ind w:left="318" w:right="317"/>
              <w:rPr>
                <w:rFonts w:ascii="Tahoma" w:eastAsia="Times New Roman" w:hAnsi="Tahoma" w:cs="Tahoma"/>
                <w:sz w:val="22"/>
                <w:szCs w:val="22"/>
                <w:lang w:val="en-AU"/>
              </w:rPr>
            </w:pPr>
          </w:p>
          <w:p w:rsidR="00001CA3" w:rsidRPr="00E84DC2" w:rsidRDefault="00D733EB" w:rsidP="00001CA3">
            <w:pPr>
              <w:ind w:left="318" w:right="317"/>
              <w:rPr>
                <w:rFonts w:ascii="Tahoma" w:eastAsia="Times New Roman" w:hAnsi="Tahoma" w:cs="Tahoma"/>
                <w:sz w:val="22"/>
                <w:szCs w:val="22"/>
                <w:lang w:val="en-AU"/>
              </w:rPr>
            </w:pPr>
            <w:r>
              <w:rPr>
                <w:rFonts w:ascii="Tahoma" w:eastAsia="Times New Roman" w:hAnsi="Tahoma" w:cs="Tahoma"/>
                <w:sz w:val="22"/>
                <w:szCs w:val="22"/>
                <w:lang w:val="en-AU"/>
              </w:rPr>
              <w:t xml:space="preserve">Written comments and submissions should be forwarded by no later than </w:t>
            </w:r>
            <w:r>
              <w:rPr>
                <w:rFonts w:ascii="Tahoma" w:eastAsia="Times New Roman" w:hAnsi="Tahoma" w:cs="Tahoma"/>
                <w:b/>
                <w:sz w:val="22"/>
                <w:szCs w:val="22"/>
                <w:lang w:val="en-AU"/>
              </w:rPr>
              <w:t xml:space="preserve">5:00pm, </w:t>
            </w:r>
            <w:r w:rsidR="00A60A9F">
              <w:rPr>
                <w:rFonts w:ascii="Tahoma" w:eastAsia="Times New Roman" w:hAnsi="Tahoma" w:cs="Tahoma"/>
                <w:b/>
                <w:sz w:val="22"/>
                <w:szCs w:val="22"/>
                <w:lang w:val="en-AU"/>
              </w:rPr>
              <w:t xml:space="preserve">Wednesday </w:t>
            </w:r>
            <w:r w:rsidR="00D12D1B">
              <w:rPr>
                <w:rFonts w:ascii="Tahoma" w:eastAsia="Times New Roman" w:hAnsi="Tahoma" w:cs="Tahoma"/>
                <w:b/>
                <w:sz w:val="22"/>
                <w:szCs w:val="22"/>
                <w:lang w:val="en-AU"/>
              </w:rPr>
              <w:t>1</w:t>
            </w:r>
            <w:r w:rsidR="00A60A9F">
              <w:rPr>
                <w:rFonts w:ascii="Tahoma" w:eastAsia="Times New Roman" w:hAnsi="Tahoma" w:cs="Tahoma"/>
                <w:b/>
                <w:sz w:val="22"/>
                <w:szCs w:val="22"/>
                <w:lang w:val="en-AU"/>
              </w:rPr>
              <w:t>9</w:t>
            </w:r>
            <w:r>
              <w:rPr>
                <w:rFonts w:ascii="Tahoma" w:eastAsia="Times New Roman" w:hAnsi="Tahoma" w:cs="Tahoma"/>
                <w:b/>
                <w:sz w:val="22"/>
                <w:szCs w:val="22"/>
                <w:lang w:val="en-AU"/>
              </w:rPr>
              <w:t xml:space="preserve"> March 2014 </w:t>
            </w:r>
            <w:r>
              <w:rPr>
                <w:rFonts w:ascii="Tahoma" w:eastAsia="Times New Roman" w:hAnsi="Tahoma" w:cs="Tahoma"/>
                <w:sz w:val="22"/>
                <w:szCs w:val="22"/>
                <w:lang w:val="en-AU"/>
              </w:rPr>
              <w:t>to:</w:t>
            </w:r>
          </w:p>
          <w:p w:rsidR="00001CA3" w:rsidRPr="00E84DC2" w:rsidRDefault="00001CA3" w:rsidP="00001CA3">
            <w:pPr>
              <w:ind w:left="318" w:right="317"/>
              <w:rPr>
                <w:rFonts w:ascii="Tahoma" w:eastAsia="Times New Roman" w:hAnsi="Tahoma" w:cs="Tahoma"/>
                <w:sz w:val="22"/>
                <w:szCs w:val="22"/>
                <w:lang w:val="en-AU"/>
              </w:rPr>
            </w:pPr>
          </w:p>
          <w:p w:rsidR="00512CA5" w:rsidRDefault="00D733EB">
            <w:pPr>
              <w:ind w:left="1440" w:right="317"/>
              <w:rPr>
                <w:rFonts w:ascii="Tahoma" w:eastAsia="Times New Roman" w:hAnsi="Tahoma" w:cs="Tahoma"/>
                <w:sz w:val="22"/>
                <w:szCs w:val="22"/>
                <w:lang w:val="en-AU"/>
              </w:rPr>
            </w:pPr>
            <w:r>
              <w:rPr>
                <w:rFonts w:ascii="Tahoma" w:eastAsia="Times New Roman" w:hAnsi="Tahoma" w:cs="Tahoma"/>
                <w:sz w:val="22"/>
                <w:szCs w:val="22"/>
                <w:lang w:val="en-AU"/>
              </w:rPr>
              <w:t>Michael Concas</w:t>
            </w:r>
          </w:p>
          <w:p w:rsidR="00512CA5" w:rsidRDefault="00D733EB">
            <w:pPr>
              <w:ind w:left="1440" w:right="317"/>
              <w:rPr>
                <w:rFonts w:ascii="Tahoma" w:eastAsia="Times New Roman" w:hAnsi="Tahoma" w:cs="Tahoma"/>
                <w:sz w:val="22"/>
                <w:szCs w:val="22"/>
                <w:lang w:val="en-AU"/>
              </w:rPr>
            </w:pPr>
            <w:r>
              <w:rPr>
                <w:rFonts w:ascii="Tahoma" w:eastAsia="Times New Roman" w:hAnsi="Tahoma" w:cs="Tahoma"/>
                <w:sz w:val="22"/>
                <w:szCs w:val="22"/>
                <w:lang w:val="en-AU"/>
              </w:rPr>
              <w:t>Local Government Victoria</w:t>
            </w:r>
          </w:p>
          <w:p w:rsidR="00512CA5" w:rsidRDefault="00D733EB">
            <w:pPr>
              <w:ind w:left="1440" w:right="317"/>
              <w:rPr>
                <w:rFonts w:ascii="Tahoma" w:eastAsia="Times New Roman" w:hAnsi="Tahoma" w:cs="Tahoma"/>
                <w:sz w:val="22"/>
                <w:szCs w:val="22"/>
                <w:lang w:val="en-AU"/>
              </w:rPr>
            </w:pPr>
            <w:r>
              <w:rPr>
                <w:rFonts w:ascii="Tahoma" w:eastAsia="Times New Roman" w:hAnsi="Tahoma" w:cs="Tahoma"/>
                <w:sz w:val="22"/>
                <w:szCs w:val="22"/>
                <w:lang w:val="en-AU"/>
              </w:rPr>
              <w:t>Department of Transport, Planning and Local Infrastructure</w:t>
            </w:r>
          </w:p>
          <w:p w:rsidR="00512CA5" w:rsidRDefault="001B3FE5">
            <w:pPr>
              <w:ind w:left="1440" w:right="317"/>
              <w:rPr>
                <w:rFonts w:ascii="Tahoma" w:eastAsia="Times New Roman" w:hAnsi="Tahoma" w:cs="Tahoma"/>
                <w:sz w:val="22"/>
                <w:szCs w:val="22"/>
                <w:lang w:val="en-AU"/>
              </w:rPr>
            </w:pPr>
            <w:r>
              <w:rPr>
                <w:rFonts w:ascii="Tahoma" w:eastAsia="Times New Roman" w:hAnsi="Tahoma" w:cs="Tahoma"/>
                <w:sz w:val="22"/>
                <w:szCs w:val="22"/>
                <w:lang w:val="en-AU"/>
              </w:rPr>
              <w:t>GPO Box 2392</w:t>
            </w:r>
          </w:p>
          <w:p w:rsidR="00512CA5" w:rsidRDefault="00D733EB">
            <w:pPr>
              <w:ind w:left="1440" w:right="317"/>
              <w:rPr>
                <w:rFonts w:ascii="Tahoma" w:eastAsia="Times New Roman" w:hAnsi="Tahoma" w:cs="Tahoma"/>
                <w:sz w:val="22"/>
                <w:szCs w:val="22"/>
                <w:lang w:val="en-AU"/>
              </w:rPr>
            </w:pPr>
            <w:r>
              <w:rPr>
                <w:rFonts w:ascii="Tahoma" w:eastAsia="Times New Roman" w:hAnsi="Tahoma" w:cs="Tahoma"/>
                <w:sz w:val="22"/>
                <w:szCs w:val="22"/>
                <w:lang w:val="en-AU"/>
              </w:rPr>
              <w:t>Melbourne VIC 300</w:t>
            </w:r>
            <w:r w:rsidR="001B3FE5">
              <w:rPr>
                <w:rFonts w:ascii="Tahoma" w:eastAsia="Times New Roman" w:hAnsi="Tahoma" w:cs="Tahoma"/>
                <w:sz w:val="22"/>
                <w:szCs w:val="22"/>
                <w:lang w:val="en-AU"/>
              </w:rPr>
              <w:t>1</w:t>
            </w:r>
            <w:r>
              <w:rPr>
                <w:rFonts w:ascii="Tahoma" w:eastAsia="Times New Roman" w:hAnsi="Tahoma" w:cs="Tahoma"/>
                <w:sz w:val="22"/>
                <w:szCs w:val="22"/>
                <w:lang w:val="en-AU"/>
              </w:rPr>
              <w:br/>
            </w:r>
          </w:p>
          <w:p w:rsidR="00512CA5" w:rsidRDefault="00D733EB">
            <w:pPr>
              <w:ind w:left="1440" w:right="317"/>
              <w:rPr>
                <w:rFonts w:ascii="Tahoma" w:eastAsia="Times New Roman" w:hAnsi="Tahoma" w:cs="Tahoma"/>
                <w:sz w:val="22"/>
                <w:szCs w:val="22"/>
                <w:lang w:val="en-AU"/>
              </w:rPr>
            </w:pPr>
            <w:r>
              <w:rPr>
                <w:rFonts w:ascii="Tahoma" w:eastAsia="Times New Roman" w:hAnsi="Tahoma" w:cs="Tahoma"/>
                <w:sz w:val="22"/>
                <w:szCs w:val="22"/>
                <w:lang w:val="en-AU"/>
              </w:rPr>
              <w:t>or email:</w:t>
            </w:r>
          </w:p>
          <w:p w:rsidR="00512CA5" w:rsidRDefault="00D733EB">
            <w:pPr>
              <w:spacing w:after="240"/>
              <w:ind w:left="1440" w:right="317"/>
              <w:rPr>
                <w:rFonts w:ascii="Tahoma" w:hAnsi="Tahoma" w:cs="Tahoma"/>
                <w:sz w:val="22"/>
                <w:szCs w:val="22"/>
                <w:lang w:val="en-AU"/>
              </w:rPr>
            </w:pPr>
            <w:r>
              <w:rPr>
                <w:rFonts w:ascii="Tahoma" w:eastAsia="Times New Roman" w:hAnsi="Tahoma" w:cs="Tahoma"/>
                <w:sz w:val="22"/>
                <w:szCs w:val="22"/>
                <w:lang w:val="en-AU"/>
              </w:rPr>
              <w:t xml:space="preserve">michael.concas@dtpli.vic.gov.au </w:t>
            </w:r>
          </w:p>
        </w:tc>
      </w:tr>
    </w:tbl>
    <w:p w:rsidR="00C91784" w:rsidRPr="00E84DC2" w:rsidRDefault="00C91784" w:rsidP="00001CA3">
      <w:pPr>
        <w:ind w:right="-19"/>
        <w:rPr>
          <w:rFonts w:ascii="Tahoma" w:eastAsia="Times New Roman" w:hAnsi="Tahoma" w:cs="Tahoma"/>
          <w:sz w:val="20"/>
          <w:szCs w:val="20"/>
          <w:lang w:val="en-AU"/>
        </w:rPr>
      </w:pPr>
    </w:p>
    <w:p w:rsidR="00001CA3" w:rsidRPr="00E84DC2" w:rsidRDefault="00D733EB" w:rsidP="00001CA3">
      <w:pPr>
        <w:ind w:right="-19"/>
        <w:rPr>
          <w:rFonts w:ascii="Tahoma" w:eastAsia="Times New Roman" w:hAnsi="Tahoma" w:cs="Tahoma"/>
          <w:sz w:val="20"/>
          <w:szCs w:val="20"/>
          <w:lang w:val="en-AU"/>
        </w:rPr>
      </w:pPr>
      <w:r>
        <w:rPr>
          <w:rFonts w:ascii="Tahoma" w:eastAsia="Times New Roman" w:hAnsi="Tahoma" w:cs="Tahoma"/>
          <w:sz w:val="20"/>
          <w:szCs w:val="20"/>
          <w:lang w:val="en-AU"/>
        </w:rPr>
        <w:t>© DTPLI, 2014. This publication is copyright. No part may be reproduced by any process except in accordance with the provisions of the Copyright Act 1986.</w:t>
      </w:r>
    </w:p>
    <w:p w:rsidR="00001CA3" w:rsidRPr="00E84DC2" w:rsidRDefault="00001CA3" w:rsidP="00001CA3">
      <w:pPr>
        <w:ind w:right="-19"/>
        <w:rPr>
          <w:rFonts w:ascii="Tahoma" w:eastAsia="Times New Roman" w:hAnsi="Tahoma" w:cs="Tahoma"/>
          <w:sz w:val="20"/>
          <w:szCs w:val="20"/>
          <w:lang w:val="en-AU"/>
        </w:rPr>
      </w:pPr>
    </w:p>
    <w:p w:rsidR="00533875" w:rsidRPr="00E84DC2" w:rsidRDefault="00D733EB" w:rsidP="00001CA3">
      <w:pPr>
        <w:ind w:right="-19"/>
        <w:rPr>
          <w:rFonts w:ascii="Tahoma" w:eastAsia="Times New Roman" w:hAnsi="Tahoma" w:cs="Tahoma"/>
          <w:sz w:val="20"/>
          <w:szCs w:val="20"/>
          <w:lang w:val="en-AU"/>
        </w:rPr>
      </w:pPr>
      <w:r>
        <w:rPr>
          <w:rFonts w:ascii="Tahoma" w:eastAsia="Times New Roman" w:hAnsi="Tahoma" w:cs="Tahoma"/>
          <w:sz w:val="20"/>
          <w:szCs w:val="20"/>
          <w:lang w:val="en-AU"/>
        </w:rPr>
        <w:t xml:space="preserve">This Regulatory Impact Statement was prepared for the Department of Transport, Planning and Local Infrastructure by Regulatory Impact Solutions Pty Ltd </w:t>
      </w:r>
      <w:hyperlink r:id="rId11" w:history="1">
        <w:r w:rsidRPr="00D733EB">
          <w:rPr>
            <w:rStyle w:val="Hyperlink"/>
            <w:rFonts w:ascii="Tahoma" w:eastAsia="Times New Roman" w:hAnsi="Tahoma" w:cs="Tahoma"/>
            <w:color w:val="auto"/>
            <w:sz w:val="20"/>
            <w:szCs w:val="20"/>
            <w:lang w:val="en-AU"/>
          </w:rPr>
          <w:t>www.regulatoryimpactsoutions.com.au</w:t>
        </w:r>
      </w:hyperlink>
      <w:r w:rsidR="00533875" w:rsidRPr="00E84DC2">
        <w:rPr>
          <w:rFonts w:ascii="Tahoma" w:eastAsia="Times New Roman" w:hAnsi="Tahoma" w:cs="Tahoma"/>
          <w:sz w:val="20"/>
          <w:szCs w:val="20"/>
          <w:lang w:val="en-AU"/>
        </w:rPr>
        <w:t>.</w:t>
      </w:r>
    </w:p>
    <w:p w:rsidR="00533875" w:rsidRPr="00E84DC2" w:rsidRDefault="00533875" w:rsidP="00001CA3">
      <w:pPr>
        <w:ind w:right="-19"/>
        <w:rPr>
          <w:rFonts w:ascii="Tahoma" w:eastAsia="Times New Roman" w:hAnsi="Tahoma" w:cs="Tahoma"/>
          <w:sz w:val="20"/>
          <w:szCs w:val="20"/>
          <w:lang w:val="en-AU"/>
        </w:rPr>
      </w:pPr>
    </w:p>
    <w:p w:rsidR="00001CA3" w:rsidRPr="00E84DC2" w:rsidRDefault="00D733EB" w:rsidP="00001CA3">
      <w:pPr>
        <w:ind w:right="-19"/>
        <w:rPr>
          <w:rFonts w:ascii="Tahoma" w:eastAsia="Times New Roman" w:hAnsi="Tahoma" w:cs="Tahoma"/>
          <w:sz w:val="20"/>
          <w:szCs w:val="20"/>
          <w:lang w:val="en-AU"/>
        </w:rPr>
        <w:sectPr w:rsidR="00001CA3" w:rsidRPr="00E84DC2" w:rsidSect="00BB4E63">
          <w:headerReference w:type="even" r:id="rId12"/>
          <w:headerReference w:type="default" r:id="rId13"/>
          <w:footerReference w:type="even" r:id="rId14"/>
          <w:footerReference w:type="default" r:id="rId15"/>
          <w:headerReference w:type="first" r:id="rId16"/>
          <w:footerReference w:type="first" r:id="rId17"/>
          <w:pgSz w:w="11900" w:h="16840"/>
          <w:pgMar w:top="1440" w:right="1800" w:bottom="1440" w:left="1800" w:header="708" w:footer="708" w:gutter="0"/>
          <w:cols w:space="708"/>
          <w:titlePg/>
          <w:docGrid w:linePitch="360"/>
        </w:sectPr>
      </w:pPr>
      <w:r w:rsidRPr="00D733EB">
        <w:rPr>
          <w:rFonts w:ascii="Tahoma" w:eastAsia="Times New Roman" w:hAnsi="Tahoma" w:cs="Tahoma"/>
          <w:b/>
          <w:sz w:val="20"/>
          <w:szCs w:val="20"/>
          <w:lang w:val="en-AU"/>
        </w:rPr>
        <w:t>Disclaimer:</w:t>
      </w:r>
      <w:r w:rsidR="00DC14B1" w:rsidRPr="00E84DC2">
        <w:rPr>
          <w:rFonts w:ascii="Tahoma" w:eastAsia="Times New Roman" w:hAnsi="Tahoma" w:cs="Tahoma"/>
          <w:sz w:val="20"/>
          <w:szCs w:val="20"/>
          <w:lang w:val="en-AU"/>
        </w:rPr>
        <w:t xml:space="preserve"> This publication may be of assistance to you, but the State of Victoria and its employees do not guarantee that the publication is without flaw or is wholly appropriate for your particular purposes and therefore disclaims all liability for an error</w:t>
      </w:r>
      <w:r w:rsidRPr="00D733EB">
        <w:rPr>
          <w:rFonts w:ascii="Tahoma" w:eastAsia="Times New Roman" w:hAnsi="Tahoma" w:cs="Tahoma"/>
          <w:sz w:val="20"/>
          <w:szCs w:val="20"/>
          <w:lang w:val="en-AU"/>
        </w:rPr>
        <w:t xml:space="preserve">, loss or other consequence that may arise from you relying on any information in this publication. </w:t>
      </w:r>
    </w:p>
    <w:p w:rsidR="00001CA3" w:rsidRPr="00E84DC2" w:rsidRDefault="00D733EB" w:rsidP="00001CA3">
      <w:pPr>
        <w:spacing w:line="360" w:lineRule="auto"/>
        <w:jc w:val="center"/>
        <w:rPr>
          <w:rFonts w:ascii="Tahoma" w:eastAsia="Times New Roman" w:hAnsi="Tahoma" w:cs="Tahoma"/>
          <w:b/>
          <w:sz w:val="32"/>
          <w:szCs w:val="32"/>
          <w:lang w:val="en-AU"/>
        </w:rPr>
      </w:pPr>
      <w:r w:rsidRPr="00D733EB">
        <w:rPr>
          <w:rFonts w:ascii="Tahoma" w:eastAsia="Times New Roman" w:hAnsi="Tahoma" w:cs="Tahoma"/>
          <w:b/>
          <w:sz w:val="32"/>
          <w:szCs w:val="32"/>
          <w:lang w:val="en-AU"/>
        </w:rPr>
        <w:lastRenderedPageBreak/>
        <w:t>Table of Contents</w:t>
      </w:r>
    </w:p>
    <w:p w:rsidR="00DC6BA4" w:rsidRPr="00DC6BA4" w:rsidRDefault="008B4063">
      <w:pPr>
        <w:pStyle w:val="TOC1"/>
        <w:rPr>
          <w:rFonts w:ascii="Tahoma" w:hAnsi="Tahoma" w:cs="Tahoma"/>
          <w:b w:val="0"/>
          <w:lang w:eastAsia="en-AU"/>
        </w:rPr>
      </w:pPr>
      <w:r w:rsidRPr="00DC6BA4">
        <w:rPr>
          <w:rFonts w:ascii="Tahoma" w:eastAsia="Calibri" w:hAnsi="Tahoma" w:cs="Tahoma"/>
          <w:caps/>
          <w:noProof w:val="0"/>
        </w:rPr>
        <w:fldChar w:fldCharType="begin"/>
      </w:r>
      <w:r w:rsidR="00977D42">
        <w:rPr>
          <w:rFonts w:ascii="Tahoma" w:eastAsia="Calibri" w:hAnsi="Tahoma" w:cs="Tahoma"/>
          <w:caps/>
          <w:noProof w:val="0"/>
        </w:rPr>
        <w:instrText xml:space="preserve"> TOC \o "1-2" </w:instrText>
      </w:r>
      <w:r w:rsidRPr="00DC6BA4">
        <w:rPr>
          <w:rFonts w:ascii="Tahoma" w:eastAsia="Calibri" w:hAnsi="Tahoma" w:cs="Tahoma"/>
          <w:caps/>
          <w:noProof w:val="0"/>
        </w:rPr>
        <w:fldChar w:fldCharType="separate"/>
      </w:r>
      <w:r w:rsidR="00633927" w:rsidRPr="00633927">
        <w:rPr>
          <w:rFonts w:ascii="Tahoma" w:hAnsi="Tahoma" w:cs="Tahoma"/>
        </w:rPr>
        <w:t>EXECUTIVE SUMMARY</w:t>
      </w:r>
      <w:r w:rsidR="00633927" w:rsidRPr="00633927">
        <w:rPr>
          <w:rFonts w:ascii="Tahoma" w:hAnsi="Tahoma" w:cs="Tahoma"/>
        </w:rPr>
        <w:tab/>
      </w:r>
      <w:r w:rsidRPr="00633927">
        <w:rPr>
          <w:rFonts w:ascii="Tahoma" w:hAnsi="Tahoma" w:cs="Tahoma"/>
        </w:rPr>
        <w:fldChar w:fldCharType="begin"/>
      </w:r>
      <w:r w:rsidR="00633927" w:rsidRPr="00633927">
        <w:rPr>
          <w:rFonts w:ascii="Tahoma" w:hAnsi="Tahoma" w:cs="Tahoma"/>
        </w:rPr>
        <w:instrText xml:space="preserve"> PAGEREF _Toc379878647 \h </w:instrText>
      </w:r>
      <w:r w:rsidRPr="00633927">
        <w:rPr>
          <w:rFonts w:ascii="Tahoma" w:hAnsi="Tahoma" w:cs="Tahoma"/>
        </w:rPr>
      </w:r>
      <w:r w:rsidRPr="00633927">
        <w:rPr>
          <w:rFonts w:ascii="Tahoma" w:hAnsi="Tahoma" w:cs="Tahoma"/>
        </w:rPr>
        <w:fldChar w:fldCharType="separate"/>
      </w:r>
      <w:r w:rsidR="009A111F">
        <w:rPr>
          <w:rFonts w:ascii="Tahoma" w:hAnsi="Tahoma" w:cs="Tahoma"/>
        </w:rPr>
        <w:t>i</w:t>
      </w:r>
      <w:r w:rsidRPr="00633927">
        <w:rPr>
          <w:rFonts w:ascii="Tahoma" w:hAnsi="Tahoma" w:cs="Tahoma"/>
        </w:rPr>
        <w:fldChar w:fldCharType="end"/>
      </w:r>
    </w:p>
    <w:p w:rsidR="00DC6BA4" w:rsidRPr="00DC6BA4" w:rsidRDefault="00633927">
      <w:pPr>
        <w:pStyle w:val="TOC1"/>
        <w:rPr>
          <w:rFonts w:ascii="Tahoma" w:hAnsi="Tahoma" w:cs="Tahoma"/>
          <w:b w:val="0"/>
          <w:lang w:eastAsia="en-AU"/>
        </w:rPr>
      </w:pPr>
      <w:r w:rsidRPr="00633927">
        <w:rPr>
          <w:rFonts w:ascii="Tahoma" w:hAnsi="Tahoma" w:cs="Tahoma"/>
        </w:rPr>
        <w:t>1</w:t>
      </w:r>
      <w:r w:rsidRPr="00633927">
        <w:rPr>
          <w:rFonts w:ascii="Tahoma" w:hAnsi="Tahoma" w:cs="Tahoma"/>
          <w:b w:val="0"/>
          <w:lang w:eastAsia="en-AU"/>
        </w:rPr>
        <w:tab/>
      </w:r>
      <w:r w:rsidRPr="00633927">
        <w:rPr>
          <w:rFonts w:ascii="Tahoma" w:hAnsi="Tahoma" w:cs="Tahoma"/>
        </w:rPr>
        <w:t>INTRODUCTION</w:t>
      </w:r>
      <w:r w:rsidRPr="00633927">
        <w:rPr>
          <w:rFonts w:ascii="Tahoma" w:hAnsi="Tahoma" w:cs="Tahoma"/>
        </w:rPr>
        <w:tab/>
      </w:r>
      <w:r w:rsidR="008B4063" w:rsidRPr="00633927">
        <w:rPr>
          <w:rFonts w:ascii="Tahoma" w:hAnsi="Tahoma" w:cs="Tahoma"/>
        </w:rPr>
        <w:fldChar w:fldCharType="begin"/>
      </w:r>
      <w:r w:rsidRPr="00633927">
        <w:rPr>
          <w:rFonts w:ascii="Tahoma" w:hAnsi="Tahoma" w:cs="Tahoma"/>
        </w:rPr>
        <w:instrText xml:space="preserve"> PAGEREF _Toc379878648 \h </w:instrText>
      </w:r>
      <w:r w:rsidR="008B4063" w:rsidRPr="00633927">
        <w:rPr>
          <w:rFonts w:ascii="Tahoma" w:hAnsi="Tahoma" w:cs="Tahoma"/>
        </w:rPr>
      </w:r>
      <w:r w:rsidR="008B4063" w:rsidRPr="00633927">
        <w:rPr>
          <w:rFonts w:ascii="Tahoma" w:hAnsi="Tahoma" w:cs="Tahoma"/>
        </w:rPr>
        <w:fldChar w:fldCharType="separate"/>
      </w:r>
      <w:r w:rsidR="009A111F">
        <w:rPr>
          <w:rFonts w:ascii="Tahoma" w:hAnsi="Tahoma" w:cs="Tahoma"/>
        </w:rPr>
        <w:t>1</w:t>
      </w:r>
      <w:r w:rsidR="008B4063" w:rsidRPr="00633927">
        <w:rPr>
          <w:rFonts w:ascii="Tahoma" w:hAnsi="Tahoma" w:cs="Tahoma"/>
        </w:rPr>
        <w:fldChar w:fldCharType="end"/>
      </w:r>
    </w:p>
    <w:p w:rsidR="00DC6BA4" w:rsidRPr="00DC6BA4" w:rsidRDefault="00633927">
      <w:pPr>
        <w:pStyle w:val="TOC2"/>
        <w:tabs>
          <w:tab w:val="left" w:pos="960"/>
          <w:tab w:val="right" w:leader="dot" w:pos="8290"/>
        </w:tabs>
        <w:rPr>
          <w:rFonts w:ascii="Tahoma" w:hAnsi="Tahoma" w:cs="Tahoma"/>
          <w:b w:val="0"/>
          <w:noProof/>
          <w:lang w:val="en-AU" w:eastAsia="en-AU"/>
        </w:rPr>
      </w:pPr>
      <w:r w:rsidRPr="00633927">
        <w:rPr>
          <w:rFonts w:ascii="Tahoma" w:hAnsi="Tahoma" w:cs="Tahoma"/>
          <w:b w:val="0"/>
          <w:noProof/>
        </w:rPr>
        <w:t>1.1</w:t>
      </w:r>
      <w:r w:rsidRPr="00633927">
        <w:rPr>
          <w:rFonts w:ascii="Tahoma" w:hAnsi="Tahoma" w:cs="Tahoma"/>
          <w:b w:val="0"/>
          <w:noProof/>
          <w:lang w:val="en-AU" w:eastAsia="en-AU"/>
        </w:rPr>
        <w:tab/>
      </w:r>
      <w:r w:rsidRPr="00633927">
        <w:rPr>
          <w:rFonts w:ascii="Tahoma" w:hAnsi="Tahoma" w:cs="Tahoma"/>
          <w:b w:val="0"/>
          <w:noProof/>
        </w:rPr>
        <w:t>Regulation of local government</w:t>
      </w:r>
      <w:r w:rsidRPr="00633927">
        <w:rPr>
          <w:rFonts w:ascii="Tahoma" w:hAnsi="Tahoma" w:cs="Tahoma"/>
          <w:b w:val="0"/>
          <w:noProof/>
        </w:rPr>
        <w:tab/>
      </w:r>
      <w:r w:rsidR="008B4063" w:rsidRPr="00633927">
        <w:rPr>
          <w:rFonts w:ascii="Tahoma" w:hAnsi="Tahoma" w:cs="Tahoma"/>
          <w:b w:val="0"/>
          <w:noProof/>
        </w:rPr>
        <w:fldChar w:fldCharType="begin"/>
      </w:r>
      <w:r w:rsidRPr="00633927">
        <w:rPr>
          <w:rFonts w:ascii="Tahoma" w:hAnsi="Tahoma" w:cs="Tahoma"/>
          <w:b w:val="0"/>
          <w:noProof/>
        </w:rPr>
        <w:instrText xml:space="preserve"> PAGEREF _Toc379878649 \h </w:instrText>
      </w:r>
      <w:r w:rsidR="008B4063" w:rsidRPr="00633927">
        <w:rPr>
          <w:rFonts w:ascii="Tahoma" w:hAnsi="Tahoma" w:cs="Tahoma"/>
          <w:b w:val="0"/>
          <w:noProof/>
        </w:rPr>
      </w:r>
      <w:r w:rsidR="008B4063" w:rsidRPr="00633927">
        <w:rPr>
          <w:rFonts w:ascii="Tahoma" w:hAnsi="Tahoma" w:cs="Tahoma"/>
          <w:b w:val="0"/>
          <w:noProof/>
        </w:rPr>
        <w:fldChar w:fldCharType="separate"/>
      </w:r>
      <w:r w:rsidR="009A111F">
        <w:rPr>
          <w:rFonts w:ascii="Tahoma" w:hAnsi="Tahoma" w:cs="Tahoma"/>
          <w:b w:val="0"/>
          <w:noProof/>
        </w:rPr>
        <w:t>1</w:t>
      </w:r>
      <w:r w:rsidR="008B4063" w:rsidRPr="00633927">
        <w:rPr>
          <w:rFonts w:ascii="Tahoma" w:hAnsi="Tahoma" w:cs="Tahoma"/>
          <w:b w:val="0"/>
          <w:noProof/>
        </w:rPr>
        <w:fldChar w:fldCharType="end"/>
      </w:r>
    </w:p>
    <w:p w:rsidR="00DC6BA4" w:rsidRPr="00DC6BA4" w:rsidRDefault="00633927">
      <w:pPr>
        <w:pStyle w:val="TOC2"/>
        <w:tabs>
          <w:tab w:val="left" w:pos="960"/>
          <w:tab w:val="right" w:leader="dot" w:pos="8290"/>
        </w:tabs>
        <w:rPr>
          <w:rFonts w:ascii="Tahoma" w:hAnsi="Tahoma" w:cs="Tahoma"/>
          <w:b w:val="0"/>
          <w:noProof/>
          <w:lang w:val="en-AU" w:eastAsia="en-AU"/>
        </w:rPr>
      </w:pPr>
      <w:r w:rsidRPr="00633927">
        <w:rPr>
          <w:rFonts w:ascii="Tahoma" w:hAnsi="Tahoma" w:cs="Tahoma"/>
          <w:b w:val="0"/>
          <w:noProof/>
        </w:rPr>
        <w:t>1.2</w:t>
      </w:r>
      <w:r w:rsidRPr="00633927">
        <w:rPr>
          <w:rFonts w:ascii="Tahoma" w:hAnsi="Tahoma" w:cs="Tahoma"/>
          <w:b w:val="0"/>
          <w:noProof/>
          <w:lang w:val="en-AU" w:eastAsia="en-AU"/>
        </w:rPr>
        <w:tab/>
      </w:r>
      <w:r w:rsidRPr="00633927">
        <w:rPr>
          <w:rFonts w:ascii="Tahoma" w:hAnsi="Tahoma" w:cs="Tahoma"/>
          <w:b w:val="0"/>
          <w:noProof/>
        </w:rPr>
        <w:t>Purpose of this Regulatory Impact Statement</w:t>
      </w:r>
      <w:r w:rsidRPr="00633927">
        <w:rPr>
          <w:rFonts w:ascii="Tahoma" w:hAnsi="Tahoma" w:cs="Tahoma"/>
          <w:b w:val="0"/>
          <w:noProof/>
        </w:rPr>
        <w:tab/>
      </w:r>
      <w:r w:rsidR="008B4063" w:rsidRPr="00633927">
        <w:rPr>
          <w:rFonts w:ascii="Tahoma" w:hAnsi="Tahoma" w:cs="Tahoma"/>
          <w:b w:val="0"/>
          <w:noProof/>
        </w:rPr>
        <w:fldChar w:fldCharType="begin"/>
      </w:r>
      <w:r w:rsidRPr="00633927">
        <w:rPr>
          <w:rFonts w:ascii="Tahoma" w:hAnsi="Tahoma" w:cs="Tahoma"/>
          <w:b w:val="0"/>
          <w:noProof/>
        </w:rPr>
        <w:instrText xml:space="preserve"> PAGEREF _Toc379878650 \h </w:instrText>
      </w:r>
      <w:r w:rsidR="008B4063" w:rsidRPr="00633927">
        <w:rPr>
          <w:rFonts w:ascii="Tahoma" w:hAnsi="Tahoma" w:cs="Tahoma"/>
          <w:b w:val="0"/>
          <w:noProof/>
        </w:rPr>
      </w:r>
      <w:r w:rsidR="008B4063" w:rsidRPr="00633927">
        <w:rPr>
          <w:rFonts w:ascii="Tahoma" w:hAnsi="Tahoma" w:cs="Tahoma"/>
          <w:b w:val="0"/>
          <w:noProof/>
        </w:rPr>
        <w:fldChar w:fldCharType="separate"/>
      </w:r>
      <w:r w:rsidR="009A111F">
        <w:rPr>
          <w:rFonts w:ascii="Tahoma" w:hAnsi="Tahoma" w:cs="Tahoma"/>
          <w:b w:val="0"/>
          <w:noProof/>
        </w:rPr>
        <w:t>2</w:t>
      </w:r>
      <w:r w:rsidR="008B4063" w:rsidRPr="00633927">
        <w:rPr>
          <w:rFonts w:ascii="Tahoma" w:hAnsi="Tahoma" w:cs="Tahoma"/>
          <w:b w:val="0"/>
          <w:noProof/>
        </w:rPr>
        <w:fldChar w:fldCharType="end"/>
      </w:r>
    </w:p>
    <w:p w:rsidR="00DC6BA4" w:rsidRPr="00DC6BA4" w:rsidRDefault="00633927">
      <w:pPr>
        <w:pStyle w:val="TOC1"/>
        <w:rPr>
          <w:rFonts w:ascii="Tahoma" w:hAnsi="Tahoma" w:cs="Tahoma"/>
          <w:b w:val="0"/>
          <w:lang w:eastAsia="en-AU"/>
        </w:rPr>
      </w:pPr>
      <w:r w:rsidRPr="00633927">
        <w:rPr>
          <w:rFonts w:ascii="Tahoma" w:hAnsi="Tahoma" w:cs="Tahoma"/>
        </w:rPr>
        <w:t>2</w:t>
      </w:r>
      <w:r w:rsidRPr="00633927">
        <w:rPr>
          <w:rFonts w:ascii="Tahoma" w:hAnsi="Tahoma" w:cs="Tahoma"/>
          <w:b w:val="0"/>
          <w:lang w:eastAsia="en-AU"/>
        </w:rPr>
        <w:tab/>
      </w:r>
      <w:r w:rsidRPr="00633927">
        <w:rPr>
          <w:rFonts w:ascii="Tahoma" w:hAnsi="Tahoma" w:cs="Tahoma"/>
        </w:rPr>
        <w:t>THE REASONS FOR REGULATING LOCAL GOVERNMENT PLANNING AND REPORTING</w:t>
      </w:r>
      <w:r w:rsidRPr="00633927">
        <w:rPr>
          <w:rFonts w:ascii="Tahoma" w:hAnsi="Tahoma" w:cs="Tahoma"/>
        </w:rPr>
        <w:tab/>
      </w:r>
      <w:r w:rsidR="008B4063" w:rsidRPr="00633927">
        <w:rPr>
          <w:rFonts w:ascii="Tahoma" w:hAnsi="Tahoma" w:cs="Tahoma"/>
        </w:rPr>
        <w:fldChar w:fldCharType="begin"/>
      </w:r>
      <w:r w:rsidRPr="00633927">
        <w:rPr>
          <w:rFonts w:ascii="Tahoma" w:hAnsi="Tahoma" w:cs="Tahoma"/>
        </w:rPr>
        <w:instrText xml:space="preserve"> PAGEREF _Toc379878651 \h </w:instrText>
      </w:r>
      <w:r w:rsidR="008B4063" w:rsidRPr="00633927">
        <w:rPr>
          <w:rFonts w:ascii="Tahoma" w:hAnsi="Tahoma" w:cs="Tahoma"/>
        </w:rPr>
      </w:r>
      <w:r w:rsidR="008B4063" w:rsidRPr="00633927">
        <w:rPr>
          <w:rFonts w:ascii="Tahoma" w:hAnsi="Tahoma" w:cs="Tahoma"/>
        </w:rPr>
        <w:fldChar w:fldCharType="separate"/>
      </w:r>
      <w:r w:rsidR="009A111F">
        <w:rPr>
          <w:rFonts w:ascii="Tahoma" w:hAnsi="Tahoma" w:cs="Tahoma"/>
        </w:rPr>
        <w:t>3</w:t>
      </w:r>
      <w:r w:rsidR="008B4063" w:rsidRPr="00633927">
        <w:rPr>
          <w:rFonts w:ascii="Tahoma" w:hAnsi="Tahoma" w:cs="Tahoma"/>
        </w:rPr>
        <w:fldChar w:fldCharType="end"/>
      </w:r>
    </w:p>
    <w:p w:rsidR="00DC6BA4" w:rsidRPr="00DC6BA4" w:rsidRDefault="00633927">
      <w:pPr>
        <w:pStyle w:val="TOC2"/>
        <w:tabs>
          <w:tab w:val="left" w:pos="960"/>
          <w:tab w:val="right" w:leader="dot" w:pos="8290"/>
        </w:tabs>
        <w:rPr>
          <w:rFonts w:ascii="Tahoma" w:hAnsi="Tahoma" w:cs="Tahoma"/>
          <w:b w:val="0"/>
          <w:noProof/>
          <w:lang w:val="en-AU" w:eastAsia="en-AU"/>
        </w:rPr>
      </w:pPr>
      <w:r w:rsidRPr="00633927">
        <w:rPr>
          <w:rFonts w:ascii="Tahoma" w:hAnsi="Tahoma" w:cs="Tahoma"/>
          <w:b w:val="0"/>
          <w:noProof/>
        </w:rPr>
        <w:t>2.1</w:t>
      </w:r>
      <w:r w:rsidRPr="00633927">
        <w:rPr>
          <w:rFonts w:ascii="Tahoma" w:hAnsi="Tahoma" w:cs="Tahoma"/>
          <w:b w:val="0"/>
          <w:noProof/>
          <w:lang w:val="en-AU" w:eastAsia="en-AU"/>
        </w:rPr>
        <w:tab/>
      </w:r>
      <w:r w:rsidRPr="00633927">
        <w:rPr>
          <w:rFonts w:ascii="Tahoma" w:hAnsi="Tahoma" w:cs="Tahoma"/>
          <w:b w:val="0"/>
          <w:noProof/>
        </w:rPr>
        <w:t>Background</w:t>
      </w:r>
      <w:r w:rsidRPr="00633927">
        <w:rPr>
          <w:rFonts w:ascii="Tahoma" w:hAnsi="Tahoma" w:cs="Tahoma"/>
          <w:b w:val="0"/>
          <w:noProof/>
        </w:rPr>
        <w:tab/>
      </w:r>
      <w:r w:rsidR="008B4063" w:rsidRPr="00633927">
        <w:rPr>
          <w:rFonts w:ascii="Tahoma" w:hAnsi="Tahoma" w:cs="Tahoma"/>
          <w:b w:val="0"/>
          <w:noProof/>
        </w:rPr>
        <w:fldChar w:fldCharType="begin"/>
      </w:r>
      <w:r w:rsidRPr="00633927">
        <w:rPr>
          <w:rFonts w:ascii="Tahoma" w:hAnsi="Tahoma" w:cs="Tahoma"/>
          <w:b w:val="0"/>
          <w:noProof/>
        </w:rPr>
        <w:instrText xml:space="preserve"> PAGEREF _Toc379878652 \h </w:instrText>
      </w:r>
      <w:r w:rsidR="008B4063" w:rsidRPr="00633927">
        <w:rPr>
          <w:rFonts w:ascii="Tahoma" w:hAnsi="Tahoma" w:cs="Tahoma"/>
          <w:b w:val="0"/>
          <w:noProof/>
        </w:rPr>
      </w:r>
      <w:r w:rsidR="008B4063" w:rsidRPr="00633927">
        <w:rPr>
          <w:rFonts w:ascii="Tahoma" w:hAnsi="Tahoma" w:cs="Tahoma"/>
          <w:b w:val="0"/>
          <w:noProof/>
        </w:rPr>
        <w:fldChar w:fldCharType="separate"/>
      </w:r>
      <w:r w:rsidR="009A111F">
        <w:rPr>
          <w:rFonts w:ascii="Tahoma" w:hAnsi="Tahoma" w:cs="Tahoma"/>
          <w:b w:val="0"/>
          <w:noProof/>
        </w:rPr>
        <w:t>3</w:t>
      </w:r>
      <w:r w:rsidR="008B4063" w:rsidRPr="00633927">
        <w:rPr>
          <w:rFonts w:ascii="Tahoma" w:hAnsi="Tahoma" w:cs="Tahoma"/>
          <w:b w:val="0"/>
          <w:noProof/>
        </w:rPr>
        <w:fldChar w:fldCharType="end"/>
      </w:r>
    </w:p>
    <w:p w:rsidR="00DC6BA4" w:rsidRPr="00DC6BA4" w:rsidRDefault="00633927">
      <w:pPr>
        <w:pStyle w:val="TOC2"/>
        <w:tabs>
          <w:tab w:val="left" w:pos="960"/>
          <w:tab w:val="right" w:leader="dot" w:pos="8290"/>
        </w:tabs>
        <w:rPr>
          <w:rFonts w:ascii="Tahoma" w:hAnsi="Tahoma" w:cs="Tahoma"/>
          <w:b w:val="0"/>
          <w:noProof/>
          <w:lang w:val="en-AU" w:eastAsia="en-AU"/>
        </w:rPr>
      </w:pPr>
      <w:r w:rsidRPr="00633927">
        <w:rPr>
          <w:rFonts w:ascii="Tahoma" w:hAnsi="Tahoma" w:cs="Tahoma"/>
          <w:b w:val="0"/>
          <w:noProof/>
        </w:rPr>
        <w:t>2.2</w:t>
      </w:r>
      <w:r w:rsidRPr="00633927">
        <w:rPr>
          <w:rFonts w:ascii="Tahoma" w:hAnsi="Tahoma" w:cs="Tahoma"/>
          <w:b w:val="0"/>
          <w:noProof/>
          <w:lang w:val="en-AU" w:eastAsia="en-AU"/>
        </w:rPr>
        <w:tab/>
      </w:r>
      <w:r w:rsidRPr="00633927">
        <w:rPr>
          <w:rFonts w:ascii="Tahoma" w:hAnsi="Tahoma" w:cs="Tahoma"/>
          <w:b w:val="0"/>
          <w:noProof/>
        </w:rPr>
        <w:t>Nature of the problem</w:t>
      </w:r>
      <w:r w:rsidRPr="00633927">
        <w:rPr>
          <w:rFonts w:ascii="Tahoma" w:hAnsi="Tahoma" w:cs="Tahoma"/>
          <w:b w:val="0"/>
          <w:noProof/>
        </w:rPr>
        <w:tab/>
      </w:r>
      <w:r w:rsidR="008B4063" w:rsidRPr="00633927">
        <w:rPr>
          <w:rFonts w:ascii="Tahoma" w:hAnsi="Tahoma" w:cs="Tahoma"/>
          <w:b w:val="0"/>
          <w:noProof/>
        </w:rPr>
        <w:fldChar w:fldCharType="begin"/>
      </w:r>
      <w:r w:rsidRPr="00633927">
        <w:rPr>
          <w:rFonts w:ascii="Tahoma" w:hAnsi="Tahoma" w:cs="Tahoma"/>
          <w:b w:val="0"/>
          <w:noProof/>
        </w:rPr>
        <w:instrText xml:space="preserve"> PAGEREF _Toc379878653 \h </w:instrText>
      </w:r>
      <w:r w:rsidR="008B4063" w:rsidRPr="00633927">
        <w:rPr>
          <w:rFonts w:ascii="Tahoma" w:hAnsi="Tahoma" w:cs="Tahoma"/>
          <w:b w:val="0"/>
          <w:noProof/>
        </w:rPr>
      </w:r>
      <w:r w:rsidR="008B4063" w:rsidRPr="00633927">
        <w:rPr>
          <w:rFonts w:ascii="Tahoma" w:hAnsi="Tahoma" w:cs="Tahoma"/>
          <w:b w:val="0"/>
          <w:noProof/>
        </w:rPr>
        <w:fldChar w:fldCharType="separate"/>
      </w:r>
      <w:r w:rsidR="009A111F">
        <w:rPr>
          <w:rFonts w:ascii="Tahoma" w:hAnsi="Tahoma" w:cs="Tahoma"/>
          <w:b w:val="0"/>
          <w:noProof/>
        </w:rPr>
        <w:t>4</w:t>
      </w:r>
      <w:r w:rsidR="008B4063" w:rsidRPr="00633927">
        <w:rPr>
          <w:rFonts w:ascii="Tahoma" w:hAnsi="Tahoma" w:cs="Tahoma"/>
          <w:b w:val="0"/>
          <w:noProof/>
        </w:rPr>
        <w:fldChar w:fldCharType="end"/>
      </w:r>
    </w:p>
    <w:p w:rsidR="00DC6BA4" w:rsidRPr="00DC6BA4" w:rsidRDefault="00633927">
      <w:pPr>
        <w:pStyle w:val="TOC2"/>
        <w:tabs>
          <w:tab w:val="left" w:pos="960"/>
          <w:tab w:val="right" w:leader="dot" w:pos="8290"/>
        </w:tabs>
        <w:rPr>
          <w:rFonts w:ascii="Tahoma" w:hAnsi="Tahoma" w:cs="Tahoma"/>
          <w:b w:val="0"/>
          <w:noProof/>
          <w:lang w:val="en-AU" w:eastAsia="en-AU"/>
        </w:rPr>
      </w:pPr>
      <w:r w:rsidRPr="00633927">
        <w:rPr>
          <w:rFonts w:ascii="Tahoma" w:hAnsi="Tahoma" w:cs="Tahoma"/>
          <w:b w:val="0"/>
          <w:noProof/>
        </w:rPr>
        <w:t>2.3</w:t>
      </w:r>
      <w:r w:rsidRPr="00633927">
        <w:rPr>
          <w:rFonts w:ascii="Tahoma" w:hAnsi="Tahoma" w:cs="Tahoma"/>
          <w:b w:val="0"/>
          <w:noProof/>
          <w:lang w:val="en-AU" w:eastAsia="en-AU"/>
        </w:rPr>
        <w:tab/>
      </w:r>
      <w:r w:rsidRPr="00633927">
        <w:rPr>
          <w:rFonts w:ascii="Tahoma" w:hAnsi="Tahoma" w:cs="Tahoma"/>
          <w:b w:val="0"/>
          <w:noProof/>
        </w:rPr>
        <w:t>Extent of the problem</w:t>
      </w:r>
      <w:r w:rsidRPr="00633927">
        <w:rPr>
          <w:rFonts w:ascii="Tahoma" w:hAnsi="Tahoma" w:cs="Tahoma"/>
          <w:b w:val="0"/>
          <w:noProof/>
        </w:rPr>
        <w:tab/>
      </w:r>
      <w:r w:rsidR="008B4063" w:rsidRPr="00633927">
        <w:rPr>
          <w:rFonts w:ascii="Tahoma" w:hAnsi="Tahoma" w:cs="Tahoma"/>
          <w:b w:val="0"/>
          <w:noProof/>
        </w:rPr>
        <w:fldChar w:fldCharType="begin"/>
      </w:r>
      <w:r w:rsidRPr="00633927">
        <w:rPr>
          <w:rFonts w:ascii="Tahoma" w:hAnsi="Tahoma" w:cs="Tahoma"/>
          <w:b w:val="0"/>
          <w:noProof/>
        </w:rPr>
        <w:instrText xml:space="preserve"> PAGEREF _Toc379878654 \h </w:instrText>
      </w:r>
      <w:r w:rsidR="008B4063" w:rsidRPr="00633927">
        <w:rPr>
          <w:rFonts w:ascii="Tahoma" w:hAnsi="Tahoma" w:cs="Tahoma"/>
          <w:b w:val="0"/>
          <w:noProof/>
        </w:rPr>
      </w:r>
      <w:r w:rsidR="008B4063" w:rsidRPr="00633927">
        <w:rPr>
          <w:rFonts w:ascii="Tahoma" w:hAnsi="Tahoma" w:cs="Tahoma"/>
          <w:b w:val="0"/>
          <w:noProof/>
        </w:rPr>
        <w:fldChar w:fldCharType="separate"/>
      </w:r>
      <w:r w:rsidR="009A111F">
        <w:rPr>
          <w:rFonts w:ascii="Tahoma" w:hAnsi="Tahoma" w:cs="Tahoma"/>
          <w:b w:val="0"/>
          <w:noProof/>
        </w:rPr>
        <w:t>6</w:t>
      </w:r>
      <w:r w:rsidR="008B4063" w:rsidRPr="00633927">
        <w:rPr>
          <w:rFonts w:ascii="Tahoma" w:hAnsi="Tahoma" w:cs="Tahoma"/>
          <w:b w:val="0"/>
          <w:noProof/>
        </w:rPr>
        <w:fldChar w:fldCharType="end"/>
      </w:r>
    </w:p>
    <w:p w:rsidR="00DC6BA4" w:rsidRPr="00DC6BA4" w:rsidRDefault="00633927">
      <w:pPr>
        <w:pStyle w:val="TOC2"/>
        <w:tabs>
          <w:tab w:val="left" w:pos="960"/>
          <w:tab w:val="right" w:leader="dot" w:pos="8290"/>
        </w:tabs>
        <w:rPr>
          <w:rFonts w:ascii="Tahoma" w:hAnsi="Tahoma" w:cs="Tahoma"/>
          <w:b w:val="0"/>
          <w:noProof/>
          <w:lang w:val="en-AU" w:eastAsia="en-AU"/>
        </w:rPr>
      </w:pPr>
      <w:r w:rsidRPr="00633927">
        <w:rPr>
          <w:rFonts w:ascii="Tahoma" w:hAnsi="Tahoma" w:cs="Tahoma"/>
          <w:b w:val="0"/>
          <w:noProof/>
        </w:rPr>
        <w:t>2.4</w:t>
      </w:r>
      <w:r w:rsidRPr="00633927">
        <w:rPr>
          <w:rFonts w:ascii="Tahoma" w:hAnsi="Tahoma" w:cs="Tahoma"/>
          <w:b w:val="0"/>
          <w:noProof/>
          <w:lang w:val="en-AU" w:eastAsia="en-AU"/>
        </w:rPr>
        <w:tab/>
      </w:r>
      <w:r w:rsidRPr="00633927">
        <w:rPr>
          <w:rFonts w:ascii="Tahoma" w:hAnsi="Tahoma" w:cs="Tahoma"/>
          <w:b w:val="0"/>
          <w:noProof/>
        </w:rPr>
        <w:t>Timing of changes</w:t>
      </w:r>
      <w:r w:rsidRPr="00633927">
        <w:rPr>
          <w:rFonts w:ascii="Tahoma" w:hAnsi="Tahoma" w:cs="Tahoma"/>
          <w:b w:val="0"/>
          <w:noProof/>
        </w:rPr>
        <w:tab/>
      </w:r>
      <w:r w:rsidR="008B4063" w:rsidRPr="00633927">
        <w:rPr>
          <w:rFonts w:ascii="Tahoma" w:hAnsi="Tahoma" w:cs="Tahoma"/>
          <w:b w:val="0"/>
          <w:noProof/>
        </w:rPr>
        <w:fldChar w:fldCharType="begin"/>
      </w:r>
      <w:r w:rsidRPr="00633927">
        <w:rPr>
          <w:rFonts w:ascii="Tahoma" w:hAnsi="Tahoma" w:cs="Tahoma"/>
          <w:b w:val="0"/>
          <w:noProof/>
        </w:rPr>
        <w:instrText xml:space="preserve"> PAGEREF _Toc379878655 \h </w:instrText>
      </w:r>
      <w:r w:rsidR="008B4063" w:rsidRPr="00633927">
        <w:rPr>
          <w:rFonts w:ascii="Tahoma" w:hAnsi="Tahoma" w:cs="Tahoma"/>
          <w:b w:val="0"/>
          <w:noProof/>
        </w:rPr>
      </w:r>
      <w:r w:rsidR="008B4063" w:rsidRPr="00633927">
        <w:rPr>
          <w:rFonts w:ascii="Tahoma" w:hAnsi="Tahoma" w:cs="Tahoma"/>
          <w:b w:val="0"/>
          <w:noProof/>
        </w:rPr>
        <w:fldChar w:fldCharType="separate"/>
      </w:r>
      <w:r w:rsidR="009A111F">
        <w:rPr>
          <w:rFonts w:ascii="Tahoma" w:hAnsi="Tahoma" w:cs="Tahoma"/>
          <w:b w:val="0"/>
          <w:noProof/>
        </w:rPr>
        <w:t>13</w:t>
      </w:r>
      <w:r w:rsidR="008B4063" w:rsidRPr="00633927">
        <w:rPr>
          <w:rFonts w:ascii="Tahoma" w:hAnsi="Tahoma" w:cs="Tahoma"/>
          <w:b w:val="0"/>
          <w:noProof/>
        </w:rPr>
        <w:fldChar w:fldCharType="end"/>
      </w:r>
    </w:p>
    <w:p w:rsidR="00DC6BA4" w:rsidRPr="00DC6BA4" w:rsidRDefault="00633927">
      <w:pPr>
        <w:pStyle w:val="TOC1"/>
        <w:rPr>
          <w:rFonts w:ascii="Tahoma" w:hAnsi="Tahoma" w:cs="Tahoma"/>
          <w:b w:val="0"/>
          <w:lang w:eastAsia="en-AU"/>
        </w:rPr>
      </w:pPr>
      <w:r w:rsidRPr="00633927">
        <w:rPr>
          <w:rFonts w:ascii="Tahoma" w:hAnsi="Tahoma" w:cs="Tahoma"/>
        </w:rPr>
        <w:t>3</w:t>
      </w:r>
      <w:r w:rsidRPr="00633927">
        <w:rPr>
          <w:rFonts w:ascii="Tahoma" w:hAnsi="Tahoma" w:cs="Tahoma"/>
          <w:b w:val="0"/>
          <w:lang w:eastAsia="en-AU"/>
        </w:rPr>
        <w:tab/>
      </w:r>
      <w:r w:rsidRPr="00633927">
        <w:rPr>
          <w:rFonts w:ascii="Tahoma" w:hAnsi="Tahoma" w:cs="Tahoma"/>
        </w:rPr>
        <w:t>THE PROPOSED REGULATIONS</w:t>
      </w:r>
      <w:r w:rsidRPr="00633927">
        <w:rPr>
          <w:rFonts w:ascii="Tahoma" w:hAnsi="Tahoma" w:cs="Tahoma"/>
        </w:rPr>
        <w:tab/>
      </w:r>
      <w:r w:rsidR="008B4063" w:rsidRPr="00633927">
        <w:rPr>
          <w:rFonts w:ascii="Tahoma" w:hAnsi="Tahoma" w:cs="Tahoma"/>
        </w:rPr>
        <w:fldChar w:fldCharType="begin"/>
      </w:r>
      <w:r w:rsidRPr="00633927">
        <w:rPr>
          <w:rFonts w:ascii="Tahoma" w:hAnsi="Tahoma" w:cs="Tahoma"/>
        </w:rPr>
        <w:instrText xml:space="preserve"> PAGEREF _Toc379878656 \h </w:instrText>
      </w:r>
      <w:r w:rsidR="008B4063" w:rsidRPr="00633927">
        <w:rPr>
          <w:rFonts w:ascii="Tahoma" w:hAnsi="Tahoma" w:cs="Tahoma"/>
        </w:rPr>
      </w:r>
      <w:r w:rsidR="008B4063" w:rsidRPr="00633927">
        <w:rPr>
          <w:rFonts w:ascii="Tahoma" w:hAnsi="Tahoma" w:cs="Tahoma"/>
        </w:rPr>
        <w:fldChar w:fldCharType="separate"/>
      </w:r>
      <w:r w:rsidR="009A111F">
        <w:rPr>
          <w:rFonts w:ascii="Tahoma" w:hAnsi="Tahoma" w:cs="Tahoma"/>
        </w:rPr>
        <w:t>15</w:t>
      </w:r>
      <w:r w:rsidR="008B4063" w:rsidRPr="00633927">
        <w:rPr>
          <w:rFonts w:ascii="Tahoma" w:hAnsi="Tahoma" w:cs="Tahoma"/>
        </w:rPr>
        <w:fldChar w:fldCharType="end"/>
      </w:r>
    </w:p>
    <w:p w:rsidR="00DC6BA4" w:rsidRPr="00DC6BA4" w:rsidRDefault="00633927">
      <w:pPr>
        <w:pStyle w:val="TOC2"/>
        <w:tabs>
          <w:tab w:val="left" w:pos="960"/>
          <w:tab w:val="right" w:leader="dot" w:pos="8290"/>
        </w:tabs>
        <w:rPr>
          <w:rFonts w:ascii="Tahoma" w:hAnsi="Tahoma" w:cs="Tahoma"/>
          <w:b w:val="0"/>
          <w:noProof/>
          <w:lang w:val="en-AU" w:eastAsia="en-AU"/>
        </w:rPr>
      </w:pPr>
      <w:r w:rsidRPr="00633927">
        <w:rPr>
          <w:rFonts w:ascii="Tahoma" w:hAnsi="Tahoma" w:cs="Tahoma"/>
          <w:b w:val="0"/>
          <w:noProof/>
        </w:rPr>
        <w:t>3.1</w:t>
      </w:r>
      <w:r w:rsidRPr="00633927">
        <w:rPr>
          <w:rFonts w:ascii="Tahoma" w:hAnsi="Tahoma" w:cs="Tahoma"/>
          <w:b w:val="0"/>
          <w:noProof/>
          <w:lang w:val="en-AU" w:eastAsia="en-AU"/>
        </w:rPr>
        <w:tab/>
      </w:r>
      <w:r w:rsidRPr="00633927">
        <w:rPr>
          <w:rFonts w:ascii="Tahoma" w:hAnsi="Tahoma" w:cs="Tahoma"/>
          <w:b w:val="0"/>
          <w:noProof/>
        </w:rPr>
        <w:t>Objective</w:t>
      </w:r>
      <w:r w:rsidRPr="00633927">
        <w:rPr>
          <w:rFonts w:ascii="Tahoma" w:hAnsi="Tahoma" w:cs="Tahoma"/>
          <w:b w:val="0"/>
          <w:noProof/>
        </w:rPr>
        <w:tab/>
      </w:r>
      <w:r w:rsidR="008B4063" w:rsidRPr="00633927">
        <w:rPr>
          <w:rFonts w:ascii="Tahoma" w:hAnsi="Tahoma" w:cs="Tahoma"/>
          <w:b w:val="0"/>
          <w:noProof/>
        </w:rPr>
        <w:fldChar w:fldCharType="begin"/>
      </w:r>
      <w:r w:rsidRPr="00633927">
        <w:rPr>
          <w:rFonts w:ascii="Tahoma" w:hAnsi="Tahoma" w:cs="Tahoma"/>
          <w:b w:val="0"/>
          <w:noProof/>
        </w:rPr>
        <w:instrText xml:space="preserve"> PAGEREF _Toc379878657 \h </w:instrText>
      </w:r>
      <w:r w:rsidR="008B4063" w:rsidRPr="00633927">
        <w:rPr>
          <w:rFonts w:ascii="Tahoma" w:hAnsi="Tahoma" w:cs="Tahoma"/>
          <w:b w:val="0"/>
          <w:noProof/>
        </w:rPr>
      </w:r>
      <w:r w:rsidR="008B4063" w:rsidRPr="00633927">
        <w:rPr>
          <w:rFonts w:ascii="Tahoma" w:hAnsi="Tahoma" w:cs="Tahoma"/>
          <w:b w:val="0"/>
          <w:noProof/>
        </w:rPr>
        <w:fldChar w:fldCharType="separate"/>
      </w:r>
      <w:r w:rsidR="009A111F">
        <w:rPr>
          <w:rFonts w:ascii="Tahoma" w:hAnsi="Tahoma" w:cs="Tahoma"/>
          <w:b w:val="0"/>
          <w:noProof/>
        </w:rPr>
        <w:t>15</w:t>
      </w:r>
      <w:r w:rsidR="008B4063" w:rsidRPr="00633927">
        <w:rPr>
          <w:rFonts w:ascii="Tahoma" w:hAnsi="Tahoma" w:cs="Tahoma"/>
          <w:b w:val="0"/>
          <w:noProof/>
        </w:rPr>
        <w:fldChar w:fldCharType="end"/>
      </w:r>
    </w:p>
    <w:p w:rsidR="00DC6BA4" w:rsidRPr="00DC6BA4" w:rsidRDefault="00633927">
      <w:pPr>
        <w:pStyle w:val="TOC2"/>
        <w:tabs>
          <w:tab w:val="left" w:pos="960"/>
          <w:tab w:val="right" w:leader="dot" w:pos="8290"/>
        </w:tabs>
        <w:rPr>
          <w:rFonts w:ascii="Tahoma" w:hAnsi="Tahoma" w:cs="Tahoma"/>
          <w:b w:val="0"/>
          <w:noProof/>
          <w:lang w:val="en-AU" w:eastAsia="en-AU"/>
        </w:rPr>
      </w:pPr>
      <w:r w:rsidRPr="00633927">
        <w:rPr>
          <w:rFonts w:ascii="Tahoma" w:hAnsi="Tahoma" w:cs="Tahoma"/>
          <w:b w:val="0"/>
          <w:noProof/>
        </w:rPr>
        <w:t>3.2</w:t>
      </w:r>
      <w:r w:rsidRPr="00633927">
        <w:rPr>
          <w:rFonts w:ascii="Tahoma" w:hAnsi="Tahoma" w:cs="Tahoma"/>
          <w:b w:val="0"/>
          <w:noProof/>
          <w:lang w:val="en-AU" w:eastAsia="en-AU"/>
        </w:rPr>
        <w:tab/>
      </w:r>
      <w:r w:rsidRPr="00633927">
        <w:rPr>
          <w:rFonts w:ascii="Tahoma" w:hAnsi="Tahoma" w:cs="Tahoma"/>
          <w:b w:val="0"/>
          <w:noProof/>
        </w:rPr>
        <w:t>Base case</w:t>
      </w:r>
      <w:r w:rsidRPr="00633927">
        <w:rPr>
          <w:rFonts w:ascii="Tahoma" w:hAnsi="Tahoma" w:cs="Tahoma"/>
          <w:b w:val="0"/>
          <w:noProof/>
        </w:rPr>
        <w:tab/>
      </w:r>
      <w:r w:rsidR="008B4063" w:rsidRPr="00633927">
        <w:rPr>
          <w:rFonts w:ascii="Tahoma" w:hAnsi="Tahoma" w:cs="Tahoma"/>
          <w:b w:val="0"/>
          <w:noProof/>
        </w:rPr>
        <w:fldChar w:fldCharType="begin"/>
      </w:r>
      <w:r w:rsidRPr="00633927">
        <w:rPr>
          <w:rFonts w:ascii="Tahoma" w:hAnsi="Tahoma" w:cs="Tahoma"/>
          <w:b w:val="0"/>
          <w:noProof/>
        </w:rPr>
        <w:instrText xml:space="preserve"> PAGEREF _Toc379878658 \h </w:instrText>
      </w:r>
      <w:r w:rsidR="008B4063" w:rsidRPr="00633927">
        <w:rPr>
          <w:rFonts w:ascii="Tahoma" w:hAnsi="Tahoma" w:cs="Tahoma"/>
          <w:b w:val="0"/>
          <w:noProof/>
        </w:rPr>
      </w:r>
      <w:r w:rsidR="008B4063" w:rsidRPr="00633927">
        <w:rPr>
          <w:rFonts w:ascii="Tahoma" w:hAnsi="Tahoma" w:cs="Tahoma"/>
          <w:b w:val="0"/>
          <w:noProof/>
        </w:rPr>
        <w:fldChar w:fldCharType="separate"/>
      </w:r>
      <w:r w:rsidR="009A111F">
        <w:rPr>
          <w:rFonts w:ascii="Tahoma" w:hAnsi="Tahoma" w:cs="Tahoma"/>
          <w:b w:val="0"/>
          <w:noProof/>
        </w:rPr>
        <w:t>15</w:t>
      </w:r>
      <w:r w:rsidR="008B4063" w:rsidRPr="00633927">
        <w:rPr>
          <w:rFonts w:ascii="Tahoma" w:hAnsi="Tahoma" w:cs="Tahoma"/>
          <w:b w:val="0"/>
          <w:noProof/>
        </w:rPr>
        <w:fldChar w:fldCharType="end"/>
      </w:r>
    </w:p>
    <w:p w:rsidR="00DC6BA4" w:rsidRPr="00DC6BA4" w:rsidRDefault="00633927">
      <w:pPr>
        <w:pStyle w:val="TOC2"/>
        <w:tabs>
          <w:tab w:val="left" w:pos="960"/>
          <w:tab w:val="right" w:leader="dot" w:pos="8290"/>
        </w:tabs>
        <w:rPr>
          <w:rFonts w:ascii="Tahoma" w:hAnsi="Tahoma" w:cs="Tahoma"/>
          <w:b w:val="0"/>
          <w:noProof/>
          <w:lang w:val="en-AU" w:eastAsia="en-AU"/>
        </w:rPr>
      </w:pPr>
      <w:r w:rsidRPr="00633927">
        <w:rPr>
          <w:rFonts w:ascii="Tahoma" w:hAnsi="Tahoma" w:cs="Tahoma"/>
          <w:b w:val="0"/>
          <w:noProof/>
        </w:rPr>
        <w:t>3.3</w:t>
      </w:r>
      <w:r w:rsidRPr="00633927">
        <w:rPr>
          <w:rFonts w:ascii="Tahoma" w:hAnsi="Tahoma" w:cs="Tahoma"/>
          <w:b w:val="0"/>
          <w:noProof/>
          <w:lang w:val="en-AU" w:eastAsia="en-AU"/>
        </w:rPr>
        <w:tab/>
      </w:r>
      <w:r w:rsidRPr="00633927">
        <w:rPr>
          <w:rFonts w:ascii="Tahoma" w:hAnsi="Tahoma" w:cs="Tahoma"/>
          <w:b w:val="0"/>
          <w:noProof/>
        </w:rPr>
        <w:t>Good regulatory design and minimising the reporting burden</w:t>
      </w:r>
      <w:r w:rsidRPr="00633927">
        <w:rPr>
          <w:rFonts w:ascii="Tahoma" w:hAnsi="Tahoma" w:cs="Tahoma"/>
          <w:b w:val="0"/>
          <w:noProof/>
        </w:rPr>
        <w:tab/>
      </w:r>
      <w:r w:rsidR="008B4063" w:rsidRPr="00633927">
        <w:rPr>
          <w:rFonts w:ascii="Tahoma" w:hAnsi="Tahoma" w:cs="Tahoma"/>
          <w:b w:val="0"/>
          <w:noProof/>
        </w:rPr>
        <w:fldChar w:fldCharType="begin"/>
      </w:r>
      <w:r w:rsidRPr="00633927">
        <w:rPr>
          <w:rFonts w:ascii="Tahoma" w:hAnsi="Tahoma" w:cs="Tahoma"/>
          <w:b w:val="0"/>
          <w:noProof/>
        </w:rPr>
        <w:instrText xml:space="preserve"> PAGEREF _Toc379878659 \h </w:instrText>
      </w:r>
      <w:r w:rsidR="008B4063" w:rsidRPr="00633927">
        <w:rPr>
          <w:rFonts w:ascii="Tahoma" w:hAnsi="Tahoma" w:cs="Tahoma"/>
          <w:b w:val="0"/>
          <w:noProof/>
        </w:rPr>
      </w:r>
      <w:r w:rsidR="008B4063" w:rsidRPr="00633927">
        <w:rPr>
          <w:rFonts w:ascii="Tahoma" w:hAnsi="Tahoma" w:cs="Tahoma"/>
          <w:b w:val="0"/>
          <w:noProof/>
        </w:rPr>
        <w:fldChar w:fldCharType="separate"/>
      </w:r>
      <w:r w:rsidR="009A111F">
        <w:rPr>
          <w:rFonts w:ascii="Tahoma" w:hAnsi="Tahoma" w:cs="Tahoma"/>
          <w:b w:val="0"/>
          <w:noProof/>
        </w:rPr>
        <w:t>16</w:t>
      </w:r>
      <w:r w:rsidR="008B4063" w:rsidRPr="00633927">
        <w:rPr>
          <w:rFonts w:ascii="Tahoma" w:hAnsi="Tahoma" w:cs="Tahoma"/>
          <w:b w:val="0"/>
          <w:noProof/>
        </w:rPr>
        <w:fldChar w:fldCharType="end"/>
      </w:r>
    </w:p>
    <w:p w:rsidR="00DC6BA4" w:rsidRPr="00DC6BA4" w:rsidRDefault="00633927">
      <w:pPr>
        <w:pStyle w:val="TOC2"/>
        <w:tabs>
          <w:tab w:val="left" w:pos="960"/>
          <w:tab w:val="right" w:leader="dot" w:pos="8290"/>
        </w:tabs>
        <w:rPr>
          <w:rFonts w:ascii="Tahoma" w:hAnsi="Tahoma" w:cs="Tahoma"/>
          <w:b w:val="0"/>
          <w:noProof/>
          <w:lang w:val="en-AU" w:eastAsia="en-AU"/>
        </w:rPr>
      </w:pPr>
      <w:r w:rsidRPr="00633927">
        <w:rPr>
          <w:rFonts w:ascii="Tahoma" w:hAnsi="Tahoma" w:cs="Tahoma"/>
          <w:b w:val="0"/>
          <w:noProof/>
        </w:rPr>
        <w:t>3.4</w:t>
      </w:r>
      <w:r w:rsidRPr="00633927">
        <w:rPr>
          <w:rFonts w:ascii="Tahoma" w:hAnsi="Tahoma" w:cs="Tahoma"/>
          <w:b w:val="0"/>
          <w:noProof/>
          <w:lang w:val="en-AU" w:eastAsia="en-AU"/>
        </w:rPr>
        <w:tab/>
      </w:r>
      <w:r w:rsidRPr="00633927">
        <w:rPr>
          <w:rFonts w:ascii="Tahoma" w:hAnsi="Tahoma" w:cs="Tahoma"/>
          <w:b w:val="0"/>
          <w:noProof/>
        </w:rPr>
        <w:t>The proposed Regulations</w:t>
      </w:r>
      <w:r w:rsidRPr="00633927">
        <w:rPr>
          <w:rFonts w:ascii="Tahoma" w:hAnsi="Tahoma" w:cs="Tahoma"/>
          <w:b w:val="0"/>
          <w:noProof/>
        </w:rPr>
        <w:tab/>
      </w:r>
      <w:r w:rsidR="008B4063" w:rsidRPr="00633927">
        <w:rPr>
          <w:rFonts w:ascii="Tahoma" w:hAnsi="Tahoma" w:cs="Tahoma"/>
          <w:b w:val="0"/>
          <w:noProof/>
        </w:rPr>
        <w:fldChar w:fldCharType="begin"/>
      </w:r>
      <w:r w:rsidRPr="00633927">
        <w:rPr>
          <w:rFonts w:ascii="Tahoma" w:hAnsi="Tahoma" w:cs="Tahoma"/>
          <w:b w:val="0"/>
          <w:noProof/>
        </w:rPr>
        <w:instrText xml:space="preserve"> PAGEREF _Toc379878660 \h </w:instrText>
      </w:r>
      <w:r w:rsidR="008B4063" w:rsidRPr="00633927">
        <w:rPr>
          <w:rFonts w:ascii="Tahoma" w:hAnsi="Tahoma" w:cs="Tahoma"/>
          <w:b w:val="0"/>
          <w:noProof/>
        </w:rPr>
      </w:r>
      <w:r w:rsidR="008B4063" w:rsidRPr="00633927">
        <w:rPr>
          <w:rFonts w:ascii="Tahoma" w:hAnsi="Tahoma" w:cs="Tahoma"/>
          <w:b w:val="0"/>
          <w:noProof/>
        </w:rPr>
        <w:fldChar w:fldCharType="separate"/>
      </w:r>
      <w:r w:rsidR="009A111F">
        <w:rPr>
          <w:rFonts w:ascii="Tahoma" w:hAnsi="Tahoma" w:cs="Tahoma"/>
          <w:b w:val="0"/>
          <w:noProof/>
        </w:rPr>
        <w:t>17</w:t>
      </w:r>
      <w:r w:rsidR="008B4063" w:rsidRPr="00633927">
        <w:rPr>
          <w:rFonts w:ascii="Tahoma" w:hAnsi="Tahoma" w:cs="Tahoma"/>
          <w:b w:val="0"/>
          <w:noProof/>
        </w:rPr>
        <w:fldChar w:fldCharType="end"/>
      </w:r>
    </w:p>
    <w:p w:rsidR="00DC6BA4" w:rsidRPr="00DC6BA4" w:rsidRDefault="00633927">
      <w:pPr>
        <w:pStyle w:val="TOC2"/>
        <w:tabs>
          <w:tab w:val="left" w:pos="960"/>
          <w:tab w:val="right" w:leader="dot" w:pos="8290"/>
        </w:tabs>
        <w:rPr>
          <w:rFonts w:ascii="Tahoma" w:hAnsi="Tahoma" w:cs="Tahoma"/>
          <w:b w:val="0"/>
          <w:noProof/>
          <w:lang w:val="en-AU" w:eastAsia="en-AU"/>
        </w:rPr>
      </w:pPr>
      <w:r w:rsidRPr="00633927">
        <w:rPr>
          <w:rFonts w:ascii="Tahoma" w:hAnsi="Tahoma" w:cs="Tahoma"/>
          <w:b w:val="0"/>
          <w:noProof/>
        </w:rPr>
        <w:t>3.5</w:t>
      </w:r>
      <w:r w:rsidRPr="00633927">
        <w:rPr>
          <w:rFonts w:ascii="Tahoma" w:hAnsi="Tahoma" w:cs="Tahoma"/>
          <w:b w:val="0"/>
          <w:noProof/>
          <w:lang w:val="en-AU" w:eastAsia="en-AU"/>
        </w:rPr>
        <w:tab/>
      </w:r>
      <w:r w:rsidRPr="00633927">
        <w:rPr>
          <w:rFonts w:ascii="Tahoma" w:hAnsi="Tahoma" w:cs="Tahoma"/>
          <w:b w:val="0"/>
          <w:noProof/>
        </w:rPr>
        <w:t>Impact assessment of the proposed Regulations</w:t>
      </w:r>
      <w:r w:rsidRPr="00633927">
        <w:rPr>
          <w:rFonts w:ascii="Tahoma" w:hAnsi="Tahoma" w:cs="Tahoma"/>
          <w:b w:val="0"/>
          <w:noProof/>
        </w:rPr>
        <w:tab/>
      </w:r>
      <w:r w:rsidR="008B4063" w:rsidRPr="00633927">
        <w:rPr>
          <w:rFonts w:ascii="Tahoma" w:hAnsi="Tahoma" w:cs="Tahoma"/>
          <w:b w:val="0"/>
          <w:noProof/>
        </w:rPr>
        <w:fldChar w:fldCharType="begin"/>
      </w:r>
      <w:r w:rsidRPr="00633927">
        <w:rPr>
          <w:rFonts w:ascii="Tahoma" w:hAnsi="Tahoma" w:cs="Tahoma"/>
          <w:b w:val="0"/>
          <w:noProof/>
        </w:rPr>
        <w:instrText xml:space="preserve"> PAGEREF _Toc379878661 \h </w:instrText>
      </w:r>
      <w:r w:rsidR="008B4063" w:rsidRPr="00633927">
        <w:rPr>
          <w:rFonts w:ascii="Tahoma" w:hAnsi="Tahoma" w:cs="Tahoma"/>
          <w:b w:val="0"/>
          <w:noProof/>
        </w:rPr>
      </w:r>
      <w:r w:rsidR="008B4063" w:rsidRPr="00633927">
        <w:rPr>
          <w:rFonts w:ascii="Tahoma" w:hAnsi="Tahoma" w:cs="Tahoma"/>
          <w:b w:val="0"/>
          <w:noProof/>
        </w:rPr>
        <w:fldChar w:fldCharType="separate"/>
      </w:r>
      <w:r w:rsidR="009A111F">
        <w:rPr>
          <w:rFonts w:ascii="Tahoma" w:hAnsi="Tahoma" w:cs="Tahoma"/>
          <w:b w:val="0"/>
          <w:noProof/>
        </w:rPr>
        <w:t>22</w:t>
      </w:r>
      <w:r w:rsidR="008B4063" w:rsidRPr="00633927">
        <w:rPr>
          <w:rFonts w:ascii="Tahoma" w:hAnsi="Tahoma" w:cs="Tahoma"/>
          <w:b w:val="0"/>
          <w:noProof/>
        </w:rPr>
        <w:fldChar w:fldCharType="end"/>
      </w:r>
    </w:p>
    <w:p w:rsidR="00DC6BA4" w:rsidRPr="00DC6BA4" w:rsidRDefault="00633927">
      <w:pPr>
        <w:pStyle w:val="TOC1"/>
        <w:rPr>
          <w:rFonts w:ascii="Tahoma" w:hAnsi="Tahoma" w:cs="Tahoma"/>
          <w:b w:val="0"/>
          <w:lang w:eastAsia="en-AU"/>
        </w:rPr>
      </w:pPr>
      <w:r w:rsidRPr="00633927">
        <w:rPr>
          <w:rFonts w:ascii="Tahoma" w:hAnsi="Tahoma" w:cs="Tahoma"/>
        </w:rPr>
        <w:t>4</w:t>
      </w:r>
      <w:r w:rsidRPr="00633927">
        <w:rPr>
          <w:rFonts w:ascii="Tahoma" w:hAnsi="Tahoma" w:cs="Tahoma"/>
          <w:b w:val="0"/>
          <w:lang w:eastAsia="en-AU"/>
        </w:rPr>
        <w:tab/>
      </w:r>
      <w:r w:rsidRPr="00633927">
        <w:rPr>
          <w:rFonts w:ascii="Tahoma" w:hAnsi="Tahoma" w:cs="Tahoma"/>
        </w:rPr>
        <w:t>ALTERNATIVE OPTIONS</w:t>
      </w:r>
      <w:r w:rsidRPr="00633927">
        <w:rPr>
          <w:rFonts w:ascii="Tahoma" w:hAnsi="Tahoma" w:cs="Tahoma"/>
        </w:rPr>
        <w:tab/>
      </w:r>
      <w:r w:rsidR="008B4063" w:rsidRPr="00633927">
        <w:rPr>
          <w:rFonts w:ascii="Tahoma" w:hAnsi="Tahoma" w:cs="Tahoma"/>
        </w:rPr>
        <w:fldChar w:fldCharType="begin"/>
      </w:r>
      <w:r w:rsidRPr="00633927">
        <w:rPr>
          <w:rFonts w:ascii="Tahoma" w:hAnsi="Tahoma" w:cs="Tahoma"/>
        </w:rPr>
        <w:instrText xml:space="preserve"> PAGEREF _Toc379878662 \h </w:instrText>
      </w:r>
      <w:r w:rsidR="008B4063" w:rsidRPr="00633927">
        <w:rPr>
          <w:rFonts w:ascii="Tahoma" w:hAnsi="Tahoma" w:cs="Tahoma"/>
        </w:rPr>
      </w:r>
      <w:r w:rsidR="008B4063" w:rsidRPr="00633927">
        <w:rPr>
          <w:rFonts w:ascii="Tahoma" w:hAnsi="Tahoma" w:cs="Tahoma"/>
        </w:rPr>
        <w:fldChar w:fldCharType="separate"/>
      </w:r>
      <w:r w:rsidR="009A111F">
        <w:rPr>
          <w:rFonts w:ascii="Tahoma" w:hAnsi="Tahoma" w:cs="Tahoma"/>
        </w:rPr>
        <w:t>28</w:t>
      </w:r>
      <w:r w:rsidR="008B4063" w:rsidRPr="00633927">
        <w:rPr>
          <w:rFonts w:ascii="Tahoma" w:hAnsi="Tahoma" w:cs="Tahoma"/>
        </w:rPr>
        <w:fldChar w:fldCharType="end"/>
      </w:r>
    </w:p>
    <w:p w:rsidR="00DC6BA4" w:rsidRPr="00DC6BA4" w:rsidRDefault="00633927">
      <w:pPr>
        <w:pStyle w:val="TOC2"/>
        <w:tabs>
          <w:tab w:val="left" w:pos="960"/>
          <w:tab w:val="right" w:leader="dot" w:pos="8290"/>
        </w:tabs>
        <w:rPr>
          <w:rFonts w:ascii="Tahoma" w:hAnsi="Tahoma" w:cs="Tahoma"/>
          <w:b w:val="0"/>
          <w:noProof/>
          <w:lang w:val="en-AU" w:eastAsia="en-AU"/>
        </w:rPr>
      </w:pPr>
      <w:r w:rsidRPr="00633927">
        <w:rPr>
          <w:rFonts w:ascii="Tahoma" w:hAnsi="Tahoma" w:cs="Tahoma"/>
          <w:b w:val="0"/>
          <w:noProof/>
        </w:rPr>
        <w:t>4.1</w:t>
      </w:r>
      <w:r w:rsidRPr="00633927">
        <w:rPr>
          <w:rFonts w:ascii="Tahoma" w:hAnsi="Tahoma" w:cs="Tahoma"/>
          <w:b w:val="0"/>
          <w:noProof/>
          <w:lang w:val="en-AU" w:eastAsia="en-AU"/>
        </w:rPr>
        <w:tab/>
      </w:r>
      <w:r w:rsidRPr="00633927">
        <w:rPr>
          <w:rFonts w:ascii="Tahoma" w:hAnsi="Tahoma" w:cs="Tahoma"/>
          <w:b w:val="0"/>
          <w:noProof/>
        </w:rPr>
        <w:t>Identification of alternative options</w:t>
      </w:r>
      <w:r w:rsidRPr="00633927">
        <w:rPr>
          <w:rFonts w:ascii="Tahoma" w:hAnsi="Tahoma" w:cs="Tahoma"/>
          <w:b w:val="0"/>
          <w:noProof/>
        </w:rPr>
        <w:tab/>
      </w:r>
      <w:r w:rsidR="008B4063" w:rsidRPr="00633927">
        <w:rPr>
          <w:rFonts w:ascii="Tahoma" w:hAnsi="Tahoma" w:cs="Tahoma"/>
          <w:b w:val="0"/>
          <w:noProof/>
        </w:rPr>
        <w:fldChar w:fldCharType="begin"/>
      </w:r>
      <w:r w:rsidRPr="00633927">
        <w:rPr>
          <w:rFonts w:ascii="Tahoma" w:hAnsi="Tahoma" w:cs="Tahoma"/>
          <w:b w:val="0"/>
          <w:noProof/>
        </w:rPr>
        <w:instrText xml:space="preserve"> PAGEREF _Toc379878663 \h </w:instrText>
      </w:r>
      <w:r w:rsidR="008B4063" w:rsidRPr="00633927">
        <w:rPr>
          <w:rFonts w:ascii="Tahoma" w:hAnsi="Tahoma" w:cs="Tahoma"/>
          <w:b w:val="0"/>
          <w:noProof/>
        </w:rPr>
      </w:r>
      <w:r w:rsidR="008B4063" w:rsidRPr="00633927">
        <w:rPr>
          <w:rFonts w:ascii="Tahoma" w:hAnsi="Tahoma" w:cs="Tahoma"/>
          <w:b w:val="0"/>
          <w:noProof/>
        </w:rPr>
        <w:fldChar w:fldCharType="separate"/>
      </w:r>
      <w:r w:rsidR="009A111F">
        <w:rPr>
          <w:rFonts w:ascii="Tahoma" w:hAnsi="Tahoma" w:cs="Tahoma"/>
          <w:b w:val="0"/>
          <w:noProof/>
        </w:rPr>
        <w:t>28</w:t>
      </w:r>
      <w:r w:rsidR="008B4063" w:rsidRPr="00633927">
        <w:rPr>
          <w:rFonts w:ascii="Tahoma" w:hAnsi="Tahoma" w:cs="Tahoma"/>
          <w:b w:val="0"/>
          <w:noProof/>
        </w:rPr>
        <w:fldChar w:fldCharType="end"/>
      </w:r>
    </w:p>
    <w:p w:rsidR="00DC6BA4" w:rsidRPr="00DC6BA4" w:rsidRDefault="00633927">
      <w:pPr>
        <w:pStyle w:val="TOC2"/>
        <w:tabs>
          <w:tab w:val="left" w:pos="960"/>
          <w:tab w:val="right" w:leader="dot" w:pos="8290"/>
        </w:tabs>
        <w:rPr>
          <w:rFonts w:ascii="Tahoma" w:hAnsi="Tahoma" w:cs="Tahoma"/>
          <w:b w:val="0"/>
          <w:noProof/>
          <w:lang w:val="en-AU" w:eastAsia="en-AU"/>
        </w:rPr>
      </w:pPr>
      <w:r w:rsidRPr="00633927">
        <w:rPr>
          <w:rFonts w:ascii="Tahoma" w:hAnsi="Tahoma" w:cs="Tahoma"/>
          <w:b w:val="0"/>
          <w:noProof/>
        </w:rPr>
        <w:t>4.2</w:t>
      </w:r>
      <w:r w:rsidRPr="00633927">
        <w:rPr>
          <w:rFonts w:ascii="Tahoma" w:hAnsi="Tahoma" w:cs="Tahoma"/>
          <w:b w:val="0"/>
          <w:noProof/>
          <w:lang w:val="en-AU" w:eastAsia="en-AU"/>
        </w:rPr>
        <w:tab/>
      </w:r>
      <w:r w:rsidRPr="00633927">
        <w:rPr>
          <w:rFonts w:ascii="Tahoma" w:hAnsi="Tahoma" w:cs="Tahoma"/>
          <w:b w:val="0"/>
          <w:noProof/>
        </w:rPr>
        <w:t>Approaches in other jurisdictions</w:t>
      </w:r>
      <w:r w:rsidRPr="00633927">
        <w:rPr>
          <w:rFonts w:ascii="Tahoma" w:hAnsi="Tahoma" w:cs="Tahoma"/>
          <w:b w:val="0"/>
          <w:noProof/>
        </w:rPr>
        <w:tab/>
      </w:r>
      <w:r w:rsidR="008B4063" w:rsidRPr="00633927">
        <w:rPr>
          <w:rFonts w:ascii="Tahoma" w:hAnsi="Tahoma" w:cs="Tahoma"/>
          <w:b w:val="0"/>
          <w:noProof/>
        </w:rPr>
        <w:fldChar w:fldCharType="begin"/>
      </w:r>
      <w:r w:rsidRPr="00633927">
        <w:rPr>
          <w:rFonts w:ascii="Tahoma" w:hAnsi="Tahoma" w:cs="Tahoma"/>
          <w:b w:val="0"/>
          <w:noProof/>
        </w:rPr>
        <w:instrText xml:space="preserve"> PAGEREF _Toc379878664 \h </w:instrText>
      </w:r>
      <w:r w:rsidR="008B4063" w:rsidRPr="00633927">
        <w:rPr>
          <w:rFonts w:ascii="Tahoma" w:hAnsi="Tahoma" w:cs="Tahoma"/>
          <w:b w:val="0"/>
          <w:noProof/>
        </w:rPr>
      </w:r>
      <w:r w:rsidR="008B4063" w:rsidRPr="00633927">
        <w:rPr>
          <w:rFonts w:ascii="Tahoma" w:hAnsi="Tahoma" w:cs="Tahoma"/>
          <w:b w:val="0"/>
          <w:noProof/>
        </w:rPr>
        <w:fldChar w:fldCharType="separate"/>
      </w:r>
      <w:r w:rsidR="009A111F">
        <w:rPr>
          <w:rFonts w:ascii="Tahoma" w:hAnsi="Tahoma" w:cs="Tahoma"/>
          <w:b w:val="0"/>
          <w:noProof/>
        </w:rPr>
        <w:t>28</w:t>
      </w:r>
      <w:r w:rsidR="008B4063" w:rsidRPr="00633927">
        <w:rPr>
          <w:rFonts w:ascii="Tahoma" w:hAnsi="Tahoma" w:cs="Tahoma"/>
          <w:b w:val="0"/>
          <w:noProof/>
        </w:rPr>
        <w:fldChar w:fldCharType="end"/>
      </w:r>
    </w:p>
    <w:p w:rsidR="00DC6BA4" w:rsidRPr="00DC6BA4" w:rsidRDefault="00633927">
      <w:pPr>
        <w:pStyle w:val="TOC2"/>
        <w:tabs>
          <w:tab w:val="left" w:pos="960"/>
          <w:tab w:val="right" w:leader="dot" w:pos="8290"/>
        </w:tabs>
        <w:rPr>
          <w:rFonts w:ascii="Tahoma" w:hAnsi="Tahoma" w:cs="Tahoma"/>
          <w:b w:val="0"/>
          <w:noProof/>
          <w:lang w:val="en-AU" w:eastAsia="en-AU"/>
        </w:rPr>
      </w:pPr>
      <w:r w:rsidRPr="00633927">
        <w:rPr>
          <w:rFonts w:ascii="Tahoma" w:hAnsi="Tahoma" w:cs="Tahoma"/>
          <w:b w:val="0"/>
          <w:noProof/>
        </w:rPr>
        <w:t>4.3</w:t>
      </w:r>
      <w:r w:rsidRPr="00633927">
        <w:rPr>
          <w:rFonts w:ascii="Tahoma" w:hAnsi="Tahoma" w:cs="Tahoma"/>
          <w:b w:val="0"/>
          <w:noProof/>
          <w:lang w:val="en-AU" w:eastAsia="en-AU"/>
        </w:rPr>
        <w:tab/>
      </w:r>
      <w:r w:rsidRPr="00633927">
        <w:rPr>
          <w:rFonts w:ascii="Tahoma" w:hAnsi="Tahoma" w:cs="Tahoma"/>
          <w:b w:val="0"/>
          <w:noProof/>
        </w:rPr>
        <w:t>Non-regulatory options</w:t>
      </w:r>
      <w:r w:rsidRPr="00633927">
        <w:rPr>
          <w:rFonts w:ascii="Tahoma" w:hAnsi="Tahoma" w:cs="Tahoma"/>
          <w:b w:val="0"/>
          <w:noProof/>
        </w:rPr>
        <w:tab/>
      </w:r>
      <w:r w:rsidR="008B4063" w:rsidRPr="00633927">
        <w:rPr>
          <w:rFonts w:ascii="Tahoma" w:hAnsi="Tahoma" w:cs="Tahoma"/>
          <w:b w:val="0"/>
          <w:noProof/>
        </w:rPr>
        <w:fldChar w:fldCharType="begin"/>
      </w:r>
      <w:r w:rsidRPr="00633927">
        <w:rPr>
          <w:rFonts w:ascii="Tahoma" w:hAnsi="Tahoma" w:cs="Tahoma"/>
          <w:b w:val="0"/>
          <w:noProof/>
        </w:rPr>
        <w:instrText xml:space="preserve"> PAGEREF _Toc379878665 \h </w:instrText>
      </w:r>
      <w:r w:rsidR="008B4063" w:rsidRPr="00633927">
        <w:rPr>
          <w:rFonts w:ascii="Tahoma" w:hAnsi="Tahoma" w:cs="Tahoma"/>
          <w:b w:val="0"/>
          <w:noProof/>
        </w:rPr>
      </w:r>
      <w:r w:rsidR="008B4063" w:rsidRPr="00633927">
        <w:rPr>
          <w:rFonts w:ascii="Tahoma" w:hAnsi="Tahoma" w:cs="Tahoma"/>
          <w:b w:val="0"/>
          <w:noProof/>
        </w:rPr>
        <w:fldChar w:fldCharType="separate"/>
      </w:r>
      <w:r w:rsidR="009A111F">
        <w:rPr>
          <w:rFonts w:ascii="Tahoma" w:hAnsi="Tahoma" w:cs="Tahoma"/>
          <w:b w:val="0"/>
          <w:noProof/>
        </w:rPr>
        <w:t>30</w:t>
      </w:r>
      <w:r w:rsidR="008B4063" w:rsidRPr="00633927">
        <w:rPr>
          <w:rFonts w:ascii="Tahoma" w:hAnsi="Tahoma" w:cs="Tahoma"/>
          <w:b w:val="0"/>
          <w:noProof/>
        </w:rPr>
        <w:fldChar w:fldCharType="end"/>
      </w:r>
    </w:p>
    <w:p w:rsidR="00DC6BA4" w:rsidRPr="00DC6BA4" w:rsidRDefault="00633927">
      <w:pPr>
        <w:pStyle w:val="TOC2"/>
        <w:tabs>
          <w:tab w:val="left" w:pos="960"/>
          <w:tab w:val="right" w:leader="dot" w:pos="8290"/>
        </w:tabs>
        <w:rPr>
          <w:rFonts w:ascii="Tahoma" w:hAnsi="Tahoma" w:cs="Tahoma"/>
          <w:b w:val="0"/>
          <w:noProof/>
          <w:lang w:val="en-AU" w:eastAsia="en-AU"/>
        </w:rPr>
      </w:pPr>
      <w:r w:rsidRPr="00633927">
        <w:rPr>
          <w:rFonts w:ascii="Tahoma" w:hAnsi="Tahoma" w:cs="Tahoma"/>
          <w:b w:val="0"/>
          <w:noProof/>
        </w:rPr>
        <w:t>4.4</w:t>
      </w:r>
      <w:r w:rsidRPr="00633927">
        <w:rPr>
          <w:rFonts w:ascii="Tahoma" w:hAnsi="Tahoma" w:cs="Tahoma"/>
          <w:b w:val="0"/>
          <w:noProof/>
          <w:lang w:val="en-AU" w:eastAsia="en-AU"/>
        </w:rPr>
        <w:tab/>
      </w:r>
      <w:r w:rsidRPr="00633927">
        <w:rPr>
          <w:rFonts w:ascii="Tahoma" w:hAnsi="Tahoma" w:cs="Tahoma"/>
          <w:b w:val="0"/>
          <w:noProof/>
        </w:rPr>
        <w:t>Options assessed in this RIS</w:t>
      </w:r>
      <w:r w:rsidRPr="00633927">
        <w:rPr>
          <w:rFonts w:ascii="Tahoma" w:hAnsi="Tahoma" w:cs="Tahoma"/>
          <w:b w:val="0"/>
          <w:noProof/>
        </w:rPr>
        <w:tab/>
      </w:r>
      <w:r w:rsidR="008B4063" w:rsidRPr="00633927">
        <w:rPr>
          <w:rFonts w:ascii="Tahoma" w:hAnsi="Tahoma" w:cs="Tahoma"/>
          <w:b w:val="0"/>
          <w:noProof/>
        </w:rPr>
        <w:fldChar w:fldCharType="begin"/>
      </w:r>
      <w:r w:rsidRPr="00633927">
        <w:rPr>
          <w:rFonts w:ascii="Tahoma" w:hAnsi="Tahoma" w:cs="Tahoma"/>
          <w:b w:val="0"/>
          <w:noProof/>
        </w:rPr>
        <w:instrText xml:space="preserve"> PAGEREF _Toc379878666 \h </w:instrText>
      </w:r>
      <w:r w:rsidR="008B4063" w:rsidRPr="00633927">
        <w:rPr>
          <w:rFonts w:ascii="Tahoma" w:hAnsi="Tahoma" w:cs="Tahoma"/>
          <w:b w:val="0"/>
          <w:noProof/>
        </w:rPr>
      </w:r>
      <w:r w:rsidR="008B4063" w:rsidRPr="00633927">
        <w:rPr>
          <w:rFonts w:ascii="Tahoma" w:hAnsi="Tahoma" w:cs="Tahoma"/>
          <w:b w:val="0"/>
          <w:noProof/>
        </w:rPr>
        <w:fldChar w:fldCharType="separate"/>
      </w:r>
      <w:r w:rsidR="009A111F">
        <w:rPr>
          <w:rFonts w:ascii="Tahoma" w:hAnsi="Tahoma" w:cs="Tahoma"/>
          <w:b w:val="0"/>
          <w:noProof/>
        </w:rPr>
        <w:t>31</w:t>
      </w:r>
      <w:r w:rsidR="008B4063" w:rsidRPr="00633927">
        <w:rPr>
          <w:rFonts w:ascii="Tahoma" w:hAnsi="Tahoma" w:cs="Tahoma"/>
          <w:b w:val="0"/>
          <w:noProof/>
        </w:rPr>
        <w:fldChar w:fldCharType="end"/>
      </w:r>
    </w:p>
    <w:p w:rsidR="00DC6BA4" w:rsidRPr="00DC6BA4" w:rsidRDefault="00633927">
      <w:pPr>
        <w:pStyle w:val="TOC2"/>
        <w:tabs>
          <w:tab w:val="left" w:pos="960"/>
          <w:tab w:val="right" w:leader="dot" w:pos="8290"/>
        </w:tabs>
        <w:rPr>
          <w:rFonts w:ascii="Tahoma" w:hAnsi="Tahoma" w:cs="Tahoma"/>
          <w:b w:val="0"/>
          <w:noProof/>
          <w:lang w:val="en-AU" w:eastAsia="en-AU"/>
        </w:rPr>
      </w:pPr>
      <w:r w:rsidRPr="00633927">
        <w:rPr>
          <w:rFonts w:ascii="Tahoma" w:hAnsi="Tahoma" w:cs="Tahoma"/>
          <w:b w:val="0"/>
          <w:noProof/>
        </w:rPr>
        <w:t>4.5</w:t>
      </w:r>
      <w:r w:rsidRPr="00633927">
        <w:rPr>
          <w:rFonts w:ascii="Tahoma" w:hAnsi="Tahoma" w:cs="Tahoma"/>
          <w:b w:val="0"/>
          <w:noProof/>
          <w:lang w:val="en-AU" w:eastAsia="en-AU"/>
        </w:rPr>
        <w:tab/>
      </w:r>
      <w:r w:rsidRPr="00633927">
        <w:rPr>
          <w:rFonts w:ascii="Tahoma" w:hAnsi="Tahoma" w:cs="Tahoma"/>
          <w:b w:val="0"/>
          <w:noProof/>
        </w:rPr>
        <w:t>Conclusion on alternative options</w:t>
      </w:r>
      <w:r w:rsidRPr="00633927">
        <w:rPr>
          <w:rFonts w:ascii="Tahoma" w:hAnsi="Tahoma" w:cs="Tahoma"/>
          <w:b w:val="0"/>
          <w:noProof/>
        </w:rPr>
        <w:tab/>
      </w:r>
      <w:r w:rsidR="008B4063" w:rsidRPr="00633927">
        <w:rPr>
          <w:rFonts w:ascii="Tahoma" w:hAnsi="Tahoma" w:cs="Tahoma"/>
          <w:b w:val="0"/>
          <w:noProof/>
        </w:rPr>
        <w:fldChar w:fldCharType="begin"/>
      </w:r>
      <w:r w:rsidRPr="00633927">
        <w:rPr>
          <w:rFonts w:ascii="Tahoma" w:hAnsi="Tahoma" w:cs="Tahoma"/>
          <w:b w:val="0"/>
          <w:noProof/>
        </w:rPr>
        <w:instrText xml:space="preserve"> PAGEREF _Toc379878667 \h </w:instrText>
      </w:r>
      <w:r w:rsidR="008B4063" w:rsidRPr="00633927">
        <w:rPr>
          <w:rFonts w:ascii="Tahoma" w:hAnsi="Tahoma" w:cs="Tahoma"/>
          <w:b w:val="0"/>
          <w:noProof/>
        </w:rPr>
      </w:r>
      <w:r w:rsidR="008B4063" w:rsidRPr="00633927">
        <w:rPr>
          <w:rFonts w:ascii="Tahoma" w:hAnsi="Tahoma" w:cs="Tahoma"/>
          <w:b w:val="0"/>
          <w:noProof/>
        </w:rPr>
        <w:fldChar w:fldCharType="separate"/>
      </w:r>
      <w:r w:rsidR="009A111F">
        <w:rPr>
          <w:rFonts w:ascii="Tahoma" w:hAnsi="Tahoma" w:cs="Tahoma"/>
          <w:b w:val="0"/>
          <w:noProof/>
        </w:rPr>
        <w:t>35</w:t>
      </w:r>
      <w:r w:rsidR="008B4063" w:rsidRPr="00633927">
        <w:rPr>
          <w:rFonts w:ascii="Tahoma" w:hAnsi="Tahoma" w:cs="Tahoma"/>
          <w:b w:val="0"/>
          <w:noProof/>
        </w:rPr>
        <w:fldChar w:fldCharType="end"/>
      </w:r>
    </w:p>
    <w:p w:rsidR="00DC6BA4" w:rsidRPr="00DC6BA4" w:rsidRDefault="00633927">
      <w:pPr>
        <w:pStyle w:val="TOC1"/>
        <w:rPr>
          <w:rFonts w:ascii="Tahoma" w:hAnsi="Tahoma" w:cs="Tahoma"/>
          <w:b w:val="0"/>
          <w:lang w:eastAsia="en-AU"/>
        </w:rPr>
      </w:pPr>
      <w:r w:rsidRPr="00633927">
        <w:rPr>
          <w:rFonts w:ascii="Tahoma" w:hAnsi="Tahoma" w:cs="Tahoma"/>
        </w:rPr>
        <w:t>5</w:t>
      </w:r>
      <w:r w:rsidRPr="00633927">
        <w:rPr>
          <w:rFonts w:ascii="Tahoma" w:hAnsi="Tahoma" w:cs="Tahoma"/>
          <w:b w:val="0"/>
          <w:lang w:eastAsia="en-AU"/>
        </w:rPr>
        <w:tab/>
      </w:r>
      <w:r w:rsidRPr="00633927">
        <w:rPr>
          <w:rFonts w:ascii="Tahoma" w:hAnsi="Tahoma" w:cs="Tahoma"/>
        </w:rPr>
        <w:t>IMPLEMENTATION AND ENFORCEMENT</w:t>
      </w:r>
      <w:r w:rsidRPr="00633927">
        <w:rPr>
          <w:rFonts w:ascii="Tahoma" w:hAnsi="Tahoma" w:cs="Tahoma"/>
        </w:rPr>
        <w:tab/>
      </w:r>
      <w:r w:rsidR="008B4063" w:rsidRPr="00633927">
        <w:rPr>
          <w:rFonts w:ascii="Tahoma" w:hAnsi="Tahoma" w:cs="Tahoma"/>
        </w:rPr>
        <w:fldChar w:fldCharType="begin"/>
      </w:r>
      <w:r w:rsidRPr="00633927">
        <w:rPr>
          <w:rFonts w:ascii="Tahoma" w:hAnsi="Tahoma" w:cs="Tahoma"/>
        </w:rPr>
        <w:instrText xml:space="preserve"> PAGEREF _Toc379878668 \h </w:instrText>
      </w:r>
      <w:r w:rsidR="008B4063" w:rsidRPr="00633927">
        <w:rPr>
          <w:rFonts w:ascii="Tahoma" w:hAnsi="Tahoma" w:cs="Tahoma"/>
        </w:rPr>
      </w:r>
      <w:r w:rsidR="008B4063" w:rsidRPr="00633927">
        <w:rPr>
          <w:rFonts w:ascii="Tahoma" w:hAnsi="Tahoma" w:cs="Tahoma"/>
        </w:rPr>
        <w:fldChar w:fldCharType="separate"/>
      </w:r>
      <w:r w:rsidR="009A111F">
        <w:rPr>
          <w:rFonts w:ascii="Tahoma" w:hAnsi="Tahoma" w:cs="Tahoma"/>
        </w:rPr>
        <w:t>37</w:t>
      </w:r>
      <w:r w:rsidR="008B4063" w:rsidRPr="00633927">
        <w:rPr>
          <w:rFonts w:ascii="Tahoma" w:hAnsi="Tahoma" w:cs="Tahoma"/>
        </w:rPr>
        <w:fldChar w:fldCharType="end"/>
      </w:r>
    </w:p>
    <w:p w:rsidR="00DC6BA4" w:rsidRPr="00DC6BA4" w:rsidRDefault="00633927">
      <w:pPr>
        <w:pStyle w:val="TOC2"/>
        <w:tabs>
          <w:tab w:val="left" w:pos="960"/>
          <w:tab w:val="right" w:leader="dot" w:pos="8290"/>
        </w:tabs>
        <w:rPr>
          <w:rFonts w:ascii="Tahoma" w:hAnsi="Tahoma" w:cs="Tahoma"/>
          <w:b w:val="0"/>
          <w:noProof/>
          <w:lang w:val="en-AU" w:eastAsia="en-AU"/>
        </w:rPr>
      </w:pPr>
      <w:r w:rsidRPr="00633927">
        <w:rPr>
          <w:rFonts w:ascii="Tahoma" w:hAnsi="Tahoma" w:cs="Tahoma"/>
          <w:b w:val="0"/>
          <w:noProof/>
        </w:rPr>
        <w:t>5.1</w:t>
      </w:r>
      <w:r w:rsidRPr="00633927">
        <w:rPr>
          <w:rFonts w:ascii="Tahoma" w:hAnsi="Tahoma" w:cs="Tahoma"/>
          <w:b w:val="0"/>
          <w:noProof/>
          <w:lang w:val="en-AU" w:eastAsia="en-AU"/>
        </w:rPr>
        <w:tab/>
      </w:r>
      <w:r w:rsidRPr="00633927">
        <w:rPr>
          <w:rFonts w:ascii="Tahoma" w:hAnsi="Tahoma" w:cs="Tahoma"/>
          <w:b w:val="0"/>
          <w:noProof/>
        </w:rPr>
        <w:t>Implementation</w:t>
      </w:r>
      <w:r w:rsidRPr="00633927">
        <w:rPr>
          <w:rFonts w:ascii="Tahoma" w:hAnsi="Tahoma" w:cs="Tahoma"/>
          <w:b w:val="0"/>
          <w:noProof/>
        </w:rPr>
        <w:tab/>
      </w:r>
      <w:r w:rsidR="008B4063" w:rsidRPr="00633927">
        <w:rPr>
          <w:rFonts w:ascii="Tahoma" w:hAnsi="Tahoma" w:cs="Tahoma"/>
          <w:b w:val="0"/>
          <w:noProof/>
        </w:rPr>
        <w:fldChar w:fldCharType="begin"/>
      </w:r>
      <w:r w:rsidRPr="00633927">
        <w:rPr>
          <w:rFonts w:ascii="Tahoma" w:hAnsi="Tahoma" w:cs="Tahoma"/>
          <w:b w:val="0"/>
          <w:noProof/>
        </w:rPr>
        <w:instrText xml:space="preserve"> PAGEREF _Toc379878669 \h </w:instrText>
      </w:r>
      <w:r w:rsidR="008B4063" w:rsidRPr="00633927">
        <w:rPr>
          <w:rFonts w:ascii="Tahoma" w:hAnsi="Tahoma" w:cs="Tahoma"/>
          <w:b w:val="0"/>
          <w:noProof/>
        </w:rPr>
      </w:r>
      <w:r w:rsidR="008B4063" w:rsidRPr="00633927">
        <w:rPr>
          <w:rFonts w:ascii="Tahoma" w:hAnsi="Tahoma" w:cs="Tahoma"/>
          <w:b w:val="0"/>
          <w:noProof/>
        </w:rPr>
        <w:fldChar w:fldCharType="separate"/>
      </w:r>
      <w:r w:rsidR="009A111F">
        <w:rPr>
          <w:rFonts w:ascii="Tahoma" w:hAnsi="Tahoma" w:cs="Tahoma"/>
          <w:b w:val="0"/>
          <w:noProof/>
        </w:rPr>
        <w:t>37</w:t>
      </w:r>
      <w:r w:rsidR="008B4063" w:rsidRPr="00633927">
        <w:rPr>
          <w:rFonts w:ascii="Tahoma" w:hAnsi="Tahoma" w:cs="Tahoma"/>
          <w:b w:val="0"/>
          <w:noProof/>
        </w:rPr>
        <w:fldChar w:fldCharType="end"/>
      </w:r>
    </w:p>
    <w:p w:rsidR="00DC6BA4" w:rsidRPr="00DC6BA4" w:rsidRDefault="00633927">
      <w:pPr>
        <w:pStyle w:val="TOC2"/>
        <w:tabs>
          <w:tab w:val="left" w:pos="960"/>
          <w:tab w:val="right" w:leader="dot" w:pos="8290"/>
        </w:tabs>
        <w:rPr>
          <w:rFonts w:ascii="Tahoma" w:hAnsi="Tahoma" w:cs="Tahoma"/>
          <w:b w:val="0"/>
          <w:noProof/>
          <w:lang w:val="en-AU" w:eastAsia="en-AU"/>
        </w:rPr>
      </w:pPr>
      <w:r w:rsidRPr="00633927">
        <w:rPr>
          <w:rFonts w:ascii="Tahoma" w:hAnsi="Tahoma" w:cs="Tahoma"/>
          <w:b w:val="0"/>
          <w:noProof/>
        </w:rPr>
        <w:t>5.2</w:t>
      </w:r>
      <w:r w:rsidRPr="00633927">
        <w:rPr>
          <w:rFonts w:ascii="Tahoma" w:hAnsi="Tahoma" w:cs="Tahoma"/>
          <w:b w:val="0"/>
          <w:noProof/>
          <w:lang w:val="en-AU" w:eastAsia="en-AU"/>
        </w:rPr>
        <w:tab/>
      </w:r>
      <w:r w:rsidRPr="00633927">
        <w:rPr>
          <w:rFonts w:ascii="Tahoma" w:hAnsi="Tahoma" w:cs="Tahoma"/>
          <w:b w:val="0"/>
          <w:noProof/>
        </w:rPr>
        <w:t>Enforcement</w:t>
      </w:r>
      <w:r w:rsidRPr="00633927">
        <w:rPr>
          <w:rFonts w:ascii="Tahoma" w:hAnsi="Tahoma" w:cs="Tahoma"/>
          <w:b w:val="0"/>
          <w:noProof/>
        </w:rPr>
        <w:tab/>
      </w:r>
      <w:r w:rsidR="008B4063" w:rsidRPr="00633927">
        <w:rPr>
          <w:rFonts w:ascii="Tahoma" w:hAnsi="Tahoma" w:cs="Tahoma"/>
          <w:b w:val="0"/>
          <w:noProof/>
        </w:rPr>
        <w:fldChar w:fldCharType="begin"/>
      </w:r>
      <w:r w:rsidRPr="00633927">
        <w:rPr>
          <w:rFonts w:ascii="Tahoma" w:hAnsi="Tahoma" w:cs="Tahoma"/>
          <w:b w:val="0"/>
          <w:noProof/>
        </w:rPr>
        <w:instrText xml:space="preserve"> PAGEREF _Toc379878670 \h </w:instrText>
      </w:r>
      <w:r w:rsidR="008B4063" w:rsidRPr="00633927">
        <w:rPr>
          <w:rFonts w:ascii="Tahoma" w:hAnsi="Tahoma" w:cs="Tahoma"/>
          <w:b w:val="0"/>
          <w:noProof/>
        </w:rPr>
      </w:r>
      <w:r w:rsidR="008B4063" w:rsidRPr="00633927">
        <w:rPr>
          <w:rFonts w:ascii="Tahoma" w:hAnsi="Tahoma" w:cs="Tahoma"/>
          <w:b w:val="0"/>
          <w:noProof/>
        </w:rPr>
        <w:fldChar w:fldCharType="separate"/>
      </w:r>
      <w:r w:rsidR="009A111F">
        <w:rPr>
          <w:rFonts w:ascii="Tahoma" w:hAnsi="Tahoma" w:cs="Tahoma"/>
          <w:b w:val="0"/>
          <w:noProof/>
        </w:rPr>
        <w:t>39</w:t>
      </w:r>
      <w:r w:rsidR="008B4063" w:rsidRPr="00633927">
        <w:rPr>
          <w:rFonts w:ascii="Tahoma" w:hAnsi="Tahoma" w:cs="Tahoma"/>
          <w:b w:val="0"/>
          <w:noProof/>
        </w:rPr>
        <w:fldChar w:fldCharType="end"/>
      </w:r>
    </w:p>
    <w:p w:rsidR="00DC6BA4" w:rsidRPr="00DC6BA4" w:rsidRDefault="00633927">
      <w:pPr>
        <w:pStyle w:val="TOC1"/>
        <w:rPr>
          <w:rFonts w:ascii="Tahoma" w:hAnsi="Tahoma" w:cs="Tahoma"/>
          <w:b w:val="0"/>
          <w:lang w:eastAsia="en-AU"/>
        </w:rPr>
      </w:pPr>
      <w:r w:rsidRPr="00633927">
        <w:rPr>
          <w:rFonts w:ascii="Tahoma" w:hAnsi="Tahoma" w:cs="Tahoma"/>
        </w:rPr>
        <w:t>6</w:t>
      </w:r>
      <w:r w:rsidRPr="00633927">
        <w:rPr>
          <w:rFonts w:ascii="Tahoma" w:hAnsi="Tahoma" w:cs="Tahoma"/>
          <w:b w:val="0"/>
          <w:lang w:eastAsia="en-AU"/>
        </w:rPr>
        <w:tab/>
      </w:r>
      <w:r w:rsidRPr="00633927">
        <w:rPr>
          <w:rFonts w:ascii="Tahoma" w:hAnsi="Tahoma" w:cs="Tahoma"/>
        </w:rPr>
        <w:t>IMPACTS ON COMPETITION</w:t>
      </w:r>
      <w:r w:rsidRPr="00633927">
        <w:rPr>
          <w:rFonts w:ascii="Tahoma" w:hAnsi="Tahoma" w:cs="Tahoma"/>
        </w:rPr>
        <w:tab/>
      </w:r>
      <w:r w:rsidR="008B4063" w:rsidRPr="00633927">
        <w:rPr>
          <w:rFonts w:ascii="Tahoma" w:hAnsi="Tahoma" w:cs="Tahoma"/>
        </w:rPr>
        <w:fldChar w:fldCharType="begin"/>
      </w:r>
      <w:r w:rsidRPr="00633927">
        <w:rPr>
          <w:rFonts w:ascii="Tahoma" w:hAnsi="Tahoma" w:cs="Tahoma"/>
        </w:rPr>
        <w:instrText xml:space="preserve"> PAGEREF _Toc379878671 \h </w:instrText>
      </w:r>
      <w:r w:rsidR="008B4063" w:rsidRPr="00633927">
        <w:rPr>
          <w:rFonts w:ascii="Tahoma" w:hAnsi="Tahoma" w:cs="Tahoma"/>
        </w:rPr>
      </w:r>
      <w:r w:rsidR="008B4063" w:rsidRPr="00633927">
        <w:rPr>
          <w:rFonts w:ascii="Tahoma" w:hAnsi="Tahoma" w:cs="Tahoma"/>
        </w:rPr>
        <w:fldChar w:fldCharType="separate"/>
      </w:r>
      <w:r w:rsidR="009A111F">
        <w:rPr>
          <w:rFonts w:ascii="Tahoma" w:hAnsi="Tahoma" w:cs="Tahoma"/>
        </w:rPr>
        <w:t>40</w:t>
      </w:r>
      <w:r w:rsidR="008B4063" w:rsidRPr="00633927">
        <w:rPr>
          <w:rFonts w:ascii="Tahoma" w:hAnsi="Tahoma" w:cs="Tahoma"/>
        </w:rPr>
        <w:fldChar w:fldCharType="end"/>
      </w:r>
    </w:p>
    <w:p w:rsidR="00DC6BA4" w:rsidRDefault="00633927">
      <w:pPr>
        <w:pStyle w:val="TOC1"/>
        <w:rPr>
          <w:rFonts w:ascii="Tahoma" w:hAnsi="Tahoma" w:cs="Tahoma"/>
        </w:rPr>
      </w:pPr>
      <w:r w:rsidRPr="00633927">
        <w:rPr>
          <w:rFonts w:ascii="Tahoma" w:hAnsi="Tahoma" w:cs="Tahoma"/>
        </w:rPr>
        <w:t>7</w:t>
      </w:r>
      <w:r w:rsidRPr="00633927">
        <w:rPr>
          <w:rFonts w:ascii="Tahoma" w:hAnsi="Tahoma" w:cs="Tahoma"/>
          <w:b w:val="0"/>
          <w:lang w:eastAsia="en-AU"/>
        </w:rPr>
        <w:tab/>
      </w:r>
      <w:r w:rsidRPr="00633927">
        <w:rPr>
          <w:rFonts w:ascii="Tahoma" w:hAnsi="Tahoma" w:cs="Tahoma"/>
        </w:rPr>
        <w:t>CONSULTATION</w:t>
      </w:r>
      <w:r w:rsidRPr="00633927">
        <w:rPr>
          <w:rFonts w:ascii="Tahoma" w:hAnsi="Tahoma" w:cs="Tahoma"/>
        </w:rPr>
        <w:tab/>
      </w:r>
      <w:r w:rsidR="008B4063" w:rsidRPr="00633927">
        <w:rPr>
          <w:rFonts w:ascii="Tahoma" w:hAnsi="Tahoma" w:cs="Tahoma"/>
        </w:rPr>
        <w:fldChar w:fldCharType="begin"/>
      </w:r>
      <w:r w:rsidRPr="00633927">
        <w:rPr>
          <w:rFonts w:ascii="Tahoma" w:hAnsi="Tahoma" w:cs="Tahoma"/>
        </w:rPr>
        <w:instrText xml:space="preserve"> PAGEREF _Toc379878672 \h </w:instrText>
      </w:r>
      <w:r w:rsidR="008B4063" w:rsidRPr="00633927">
        <w:rPr>
          <w:rFonts w:ascii="Tahoma" w:hAnsi="Tahoma" w:cs="Tahoma"/>
        </w:rPr>
      </w:r>
      <w:r w:rsidR="008B4063" w:rsidRPr="00633927">
        <w:rPr>
          <w:rFonts w:ascii="Tahoma" w:hAnsi="Tahoma" w:cs="Tahoma"/>
        </w:rPr>
        <w:fldChar w:fldCharType="separate"/>
      </w:r>
      <w:r w:rsidR="009A111F">
        <w:rPr>
          <w:rFonts w:ascii="Tahoma" w:hAnsi="Tahoma" w:cs="Tahoma"/>
        </w:rPr>
        <w:t>41</w:t>
      </w:r>
      <w:r w:rsidR="008B4063" w:rsidRPr="00633927">
        <w:rPr>
          <w:rFonts w:ascii="Tahoma" w:hAnsi="Tahoma" w:cs="Tahoma"/>
        </w:rPr>
        <w:fldChar w:fldCharType="end"/>
      </w:r>
    </w:p>
    <w:p w:rsidR="00DC6BA4" w:rsidRDefault="00DC6BA4" w:rsidP="00DC6BA4">
      <w:pPr>
        <w:pStyle w:val="TOC1"/>
        <w:rPr>
          <w:rFonts w:ascii="Tahoma" w:hAnsi="Tahoma" w:cs="Tahoma"/>
        </w:rPr>
      </w:pPr>
      <w:r>
        <w:rPr>
          <w:rFonts w:ascii="Tahoma" w:hAnsi="Tahoma" w:cs="Tahoma"/>
        </w:rPr>
        <w:t>ATTACHMENTS</w:t>
      </w:r>
      <w:r w:rsidRPr="00DC6BA4">
        <w:rPr>
          <w:rFonts w:ascii="Tahoma" w:hAnsi="Tahoma" w:cs="Tahoma"/>
        </w:rPr>
        <w:tab/>
      </w:r>
      <w:r w:rsidR="00C32BB6">
        <w:rPr>
          <w:rFonts w:ascii="Tahoma" w:hAnsi="Tahoma" w:cs="Tahoma"/>
        </w:rPr>
        <w:t>45</w:t>
      </w:r>
    </w:p>
    <w:p w:rsidR="00A06B52" w:rsidRDefault="00A06B52">
      <w:pPr>
        <w:rPr>
          <w:noProof/>
        </w:rPr>
      </w:pPr>
    </w:p>
    <w:p w:rsidR="00A06B52" w:rsidRDefault="00A06B52">
      <w:pPr>
        <w:rPr>
          <w:b/>
          <w:noProof/>
        </w:rPr>
      </w:pPr>
    </w:p>
    <w:p w:rsidR="0084461B" w:rsidRPr="00E84DC2" w:rsidRDefault="008B4063" w:rsidP="0042655A">
      <w:pPr>
        <w:tabs>
          <w:tab w:val="right" w:leader="dot" w:pos="8364"/>
        </w:tabs>
        <w:spacing w:before="120" w:after="120" w:line="276" w:lineRule="auto"/>
        <w:rPr>
          <w:rFonts w:ascii="Tahoma" w:eastAsia="Calibri" w:hAnsi="Tahoma" w:cs="Tahoma"/>
          <w:b/>
          <w:caps/>
          <w:sz w:val="22"/>
          <w:szCs w:val="22"/>
          <w:lang w:val="en-AU"/>
        </w:rPr>
      </w:pPr>
      <w:r w:rsidRPr="00DC6BA4">
        <w:rPr>
          <w:rFonts w:ascii="Tahoma" w:eastAsia="Calibri" w:hAnsi="Tahoma" w:cs="Tahoma"/>
          <w:b/>
          <w:caps/>
          <w:sz w:val="22"/>
          <w:szCs w:val="22"/>
          <w:lang w:val="en-AU"/>
        </w:rPr>
        <w:fldChar w:fldCharType="end"/>
      </w:r>
    </w:p>
    <w:p w:rsidR="00001CA3" w:rsidRPr="00E84DC2" w:rsidRDefault="00001CA3" w:rsidP="0042655A">
      <w:pPr>
        <w:tabs>
          <w:tab w:val="left" w:pos="496"/>
          <w:tab w:val="right" w:leader="dot" w:pos="8364"/>
          <w:tab w:val="right" w:leader="dot" w:pos="9010"/>
        </w:tabs>
        <w:spacing w:before="120" w:after="120" w:line="276" w:lineRule="auto"/>
        <w:rPr>
          <w:rFonts w:ascii="Tahoma" w:eastAsia="Calibri" w:hAnsi="Tahoma" w:cs="Tahoma"/>
          <w:sz w:val="22"/>
          <w:szCs w:val="22"/>
          <w:lang w:val="en-AU"/>
        </w:rPr>
      </w:pPr>
    </w:p>
    <w:p w:rsidR="00001CA3" w:rsidRPr="00E84DC2" w:rsidRDefault="00001CA3" w:rsidP="00001CA3">
      <w:pPr>
        <w:rPr>
          <w:rFonts w:ascii="Tahoma" w:eastAsia="Times New Roman" w:hAnsi="Tahoma" w:cs="Tahoma"/>
          <w:sz w:val="22"/>
          <w:szCs w:val="22"/>
          <w:lang w:val="en-AU"/>
        </w:rPr>
        <w:sectPr w:rsidR="00001CA3" w:rsidRPr="00E84DC2" w:rsidSect="00BB4E63">
          <w:pgSz w:w="11900" w:h="16840"/>
          <w:pgMar w:top="1440" w:right="1800" w:bottom="1440" w:left="1800" w:header="708" w:footer="708" w:gutter="0"/>
          <w:cols w:space="708"/>
          <w:titlePg/>
          <w:docGrid w:linePitch="360"/>
        </w:sectPr>
      </w:pPr>
    </w:p>
    <w:p w:rsidR="00001CA3" w:rsidRPr="00E84DC2" w:rsidRDefault="00D733EB" w:rsidP="00001CA3">
      <w:pPr>
        <w:spacing w:before="120" w:after="120"/>
        <w:rPr>
          <w:rFonts w:ascii="Tahoma" w:eastAsia="Times New Roman" w:hAnsi="Tahoma" w:cs="Tahoma"/>
          <w:b/>
          <w:caps/>
          <w:sz w:val="28"/>
          <w:szCs w:val="28"/>
          <w:lang w:val="en-AU"/>
        </w:rPr>
      </w:pPr>
      <w:r w:rsidRPr="00D733EB">
        <w:rPr>
          <w:rFonts w:ascii="Tahoma" w:eastAsia="Times New Roman" w:hAnsi="Tahoma" w:cs="Tahoma"/>
          <w:b/>
          <w:caps/>
          <w:sz w:val="28"/>
          <w:szCs w:val="28"/>
          <w:lang w:val="en-AU"/>
        </w:rPr>
        <w:lastRenderedPageBreak/>
        <w:t xml:space="preserve">ABBREVIATIONS </w:t>
      </w:r>
    </w:p>
    <w:p w:rsidR="00001CA3" w:rsidRPr="00E84DC2" w:rsidRDefault="00001CA3" w:rsidP="00001CA3">
      <w:pPr>
        <w:rPr>
          <w:rFonts w:ascii="Tahoma" w:eastAsia="Times New Roman" w:hAnsi="Tahoma" w:cs="Tahoma"/>
          <w:sz w:val="22"/>
          <w:szCs w:val="22"/>
          <w:lang w:val="en-AU"/>
        </w:rPr>
      </w:pPr>
    </w:p>
    <w:p w:rsidR="00077E1F" w:rsidRPr="00E84DC2" w:rsidRDefault="00D733EB" w:rsidP="00077E1F">
      <w:pPr>
        <w:rPr>
          <w:rFonts w:ascii="Tahoma" w:hAnsi="Tahoma" w:cs="Tahoma"/>
          <w:i/>
          <w:sz w:val="22"/>
          <w:szCs w:val="22"/>
        </w:rPr>
      </w:pPr>
      <w:r w:rsidRPr="00D733EB">
        <w:rPr>
          <w:rFonts w:ascii="Tahoma" w:hAnsi="Tahoma" w:cs="Tahoma"/>
          <w:b/>
          <w:sz w:val="22"/>
          <w:szCs w:val="22"/>
        </w:rPr>
        <w:t xml:space="preserve">the Act </w:t>
      </w:r>
      <w:r w:rsidRPr="00D733EB">
        <w:rPr>
          <w:rFonts w:ascii="Tahoma" w:hAnsi="Tahoma" w:cs="Tahoma"/>
          <w:sz w:val="22"/>
          <w:szCs w:val="22"/>
        </w:rPr>
        <w:t xml:space="preserve">– </w:t>
      </w:r>
      <w:r w:rsidRPr="00D733EB">
        <w:rPr>
          <w:rFonts w:ascii="Tahoma" w:hAnsi="Tahoma" w:cs="Tahoma"/>
          <w:i/>
          <w:sz w:val="22"/>
          <w:szCs w:val="22"/>
        </w:rPr>
        <w:t>Local Government Act 1989</w:t>
      </w:r>
    </w:p>
    <w:p w:rsidR="00077E1F" w:rsidRPr="00E84DC2" w:rsidRDefault="00077E1F" w:rsidP="00077E1F">
      <w:pPr>
        <w:rPr>
          <w:rFonts w:ascii="Tahoma" w:hAnsi="Tahoma" w:cs="Tahoma"/>
          <w:b/>
          <w:sz w:val="22"/>
          <w:szCs w:val="22"/>
        </w:rPr>
      </w:pPr>
    </w:p>
    <w:p w:rsidR="00077E1F" w:rsidRPr="00E84DC2" w:rsidRDefault="00D733EB" w:rsidP="00077E1F">
      <w:pPr>
        <w:rPr>
          <w:rFonts w:ascii="Tahoma" w:hAnsi="Tahoma" w:cs="Tahoma"/>
          <w:sz w:val="22"/>
          <w:szCs w:val="22"/>
        </w:rPr>
      </w:pPr>
      <w:r w:rsidRPr="00D733EB">
        <w:rPr>
          <w:rFonts w:ascii="Tahoma" w:hAnsi="Tahoma" w:cs="Tahoma"/>
          <w:b/>
          <w:sz w:val="22"/>
          <w:szCs w:val="22"/>
        </w:rPr>
        <w:t xml:space="preserve">the current Regulations </w:t>
      </w:r>
      <w:r w:rsidRPr="00D733EB">
        <w:rPr>
          <w:rFonts w:ascii="Tahoma" w:hAnsi="Tahoma" w:cs="Tahoma"/>
          <w:sz w:val="22"/>
          <w:szCs w:val="22"/>
        </w:rPr>
        <w:t>– Local Government (Finance and Reporting) Regulations 2004</w:t>
      </w:r>
    </w:p>
    <w:p w:rsidR="00077E1F" w:rsidRPr="00E84DC2" w:rsidRDefault="00077E1F" w:rsidP="00077E1F">
      <w:pPr>
        <w:rPr>
          <w:rFonts w:ascii="Tahoma" w:hAnsi="Tahoma" w:cs="Tahoma"/>
          <w:sz w:val="22"/>
          <w:szCs w:val="22"/>
        </w:rPr>
      </w:pPr>
    </w:p>
    <w:p w:rsidR="00077E1F" w:rsidRPr="00E84DC2" w:rsidRDefault="00D733EB" w:rsidP="00077E1F">
      <w:pPr>
        <w:rPr>
          <w:rFonts w:ascii="Tahoma" w:hAnsi="Tahoma" w:cs="Tahoma"/>
          <w:b/>
          <w:sz w:val="22"/>
          <w:szCs w:val="22"/>
        </w:rPr>
      </w:pPr>
      <w:r w:rsidRPr="00D733EB">
        <w:rPr>
          <w:rFonts w:ascii="Tahoma" w:hAnsi="Tahoma" w:cs="Tahoma"/>
          <w:b/>
          <w:sz w:val="22"/>
          <w:szCs w:val="22"/>
        </w:rPr>
        <w:t xml:space="preserve">the proposed Regulations </w:t>
      </w:r>
      <w:r w:rsidRPr="00D733EB">
        <w:rPr>
          <w:rFonts w:ascii="Tahoma" w:hAnsi="Tahoma" w:cs="Tahoma"/>
          <w:sz w:val="22"/>
          <w:szCs w:val="22"/>
        </w:rPr>
        <w:t>– Local Government (Financial Planning and Reporting) Regulations 2014</w:t>
      </w:r>
    </w:p>
    <w:p w:rsidR="00077E1F" w:rsidRPr="00E84DC2" w:rsidRDefault="00077E1F" w:rsidP="00077E1F">
      <w:pPr>
        <w:rPr>
          <w:rFonts w:ascii="Tahoma" w:hAnsi="Tahoma" w:cs="Tahoma"/>
          <w:b/>
          <w:sz w:val="22"/>
          <w:szCs w:val="22"/>
        </w:rPr>
      </w:pPr>
    </w:p>
    <w:p w:rsidR="008A57B4" w:rsidRPr="00E84DC2" w:rsidRDefault="00D733EB" w:rsidP="00077E1F">
      <w:pPr>
        <w:rPr>
          <w:rFonts w:ascii="Tahoma" w:hAnsi="Tahoma" w:cs="Tahoma"/>
          <w:b/>
          <w:sz w:val="22"/>
          <w:szCs w:val="22"/>
        </w:rPr>
      </w:pPr>
      <w:r w:rsidRPr="00D733EB">
        <w:rPr>
          <w:rFonts w:ascii="Tahoma" w:eastAsia="Times New Roman" w:hAnsi="Tahoma" w:cs="Tahoma"/>
          <w:b/>
          <w:sz w:val="22"/>
          <w:szCs w:val="22"/>
          <w:lang w:val="en-AU"/>
        </w:rPr>
        <w:t>ACELG</w:t>
      </w:r>
      <w:r w:rsidRPr="00D733EB">
        <w:rPr>
          <w:rFonts w:ascii="Tahoma" w:eastAsia="Times New Roman" w:hAnsi="Tahoma" w:cs="Tahoma"/>
          <w:sz w:val="22"/>
          <w:szCs w:val="22"/>
          <w:lang w:val="en-AU"/>
        </w:rPr>
        <w:t xml:space="preserve"> – Australian Centre of Excellence for Local Government</w:t>
      </w:r>
    </w:p>
    <w:p w:rsidR="008A57B4" w:rsidRPr="00E84DC2" w:rsidRDefault="008A57B4" w:rsidP="00077E1F">
      <w:pPr>
        <w:rPr>
          <w:rFonts w:ascii="Tahoma" w:hAnsi="Tahoma" w:cs="Tahoma"/>
          <w:b/>
          <w:sz w:val="22"/>
          <w:szCs w:val="22"/>
        </w:rPr>
      </w:pPr>
    </w:p>
    <w:p w:rsidR="00FD717B" w:rsidRPr="00E84DC2" w:rsidRDefault="00D733EB" w:rsidP="00077E1F">
      <w:pPr>
        <w:rPr>
          <w:rFonts w:ascii="Tahoma" w:hAnsi="Tahoma" w:cs="Tahoma"/>
          <w:b/>
          <w:sz w:val="22"/>
          <w:szCs w:val="22"/>
        </w:rPr>
      </w:pPr>
      <w:r w:rsidRPr="00D733EB">
        <w:rPr>
          <w:rFonts w:ascii="Tahoma" w:hAnsi="Tahoma" w:cs="Tahoma"/>
          <w:b/>
          <w:sz w:val="22"/>
          <w:szCs w:val="22"/>
        </w:rPr>
        <w:t xml:space="preserve">CPI </w:t>
      </w:r>
      <w:r w:rsidRPr="00D733EB">
        <w:rPr>
          <w:rFonts w:ascii="Tahoma" w:hAnsi="Tahoma" w:cs="Tahoma"/>
          <w:sz w:val="22"/>
          <w:szCs w:val="22"/>
        </w:rPr>
        <w:t>– Consumer Price Index</w:t>
      </w:r>
    </w:p>
    <w:p w:rsidR="00FD717B" w:rsidRPr="00E84DC2" w:rsidRDefault="00FD717B" w:rsidP="00077E1F">
      <w:pPr>
        <w:rPr>
          <w:rFonts w:ascii="Tahoma" w:hAnsi="Tahoma" w:cs="Tahoma"/>
          <w:b/>
          <w:sz w:val="22"/>
          <w:szCs w:val="22"/>
        </w:rPr>
      </w:pPr>
    </w:p>
    <w:p w:rsidR="00077E1F" w:rsidRPr="00E84DC2" w:rsidRDefault="00D733EB" w:rsidP="00077E1F">
      <w:pPr>
        <w:rPr>
          <w:rFonts w:ascii="Tahoma" w:hAnsi="Tahoma" w:cs="Tahoma"/>
          <w:sz w:val="22"/>
          <w:szCs w:val="22"/>
        </w:rPr>
      </w:pPr>
      <w:r w:rsidRPr="00D733EB">
        <w:rPr>
          <w:rFonts w:ascii="Tahoma" w:hAnsi="Tahoma" w:cs="Tahoma"/>
          <w:b/>
          <w:sz w:val="22"/>
          <w:szCs w:val="22"/>
        </w:rPr>
        <w:t>DTPLI</w:t>
      </w:r>
      <w:r w:rsidRPr="00D733EB">
        <w:rPr>
          <w:rFonts w:ascii="Tahoma" w:hAnsi="Tahoma" w:cs="Tahoma"/>
          <w:sz w:val="22"/>
          <w:szCs w:val="22"/>
        </w:rPr>
        <w:t xml:space="preserve"> – Department of Transport, Planning and Local Infrastructure</w:t>
      </w:r>
    </w:p>
    <w:p w:rsidR="00077E1F" w:rsidRPr="00E84DC2" w:rsidRDefault="00077E1F" w:rsidP="00077E1F">
      <w:pPr>
        <w:rPr>
          <w:rFonts w:ascii="Tahoma" w:hAnsi="Tahoma" w:cs="Tahoma"/>
          <w:b/>
          <w:sz w:val="22"/>
          <w:szCs w:val="22"/>
        </w:rPr>
      </w:pPr>
    </w:p>
    <w:p w:rsidR="00077E1F" w:rsidRPr="00E84DC2" w:rsidRDefault="00D733EB" w:rsidP="00077E1F">
      <w:pPr>
        <w:rPr>
          <w:rFonts w:ascii="Tahoma" w:hAnsi="Tahoma" w:cs="Tahoma"/>
          <w:b/>
          <w:sz w:val="22"/>
          <w:szCs w:val="22"/>
        </w:rPr>
      </w:pPr>
      <w:r w:rsidRPr="00D733EB">
        <w:rPr>
          <w:rFonts w:ascii="Tahoma" w:hAnsi="Tahoma" w:cs="Tahoma"/>
          <w:b/>
          <w:sz w:val="22"/>
          <w:szCs w:val="22"/>
        </w:rPr>
        <w:t xml:space="preserve">ESC </w:t>
      </w:r>
      <w:r w:rsidRPr="00D733EB">
        <w:rPr>
          <w:rFonts w:ascii="Tahoma" w:hAnsi="Tahoma" w:cs="Tahoma"/>
          <w:sz w:val="22"/>
          <w:szCs w:val="22"/>
        </w:rPr>
        <w:t>– Essential Services Commission</w:t>
      </w:r>
    </w:p>
    <w:p w:rsidR="00077E1F" w:rsidRPr="00E84DC2" w:rsidRDefault="00077E1F" w:rsidP="00077E1F">
      <w:pPr>
        <w:rPr>
          <w:rFonts w:ascii="Tahoma" w:hAnsi="Tahoma" w:cs="Tahoma"/>
          <w:b/>
          <w:sz w:val="22"/>
          <w:szCs w:val="22"/>
        </w:rPr>
      </w:pPr>
    </w:p>
    <w:p w:rsidR="00077E1F" w:rsidRPr="00E84DC2" w:rsidRDefault="00D733EB" w:rsidP="00077E1F">
      <w:pPr>
        <w:rPr>
          <w:rFonts w:ascii="Tahoma" w:hAnsi="Tahoma" w:cs="Tahoma"/>
          <w:sz w:val="22"/>
          <w:szCs w:val="22"/>
        </w:rPr>
      </w:pPr>
      <w:r w:rsidRPr="00D733EB">
        <w:rPr>
          <w:rFonts w:ascii="Tahoma" w:hAnsi="Tahoma" w:cs="Tahoma"/>
          <w:b/>
          <w:sz w:val="22"/>
          <w:szCs w:val="22"/>
        </w:rPr>
        <w:t>LGA</w:t>
      </w:r>
      <w:r w:rsidRPr="00D733EB">
        <w:rPr>
          <w:rFonts w:ascii="Tahoma" w:hAnsi="Tahoma" w:cs="Tahoma"/>
          <w:sz w:val="22"/>
          <w:szCs w:val="22"/>
        </w:rPr>
        <w:t xml:space="preserve"> – local government areas</w:t>
      </w:r>
    </w:p>
    <w:p w:rsidR="003A76D3" w:rsidRPr="00E84DC2" w:rsidRDefault="003A76D3" w:rsidP="00077E1F">
      <w:pPr>
        <w:rPr>
          <w:rFonts w:ascii="Tahoma" w:hAnsi="Tahoma" w:cs="Tahoma"/>
          <w:sz w:val="22"/>
          <w:szCs w:val="22"/>
        </w:rPr>
      </w:pPr>
    </w:p>
    <w:p w:rsidR="003A76D3" w:rsidRPr="00E84DC2" w:rsidRDefault="00D733EB" w:rsidP="00077E1F">
      <w:pPr>
        <w:rPr>
          <w:rFonts w:ascii="Tahoma" w:eastAsia="Calibri" w:hAnsi="Tahoma" w:cs="Tahoma"/>
          <w:sz w:val="22"/>
          <w:szCs w:val="22"/>
        </w:rPr>
      </w:pPr>
      <w:r w:rsidRPr="00D733EB">
        <w:rPr>
          <w:rFonts w:ascii="Tahoma" w:eastAsia="Calibri" w:hAnsi="Tahoma" w:cs="Tahoma"/>
          <w:b/>
          <w:sz w:val="22"/>
          <w:szCs w:val="22"/>
        </w:rPr>
        <w:t>LGCI</w:t>
      </w:r>
      <w:r w:rsidRPr="00D733EB">
        <w:rPr>
          <w:rFonts w:ascii="Tahoma" w:eastAsia="Calibri" w:hAnsi="Tahoma" w:cs="Tahoma"/>
          <w:sz w:val="22"/>
          <w:szCs w:val="22"/>
        </w:rPr>
        <w:t xml:space="preserve"> – Local Government Cost Index</w:t>
      </w:r>
    </w:p>
    <w:p w:rsidR="00896889" w:rsidRPr="00E84DC2" w:rsidRDefault="00896889" w:rsidP="00077E1F">
      <w:pPr>
        <w:rPr>
          <w:rFonts w:ascii="Tahoma" w:eastAsia="Calibri" w:hAnsi="Tahoma" w:cs="Tahoma"/>
          <w:sz w:val="22"/>
          <w:szCs w:val="22"/>
        </w:rPr>
      </w:pPr>
    </w:p>
    <w:p w:rsidR="00896889" w:rsidRPr="00E84DC2" w:rsidRDefault="00D733EB" w:rsidP="00077E1F">
      <w:pPr>
        <w:rPr>
          <w:rFonts w:ascii="Tahoma" w:hAnsi="Tahoma" w:cs="Tahoma"/>
          <w:b/>
          <w:sz w:val="22"/>
          <w:szCs w:val="22"/>
        </w:rPr>
      </w:pPr>
      <w:r w:rsidRPr="00D733EB">
        <w:rPr>
          <w:rFonts w:ascii="Tahoma" w:eastAsia="Calibri" w:hAnsi="Tahoma" w:cs="Tahoma"/>
          <w:b/>
          <w:sz w:val="22"/>
          <w:szCs w:val="22"/>
          <w:lang w:val="en-AU"/>
        </w:rPr>
        <w:t>LGPRF</w:t>
      </w:r>
      <w:r w:rsidRPr="00D733EB">
        <w:rPr>
          <w:rFonts w:ascii="Tahoma" w:eastAsia="Calibri" w:hAnsi="Tahoma" w:cs="Tahoma"/>
          <w:sz w:val="22"/>
          <w:szCs w:val="22"/>
          <w:lang w:val="en-AU"/>
        </w:rPr>
        <w:t xml:space="preserve"> – Local Government Performance Reporting Framework</w:t>
      </w:r>
    </w:p>
    <w:p w:rsidR="00077E1F" w:rsidRPr="00E84DC2" w:rsidRDefault="00077E1F" w:rsidP="00077E1F">
      <w:pPr>
        <w:rPr>
          <w:rFonts w:ascii="Tahoma" w:hAnsi="Tahoma" w:cs="Tahoma"/>
          <w:b/>
          <w:sz w:val="22"/>
          <w:szCs w:val="22"/>
        </w:rPr>
      </w:pPr>
    </w:p>
    <w:p w:rsidR="00077E1F" w:rsidRPr="00E84DC2" w:rsidRDefault="00D733EB" w:rsidP="00077E1F">
      <w:pPr>
        <w:rPr>
          <w:rFonts w:ascii="Tahoma" w:hAnsi="Tahoma" w:cs="Tahoma"/>
          <w:b/>
          <w:sz w:val="22"/>
          <w:szCs w:val="22"/>
        </w:rPr>
      </w:pPr>
      <w:r w:rsidRPr="00D733EB">
        <w:rPr>
          <w:rFonts w:ascii="Tahoma" w:hAnsi="Tahoma" w:cs="Tahoma"/>
          <w:b/>
          <w:sz w:val="22"/>
          <w:szCs w:val="22"/>
        </w:rPr>
        <w:t xml:space="preserve">LGV </w:t>
      </w:r>
      <w:r w:rsidRPr="00D733EB">
        <w:rPr>
          <w:rFonts w:ascii="Tahoma" w:hAnsi="Tahoma" w:cs="Tahoma"/>
          <w:sz w:val="22"/>
          <w:szCs w:val="22"/>
        </w:rPr>
        <w:t>– Local Government Victoria</w:t>
      </w:r>
    </w:p>
    <w:p w:rsidR="00077E1F" w:rsidRPr="00E84DC2" w:rsidRDefault="00077E1F" w:rsidP="00077E1F">
      <w:pPr>
        <w:rPr>
          <w:rFonts w:ascii="Tahoma" w:hAnsi="Tahoma" w:cs="Tahoma"/>
          <w:b/>
          <w:sz w:val="22"/>
          <w:szCs w:val="22"/>
        </w:rPr>
      </w:pPr>
    </w:p>
    <w:p w:rsidR="00077E1F" w:rsidRPr="00E84DC2" w:rsidRDefault="00D733EB" w:rsidP="00077E1F">
      <w:pPr>
        <w:rPr>
          <w:rFonts w:ascii="Tahoma" w:hAnsi="Tahoma" w:cs="Tahoma"/>
          <w:sz w:val="22"/>
          <w:szCs w:val="22"/>
        </w:rPr>
      </w:pPr>
      <w:r w:rsidRPr="00D733EB">
        <w:rPr>
          <w:rFonts w:ascii="Tahoma" w:hAnsi="Tahoma" w:cs="Tahoma"/>
          <w:b/>
          <w:sz w:val="22"/>
          <w:szCs w:val="22"/>
        </w:rPr>
        <w:t xml:space="preserve">MAV </w:t>
      </w:r>
      <w:r w:rsidRPr="00D733EB">
        <w:rPr>
          <w:rFonts w:ascii="Tahoma" w:hAnsi="Tahoma" w:cs="Tahoma"/>
          <w:sz w:val="22"/>
          <w:szCs w:val="22"/>
        </w:rPr>
        <w:t>– Municipal Association of Victoria</w:t>
      </w:r>
    </w:p>
    <w:p w:rsidR="00077E1F" w:rsidRPr="00E84DC2" w:rsidRDefault="00077E1F" w:rsidP="00077E1F">
      <w:pPr>
        <w:rPr>
          <w:rFonts w:ascii="Tahoma" w:hAnsi="Tahoma" w:cs="Tahoma"/>
          <w:sz w:val="22"/>
          <w:szCs w:val="22"/>
        </w:rPr>
      </w:pPr>
    </w:p>
    <w:p w:rsidR="00077E1F" w:rsidRPr="00E84DC2" w:rsidRDefault="00D733EB" w:rsidP="00077E1F">
      <w:pPr>
        <w:rPr>
          <w:rFonts w:ascii="Tahoma" w:hAnsi="Tahoma" w:cs="Tahoma"/>
          <w:b/>
          <w:sz w:val="22"/>
          <w:szCs w:val="22"/>
        </w:rPr>
      </w:pPr>
      <w:r w:rsidRPr="00D733EB">
        <w:rPr>
          <w:rFonts w:ascii="Tahoma" w:hAnsi="Tahoma" w:cs="Tahoma"/>
          <w:b/>
          <w:sz w:val="22"/>
          <w:szCs w:val="22"/>
        </w:rPr>
        <w:t>MCA</w:t>
      </w:r>
      <w:r w:rsidRPr="00D733EB">
        <w:rPr>
          <w:rFonts w:ascii="Tahoma" w:hAnsi="Tahoma" w:cs="Tahoma"/>
          <w:sz w:val="22"/>
          <w:szCs w:val="22"/>
        </w:rPr>
        <w:t xml:space="preserve"> – Multi-criteria Analysis</w:t>
      </w:r>
    </w:p>
    <w:p w:rsidR="00077E1F" w:rsidRPr="00E84DC2" w:rsidRDefault="00077E1F" w:rsidP="00077E1F">
      <w:pPr>
        <w:rPr>
          <w:rFonts w:ascii="Tahoma" w:hAnsi="Tahoma" w:cs="Tahoma"/>
          <w:b/>
          <w:sz w:val="22"/>
          <w:szCs w:val="22"/>
        </w:rPr>
      </w:pPr>
    </w:p>
    <w:p w:rsidR="00077E1F" w:rsidRPr="00E84DC2" w:rsidRDefault="00D733EB" w:rsidP="00077E1F">
      <w:pPr>
        <w:rPr>
          <w:rFonts w:ascii="Tahoma" w:hAnsi="Tahoma" w:cs="Tahoma"/>
          <w:b/>
          <w:sz w:val="22"/>
          <w:szCs w:val="22"/>
        </w:rPr>
      </w:pPr>
      <w:r w:rsidRPr="00D733EB">
        <w:rPr>
          <w:rFonts w:ascii="Tahoma" w:hAnsi="Tahoma" w:cs="Tahoma"/>
          <w:b/>
          <w:sz w:val="22"/>
          <w:szCs w:val="22"/>
        </w:rPr>
        <w:t>NCC</w:t>
      </w:r>
      <w:r w:rsidRPr="00D733EB">
        <w:rPr>
          <w:rFonts w:ascii="Tahoma" w:hAnsi="Tahoma" w:cs="Tahoma"/>
          <w:sz w:val="22"/>
          <w:szCs w:val="22"/>
        </w:rPr>
        <w:t xml:space="preserve"> – National Competition Council</w:t>
      </w:r>
    </w:p>
    <w:p w:rsidR="00077E1F" w:rsidRPr="00E84DC2" w:rsidRDefault="00077E1F" w:rsidP="00077E1F">
      <w:pPr>
        <w:rPr>
          <w:rFonts w:ascii="Tahoma" w:hAnsi="Tahoma" w:cs="Tahoma"/>
          <w:b/>
          <w:sz w:val="22"/>
          <w:szCs w:val="22"/>
        </w:rPr>
      </w:pPr>
    </w:p>
    <w:p w:rsidR="00077E1F" w:rsidRPr="00E84DC2" w:rsidRDefault="00D733EB" w:rsidP="00077E1F">
      <w:pPr>
        <w:rPr>
          <w:rFonts w:ascii="Tahoma" w:hAnsi="Tahoma" w:cs="Tahoma"/>
          <w:sz w:val="22"/>
          <w:szCs w:val="22"/>
        </w:rPr>
      </w:pPr>
      <w:r w:rsidRPr="00D733EB">
        <w:rPr>
          <w:rFonts w:ascii="Tahoma" w:hAnsi="Tahoma" w:cs="Tahoma"/>
          <w:b/>
          <w:sz w:val="22"/>
          <w:szCs w:val="22"/>
        </w:rPr>
        <w:t>PV</w:t>
      </w:r>
      <w:r w:rsidRPr="00D733EB">
        <w:rPr>
          <w:rFonts w:ascii="Tahoma" w:hAnsi="Tahoma" w:cs="Tahoma"/>
          <w:sz w:val="22"/>
          <w:szCs w:val="22"/>
        </w:rPr>
        <w:t xml:space="preserve"> – Present Value</w:t>
      </w:r>
    </w:p>
    <w:p w:rsidR="00077E1F" w:rsidRPr="00E84DC2" w:rsidRDefault="00077E1F" w:rsidP="00077E1F">
      <w:pPr>
        <w:rPr>
          <w:rFonts w:ascii="Tahoma" w:hAnsi="Tahoma" w:cs="Tahoma"/>
          <w:sz w:val="22"/>
          <w:szCs w:val="22"/>
        </w:rPr>
      </w:pPr>
    </w:p>
    <w:p w:rsidR="00077E1F" w:rsidRPr="00E84DC2" w:rsidRDefault="00D733EB" w:rsidP="00077E1F">
      <w:pPr>
        <w:rPr>
          <w:rFonts w:ascii="Tahoma" w:hAnsi="Tahoma" w:cs="Tahoma"/>
          <w:sz w:val="22"/>
          <w:szCs w:val="22"/>
        </w:rPr>
      </w:pPr>
      <w:r w:rsidRPr="00D733EB">
        <w:rPr>
          <w:rFonts w:ascii="Tahoma" w:hAnsi="Tahoma" w:cs="Tahoma"/>
          <w:b/>
          <w:sz w:val="22"/>
          <w:szCs w:val="22"/>
        </w:rPr>
        <w:t>Premier’s Guidelines</w:t>
      </w:r>
      <w:r w:rsidRPr="00D733EB">
        <w:rPr>
          <w:rFonts w:ascii="Tahoma" w:hAnsi="Tahoma" w:cs="Tahoma"/>
          <w:sz w:val="22"/>
          <w:szCs w:val="22"/>
        </w:rPr>
        <w:t xml:space="preserve"> – Subordinate Legislation Act 1994 Guidelines</w:t>
      </w:r>
    </w:p>
    <w:p w:rsidR="00077E1F" w:rsidRPr="00E84DC2" w:rsidRDefault="00077E1F" w:rsidP="00077E1F">
      <w:pPr>
        <w:rPr>
          <w:rFonts w:ascii="Tahoma" w:hAnsi="Tahoma" w:cs="Tahoma"/>
          <w:sz w:val="22"/>
          <w:szCs w:val="22"/>
        </w:rPr>
      </w:pPr>
    </w:p>
    <w:p w:rsidR="00077E1F" w:rsidRPr="00E84DC2" w:rsidRDefault="00D733EB" w:rsidP="00077E1F">
      <w:pPr>
        <w:rPr>
          <w:rFonts w:ascii="Tahoma" w:hAnsi="Tahoma" w:cs="Tahoma"/>
          <w:sz w:val="22"/>
          <w:szCs w:val="22"/>
        </w:rPr>
      </w:pPr>
      <w:r w:rsidRPr="00D733EB">
        <w:rPr>
          <w:rFonts w:ascii="Tahoma" w:hAnsi="Tahoma" w:cs="Tahoma"/>
          <w:b/>
          <w:sz w:val="22"/>
          <w:szCs w:val="22"/>
        </w:rPr>
        <w:t>RIS</w:t>
      </w:r>
      <w:r w:rsidRPr="00D733EB">
        <w:rPr>
          <w:rFonts w:ascii="Tahoma" w:hAnsi="Tahoma" w:cs="Tahoma"/>
          <w:sz w:val="22"/>
          <w:szCs w:val="22"/>
        </w:rPr>
        <w:t xml:space="preserve"> – Regulatory Impact Statement</w:t>
      </w:r>
    </w:p>
    <w:p w:rsidR="00077E1F" w:rsidRPr="00E84DC2" w:rsidRDefault="00077E1F" w:rsidP="00077E1F">
      <w:pPr>
        <w:rPr>
          <w:rFonts w:ascii="Tahoma" w:hAnsi="Tahoma" w:cs="Tahoma"/>
          <w:sz w:val="22"/>
          <w:szCs w:val="22"/>
        </w:rPr>
      </w:pPr>
    </w:p>
    <w:p w:rsidR="00077E1F" w:rsidRPr="00E84DC2" w:rsidRDefault="00D733EB" w:rsidP="00077E1F">
      <w:pPr>
        <w:rPr>
          <w:rFonts w:ascii="Tahoma" w:hAnsi="Tahoma" w:cs="Tahoma"/>
          <w:sz w:val="22"/>
          <w:szCs w:val="22"/>
        </w:rPr>
      </w:pPr>
      <w:r w:rsidRPr="00D733EB">
        <w:rPr>
          <w:rFonts w:ascii="Tahoma" w:hAnsi="Tahoma" w:cs="Tahoma"/>
          <w:b/>
          <w:sz w:val="22"/>
          <w:szCs w:val="22"/>
        </w:rPr>
        <w:t>VAGO</w:t>
      </w:r>
      <w:r w:rsidRPr="00D733EB">
        <w:rPr>
          <w:rFonts w:ascii="Tahoma" w:hAnsi="Tahoma" w:cs="Tahoma"/>
          <w:sz w:val="22"/>
          <w:szCs w:val="22"/>
        </w:rPr>
        <w:t xml:space="preserve"> – Victorian Auditor-General’s Office</w:t>
      </w:r>
    </w:p>
    <w:p w:rsidR="00077E1F" w:rsidRPr="00E84DC2" w:rsidRDefault="00077E1F" w:rsidP="00077E1F">
      <w:pPr>
        <w:rPr>
          <w:rFonts w:ascii="Tahoma" w:hAnsi="Tahoma" w:cs="Tahoma"/>
          <w:sz w:val="22"/>
          <w:szCs w:val="22"/>
        </w:rPr>
      </w:pPr>
    </w:p>
    <w:p w:rsidR="00077E1F" w:rsidRPr="00E84DC2" w:rsidRDefault="00D733EB" w:rsidP="00077E1F">
      <w:pPr>
        <w:rPr>
          <w:rFonts w:ascii="Tahoma" w:hAnsi="Tahoma" w:cs="Tahoma"/>
          <w:sz w:val="22"/>
          <w:szCs w:val="22"/>
        </w:rPr>
      </w:pPr>
      <w:r w:rsidRPr="00D733EB">
        <w:rPr>
          <w:rFonts w:ascii="Tahoma" w:hAnsi="Tahoma" w:cs="Tahoma"/>
          <w:b/>
          <w:sz w:val="22"/>
          <w:szCs w:val="22"/>
        </w:rPr>
        <w:t>VCEC</w:t>
      </w:r>
      <w:r w:rsidRPr="00D733EB">
        <w:rPr>
          <w:rFonts w:ascii="Tahoma" w:hAnsi="Tahoma" w:cs="Tahoma"/>
          <w:sz w:val="22"/>
          <w:szCs w:val="22"/>
        </w:rPr>
        <w:t xml:space="preserve"> – Victorian Competition and Efficiency Commission</w:t>
      </w:r>
    </w:p>
    <w:p w:rsidR="00904EFB" w:rsidRPr="00E84DC2" w:rsidRDefault="00904EFB" w:rsidP="00077E1F">
      <w:pPr>
        <w:rPr>
          <w:rFonts w:ascii="Tahoma" w:hAnsi="Tahoma" w:cs="Tahoma"/>
          <w:sz w:val="22"/>
          <w:szCs w:val="22"/>
        </w:rPr>
      </w:pPr>
    </w:p>
    <w:p w:rsidR="00904EFB" w:rsidRPr="00E84DC2" w:rsidRDefault="00D733EB" w:rsidP="00077E1F">
      <w:pPr>
        <w:rPr>
          <w:rFonts w:ascii="Tahoma" w:hAnsi="Tahoma" w:cs="Tahoma"/>
          <w:sz w:val="22"/>
          <w:szCs w:val="22"/>
        </w:rPr>
      </w:pPr>
      <w:r w:rsidRPr="00D733EB">
        <w:rPr>
          <w:rFonts w:ascii="Tahoma" w:hAnsi="Tahoma" w:cs="Tahoma"/>
          <w:b/>
          <w:sz w:val="22"/>
          <w:szCs w:val="22"/>
        </w:rPr>
        <w:t>VLGI</w:t>
      </w:r>
      <w:r w:rsidRPr="00D733EB">
        <w:rPr>
          <w:rFonts w:ascii="Tahoma" w:hAnsi="Tahoma" w:cs="Tahoma"/>
          <w:sz w:val="22"/>
          <w:szCs w:val="22"/>
        </w:rPr>
        <w:t xml:space="preserve"> – Victorian Local Government Indicators</w:t>
      </w:r>
    </w:p>
    <w:p w:rsidR="00904EFB" w:rsidRPr="00E84DC2" w:rsidRDefault="00904EFB" w:rsidP="00077E1F">
      <w:pPr>
        <w:rPr>
          <w:rFonts w:ascii="Tahoma" w:hAnsi="Tahoma" w:cs="Tahoma"/>
          <w:sz w:val="22"/>
          <w:szCs w:val="22"/>
        </w:rPr>
      </w:pPr>
    </w:p>
    <w:p w:rsidR="00904EFB" w:rsidRPr="00E84DC2" w:rsidRDefault="00D733EB" w:rsidP="00077E1F">
      <w:pPr>
        <w:rPr>
          <w:rFonts w:ascii="Tahoma" w:hAnsi="Tahoma" w:cs="Tahoma"/>
          <w:sz w:val="22"/>
          <w:szCs w:val="22"/>
        </w:rPr>
      </w:pPr>
      <w:r w:rsidRPr="00D733EB">
        <w:rPr>
          <w:rFonts w:ascii="Tahoma" w:hAnsi="Tahoma" w:cs="Tahoma"/>
          <w:b/>
          <w:sz w:val="22"/>
          <w:szCs w:val="22"/>
        </w:rPr>
        <w:t>VGC</w:t>
      </w:r>
      <w:r w:rsidRPr="00D733EB">
        <w:rPr>
          <w:rFonts w:ascii="Tahoma" w:hAnsi="Tahoma" w:cs="Tahoma"/>
          <w:sz w:val="22"/>
          <w:szCs w:val="22"/>
        </w:rPr>
        <w:t xml:space="preserve"> – Victorian Grants Commission</w:t>
      </w:r>
    </w:p>
    <w:p w:rsidR="00904EFB" w:rsidRPr="00E84DC2" w:rsidRDefault="00904EFB" w:rsidP="00077E1F">
      <w:pPr>
        <w:rPr>
          <w:rFonts w:ascii="Tahoma" w:hAnsi="Tahoma" w:cs="Tahoma"/>
        </w:rPr>
      </w:pPr>
    </w:p>
    <w:p w:rsidR="00E72123" w:rsidRPr="00E84DC2" w:rsidRDefault="00E72123" w:rsidP="006D34FE">
      <w:pPr>
        <w:rPr>
          <w:rFonts w:ascii="Tahoma" w:eastAsia="Times New Roman" w:hAnsi="Tahoma" w:cs="Tahoma"/>
          <w:b/>
          <w:sz w:val="22"/>
          <w:szCs w:val="22"/>
          <w:lang w:val="en-AU"/>
        </w:rPr>
      </w:pPr>
    </w:p>
    <w:p w:rsidR="00001CA3" w:rsidRPr="00E84DC2" w:rsidRDefault="00001CA3" w:rsidP="00001CA3">
      <w:pPr>
        <w:rPr>
          <w:rFonts w:ascii="Tahoma" w:eastAsia="Times New Roman" w:hAnsi="Tahoma" w:cs="Tahoma"/>
          <w:sz w:val="22"/>
          <w:szCs w:val="22"/>
          <w:lang w:val="en-AU"/>
        </w:rPr>
      </w:pPr>
    </w:p>
    <w:p w:rsidR="00493F12" w:rsidRPr="00E84DC2" w:rsidRDefault="00493F12" w:rsidP="00001CA3">
      <w:pPr>
        <w:rPr>
          <w:rFonts w:ascii="Tahoma" w:eastAsia="Times New Roman" w:hAnsi="Tahoma" w:cs="Tahoma"/>
          <w:sz w:val="22"/>
          <w:szCs w:val="22"/>
          <w:lang w:val="en-AU"/>
        </w:rPr>
      </w:pPr>
    </w:p>
    <w:p w:rsidR="00E55F26" w:rsidRPr="00E84DC2" w:rsidRDefault="00D733EB">
      <w:pPr>
        <w:rPr>
          <w:rFonts w:ascii="Tahoma" w:eastAsia="Times New Roman" w:hAnsi="Tahoma" w:cs="Tahoma"/>
          <w:sz w:val="22"/>
          <w:szCs w:val="22"/>
          <w:lang w:val="en-AU"/>
        </w:rPr>
      </w:pPr>
      <w:r w:rsidRPr="00D733EB">
        <w:rPr>
          <w:rFonts w:ascii="Tahoma" w:eastAsia="Times New Roman" w:hAnsi="Tahoma" w:cs="Tahoma"/>
          <w:sz w:val="22"/>
          <w:szCs w:val="22"/>
          <w:lang w:val="en-AU"/>
        </w:rPr>
        <w:br w:type="page"/>
      </w:r>
    </w:p>
    <w:p w:rsidR="00001CA3" w:rsidRPr="00E84DC2" w:rsidRDefault="00001CA3" w:rsidP="00001CA3">
      <w:pPr>
        <w:keepNext/>
        <w:spacing w:before="240" w:after="60" w:line="276" w:lineRule="auto"/>
        <w:rPr>
          <w:rFonts w:ascii="Tahoma" w:eastAsia="Times New Roman" w:hAnsi="Tahoma" w:cs="Tahoma"/>
          <w:b/>
          <w:sz w:val="22"/>
          <w:szCs w:val="22"/>
          <w:lang w:val="en-AU"/>
        </w:rPr>
        <w:sectPr w:rsidR="00001CA3" w:rsidRPr="00E84DC2" w:rsidSect="00BB4E63">
          <w:pgSz w:w="11900" w:h="16840"/>
          <w:pgMar w:top="1440" w:right="1800" w:bottom="1440" w:left="1800" w:header="708" w:footer="708" w:gutter="0"/>
          <w:cols w:space="708"/>
          <w:titlePg/>
          <w:docGrid w:linePitch="360"/>
        </w:sectPr>
      </w:pPr>
    </w:p>
    <w:p w:rsidR="00A06B52" w:rsidRDefault="00D733EB">
      <w:pPr>
        <w:pStyle w:val="Heading1"/>
        <w:numPr>
          <w:ilvl w:val="0"/>
          <w:numId w:val="0"/>
        </w:numPr>
        <w:ind w:left="432" w:hanging="432"/>
      </w:pPr>
      <w:bookmarkStart w:id="1" w:name="_Toc379878647"/>
      <w:r w:rsidRPr="00D733EB">
        <w:lastRenderedPageBreak/>
        <w:t>EXECUTIVE SUMMARY</w:t>
      </w:r>
      <w:bookmarkEnd w:id="1"/>
    </w:p>
    <w:p w:rsidR="00F72D7A" w:rsidRPr="00E84DC2" w:rsidRDefault="00F72D7A" w:rsidP="00F72D7A">
      <w:pPr>
        <w:rPr>
          <w:rFonts w:ascii="Tahoma" w:eastAsia="Times New Roman" w:hAnsi="Tahoma" w:cs="Tahoma"/>
          <w:sz w:val="22"/>
          <w:szCs w:val="22"/>
          <w:lang w:val="en-AU"/>
        </w:rPr>
      </w:pPr>
    </w:p>
    <w:p w:rsidR="002E181A" w:rsidRPr="00E84DC2" w:rsidRDefault="00D733EB" w:rsidP="0027558B">
      <w:pPr>
        <w:rPr>
          <w:rFonts w:ascii="Tahoma" w:eastAsia="Times New Roman" w:hAnsi="Tahoma" w:cs="Tahoma"/>
          <w:sz w:val="22"/>
          <w:szCs w:val="22"/>
          <w:lang w:val="en-AU"/>
        </w:rPr>
      </w:pPr>
      <w:r w:rsidRPr="00D733EB">
        <w:rPr>
          <w:rFonts w:ascii="Tahoma" w:eastAsia="Times New Roman" w:hAnsi="Tahoma" w:cs="Tahoma"/>
          <w:sz w:val="22"/>
          <w:szCs w:val="22"/>
          <w:lang w:val="en-AU"/>
        </w:rPr>
        <w:t>The Local Government (Finance and Reporting) Regulations 2004 will cease to have effect in April 2014. New Regulations are proposed to be made.</w:t>
      </w:r>
    </w:p>
    <w:p w:rsidR="00320A9B" w:rsidRPr="00E84DC2" w:rsidRDefault="00320A9B" w:rsidP="0027558B">
      <w:pPr>
        <w:rPr>
          <w:rFonts w:ascii="Tahoma" w:eastAsia="Times New Roman" w:hAnsi="Tahoma" w:cs="Tahoma"/>
          <w:sz w:val="22"/>
          <w:szCs w:val="22"/>
          <w:lang w:val="en-AU"/>
        </w:rPr>
      </w:pPr>
    </w:p>
    <w:p w:rsidR="0027558B" w:rsidRPr="00E84DC2" w:rsidRDefault="00D733EB" w:rsidP="0027558B">
      <w:pPr>
        <w:rPr>
          <w:rFonts w:ascii="Tahoma" w:eastAsia="Times New Roman" w:hAnsi="Tahoma" w:cs="Tahoma"/>
          <w:sz w:val="22"/>
          <w:szCs w:val="22"/>
          <w:lang w:val="en-AU"/>
        </w:rPr>
      </w:pPr>
      <w:r w:rsidRPr="00D733EB">
        <w:rPr>
          <w:rFonts w:ascii="Tahoma" w:eastAsia="Times New Roman" w:hAnsi="Tahoma" w:cs="Tahoma"/>
          <w:sz w:val="22"/>
          <w:szCs w:val="22"/>
          <w:lang w:val="en-AU"/>
        </w:rPr>
        <w:t xml:space="preserve">In Victoria the </w:t>
      </w:r>
      <w:r w:rsidRPr="00D733EB">
        <w:rPr>
          <w:rFonts w:ascii="Tahoma" w:eastAsia="Times New Roman" w:hAnsi="Tahoma" w:cs="Tahoma"/>
          <w:i/>
          <w:sz w:val="22"/>
          <w:szCs w:val="22"/>
          <w:lang w:val="en-AU"/>
        </w:rPr>
        <w:t>Subordinate Legislation Act 1994</w:t>
      </w:r>
      <w:r w:rsidRPr="00D733EB">
        <w:rPr>
          <w:rFonts w:ascii="Tahoma" w:eastAsia="Times New Roman" w:hAnsi="Tahoma" w:cs="Tahoma"/>
          <w:sz w:val="22"/>
          <w:szCs w:val="22"/>
          <w:lang w:val="en-AU"/>
        </w:rPr>
        <w:t xml:space="preserve"> requires that new or remade regulatory proposals that impose a ‘significant economic or social burden on a sector of the public’ be formally assessed in a RIS to ensure that the costs of the regulatory proposal are outweighed by the benefits, and that the proposal is superior to alternative approaches.  It has been assessed that the proposed Regulations requires assessment in a RIS.</w:t>
      </w:r>
    </w:p>
    <w:p w:rsidR="0027558B" w:rsidRPr="00E84DC2" w:rsidRDefault="0027558B" w:rsidP="0027558B">
      <w:pPr>
        <w:rPr>
          <w:rFonts w:ascii="Tahoma" w:eastAsia="Times New Roman" w:hAnsi="Tahoma" w:cs="Tahoma"/>
          <w:sz w:val="22"/>
          <w:szCs w:val="22"/>
          <w:lang w:val="en-AU"/>
        </w:rPr>
      </w:pPr>
    </w:p>
    <w:p w:rsidR="0027558B" w:rsidRPr="00E84DC2" w:rsidRDefault="00D733EB" w:rsidP="0027558B">
      <w:pPr>
        <w:rPr>
          <w:rFonts w:ascii="Tahoma" w:eastAsia="Times New Roman" w:hAnsi="Tahoma" w:cs="Tahoma"/>
          <w:sz w:val="22"/>
          <w:szCs w:val="22"/>
          <w:lang w:val="en-AU"/>
        </w:rPr>
      </w:pPr>
      <w:r w:rsidRPr="00D733EB">
        <w:rPr>
          <w:rFonts w:ascii="Tahoma" w:eastAsia="Times New Roman" w:hAnsi="Tahoma" w:cs="Tahoma"/>
          <w:sz w:val="22"/>
          <w:szCs w:val="22"/>
          <w:lang w:val="en-AU"/>
        </w:rPr>
        <w:t xml:space="preserve">A RIS formally assesses regulatory proposals against the requirements in the </w:t>
      </w:r>
      <w:r w:rsidRPr="00D733EB">
        <w:rPr>
          <w:rFonts w:ascii="Tahoma" w:eastAsia="Times New Roman" w:hAnsi="Tahoma" w:cs="Tahoma"/>
          <w:i/>
          <w:sz w:val="22"/>
          <w:szCs w:val="22"/>
          <w:lang w:val="en-AU"/>
        </w:rPr>
        <w:t>Subordinate Legislation Act 1994</w:t>
      </w:r>
      <w:r w:rsidRPr="00D733EB">
        <w:rPr>
          <w:rFonts w:ascii="Tahoma" w:eastAsia="Times New Roman" w:hAnsi="Tahoma" w:cs="Tahoma"/>
          <w:sz w:val="22"/>
          <w:szCs w:val="22"/>
          <w:lang w:val="en-AU"/>
        </w:rPr>
        <w:t xml:space="preserve"> and the </w:t>
      </w:r>
      <w:r w:rsidRPr="00D733EB">
        <w:rPr>
          <w:rFonts w:ascii="Tahoma" w:eastAsia="Times New Roman" w:hAnsi="Tahoma" w:cs="Tahoma"/>
          <w:i/>
          <w:sz w:val="22"/>
          <w:szCs w:val="22"/>
          <w:lang w:val="en-AU"/>
        </w:rPr>
        <w:t>Victorian Guide to Regulation</w:t>
      </w:r>
      <w:r w:rsidRPr="00D733EB">
        <w:rPr>
          <w:rFonts w:ascii="Tahoma" w:eastAsia="Times New Roman" w:hAnsi="Tahoma" w:cs="Tahoma"/>
          <w:sz w:val="22"/>
          <w:szCs w:val="22"/>
          <w:lang w:val="en-AU"/>
        </w:rPr>
        <w:t>.</w:t>
      </w:r>
      <w:r w:rsidRPr="00D733EB">
        <w:rPr>
          <w:rFonts w:ascii="Tahoma" w:eastAsia="Times New Roman" w:hAnsi="Tahoma" w:cs="Tahoma"/>
          <w:sz w:val="22"/>
          <w:szCs w:val="22"/>
          <w:vertAlign w:val="superscript"/>
          <w:lang w:val="en-AU"/>
        </w:rPr>
        <w:footnoteReference w:id="2"/>
      </w:r>
      <w:r w:rsidRPr="00D733EB">
        <w:rPr>
          <w:rFonts w:ascii="Tahoma" w:eastAsia="Times New Roman" w:hAnsi="Tahoma" w:cs="Tahoma"/>
          <w:sz w:val="22"/>
          <w:szCs w:val="22"/>
          <w:lang w:val="en-AU"/>
        </w:rPr>
        <w:t xml:space="preserve"> The assessment framework of this RIS examines the problem to be addressed, specifies the desired objectives, identifies viable options that will achieve the objectives, and assesses the costs and benefits of the options, as well as identifying the preferred option and describing its effect. The RIS also undertakes a competition assessment.  Finally, it considers implementation and enforcement issues and documents the consultation undertaken.</w:t>
      </w:r>
    </w:p>
    <w:p w:rsidR="0027558B" w:rsidRPr="00E84DC2" w:rsidRDefault="0027558B" w:rsidP="0027558B">
      <w:pPr>
        <w:rPr>
          <w:rFonts w:ascii="Tahoma" w:eastAsia="Times New Roman" w:hAnsi="Tahoma" w:cs="Tahoma"/>
          <w:sz w:val="22"/>
          <w:szCs w:val="22"/>
          <w:lang w:val="en-AU"/>
        </w:rPr>
      </w:pPr>
    </w:p>
    <w:p w:rsidR="00E72123" w:rsidRPr="00E84DC2" w:rsidRDefault="00D733EB" w:rsidP="00E72123">
      <w:pPr>
        <w:rPr>
          <w:rFonts w:ascii="Tahoma" w:eastAsia="Times New Roman" w:hAnsi="Tahoma" w:cs="Tahoma"/>
          <w:b/>
          <w:sz w:val="28"/>
          <w:szCs w:val="28"/>
          <w:lang w:val="en-AU"/>
        </w:rPr>
      </w:pPr>
      <w:r w:rsidRPr="00D733EB">
        <w:rPr>
          <w:rFonts w:ascii="Tahoma" w:eastAsia="Times New Roman" w:hAnsi="Tahoma" w:cs="Tahoma"/>
          <w:b/>
          <w:sz w:val="28"/>
          <w:szCs w:val="28"/>
          <w:lang w:val="en-AU"/>
        </w:rPr>
        <w:t>Objectives</w:t>
      </w:r>
    </w:p>
    <w:p w:rsidR="00EC38AE" w:rsidRPr="00E84DC2" w:rsidRDefault="00EC38AE" w:rsidP="00EC38AE">
      <w:pPr>
        <w:rPr>
          <w:rFonts w:ascii="Tahoma" w:eastAsia="Times New Roman" w:hAnsi="Tahoma" w:cs="Tahoma"/>
          <w:sz w:val="22"/>
          <w:szCs w:val="22"/>
          <w:lang w:val="en-AU"/>
        </w:rPr>
      </w:pPr>
    </w:p>
    <w:p w:rsidR="00EC38AE" w:rsidRPr="00E84DC2" w:rsidRDefault="00D733EB" w:rsidP="00EC38AE">
      <w:pPr>
        <w:rPr>
          <w:rFonts w:ascii="Tahoma" w:eastAsia="Times New Roman" w:hAnsi="Tahoma" w:cs="Tahoma"/>
          <w:sz w:val="22"/>
          <w:szCs w:val="22"/>
          <w:lang w:val="en-AU"/>
        </w:rPr>
      </w:pPr>
      <w:r w:rsidRPr="00D733EB">
        <w:rPr>
          <w:rFonts w:ascii="Tahoma" w:eastAsia="Times New Roman" w:hAnsi="Tahoma" w:cs="Tahoma"/>
          <w:sz w:val="22"/>
          <w:szCs w:val="22"/>
          <w:lang w:val="en-AU"/>
        </w:rPr>
        <w:t xml:space="preserve">The Preamble in the </w:t>
      </w:r>
      <w:r w:rsidRPr="00D733EB">
        <w:rPr>
          <w:rFonts w:ascii="Tahoma" w:eastAsia="Times New Roman" w:hAnsi="Tahoma" w:cs="Tahoma"/>
          <w:i/>
          <w:sz w:val="22"/>
          <w:szCs w:val="22"/>
          <w:lang w:val="en-AU"/>
        </w:rPr>
        <w:t>Local Government Act</w:t>
      </w:r>
      <w:r w:rsidRPr="00D733EB">
        <w:rPr>
          <w:rFonts w:ascii="Tahoma" w:eastAsia="Times New Roman" w:hAnsi="Tahoma" w:cs="Tahoma"/>
          <w:sz w:val="22"/>
          <w:szCs w:val="22"/>
          <w:lang w:val="en-AU"/>
        </w:rPr>
        <w:t xml:space="preserve"> (the Act) states that:</w:t>
      </w:r>
    </w:p>
    <w:p w:rsidR="00EC38AE" w:rsidRPr="00E84DC2" w:rsidRDefault="00EC38AE" w:rsidP="00EC38AE">
      <w:pPr>
        <w:ind w:left="284" w:right="362"/>
        <w:rPr>
          <w:rFonts w:ascii="Tahoma" w:eastAsia="Calibri" w:hAnsi="Tahoma" w:cs="Tahoma"/>
          <w:sz w:val="20"/>
          <w:szCs w:val="20"/>
          <w:lang w:val="en-AU"/>
        </w:rPr>
      </w:pPr>
    </w:p>
    <w:p w:rsidR="00EC38AE" w:rsidRPr="00E84DC2" w:rsidRDefault="00D733EB" w:rsidP="00EC38AE">
      <w:pPr>
        <w:ind w:left="284" w:right="362"/>
        <w:rPr>
          <w:rFonts w:ascii="Tahoma" w:eastAsia="Times New Roman" w:hAnsi="Tahoma" w:cs="Tahoma"/>
          <w:sz w:val="22"/>
          <w:szCs w:val="22"/>
          <w:lang w:val="en-AU"/>
        </w:rPr>
      </w:pPr>
      <w:r w:rsidRPr="00D733EB">
        <w:rPr>
          <w:rFonts w:ascii="Tahoma" w:eastAsia="Calibri" w:hAnsi="Tahoma" w:cs="Tahoma"/>
          <w:sz w:val="20"/>
          <w:szCs w:val="20"/>
          <w:lang w:val="en-AU"/>
        </w:rPr>
        <w:t>It is essential that there is a legislative framework that provides for councils to be accountable to their local communities in the performance of functions and the exercise of powers and the use of resources.</w:t>
      </w:r>
    </w:p>
    <w:p w:rsidR="00EC38AE" w:rsidRPr="00E84DC2" w:rsidRDefault="00EC38AE" w:rsidP="00EC38AE">
      <w:pPr>
        <w:rPr>
          <w:rFonts w:ascii="Tahoma" w:eastAsia="Times New Roman" w:hAnsi="Tahoma" w:cs="Tahoma"/>
          <w:sz w:val="22"/>
          <w:szCs w:val="22"/>
          <w:lang w:val="en-AU"/>
        </w:rPr>
      </w:pPr>
    </w:p>
    <w:p w:rsidR="00EC38AE" w:rsidRPr="00E84DC2" w:rsidRDefault="00D733EB" w:rsidP="00EC38AE">
      <w:pPr>
        <w:rPr>
          <w:rFonts w:ascii="Tahoma" w:eastAsia="Times New Roman" w:hAnsi="Tahoma" w:cs="Tahoma"/>
          <w:sz w:val="22"/>
          <w:szCs w:val="22"/>
          <w:lang w:val="en-AU"/>
        </w:rPr>
      </w:pPr>
      <w:r w:rsidRPr="00D733EB">
        <w:rPr>
          <w:rFonts w:ascii="Tahoma" w:eastAsia="Times New Roman" w:hAnsi="Tahoma" w:cs="Tahoma"/>
          <w:sz w:val="22"/>
          <w:szCs w:val="22"/>
          <w:lang w:val="en-AU"/>
        </w:rPr>
        <w:t>The Local Government Amendment (Performance Reporting and Accountability) Act was given Royal Assent on 11 February 2014 and sets out the new financial planning and reporting framework for local government, commencing in the 2014-15 financial year. The proposed Regulations will give effect to the framework established through amendments to the Act, which will come into operation on 18 April 2014.</w:t>
      </w:r>
    </w:p>
    <w:p w:rsidR="0038625C" w:rsidRPr="00E84DC2" w:rsidRDefault="0038625C" w:rsidP="00EC38AE">
      <w:pPr>
        <w:rPr>
          <w:rFonts w:ascii="Tahoma" w:eastAsia="Times New Roman" w:hAnsi="Tahoma" w:cs="Tahoma"/>
          <w:sz w:val="22"/>
          <w:szCs w:val="22"/>
          <w:lang w:val="en-AU"/>
        </w:rPr>
      </w:pPr>
    </w:p>
    <w:p w:rsidR="00EC38AE" w:rsidRPr="00E84DC2" w:rsidRDefault="00D733EB" w:rsidP="00EC38AE">
      <w:pPr>
        <w:rPr>
          <w:rFonts w:ascii="Tahoma" w:eastAsia="Times New Roman" w:hAnsi="Tahoma" w:cs="Tahoma"/>
          <w:sz w:val="22"/>
          <w:szCs w:val="22"/>
          <w:lang w:val="en-AU"/>
        </w:rPr>
      </w:pPr>
      <w:r w:rsidRPr="00D733EB">
        <w:rPr>
          <w:rFonts w:ascii="Tahoma" w:eastAsia="Times New Roman" w:hAnsi="Tahoma" w:cs="Tahoma"/>
          <w:sz w:val="22"/>
          <w:szCs w:val="22"/>
          <w:lang w:val="en-AU"/>
        </w:rPr>
        <w:t>The objectives of the proposed Regulations are therefore to:</w:t>
      </w:r>
    </w:p>
    <w:p w:rsidR="00370858" w:rsidRPr="00E84DC2" w:rsidRDefault="00D733EB">
      <w:pPr>
        <w:pStyle w:val="ListParagraph"/>
        <w:rPr>
          <w:rFonts w:ascii="Tahoma" w:hAnsi="Tahoma" w:cs="Tahoma"/>
          <w:lang w:val="en-AU"/>
        </w:rPr>
      </w:pPr>
      <w:r w:rsidRPr="00D733EB">
        <w:rPr>
          <w:rFonts w:ascii="Tahoma" w:hAnsi="Tahoma" w:cs="Tahoma"/>
        </w:rPr>
        <w:t>enhance</w:t>
      </w:r>
      <w:r w:rsidRPr="00D733EB">
        <w:rPr>
          <w:rFonts w:ascii="Tahoma" w:hAnsi="Tahoma" w:cs="Tahoma"/>
          <w:lang w:val="en-AU"/>
        </w:rPr>
        <w:t xml:space="preserve"> transparency and accountability through the reporting on councils’ performance; </w:t>
      </w:r>
    </w:p>
    <w:p w:rsidR="00370858" w:rsidRPr="00E84DC2" w:rsidRDefault="00D733EB">
      <w:pPr>
        <w:pStyle w:val="ListParagraph"/>
        <w:rPr>
          <w:rFonts w:ascii="Tahoma" w:hAnsi="Tahoma" w:cs="Tahoma"/>
          <w:lang w:val="en-AU"/>
        </w:rPr>
      </w:pPr>
      <w:r w:rsidRPr="00D733EB">
        <w:rPr>
          <w:rFonts w:ascii="Tahoma" w:hAnsi="Tahoma" w:cs="Tahoma"/>
          <w:lang w:val="en-AU"/>
        </w:rPr>
        <w:t>facilitate improvements in service delivery through improving access to robust and consistent data to better scrutinise and compare councils’ performance; and</w:t>
      </w:r>
    </w:p>
    <w:p w:rsidR="00370858" w:rsidRPr="00E84DC2" w:rsidRDefault="00D733EB">
      <w:pPr>
        <w:pStyle w:val="ListParagraph"/>
        <w:rPr>
          <w:rFonts w:ascii="Tahoma" w:hAnsi="Tahoma" w:cs="Tahoma"/>
          <w:lang w:val="en-AU"/>
        </w:rPr>
      </w:pPr>
      <w:r w:rsidRPr="00D733EB">
        <w:rPr>
          <w:rFonts w:ascii="Tahoma" w:hAnsi="Tahoma" w:cs="Tahoma"/>
          <w:lang w:val="en-AU"/>
        </w:rPr>
        <w:t>minimise the burden on local councils and other costs.</w:t>
      </w:r>
    </w:p>
    <w:p w:rsidR="00E72123" w:rsidRPr="00E84DC2" w:rsidRDefault="00E72123" w:rsidP="00E72123">
      <w:pPr>
        <w:rPr>
          <w:rFonts w:ascii="Tahoma" w:eastAsia="Times New Roman" w:hAnsi="Tahoma" w:cs="Tahoma"/>
          <w:sz w:val="22"/>
          <w:szCs w:val="22"/>
          <w:lang w:val="en-AU"/>
        </w:rPr>
      </w:pPr>
    </w:p>
    <w:p w:rsidR="001F434F" w:rsidRPr="00E84DC2" w:rsidRDefault="001F434F" w:rsidP="00E72123">
      <w:pPr>
        <w:rPr>
          <w:rFonts w:ascii="Tahoma" w:eastAsia="Times New Roman" w:hAnsi="Tahoma" w:cs="Tahoma"/>
          <w:sz w:val="22"/>
          <w:szCs w:val="22"/>
          <w:lang w:val="en-AU"/>
        </w:rPr>
      </w:pPr>
    </w:p>
    <w:p w:rsidR="00E72123" w:rsidRPr="00E84DC2" w:rsidRDefault="00D733EB" w:rsidP="00E72123">
      <w:pPr>
        <w:rPr>
          <w:rFonts w:ascii="Tahoma" w:eastAsia="Times New Roman" w:hAnsi="Tahoma" w:cs="Tahoma"/>
          <w:b/>
          <w:sz w:val="28"/>
          <w:szCs w:val="28"/>
          <w:lang w:val="en-AU"/>
        </w:rPr>
      </w:pPr>
      <w:r w:rsidRPr="00D733EB">
        <w:rPr>
          <w:rFonts w:ascii="Tahoma" w:eastAsia="Times New Roman" w:hAnsi="Tahoma" w:cs="Tahoma"/>
          <w:b/>
          <w:sz w:val="28"/>
          <w:szCs w:val="28"/>
          <w:lang w:val="en-AU"/>
        </w:rPr>
        <w:lastRenderedPageBreak/>
        <w:t>Nature and extent of the problem being addressed</w:t>
      </w:r>
    </w:p>
    <w:p w:rsidR="00883EC2" w:rsidRPr="00E84DC2" w:rsidRDefault="00883EC2" w:rsidP="00883EC2">
      <w:pPr>
        <w:rPr>
          <w:rFonts w:ascii="Tahoma" w:eastAsia="Times New Roman" w:hAnsi="Tahoma" w:cs="Tahoma"/>
          <w:sz w:val="22"/>
          <w:szCs w:val="22"/>
          <w:lang w:val="en-AU"/>
        </w:rPr>
      </w:pPr>
    </w:p>
    <w:p w:rsidR="00883EC2" w:rsidRPr="00E84DC2" w:rsidRDefault="00D733EB" w:rsidP="00883EC2">
      <w:pPr>
        <w:rPr>
          <w:rFonts w:ascii="Tahoma" w:eastAsia="Times New Roman" w:hAnsi="Tahoma" w:cs="Tahoma"/>
          <w:sz w:val="22"/>
          <w:szCs w:val="22"/>
          <w:lang w:val="en-AU"/>
        </w:rPr>
      </w:pPr>
      <w:r w:rsidRPr="00D733EB">
        <w:rPr>
          <w:rFonts w:ascii="Tahoma" w:eastAsia="Times New Roman" w:hAnsi="Tahoma" w:cs="Tahoma"/>
          <w:sz w:val="22"/>
          <w:szCs w:val="22"/>
          <w:lang w:val="en-AU"/>
        </w:rPr>
        <w:t>Citizens and ratepayers do not have adequate information about the performance of local councils. Numerous reviews and audits by the Essential Services Commission, the Victorian Auditor-General’s Office (VAGO) and others have consistently pointed to shortcomings in the current approach to local government planning and reporting.</w:t>
      </w:r>
    </w:p>
    <w:p w:rsidR="00C67934" w:rsidRPr="00E84DC2" w:rsidRDefault="00C67934" w:rsidP="00883EC2">
      <w:pPr>
        <w:rPr>
          <w:rFonts w:ascii="Tahoma" w:eastAsia="Times New Roman" w:hAnsi="Tahoma" w:cs="Tahoma"/>
          <w:sz w:val="22"/>
          <w:szCs w:val="22"/>
          <w:lang w:val="en-AU"/>
        </w:rPr>
      </w:pPr>
    </w:p>
    <w:p w:rsidR="00E72123" w:rsidRPr="00E84DC2" w:rsidRDefault="00D733EB" w:rsidP="00883EC2">
      <w:pPr>
        <w:rPr>
          <w:rFonts w:ascii="Tahoma" w:eastAsia="Times New Roman" w:hAnsi="Tahoma" w:cs="Tahoma"/>
          <w:sz w:val="22"/>
          <w:szCs w:val="22"/>
          <w:lang w:val="en-AU"/>
        </w:rPr>
      </w:pPr>
      <w:r w:rsidRPr="00D733EB">
        <w:rPr>
          <w:rFonts w:ascii="Tahoma" w:eastAsia="Times New Roman" w:hAnsi="Tahoma" w:cs="Tahoma"/>
          <w:sz w:val="22"/>
          <w:szCs w:val="22"/>
          <w:lang w:val="en-AU"/>
        </w:rPr>
        <w:t>Better reporting on local council activities has been found to not only enhance transparency and accountability, which is an inherent necessity of a healthy democracy, but, well designed, can contribute to improving performance of local councils through the ability to scrutinise and benchmark local council decisions to incentivise continuous improvement.</w:t>
      </w:r>
    </w:p>
    <w:p w:rsidR="00B53650" w:rsidRPr="00E84DC2" w:rsidRDefault="00B53650" w:rsidP="00883EC2">
      <w:pPr>
        <w:rPr>
          <w:rFonts w:ascii="Tahoma" w:eastAsia="Times New Roman" w:hAnsi="Tahoma" w:cs="Tahoma"/>
          <w:sz w:val="22"/>
          <w:szCs w:val="22"/>
          <w:lang w:val="en-AU"/>
        </w:rPr>
      </w:pPr>
    </w:p>
    <w:p w:rsidR="002951CE" w:rsidRPr="00E84DC2" w:rsidRDefault="00D733EB" w:rsidP="002951CE">
      <w:pPr>
        <w:rPr>
          <w:rFonts w:ascii="Tahoma" w:eastAsia="Times New Roman" w:hAnsi="Tahoma" w:cs="Tahoma"/>
          <w:sz w:val="27"/>
          <w:szCs w:val="27"/>
          <w:lang w:val="en-AU" w:eastAsia="en-US"/>
        </w:rPr>
      </w:pPr>
      <w:r w:rsidRPr="00D733EB">
        <w:rPr>
          <w:rFonts w:ascii="Tahoma" w:eastAsia="Times New Roman" w:hAnsi="Tahoma" w:cs="Tahoma"/>
          <w:sz w:val="22"/>
          <w:szCs w:val="22"/>
          <w:lang w:val="en-AU"/>
        </w:rPr>
        <w:t>Each year local councils in Victoria spend around $7 billion</w:t>
      </w:r>
      <w:r w:rsidR="00DC14B1" w:rsidRPr="00E84DC2">
        <w:rPr>
          <w:rStyle w:val="FootnoteReference"/>
          <w:rFonts w:ascii="Tahoma" w:eastAsia="Times New Roman" w:hAnsi="Tahoma" w:cs="Tahoma"/>
          <w:sz w:val="22"/>
          <w:szCs w:val="22"/>
          <w:lang w:val="en-AU"/>
        </w:rPr>
        <w:footnoteReference w:id="3"/>
      </w:r>
      <w:r w:rsidR="00DC14B1" w:rsidRPr="00E84DC2">
        <w:rPr>
          <w:rFonts w:ascii="Tahoma" w:eastAsia="Times New Roman" w:hAnsi="Tahoma" w:cs="Tahoma"/>
          <w:sz w:val="22"/>
          <w:szCs w:val="22"/>
          <w:lang w:val="en-AU"/>
        </w:rPr>
        <w:t xml:space="preserve"> and manage over $6</w:t>
      </w:r>
      <w:r w:rsidR="00370858" w:rsidRPr="00E84DC2">
        <w:rPr>
          <w:rFonts w:ascii="Tahoma" w:eastAsia="Times New Roman" w:hAnsi="Tahoma" w:cs="Tahoma"/>
          <w:sz w:val="22"/>
          <w:szCs w:val="22"/>
          <w:lang w:val="en-AU"/>
        </w:rPr>
        <w:t>7</w:t>
      </w:r>
      <w:r w:rsidR="00DC14B1" w:rsidRPr="00E84DC2">
        <w:rPr>
          <w:rFonts w:ascii="Tahoma" w:eastAsia="Times New Roman" w:hAnsi="Tahoma" w:cs="Tahoma"/>
          <w:sz w:val="22"/>
          <w:szCs w:val="22"/>
          <w:lang w:val="en-AU"/>
        </w:rPr>
        <w:t xml:space="preserve"> billion of community assets and infrastructure</w:t>
      </w:r>
      <w:r>
        <w:rPr>
          <w:rStyle w:val="FootnoteReference"/>
          <w:rFonts w:ascii="Tahoma" w:eastAsia="Times New Roman" w:hAnsi="Tahoma" w:cs="Tahoma"/>
          <w:sz w:val="22"/>
          <w:szCs w:val="22"/>
          <w:lang w:val="en-AU"/>
        </w:rPr>
        <w:footnoteReference w:id="4"/>
      </w:r>
      <w:r w:rsidRPr="00D733EB">
        <w:rPr>
          <w:rFonts w:ascii="Tahoma" w:eastAsia="Times New Roman" w:hAnsi="Tahoma" w:cs="Tahoma"/>
          <w:sz w:val="22"/>
          <w:szCs w:val="22"/>
          <w:lang w:val="en-AU"/>
        </w:rPr>
        <w:t xml:space="preserve"> so the scope for incremental improvements from assessing performance has the potential to translate into significant benefits. </w:t>
      </w:r>
      <w:r w:rsidRPr="00D733EB">
        <w:rPr>
          <w:rFonts w:ascii="Tahoma" w:eastAsia="Calibri" w:hAnsi="Tahoma" w:cs="Tahoma"/>
          <w:sz w:val="22"/>
          <w:szCs w:val="22"/>
          <w:lang w:val="en-AU"/>
        </w:rPr>
        <w:t>The Victorian Competition and Efficiency Commission (VCEC) has previously noted (in relation to the water retail sector, which is highly relevant to many council core activities) that, in principle, competition by comparison can influence activities and hence controllable expenditures.</w:t>
      </w:r>
      <w:r>
        <w:rPr>
          <w:rStyle w:val="FootnoteReference"/>
          <w:rFonts w:ascii="Tahoma" w:eastAsia="Calibri" w:hAnsi="Tahoma" w:cs="Tahoma"/>
          <w:sz w:val="22"/>
          <w:szCs w:val="22"/>
          <w:lang w:val="en-AU"/>
        </w:rPr>
        <w:footnoteReference w:id="5"/>
      </w:r>
      <w:r w:rsidRPr="00D733EB">
        <w:rPr>
          <w:rFonts w:ascii="Tahoma" w:eastAsia="Calibri" w:hAnsi="Tahoma" w:cs="Tahoma"/>
          <w:sz w:val="22"/>
          <w:szCs w:val="22"/>
          <w:lang w:val="en-AU"/>
        </w:rPr>
        <w:t xml:space="preserve"> The VCEC found that the scope for competition by comparison to influence overall performance was significant in dollar terms.</w:t>
      </w:r>
      <w:r w:rsidRPr="00D733EB">
        <w:rPr>
          <w:rFonts w:ascii="Tahoma" w:eastAsia="Times New Roman" w:hAnsi="Tahoma" w:cs="Tahoma"/>
          <w:sz w:val="27"/>
          <w:szCs w:val="27"/>
          <w:lang w:val="en-AU" w:eastAsia="en-US"/>
        </w:rPr>
        <w:t xml:space="preserve"> </w:t>
      </w:r>
    </w:p>
    <w:p w:rsidR="00B53650" w:rsidRPr="00E84DC2" w:rsidRDefault="00B53650" w:rsidP="00B53650">
      <w:pPr>
        <w:rPr>
          <w:rFonts w:ascii="Tahoma" w:eastAsia="Times New Roman" w:hAnsi="Tahoma" w:cs="Tahoma"/>
          <w:sz w:val="22"/>
          <w:szCs w:val="22"/>
          <w:lang w:val="en-AU"/>
        </w:rPr>
      </w:pPr>
    </w:p>
    <w:p w:rsidR="00E72123" w:rsidRPr="00E84DC2" w:rsidRDefault="00D733EB" w:rsidP="008F7B67">
      <w:pPr>
        <w:pStyle w:val="EPANormal"/>
        <w:rPr>
          <w:rFonts w:ascii="Tahoma" w:eastAsia="Calibri" w:hAnsi="Tahoma" w:cs="Tahoma"/>
          <w:sz w:val="22"/>
          <w:szCs w:val="22"/>
          <w:lang w:val="en-US"/>
        </w:rPr>
      </w:pPr>
      <w:r w:rsidRPr="00D733EB">
        <w:rPr>
          <w:rFonts w:ascii="Tahoma" w:eastAsia="Calibri" w:hAnsi="Tahoma" w:cs="Tahoma"/>
          <w:sz w:val="22"/>
          <w:szCs w:val="22"/>
        </w:rPr>
        <w:t xml:space="preserve">Better performance reporting will also assist councils to justify and explain their decisions on council rates to their communities. </w:t>
      </w:r>
      <w:r w:rsidRPr="00D733EB">
        <w:rPr>
          <w:rFonts w:ascii="Tahoma" w:eastAsia="Calibri" w:hAnsi="Tahoma" w:cs="Tahoma"/>
          <w:sz w:val="22"/>
          <w:szCs w:val="22"/>
          <w:lang w:val="en-US"/>
        </w:rPr>
        <w:t>Understanding the efficiency and effectiveness of operations is essential for councils to make prudent resourcing decisions, for assuring the equitable distribution of rates, and for justifying these decisions to the community. Understanding rate increases are an issue of considerable concern to communities. The average percentage annual increase in rates substantially exceeded both the Local Government Cost Index (LGCI) and the Consumer Price Index (CPI) across all councils between 2000 and 2010.</w:t>
      </w:r>
      <w:r>
        <w:rPr>
          <w:rStyle w:val="FootnoteReference"/>
          <w:rFonts w:ascii="Tahoma" w:eastAsia="Calibri" w:hAnsi="Tahoma" w:cs="Tahoma"/>
          <w:sz w:val="22"/>
          <w:szCs w:val="22"/>
          <w:lang w:val="en-US"/>
        </w:rPr>
        <w:footnoteReference w:id="6"/>
      </w:r>
      <w:r w:rsidRPr="00D733EB">
        <w:rPr>
          <w:rFonts w:ascii="Tahoma" w:eastAsia="Calibri" w:hAnsi="Tahoma" w:cs="Tahoma"/>
          <w:sz w:val="22"/>
          <w:szCs w:val="22"/>
          <w:lang w:val="en-US"/>
        </w:rPr>
        <w:t xml:space="preserve"> Each council and its community need specific diagnostic performance data to understand its rating circumstances and where opportunities for improvements may lie.</w:t>
      </w:r>
    </w:p>
    <w:p w:rsidR="009F4179" w:rsidRPr="00E84DC2" w:rsidRDefault="009F4179" w:rsidP="008F7B67">
      <w:pPr>
        <w:pStyle w:val="EPANormal"/>
        <w:rPr>
          <w:rFonts w:ascii="Tahoma" w:hAnsi="Tahoma" w:cs="Tahoma"/>
          <w:sz w:val="22"/>
          <w:szCs w:val="22"/>
        </w:rPr>
      </w:pPr>
    </w:p>
    <w:p w:rsidR="009F4179" w:rsidRPr="00E84DC2" w:rsidRDefault="00D733EB" w:rsidP="009F4179">
      <w:pPr>
        <w:rPr>
          <w:rFonts w:ascii="Tahoma" w:eastAsia="Times New Roman" w:hAnsi="Tahoma" w:cs="Tahoma"/>
          <w:b/>
          <w:sz w:val="28"/>
          <w:szCs w:val="28"/>
          <w:lang w:val="en-AU"/>
        </w:rPr>
      </w:pPr>
      <w:r w:rsidRPr="00D733EB">
        <w:rPr>
          <w:rFonts w:ascii="Tahoma" w:eastAsia="Times New Roman" w:hAnsi="Tahoma" w:cs="Tahoma"/>
          <w:b/>
          <w:sz w:val="28"/>
          <w:szCs w:val="28"/>
          <w:lang w:val="en-AU"/>
        </w:rPr>
        <w:t>Changes from current regulations</w:t>
      </w:r>
    </w:p>
    <w:p w:rsidR="009F4179" w:rsidRPr="00E84DC2" w:rsidRDefault="009F4179" w:rsidP="009F4179">
      <w:pPr>
        <w:rPr>
          <w:rFonts w:ascii="Tahoma" w:eastAsia="Times New Roman" w:hAnsi="Tahoma" w:cs="Tahoma"/>
          <w:sz w:val="22"/>
          <w:szCs w:val="22"/>
          <w:lang w:val="en-AU"/>
        </w:rPr>
      </w:pPr>
    </w:p>
    <w:p w:rsidR="009F4179" w:rsidRPr="00E84DC2" w:rsidRDefault="00D733EB" w:rsidP="009F4179">
      <w:pPr>
        <w:rPr>
          <w:rFonts w:ascii="Tahoma" w:eastAsia="Times New Roman" w:hAnsi="Tahoma" w:cs="Tahoma"/>
          <w:sz w:val="22"/>
          <w:szCs w:val="22"/>
          <w:lang w:val="en-AU"/>
        </w:rPr>
      </w:pPr>
      <w:r w:rsidRPr="00D733EB">
        <w:rPr>
          <w:rFonts w:ascii="Tahoma" w:eastAsia="Times New Roman" w:hAnsi="Tahoma" w:cs="Tahoma"/>
          <w:sz w:val="22"/>
          <w:szCs w:val="22"/>
          <w:lang w:val="en-AU"/>
        </w:rPr>
        <w:t>The proposed Regulations contain a number of important changes from the current Regulations they will replace. Key changes include:</w:t>
      </w:r>
    </w:p>
    <w:p w:rsidR="00370858" w:rsidRPr="00E84DC2" w:rsidRDefault="00D733EB">
      <w:pPr>
        <w:pStyle w:val="ListParagraph"/>
        <w:rPr>
          <w:rFonts w:ascii="Tahoma" w:hAnsi="Tahoma" w:cs="Tahoma"/>
          <w:lang w:val="en-AU"/>
        </w:rPr>
      </w:pPr>
      <w:r w:rsidRPr="00D733EB">
        <w:rPr>
          <w:rFonts w:ascii="Tahoma" w:hAnsi="Tahoma" w:cs="Tahoma"/>
          <w:lang w:val="en-AU"/>
        </w:rPr>
        <w:t>the introduction of a suite of 71 performance indicators and measures to be reported in councils’ annual reports, some of which must be audited;</w:t>
      </w:r>
    </w:p>
    <w:p w:rsidR="00370858" w:rsidRPr="00E84DC2" w:rsidRDefault="00D733EB">
      <w:pPr>
        <w:pStyle w:val="ListParagraph"/>
        <w:rPr>
          <w:rFonts w:ascii="Tahoma" w:hAnsi="Tahoma" w:cs="Tahoma"/>
          <w:lang w:val="en-AU"/>
        </w:rPr>
      </w:pPr>
      <w:r w:rsidRPr="00D733EB">
        <w:rPr>
          <w:rFonts w:ascii="Tahoma" w:hAnsi="Tahoma" w:cs="Tahoma"/>
          <w:lang w:val="en-AU"/>
        </w:rPr>
        <w:t>the introduction of a governance and management checklist to be included in the annual report;</w:t>
      </w:r>
    </w:p>
    <w:p w:rsidR="00370858" w:rsidRPr="00E84DC2" w:rsidRDefault="00D733EB">
      <w:pPr>
        <w:pStyle w:val="ListParagraph"/>
        <w:rPr>
          <w:rFonts w:ascii="Tahoma" w:hAnsi="Tahoma" w:cs="Tahoma"/>
          <w:lang w:val="en-AU"/>
        </w:rPr>
      </w:pPr>
      <w:r w:rsidRPr="00D733EB">
        <w:rPr>
          <w:rFonts w:ascii="Tahoma" w:hAnsi="Tahoma" w:cs="Tahoma"/>
          <w:lang w:val="en-AU"/>
        </w:rPr>
        <w:t>strengthened disclosure requirements for capital works and human resource planning in councils’ strategic resource plan and budget;</w:t>
      </w:r>
    </w:p>
    <w:p w:rsidR="00370858" w:rsidRPr="00E84DC2" w:rsidRDefault="00D733EB">
      <w:pPr>
        <w:pStyle w:val="ListParagraph"/>
        <w:rPr>
          <w:rFonts w:ascii="Tahoma" w:hAnsi="Tahoma" w:cs="Tahoma"/>
          <w:lang w:val="en-AU"/>
        </w:rPr>
      </w:pPr>
      <w:r w:rsidRPr="00D733EB">
        <w:rPr>
          <w:rFonts w:ascii="Tahoma" w:hAnsi="Tahoma" w:cs="Tahoma"/>
          <w:lang w:val="en-AU"/>
        </w:rPr>
        <w:lastRenderedPageBreak/>
        <w:t>strengthened disclosure requirements for proposed changes to rates and charges to inform public consultation on the proposed budget; and</w:t>
      </w:r>
    </w:p>
    <w:p w:rsidR="00370858" w:rsidRPr="00E84DC2" w:rsidRDefault="00D733EB">
      <w:pPr>
        <w:pStyle w:val="ListParagraph"/>
        <w:rPr>
          <w:rFonts w:ascii="Tahoma" w:hAnsi="Tahoma" w:cs="Tahoma"/>
          <w:lang w:val="en-AU"/>
        </w:rPr>
      </w:pPr>
      <w:r w:rsidRPr="00D733EB">
        <w:rPr>
          <w:rFonts w:ascii="Tahoma" w:hAnsi="Tahoma" w:cs="Tahoma"/>
          <w:lang w:val="en-AU"/>
        </w:rPr>
        <w:t>a number of consequential changes following changes to the Act that will commence from April 2014. For example, the Act will no longer require the use of ‘standard statements’ so these are no longer included in the new Regulations. Other elements of the current Regulations are also now included in the Act or no longer required, so will be removed from the Regulations.</w:t>
      </w:r>
    </w:p>
    <w:p w:rsidR="00E72123" w:rsidRPr="00E84DC2" w:rsidRDefault="00E72123" w:rsidP="00883EC2">
      <w:pPr>
        <w:rPr>
          <w:rFonts w:ascii="Tahoma" w:eastAsia="Times New Roman" w:hAnsi="Tahoma" w:cs="Tahoma"/>
          <w:sz w:val="22"/>
          <w:szCs w:val="22"/>
          <w:lang w:val="en-AU"/>
        </w:rPr>
      </w:pPr>
    </w:p>
    <w:p w:rsidR="00E72123" w:rsidRPr="00E84DC2" w:rsidRDefault="00D733EB" w:rsidP="00E72123">
      <w:pPr>
        <w:rPr>
          <w:rFonts w:ascii="Tahoma" w:eastAsia="Times New Roman" w:hAnsi="Tahoma" w:cs="Tahoma"/>
          <w:b/>
          <w:sz w:val="28"/>
          <w:szCs w:val="28"/>
          <w:lang w:val="en-AU"/>
        </w:rPr>
      </w:pPr>
      <w:r w:rsidRPr="00D733EB">
        <w:rPr>
          <w:rFonts w:ascii="Tahoma" w:eastAsia="Times New Roman" w:hAnsi="Tahoma" w:cs="Tahoma"/>
          <w:b/>
          <w:sz w:val="28"/>
          <w:szCs w:val="28"/>
          <w:lang w:val="en-AU"/>
        </w:rPr>
        <w:t>Summary of costs and benefits of the proposed measures</w:t>
      </w:r>
    </w:p>
    <w:p w:rsidR="00E72123" w:rsidRPr="00E84DC2" w:rsidRDefault="00E72123" w:rsidP="00E72123">
      <w:pPr>
        <w:rPr>
          <w:rFonts w:ascii="Tahoma" w:eastAsia="Times New Roman" w:hAnsi="Tahoma" w:cs="Tahoma"/>
          <w:sz w:val="22"/>
          <w:szCs w:val="22"/>
          <w:lang w:val="en-AU"/>
        </w:rPr>
      </w:pPr>
    </w:p>
    <w:p w:rsidR="004E7A2D" w:rsidRPr="00E84DC2" w:rsidRDefault="00D733EB" w:rsidP="00183B8F">
      <w:pPr>
        <w:rPr>
          <w:rFonts w:ascii="Tahoma" w:eastAsia="Times New Roman" w:hAnsi="Tahoma" w:cs="Tahoma"/>
          <w:sz w:val="22"/>
          <w:szCs w:val="22"/>
          <w:lang w:val="en-AU"/>
        </w:rPr>
      </w:pPr>
      <w:r w:rsidRPr="00D733EB">
        <w:rPr>
          <w:rFonts w:ascii="Tahoma" w:eastAsia="Times New Roman" w:hAnsi="Tahoma" w:cs="Tahoma"/>
          <w:sz w:val="22"/>
          <w:szCs w:val="22"/>
          <w:lang w:val="en-AU"/>
        </w:rPr>
        <w:t>Compared to a ‘base case’ of having no regulations after April 2014, the proposed Regulations impose a reporting burden on local councils. The quantifiable cost burden is estimated at less than $3,500 per council per year, although there is scope to reduce this cost in later years as councils become more familiar with the reporting requirements and adjust systems to allow more efficient collection and reporting.</w:t>
      </w:r>
    </w:p>
    <w:p w:rsidR="005C2209" w:rsidRPr="00E84DC2" w:rsidRDefault="005C2209" w:rsidP="00183B8F">
      <w:pPr>
        <w:rPr>
          <w:rFonts w:ascii="Tahoma" w:eastAsia="Times New Roman" w:hAnsi="Tahoma" w:cs="Tahoma"/>
          <w:sz w:val="22"/>
          <w:szCs w:val="22"/>
          <w:lang w:val="en-AU"/>
        </w:rPr>
      </w:pPr>
    </w:p>
    <w:p w:rsidR="005C2209" w:rsidRPr="00E84DC2" w:rsidRDefault="00D733EB" w:rsidP="005C2209">
      <w:pPr>
        <w:pStyle w:val="EPANormal"/>
        <w:rPr>
          <w:rFonts w:ascii="Tahoma" w:eastAsia="Calibri" w:hAnsi="Tahoma" w:cs="Tahoma"/>
          <w:sz w:val="22"/>
          <w:szCs w:val="22"/>
        </w:rPr>
      </w:pPr>
      <w:r w:rsidRPr="00D733EB">
        <w:rPr>
          <w:rFonts w:ascii="Tahoma" w:eastAsia="Calibri" w:hAnsi="Tahoma" w:cs="Tahoma"/>
          <w:sz w:val="22"/>
          <w:szCs w:val="22"/>
        </w:rPr>
        <w:t xml:space="preserve">The assumptions used in the estimation reflect an average cost across all councils, based on a survey of councils participating in a pilot program and interviews. The 43 councils that participated in the pilot comprised of </w:t>
      </w:r>
      <w:r w:rsidRPr="00D733EB">
        <w:rPr>
          <w:rFonts w:ascii="Tahoma" w:eastAsia="Calibri" w:hAnsi="Tahoma" w:cs="Tahoma"/>
          <w:sz w:val="22"/>
          <w:szCs w:val="22"/>
          <w:lang w:val="en-US"/>
        </w:rPr>
        <w:t>councils from all groupings</w:t>
      </w:r>
      <w:r>
        <w:rPr>
          <w:rStyle w:val="FootnoteReference"/>
          <w:rFonts w:ascii="Tahoma" w:eastAsia="Calibri" w:hAnsi="Tahoma" w:cs="Tahoma"/>
          <w:sz w:val="22"/>
          <w:szCs w:val="22"/>
          <w:lang w:val="en-US"/>
        </w:rPr>
        <w:footnoteReference w:id="7"/>
      </w:r>
      <w:r w:rsidRPr="00D733EB">
        <w:rPr>
          <w:rFonts w:ascii="Tahoma" w:eastAsia="Calibri" w:hAnsi="Tahoma" w:cs="Tahoma"/>
          <w:sz w:val="22"/>
          <w:szCs w:val="22"/>
          <w:lang w:val="en-US"/>
        </w:rPr>
        <w:t xml:space="preserve"> (size and location) and as such the findings incorporate the different abilities for councils to collect and report information.</w:t>
      </w:r>
    </w:p>
    <w:p w:rsidR="005C2209" w:rsidRPr="00E84DC2" w:rsidRDefault="005C2209" w:rsidP="005C2209">
      <w:pPr>
        <w:pStyle w:val="EPANormal"/>
        <w:rPr>
          <w:rFonts w:ascii="Tahoma" w:eastAsia="Calibri" w:hAnsi="Tahoma" w:cs="Tahoma"/>
          <w:sz w:val="22"/>
          <w:szCs w:val="22"/>
        </w:rPr>
      </w:pPr>
    </w:p>
    <w:p w:rsidR="005C2209" w:rsidRPr="00E84DC2" w:rsidRDefault="00D733EB" w:rsidP="005C2209">
      <w:pPr>
        <w:pStyle w:val="EPANormal"/>
        <w:rPr>
          <w:rFonts w:ascii="Tahoma" w:eastAsia="Calibri" w:hAnsi="Tahoma" w:cs="Tahoma"/>
          <w:sz w:val="22"/>
          <w:szCs w:val="22"/>
        </w:rPr>
      </w:pPr>
      <w:r w:rsidRPr="00D733EB">
        <w:rPr>
          <w:rFonts w:ascii="Tahoma" w:eastAsia="Calibri" w:hAnsi="Tahoma" w:cs="Tahoma"/>
          <w:sz w:val="22"/>
          <w:szCs w:val="22"/>
        </w:rPr>
        <w:t>Nevertheless, the findings from the survey suggest that there could be a wide variation in the impact on individual councils, with some councils incurring up to double the cost (at least in the initial year) and others incurring a smaller cost.</w:t>
      </w:r>
    </w:p>
    <w:p w:rsidR="005C2209" w:rsidRPr="00E84DC2" w:rsidRDefault="005C2209" w:rsidP="00183B8F">
      <w:pPr>
        <w:rPr>
          <w:rFonts w:ascii="Tahoma" w:eastAsia="Times New Roman" w:hAnsi="Tahoma" w:cs="Tahoma"/>
          <w:sz w:val="22"/>
          <w:szCs w:val="22"/>
          <w:lang w:val="en-AU"/>
        </w:rPr>
      </w:pPr>
    </w:p>
    <w:p w:rsidR="004B1530" w:rsidRPr="00E84DC2" w:rsidRDefault="00D733EB" w:rsidP="00183B8F">
      <w:pPr>
        <w:rPr>
          <w:rFonts w:ascii="Tahoma" w:eastAsia="Times New Roman" w:hAnsi="Tahoma" w:cs="Tahoma"/>
          <w:sz w:val="22"/>
          <w:szCs w:val="22"/>
          <w:lang w:val="en-AU"/>
        </w:rPr>
      </w:pPr>
      <w:r w:rsidRPr="00D733EB">
        <w:rPr>
          <w:rFonts w:ascii="Tahoma" w:eastAsia="Times New Roman" w:hAnsi="Tahoma" w:cs="Tahoma"/>
          <w:sz w:val="22"/>
          <w:szCs w:val="22"/>
          <w:lang w:val="en-AU"/>
        </w:rPr>
        <w:t xml:space="preserve">In total across all councils, the reporting costs are estimated to be $276,342 in 2014-15, which is less than 0.01 per cent of total rate revenue, and even less in terms of overall annual expenditure by councils. Over ten years, the total cost of the proposed Regulations is estimated to be $2.3 million (in present value terms). </w:t>
      </w:r>
    </w:p>
    <w:p w:rsidR="00FB0622" w:rsidRPr="00E84DC2" w:rsidRDefault="00FB0622" w:rsidP="00183B8F">
      <w:pPr>
        <w:rPr>
          <w:rFonts w:ascii="Tahoma" w:eastAsia="Calibri" w:hAnsi="Tahoma" w:cs="Tahoma"/>
          <w:sz w:val="22"/>
          <w:szCs w:val="22"/>
          <w:lang w:val="en-AU" w:eastAsia="en-US"/>
        </w:rPr>
      </w:pPr>
    </w:p>
    <w:p w:rsidR="0090145D" w:rsidRPr="00E84DC2" w:rsidRDefault="00D733EB" w:rsidP="0090145D">
      <w:pPr>
        <w:rPr>
          <w:rFonts w:ascii="Tahoma" w:eastAsia="Calibri" w:hAnsi="Tahoma" w:cs="Tahoma"/>
          <w:sz w:val="22"/>
          <w:szCs w:val="22"/>
          <w:lang w:val="en-AU" w:eastAsia="en-US"/>
        </w:rPr>
      </w:pPr>
      <w:r w:rsidRPr="00D733EB">
        <w:rPr>
          <w:rFonts w:ascii="Tahoma" w:eastAsia="Calibri" w:hAnsi="Tahoma" w:cs="Tahoma"/>
          <w:sz w:val="22"/>
          <w:szCs w:val="22"/>
          <w:lang w:val="en-AU" w:eastAsia="en-US"/>
        </w:rPr>
        <w:t>The above cost estimate reflects only those costs that have been able to be quantified. There are other consequential costs to councils from the proposed Regulations that have not been able to be directly quantified. These are:</w:t>
      </w:r>
    </w:p>
    <w:p w:rsidR="0090145D" w:rsidRPr="00E84DC2" w:rsidRDefault="0090145D" w:rsidP="0090145D">
      <w:pPr>
        <w:pStyle w:val="ListParagraph"/>
        <w:rPr>
          <w:rFonts w:ascii="Tahoma" w:eastAsia="Calibri" w:hAnsi="Tahoma" w:cs="Tahoma"/>
          <w:lang w:val="en-AU" w:eastAsia="en-US"/>
        </w:rPr>
      </w:pPr>
      <w:r w:rsidRPr="00E84DC2">
        <w:rPr>
          <w:rFonts w:ascii="Tahoma" w:eastAsia="Calibri" w:hAnsi="Tahoma" w:cs="Tahoma"/>
          <w:lang w:val="en-AU" w:eastAsia="en-US"/>
        </w:rPr>
        <w:t xml:space="preserve">audit costs </w:t>
      </w:r>
      <w:r w:rsidR="008B4ACC">
        <w:rPr>
          <w:rFonts w:ascii="Tahoma" w:eastAsia="Calibri" w:hAnsi="Tahoma" w:cs="Tahoma"/>
          <w:lang w:val="en-AU" w:eastAsia="en-US"/>
        </w:rPr>
        <w:t>as a result of</w:t>
      </w:r>
      <w:r w:rsidR="008B4ACC" w:rsidRPr="00E84DC2">
        <w:rPr>
          <w:rFonts w:ascii="Tahoma" w:eastAsia="Calibri" w:hAnsi="Tahoma" w:cs="Tahoma"/>
          <w:lang w:val="en-AU" w:eastAsia="en-US"/>
        </w:rPr>
        <w:t xml:space="preserve"> </w:t>
      </w:r>
      <w:r w:rsidR="008B4ACC" w:rsidRPr="00E84DC2">
        <w:rPr>
          <w:rFonts w:ascii="Tahoma" w:hAnsi="Tahoma" w:cs="Tahoma"/>
        </w:rPr>
        <w:t>prescribing</w:t>
      </w:r>
      <w:r w:rsidR="008B4ACC" w:rsidRPr="00E84DC2">
        <w:rPr>
          <w:rFonts w:ascii="Tahoma" w:eastAsia="Calibri" w:hAnsi="Tahoma" w:cs="Tahoma"/>
          <w:lang w:val="en-AU" w:eastAsia="en-US"/>
        </w:rPr>
        <w:t xml:space="preserve"> 32 of the performance indicators</w:t>
      </w:r>
      <w:r w:rsidR="008B4ACC">
        <w:rPr>
          <w:rFonts w:ascii="Tahoma" w:eastAsia="Calibri" w:hAnsi="Tahoma" w:cs="Tahoma"/>
          <w:lang w:val="en-AU" w:eastAsia="en-US"/>
        </w:rPr>
        <w:t xml:space="preserve"> to be audited </w:t>
      </w:r>
      <w:r w:rsidRPr="00E84DC2">
        <w:rPr>
          <w:rFonts w:ascii="Tahoma" w:eastAsia="Calibri" w:hAnsi="Tahoma" w:cs="Tahoma"/>
          <w:lang w:val="en-AU" w:eastAsia="en-US"/>
        </w:rPr>
        <w:t xml:space="preserve">by </w:t>
      </w:r>
      <w:r w:rsidR="00E84DC2">
        <w:rPr>
          <w:rFonts w:ascii="Tahoma" w:eastAsia="Calibri" w:hAnsi="Tahoma" w:cs="Tahoma"/>
          <w:lang w:val="en-AU" w:eastAsia="en-US"/>
        </w:rPr>
        <w:t>VAGO</w:t>
      </w:r>
      <w:r w:rsidR="008B4ACC">
        <w:rPr>
          <w:rFonts w:ascii="Tahoma" w:eastAsia="Calibri" w:hAnsi="Tahoma" w:cs="Tahoma"/>
          <w:lang w:val="en-AU" w:eastAsia="en-US"/>
        </w:rPr>
        <w:t xml:space="preserve">. </w:t>
      </w:r>
      <w:r w:rsidR="00512CA5">
        <w:rPr>
          <w:rFonts w:ascii="Tahoma" w:eastAsia="Calibri" w:hAnsi="Tahoma" w:cs="Tahoma"/>
          <w:lang w:val="en-AU" w:eastAsia="en-US"/>
        </w:rPr>
        <w:t>Under the Act, the financial statements</w:t>
      </w:r>
      <w:r w:rsidR="007E0EFB">
        <w:rPr>
          <w:rFonts w:ascii="Tahoma" w:eastAsia="Calibri" w:hAnsi="Tahoma" w:cs="Tahoma"/>
          <w:lang w:val="en-AU" w:eastAsia="en-US"/>
        </w:rPr>
        <w:t>, standard statements</w:t>
      </w:r>
      <w:r w:rsidR="00512CA5">
        <w:rPr>
          <w:rFonts w:ascii="Tahoma" w:eastAsia="Calibri" w:hAnsi="Tahoma" w:cs="Tahoma"/>
          <w:lang w:val="en-AU" w:eastAsia="en-US"/>
        </w:rPr>
        <w:t xml:space="preserve"> and performance statement contained in council’s annual report must be audited by VAGO.</w:t>
      </w:r>
      <w:r w:rsidRPr="00E84DC2">
        <w:rPr>
          <w:rFonts w:ascii="Tahoma" w:eastAsia="Calibri" w:hAnsi="Tahoma" w:cs="Tahoma"/>
          <w:lang w:val="en-AU" w:eastAsia="en-US"/>
        </w:rPr>
        <w:t xml:space="preserve"> </w:t>
      </w:r>
      <w:r w:rsidR="00512CA5">
        <w:rPr>
          <w:rFonts w:ascii="Tahoma" w:eastAsia="Calibri" w:hAnsi="Tahoma" w:cs="Tahoma"/>
          <w:lang w:val="en-AU" w:eastAsia="en-US"/>
        </w:rPr>
        <w:t xml:space="preserve">Currently </w:t>
      </w:r>
      <w:r w:rsidR="00512CA5" w:rsidRPr="00E84DC2">
        <w:rPr>
          <w:rFonts w:ascii="Tahoma" w:eastAsia="Calibri" w:hAnsi="Tahoma" w:cs="Tahoma"/>
          <w:lang w:val="en-AU" w:eastAsia="en-US"/>
        </w:rPr>
        <w:t>councils</w:t>
      </w:r>
      <w:r w:rsidR="00512CA5">
        <w:rPr>
          <w:rFonts w:ascii="Tahoma" w:eastAsia="Calibri" w:hAnsi="Tahoma" w:cs="Tahoma"/>
          <w:lang w:val="en-AU" w:eastAsia="en-US"/>
        </w:rPr>
        <w:t xml:space="preserve"> </w:t>
      </w:r>
      <w:r w:rsidRPr="00E84DC2">
        <w:rPr>
          <w:rFonts w:ascii="Tahoma" w:eastAsia="Calibri" w:hAnsi="Tahoma" w:cs="Tahoma"/>
          <w:lang w:val="en-AU" w:eastAsia="en-US"/>
        </w:rPr>
        <w:t>pay a fee to VAGO based on the amount of audit work required</w:t>
      </w:r>
      <w:r w:rsidR="00512CA5">
        <w:rPr>
          <w:rFonts w:ascii="Tahoma" w:eastAsia="Calibri" w:hAnsi="Tahoma" w:cs="Tahoma"/>
          <w:lang w:val="en-AU" w:eastAsia="en-US"/>
        </w:rPr>
        <w:t xml:space="preserve"> – this amount varies across councils, ranging from $24,000 to $217,00 0 in 2012-13</w:t>
      </w:r>
      <w:r w:rsidRPr="00E84DC2">
        <w:rPr>
          <w:rFonts w:ascii="Tahoma" w:eastAsia="Calibri" w:hAnsi="Tahoma" w:cs="Tahoma"/>
          <w:lang w:val="en-AU" w:eastAsia="en-US"/>
        </w:rPr>
        <w:t xml:space="preserve">. A quantified estimate </w:t>
      </w:r>
      <w:r w:rsidR="007E0EFB">
        <w:rPr>
          <w:rFonts w:ascii="Tahoma" w:eastAsia="Calibri" w:hAnsi="Tahoma" w:cs="Tahoma"/>
          <w:lang w:val="en-AU" w:eastAsia="en-US"/>
        </w:rPr>
        <w:t xml:space="preserve">of the additional auditing costs that will be incurred as a result of the new reporting requirements </w:t>
      </w:r>
      <w:r w:rsidRPr="00E84DC2">
        <w:rPr>
          <w:rFonts w:ascii="Tahoma" w:eastAsia="Calibri" w:hAnsi="Tahoma" w:cs="Tahoma"/>
          <w:lang w:val="en-AU" w:eastAsia="en-US"/>
        </w:rPr>
        <w:t xml:space="preserve">is not possible given councils may employ different methods to collect and assemble information, which affects the amount of audit effort VAGO considers necessary, however the selection of indicators to be audited has been developed in consultation with VAGO with the aim of minimising audit costs. While not quantified in the RIS, the assessment of options has had regard to there being a material audit cost associated with the proposed </w:t>
      </w:r>
      <w:r w:rsidRPr="00E84DC2">
        <w:rPr>
          <w:rFonts w:ascii="Tahoma" w:eastAsia="Calibri" w:hAnsi="Tahoma" w:cs="Tahoma"/>
          <w:lang w:val="en-AU" w:eastAsia="en-US"/>
        </w:rPr>
        <w:lastRenderedPageBreak/>
        <w:t>Regulations. LGV will also continue to work with VAGO as the reporting framework is finalised and implemented to identify where audit costs can be minimised</w:t>
      </w:r>
      <w:r w:rsidR="007E0EFB">
        <w:rPr>
          <w:rFonts w:ascii="Tahoma" w:eastAsia="Calibri" w:hAnsi="Tahoma" w:cs="Tahoma"/>
          <w:lang w:val="en-AU" w:eastAsia="en-US"/>
        </w:rPr>
        <w:t>; and</w:t>
      </w:r>
    </w:p>
    <w:p w:rsidR="0090145D" w:rsidRPr="00E84DC2" w:rsidRDefault="00F452BB" w:rsidP="0090145D">
      <w:pPr>
        <w:pStyle w:val="ListParagraph"/>
        <w:rPr>
          <w:rFonts w:ascii="Tahoma" w:eastAsia="Calibri" w:hAnsi="Tahoma" w:cs="Tahoma"/>
          <w:lang w:val="en-AU" w:eastAsia="en-US"/>
        </w:rPr>
      </w:pPr>
      <w:r w:rsidRPr="00E84DC2">
        <w:rPr>
          <w:rFonts w:ascii="Tahoma" w:eastAsia="Calibri" w:hAnsi="Tahoma" w:cs="Tahoma"/>
          <w:lang w:val="en-AU" w:eastAsia="en-US"/>
        </w:rPr>
        <w:t xml:space="preserve">other consequential costs </w:t>
      </w:r>
      <w:r w:rsidR="007E0EFB">
        <w:rPr>
          <w:rFonts w:ascii="Tahoma" w:eastAsia="Calibri" w:hAnsi="Tahoma" w:cs="Tahoma"/>
          <w:lang w:val="en-AU" w:eastAsia="en-US"/>
        </w:rPr>
        <w:t>that LGV considers are not significant, although their exact magnitude is unknown. For example, the Regulations require</w:t>
      </w:r>
      <w:r w:rsidRPr="00E84DC2">
        <w:rPr>
          <w:rFonts w:ascii="Tahoma" w:eastAsia="Calibri" w:hAnsi="Tahoma" w:cs="Tahoma"/>
          <w:lang w:val="en-AU" w:eastAsia="en-US"/>
        </w:rPr>
        <w:t xml:space="preserve"> the performance statement to be certified, in a form set out in the regulations, by the CEO and the Principal Accounting Officer</w:t>
      </w:r>
      <w:r w:rsidR="007E0EFB">
        <w:rPr>
          <w:rFonts w:ascii="Tahoma" w:eastAsia="Calibri" w:hAnsi="Tahoma" w:cs="Tahoma"/>
          <w:lang w:val="en-AU" w:eastAsia="en-US"/>
        </w:rPr>
        <w:t xml:space="preserve">. The time required for them to do this (including </w:t>
      </w:r>
      <w:r w:rsidRPr="00E84DC2">
        <w:rPr>
          <w:rFonts w:ascii="Tahoma" w:eastAsia="Calibri" w:hAnsi="Tahoma" w:cs="Tahoma"/>
          <w:lang w:val="en-AU" w:eastAsia="en-US"/>
        </w:rPr>
        <w:t xml:space="preserve">to </w:t>
      </w:r>
      <w:r w:rsidR="00D733EB" w:rsidRPr="00D733EB">
        <w:rPr>
          <w:rFonts w:ascii="Tahoma" w:eastAsia="Calibri" w:hAnsi="Tahoma" w:cs="Tahoma"/>
          <w:lang w:eastAsia="en-US"/>
        </w:rPr>
        <w:t>undertake additional scrutiny to satisfy themselves prior to certifying the statement</w:t>
      </w:r>
      <w:r w:rsidR="007E0EFB">
        <w:rPr>
          <w:rFonts w:ascii="Tahoma" w:eastAsia="Calibri" w:hAnsi="Tahoma" w:cs="Tahoma"/>
          <w:lang w:eastAsia="en-US"/>
        </w:rPr>
        <w:t>) is not known but expected to be low</w:t>
      </w:r>
      <w:r w:rsidR="00D733EB" w:rsidRPr="00D733EB">
        <w:rPr>
          <w:rFonts w:ascii="Tahoma" w:eastAsia="Calibri" w:hAnsi="Tahoma" w:cs="Tahoma"/>
          <w:lang w:eastAsia="en-US"/>
        </w:rPr>
        <w:t xml:space="preserve">. </w:t>
      </w:r>
      <w:r w:rsidR="007E0EFB">
        <w:rPr>
          <w:rFonts w:ascii="Tahoma" w:eastAsia="Calibri" w:hAnsi="Tahoma" w:cs="Tahoma"/>
          <w:lang w:eastAsia="en-US"/>
        </w:rPr>
        <w:t>This is because the Act already requires the performance statement to be certified by two Councilors, so the mechanisms to allow scrutiny should already be in place.</w:t>
      </w:r>
    </w:p>
    <w:p w:rsidR="00A03A45" w:rsidRDefault="00A03A45" w:rsidP="00E6590B">
      <w:pPr>
        <w:rPr>
          <w:rFonts w:ascii="Tahoma" w:eastAsia="Calibri" w:hAnsi="Tahoma" w:cs="Tahoma"/>
          <w:sz w:val="22"/>
          <w:szCs w:val="22"/>
          <w:lang w:val="en-AU" w:eastAsia="en-US"/>
        </w:rPr>
      </w:pPr>
    </w:p>
    <w:p w:rsidR="00A06B52" w:rsidRDefault="00633927">
      <w:pPr>
        <w:pBdr>
          <w:top w:val="single" w:sz="4" w:space="1" w:color="auto"/>
          <w:left w:val="single" w:sz="4" w:space="4" w:color="auto"/>
          <w:bottom w:val="single" w:sz="4" w:space="1" w:color="auto"/>
          <w:right w:val="single" w:sz="4" w:space="4" w:color="auto"/>
        </w:pBdr>
        <w:shd w:val="clear" w:color="auto" w:fill="C6D9F1" w:themeFill="text2" w:themeFillTint="33"/>
        <w:rPr>
          <w:rFonts w:ascii="Tahoma" w:eastAsia="Times New Roman" w:hAnsi="Tahoma" w:cs="Tahoma"/>
          <w:b/>
          <w:i/>
          <w:sz w:val="22"/>
          <w:szCs w:val="22"/>
          <w:lang w:val="en-AU"/>
        </w:rPr>
      </w:pPr>
      <w:r w:rsidRPr="00633927">
        <w:rPr>
          <w:rFonts w:ascii="Tahoma" w:eastAsia="Times New Roman" w:hAnsi="Tahoma" w:cs="Tahoma"/>
          <w:b/>
          <w:i/>
          <w:sz w:val="22"/>
          <w:szCs w:val="22"/>
          <w:lang w:val="en-AU"/>
        </w:rPr>
        <w:t>Feedback on cost assumptions</w:t>
      </w:r>
    </w:p>
    <w:p w:rsidR="00A06B52" w:rsidRDefault="00E84CE8">
      <w:pPr>
        <w:pBdr>
          <w:top w:val="single" w:sz="4" w:space="1" w:color="auto"/>
          <w:left w:val="single" w:sz="4" w:space="4" w:color="auto"/>
          <w:bottom w:val="single" w:sz="4" w:space="1" w:color="auto"/>
          <w:right w:val="single" w:sz="4" w:space="4" w:color="auto"/>
        </w:pBdr>
        <w:shd w:val="clear" w:color="auto" w:fill="C6D9F1" w:themeFill="text2" w:themeFillTint="33"/>
        <w:rPr>
          <w:rFonts w:ascii="Tahoma" w:eastAsia="Times New Roman" w:hAnsi="Tahoma" w:cs="Tahoma"/>
        </w:rPr>
      </w:pPr>
      <w:r w:rsidRPr="00D733EB">
        <w:rPr>
          <w:rFonts w:ascii="Tahoma" w:eastAsia="Times New Roman" w:hAnsi="Tahoma" w:cs="Tahoma"/>
          <w:sz w:val="22"/>
          <w:szCs w:val="22"/>
          <w:lang w:val="en-AU"/>
        </w:rPr>
        <w:t>Some</w:t>
      </w:r>
      <w:r w:rsidRPr="00D733EB">
        <w:rPr>
          <w:rFonts w:ascii="Tahoma" w:eastAsia="Times New Roman" w:hAnsi="Tahoma" w:cs="Tahoma"/>
          <w:sz w:val="22"/>
          <w:szCs w:val="22"/>
        </w:rPr>
        <w:t xml:space="preserve"> of the assumptions used to estimate the costs of the proposed Regulations are based on a survey and interview of some councils. To test the robustness of these assumptions, LGV is seeking views from councils on the following questions:</w:t>
      </w:r>
    </w:p>
    <w:p w:rsidR="00A06B52" w:rsidRDefault="00E84CE8">
      <w:pPr>
        <w:numPr>
          <w:ilvl w:val="0"/>
          <w:numId w:val="72"/>
        </w:numPr>
        <w:pBdr>
          <w:top w:val="single" w:sz="4" w:space="1" w:color="auto"/>
          <w:left w:val="single" w:sz="4" w:space="4" w:color="auto"/>
          <w:bottom w:val="single" w:sz="4" w:space="1" w:color="auto"/>
          <w:right w:val="single" w:sz="4" w:space="4" w:color="auto"/>
        </w:pBdr>
        <w:shd w:val="clear" w:color="auto" w:fill="C6D9F1" w:themeFill="text2" w:themeFillTint="33"/>
        <w:spacing w:before="120" w:after="120"/>
        <w:ind w:left="357" w:hanging="357"/>
        <w:rPr>
          <w:rFonts w:ascii="Tahoma" w:eastAsia="Times New Roman" w:hAnsi="Tahoma" w:cs="Tahoma"/>
          <w:sz w:val="22"/>
          <w:szCs w:val="22"/>
        </w:rPr>
      </w:pPr>
      <w:r w:rsidRPr="00E84CE8">
        <w:rPr>
          <w:rFonts w:ascii="Tahoma" w:eastAsia="Times New Roman" w:hAnsi="Tahoma" w:cs="Tahoma"/>
          <w:sz w:val="22"/>
          <w:szCs w:val="22"/>
        </w:rPr>
        <w:t>Is the time taken to complete each element as outlined in Figure 3D correct?</w:t>
      </w:r>
    </w:p>
    <w:p w:rsidR="00A06B52" w:rsidRDefault="00E84CE8">
      <w:pPr>
        <w:numPr>
          <w:ilvl w:val="0"/>
          <w:numId w:val="72"/>
        </w:numPr>
        <w:pBdr>
          <w:top w:val="single" w:sz="4" w:space="1" w:color="auto"/>
          <w:left w:val="single" w:sz="4" w:space="4" w:color="auto"/>
          <w:bottom w:val="single" w:sz="4" w:space="1" w:color="auto"/>
          <w:right w:val="single" w:sz="4" w:space="4" w:color="auto"/>
        </w:pBdr>
        <w:shd w:val="clear" w:color="auto" w:fill="C6D9F1" w:themeFill="text2" w:themeFillTint="33"/>
        <w:spacing w:before="120" w:after="120"/>
        <w:ind w:left="357" w:hanging="357"/>
        <w:rPr>
          <w:rFonts w:ascii="Tahoma" w:eastAsia="Times New Roman" w:hAnsi="Tahoma" w:cs="Tahoma"/>
          <w:sz w:val="22"/>
          <w:szCs w:val="22"/>
        </w:rPr>
      </w:pPr>
      <w:r w:rsidRPr="00E84CE8">
        <w:rPr>
          <w:rFonts w:ascii="Tahoma" w:eastAsia="Times New Roman" w:hAnsi="Tahoma" w:cs="Tahoma"/>
          <w:sz w:val="22"/>
          <w:szCs w:val="22"/>
        </w:rPr>
        <w:t>Are there other steps or tasks that councils will need to undertake in order to meet the proposed regulations?</w:t>
      </w:r>
    </w:p>
    <w:p w:rsidR="00A06B52" w:rsidRDefault="00E84CE8">
      <w:pPr>
        <w:numPr>
          <w:ilvl w:val="0"/>
          <w:numId w:val="72"/>
        </w:numPr>
        <w:pBdr>
          <w:top w:val="single" w:sz="4" w:space="1" w:color="auto"/>
          <w:left w:val="single" w:sz="4" w:space="4" w:color="auto"/>
          <w:bottom w:val="single" w:sz="4" w:space="1" w:color="auto"/>
          <w:right w:val="single" w:sz="4" w:space="4" w:color="auto"/>
        </w:pBdr>
        <w:shd w:val="clear" w:color="auto" w:fill="C6D9F1" w:themeFill="text2" w:themeFillTint="33"/>
        <w:spacing w:before="120" w:after="120"/>
        <w:ind w:left="357" w:hanging="357"/>
        <w:rPr>
          <w:rFonts w:ascii="Tahoma" w:eastAsia="Times New Roman" w:hAnsi="Tahoma" w:cs="Tahoma"/>
          <w:sz w:val="22"/>
          <w:szCs w:val="22"/>
        </w:rPr>
      </w:pPr>
      <w:r w:rsidRPr="00E84CE8">
        <w:rPr>
          <w:rFonts w:ascii="Tahoma" w:eastAsia="Times New Roman" w:hAnsi="Tahoma" w:cs="Tahoma"/>
          <w:sz w:val="22"/>
          <w:szCs w:val="22"/>
        </w:rPr>
        <w:t>The estimate uses a blended hourly rate of $76.02 to calculate the total value of the time. Taking account of the different staff levels that will be used to collect and assemble data and produce reports, is this an appropriate value?</w:t>
      </w:r>
    </w:p>
    <w:p w:rsidR="00A06B52" w:rsidRDefault="00E84CE8">
      <w:pPr>
        <w:numPr>
          <w:ilvl w:val="0"/>
          <w:numId w:val="72"/>
        </w:numPr>
        <w:pBdr>
          <w:top w:val="single" w:sz="4" w:space="1" w:color="auto"/>
          <w:left w:val="single" w:sz="4" w:space="4" w:color="auto"/>
          <w:bottom w:val="single" w:sz="4" w:space="1" w:color="auto"/>
          <w:right w:val="single" w:sz="4" w:space="4" w:color="auto"/>
        </w:pBdr>
        <w:shd w:val="clear" w:color="auto" w:fill="C6D9F1" w:themeFill="text2" w:themeFillTint="33"/>
        <w:spacing w:before="120" w:after="120"/>
        <w:ind w:left="357" w:hanging="357"/>
        <w:rPr>
          <w:rFonts w:ascii="Tahoma" w:eastAsia="Times New Roman" w:hAnsi="Tahoma" w:cs="Tahoma"/>
          <w:sz w:val="22"/>
          <w:szCs w:val="22"/>
        </w:rPr>
      </w:pPr>
      <w:r w:rsidRPr="00E84CE8">
        <w:rPr>
          <w:rFonts w:ascii="Tahoma" w:eastAsia="Times New Roman" w:hAnsi="Tahoma" w:cs="Tahoma"/>
          <w:sz w:val="22"/>
          <w:szCs w:val="22"/>
        </w:rPr>
        <w:t>How reasonable is the assessment about the magnitude of these costs as well as any other costs that have not been quantified?</w:t>
      </w:r>
    </w:p>
    <w:p w:rsidR="00A06B52" w:rsidRDefault="00E84CE8">
      <w:pPr>
        <w:numPr>
          <w:ilvl w:val="0"/>
          <w:numId w:val="72"/>
        </w:numPr>
        <w:pBdr>
          <w:top w:val="single" w:sz="4" w:space="1" w:color="auto"/>
          <w:left w:val="single" w:sz="4" w:space="4" w:color="auto"/>
          <w:bottom w:val="single" w:sz="4" w:space="1" w:color="auto"/>
          <w:right w:val="single" w:sz="4" w:space="4" w:color="auto"/>
        </w:pBdr>
        <w:shd w:val="clear" w:color="auto" w:fill="C6D9F1" w:themeFill="text2" w:themeFillTint="33"/>
        <w:spacing w:before="120" w:after="120"/>
        <w:ind w:left="357" w:hanging="357"/>
        <w:rPr>
          <w:rFonts w:ascii="Tahoma" w:eastAsia="Times New Roman" w:hAnsi="Tahoma" w:cs="Tahoma"/>
          <w:sz w:val="22"/>
          <w:szCs w:val="22"/>
        </w:rPr>
      </w:pPr>
      <w:r w:rsidRPr="00E84CE8">
        <w:rPr>
          <w:rFonts w:ascii="Tahoma" w:eastAsia="Times New Roman" w:hAnsi="Tahoma" w:cs="Tahoma"/>
          <w:sz w:val="22"/>
          <w:szCs w:val="22"/>
        </w:rPr>
        <w:t>Are other costs that have not been quantified or considered in the RIS to be insignificant – such as information technology costs to meet the reporting requirement, or auditing costs – potentially significant?</w:t>
      </w:r>
    </w:p>
    <w:p w:rsidR="00A03A45" w:rsidRPr="00E84DC2" w:rsidRDefault="00A03A45" w:rsidP="00A03A45">
      <w:pPr>
        <w:rPr>
          <w:rFonts w:ascii="Tahoma" w:eastAsia="Calibri" w:hAnsi="Tahoma" w:cs="Tahoma"/>
          <w:sz w:val="22"/>
          <w:szCs w:val="22"/>
          <w:lang w:val="en-AU" w:eastAsia="en-US"/>
        </w:rPr>
      </w:pPr>
      <w:r>
        <w:rPr>
          <w:rFonts w:ascii="Tahoma" w:eastAsia="Calibri" w:hAnsi="Tahoma" w:cs="Tahoma"/>
          <w:sz w:val="22"/>
          <w:szCs w:val="22"/>
          <w:lang w:val="en-AU" w:eastAsia="en-US"/>
        </w:rPr>
        <w:t xml:space="preserve">The Government will also incur costs given </w:t>
      </w:r>
      <w:r w:rsidRPr="00D733EB">
        <w:rPr>
          <w:rFonts w:ascii="Tahoma" w:eastAsia="Calibri" w:hAnsi="Tahoma" w:cs="Tahoma"/>
          <w:sz w:val="22"/>
          <w:szCs w:val="22"/>
          <w:lang w:val="en-AU" w:eastAsia="en-US"/>
        </w:rPr>
        <w:t>LGV</w:t>
      </w:r>
      <w:r>
        <w:rPr>
          <w:rFonts w:ascii="Tahoma" w:eastAsia="Calibri" w:hAnsi="Tahoma" w:cs="Tahoma"/>
          <w:sz w:val="22"/>
          <w:szCs w:val="22"/>
          <w:lang w:val="en-AU" w:eastAsia="en-US"/>
        </w:rPr>
        <w:t xml:space="preserve">’s </w:t>
      </w:r>
      <w:r w:rsidRPr="00D733EB">
        <w:rPr>
          <w:rFonts w:ascii="Tahoma" w:eastAsia="Calibri" w:hAnsi="Tahoma" w:cs="Tahoma"/>
          <w:sz w:val="22"/>
          <w:szCs w:val="22"/>
          <w:lang w:val="en-AU" w:eastAsia="en-US"/>
        </w:rPr>
        <w:t>role in implementation and e</w:t>
      </w:r>
      <w:r>
        <w:rPr>
          <w:rFonts w:ascii="Tahoma" w:eastAsia="Calibri" w:hAnsi="Tahoma" w:cs="Tahoma"/>
          <w:sz w:val="22"/>
          <w:szCs w:val="22"/>
          <w:lang w:val="en-AU" w:eastAsia="en-US"/>
        </w:rPr>
        <w:t xml:space="preserve">nforcement of the Regulations. </w:t>
      </w:r>
      <w:r w:rsidRPr="00D733EB">
        <w:rPr>
          <w:rFonts w:ascii="Tahoma" w:eastAsia="Calibri" w:hAnsi="Tahoma" w:cs="Tahoma"/>
          <w:sz w:val="22"/>
          <w:szCs w:val="22"/>
          <w:lang w:val="en-AU" w:eastAsia="en-US"/>
        </w:rPr>
        <w:t xml:space="preserve"> </w:t>
      </w:r>
      <w:r>
        <w:rPr>
          <w:rFonts w:ascii="Tahoma" w:eastAsia="Calibri" w:hAnsi="Tahoma" w:cs="Tahoma"/>
          <w:sz w:val="22"/>
          <w:szCs w:val="22"/>
          <w:lang w:val="en-AU" w:eastAsia="en-US"/>
        </w:rPr>
        <w:t xml:space="preserve">Although the incremental </w:t>
      </w:r>
      <w:r w:rsidRPr="00D733EB">
        <w:rPr>
          <w:rFonts w:ascii="Tahoma" w:eastAsia="Calibri" w:hAnsi="Tahoma" w:cs="Tahoma"/>
          <w:sz w:val="22"/>
          <w:szCs w:val="22"/>
          <w:lang w:val="en-AU" w:eastAsia="en-US"/>
        </w:rPr>
        <w:t>ongoing costs of th</w:t>
      </w:r>
      <w:r>
        <w:rPr>
          <w:rFonts w:ascii="Tahoma" w:eastAsia="Calibri" w:hAnsi="Tahoma" w:cs="Tahoma"/>
          <w:sz w:val="22"/>
          <w:szCs w:val="22"/>
          <w:lang w:val="en-AU" w:eastAsia="en-US"/>
        </w:rPr>
        <w:t xml:space="preserve">is </w:t>
      </w:r>
      <w:r w:rsidRPr="00D733EB">
        <w:rPr>
          <w:rFonts w:ascii="Tahoma" w:eastAsia="Calibri" w:hAnsi="Tahoma" w:cs="Tahoma"/>
          <w:sz w:val="22"/>
          <w:szCs w:val="22"/>
          <w:lang w:val="en-AU" w:eastAsia="en-US"/>
        </w:rPr>
        <w:t>ha</w:t>
      </w:r>
      <w:r>
        <w:rPr>
          <w:rFonts w:ascii="Tahoma" w:eastAsia="Calibri" w:hAnsi="Tahoma" w:cs="Tahoma"/>
          <w:sz w:val="22"/>
          <w:szCs w:val="22"/>
          <w:lang w:val="en-AU" w:eastAsia="en-US"/>
        </w:rPr>
        <w:t>ve</w:t>
      </w:r>
      <w:r w:rsidRPr="00D733EB">
        <w:rPr>
          <w:rFonts w:ascii="Tahoma" w:eastAsia="Calibri" w:hAnsi="Tahoma" w:cs="Tahoma"/>
          <w:sz w:val="22"/>
          <w:szCs w:val="22"/>
          <w:lang w:val="en-AU" w:eastAsia="en-US"/>
        </w:rPr>
        <w:t xml:space="preserve"> not been estimated, </w:t>
      </w:r>
      <w:r>
        <w:rPr>
          <w:rFonts w:ascii="Tahoma" w:eastAsia="Calibri" w:hAnsi="Tahoma" w:cs="Tahoma"/>
          <w:sz w:val="22"/>
          <w:szCs w:val="22"/>
          <w:lang w:val="en-AU" w:eastAsia="en-US"/>
        </w:rPr>
        <w:t xml:space="preserve">they are expected to be low, given that LGV already </w:t>
      </w:r>
      <w:r w:rsidR="00E84CE8">
        <w:rPr>
          <w:rFonts w:ascii="Tahoma" w:eastAsia="Calibri" w:hAnsi="Tahoma" w:cs="Tahoma"/>
          <w:sz w:val="22"/>
          <w:szCs w:val="22"/>
          <w:lang w:val="en-AU" w:eastAsia="en-US"/>
        </w:rPr>
        <w:t>plays</w:t>
      </w:r>
      <w:r>
        <w:rPr>
          <w:rFonts w:ascii="Tahoma" w:eastAsia="Calibri" w:hAnsi="Tahoma" w:cs="Tahoma"/>
          <w:sz w:val="22"/>
          <w:szCs w:val="22"/>
          <w:lang w:val="en-AU" w:eastAsia="en-US"/>
        </w:rPr>
        <w:t xml:space="preserve"> a more general role in overseeing the planning and reporting framework in the Act</w:t>
      </w:r>
      <w:r w:rsidRPr="00D733EB">
        <w:rPr>
          <w:rFonts w:ascii="Tahoma" w:eastAsia="Calibri" w:hAnsi="Tahoma" w:cs="Tahoma"/>
          <w:sz w:val="22"/>
          <w:szCs w:val="22"/>
          <w:lang w:val="en-AU" w:eastAsia="en-US"/>
        </w:rPr>
        <w:t xml:space="preserve">. </w:t>
      </w:r>
    </w:p>
    <w:p w:rsidR="00A03A45" w:rsidRDefault="00A03A45" w:rsidP="00E6590B">
      <w:pPr>
        <w:rPr>
          <w:rFonts w:ascii="Tahoma" w:eastAsia="Calibri" w:hAnsi="Tahoma" w:cs="Tahoma"/>
          <w:sz w:val="22"/>
          <w:szCs w:val="22"/>
          <w:lang w:val="en-AU" w:eastAsia="en-US"/>
        </w:rPr>
      </w:pPr>
    </w:p>
    <w:p w:rsidR="00E6590B" w:rsidRPr="00E84DC2" w:rsidRDefault="008B4ACC" w:rsidP="00E6590B">
      <w:pPr>
        <w:rPr>
          <w:rFonts w:ascii="Tahoma" w:eastAsia="Calibri" w:hAnsi="Tahoma" w:cs="Tahoma"/>
          <w:sz w:val="22"/>
          <w:szCs w:val="22"/>
          <w:lang w:val="en-AU" w:eastAsia="en-US"/>
        </w:rPr>
      </w:pPr>
      <w:r>
        <w:rPr>
          <w:rFonts w:ascii="Tahoma" w:eastAsia="Calibri" w:hAnsi="Tahoma" w:cs="Tahoma"/>
          <w:sz w:val="22"/>
          <w:szCs w:val="22"/>
          <w:lang w:val="en-AU" w:eastAsia="en-US"/>
        </w:rPr>
        <w:t>Note that t</w:t>
      </w:r>
      <w:r w:rsidR="00E6590B" w:rsidRPr="00E84DC2">
        <w:rPr>
          <w:rFonts w:ascii="Tahoma" w:eastAsia="Calibri" w:hAnsi="Tahoma" w:cs="Tahoma"/>
          <w:sz w:val="22"/>
          <w:szCs w:val="22"/>
          <w:lang w:val="en-AU" w:eastAsia="en-US"/>
        </w:rPr>
        <w:t>h</w:t>
      </w:r>
      <w:r>
        <w:rPr>
          <w:rFonts w:ascii="Tahoma" w:eastAsia="Calibri" w:hAnsi="Tahoma" w:cs="Tahoma"/>
          <w:sz w:val="22"/>
          <w:szCs w:val="22"/>
          <w:lang w:val="en-AU" w:eastAsia="en-US"/>
        </w:rPr>
        <w:t>e costs quantified in this RIS are</w:t>
      </w:r>
      <w:r w:rsidR="00E6590B" w:rsidRPr="00E84DC2">
        <w:rPr>
          <w:rFonts w:ascii="Tahoma" w:eastAsia="Calibri" w:hAnsi="Tahoma" w:cs="Tahoma"/>
          <w:sz w:val="22"/>
          <w:szCs w:val="22"/>
          <w:lang w:val="en-AU" w:eastAsia="en-US"/>
        </w:rPr>
        <w:t xml:space="preserve"> the direct incremental cost</w:t>
      </w:r>
      <w:r>
        <w:rPr>
          <w:rFonts w:ascii="Tahoma" w:eastAsia="Calibri" w:hAnsi="Tahoma" w:cs="Tahoma"/>
          <w:sz w:val="22"/>
          <w:szCs w:val="22"/>
          <w:lang w:val="en-AU" w:eastAsia="en-US"/>
        </w:rPr>
        <w:t>s</w:t>
      </w:r>
      <w:r w:rsidR="00E6590B" w:rsidRPr="00E84DC2">
        <w:rPr>
          <w:rFonts w:ascii="Tahoma" w:eastAsia="Calibri" w:hAnsi="Tahoma" w:cs="Tahoma"/>
          <w:sz w:val="22"/>
          <w:szCs w:val="22"/>
          <w:lang w:val="en-AU" w:eastAsia="en-US"/>
        </w:rPr>
        <w:t xml:space="preserve"> of the proposed Regulations and do</w:t>
      </w:r>
      <w:r>
        <w:rPr>
          <w:rFonts w:ascii="Tahoma" w:eastAsia="Calibri" w:hAnsi="Tahoma" w:cs="Tahoma"/>
          <w:sz w:val="22"/>
          <w:szCs w:val="22"/>
          <w:lang w:val="en-AU" w:eastAsia="en-US"/>
        </w:rPr>
        <w:t>es</w:t>
      </w:r>
      <w:r w:rsidR="00E6590B" w:rsidRPr="00E84DC2">
        <w:rPr>
          <w:rFonts w:ascii="Tahoma" w:eastAsia="Calibri" w:hAnsi="Tahoma" w:cs="Tahoma"/>
          <w:sz w:val="22"/>
          <w:szCs w:val="22"/>
          <w:lang w:val="en-AU" w:eastAsia="en-US"/>
        </w:rPr>
        <w:t xml:space="preserve"> not reflect any savings from the changes to the Act, or the streamlining of other reporting requirements occurring in parallel. Taking account of all changes, the Victorian Government believes that the new planning and reporting framework will not add materially to council costs, and may even reduce costs. The new framework is therefore not expected to put any upward pressure on council costs or rates.</w:t>
      </w:r>
    </w:p>
    <w:p w:rsidR="00E6590B" w:rsidRPr="00E84DC2" w:rsidRDefault="00E6590B" w:rsidP="00E72123">
      <w:pPr>
        <w:rPr>
          <w:rFonts w:ascii="Tahoma" w:eastAsia="Times New Roman" w:hAnsi="Tahoma" w:cs="Tahoma"/>
          <w:sz w:val="22"/>
          <w:szCs w:val="22"/>
          <w:lang w:val="en-AU"/>
        </w:rPr>
      </w:pPr>
    </w:p>
    <w:p w:rsidR="00E72123" w:rsidRPr="00E84DC2" w:rsidRDefault="00D733EB" w:rsidP="00E72123">
      <w:pPr>
        <w:rPr>
          <w:rFonts w:ascii="Tahoma" w:eastAsia="Times New Roman" w:hAnsi="Tahoma" w:cs="Tahoma"/>
          <w:sz w:val="22"/>
          <w:szCs w:val="22"/>
          <w:lang w:val="en-AU"/>
        </w:rPr>
      </w:pPr>
      <w:r w:rsidRPr="00D733EB">
        <w:rPr>
          <w:rFonts w:ascii="Tahoma" w:eastAsia="Times New Roman" w:hAnsi="Tahoma" w:cs="Tahoma"/>
          <w:sz w:val="22"/>
          <w:szCs w:val="22"/>
          <w:lang w:val="en-AU"/>
        </w:rPr>
        <w:t>The benefits of the proposed Regulation are their contribution to achieving the objectives stated above; namely, to give effect to the reporting framework established in the Act, enhance transparency and accountability, and enhance the incentives for making improvements to effectiveness and efficiency of local council services. These are not able to be quantified, and therefore this RIS uses a multi-criteria analysis to inform the Victorian Government’s belief that the benefits are likely to exceed the costs.</w:t>
      </w:r>
    </w:p>
    <w:p w:rsidR="00E72123" w:rsidRPr="00E84DC2" w:rsidRDefault="00E72123" w:rsidP="00E72123">
      <w:pPr>
        <w:rPr>
          <w:rFonts w:ascii="Tahoma" w:eastAsia="Times New Roman" w:hAnsi="Tahoma" w:cs="Tahoma"/>
          <w:sz w:val="22"/>
          <w:szCs w:val="22"/>
          <w:lang w:val="en-AU"/>
        </w:rPr>
      </w:pPr>
    </w:p>
    <w:p w:rsidR="00A62F31" w:rsidRPr="00E84DC2" w:rsidRDefault="00D733EB" w:rsidP="00A62F31">
      <w:pPr>
        <w:pStyle w:val="EPANormal"/>
        <w:rPr>
          <w:rFonts w:ascii="Tahoma" w:eastAsia="Calibri" w:hAnsi="Tahoma" w:cs="Tahoma"/>
          <w:sz w:val="22"/>
          <w:szCs w:val="22"/>
        </w:rPr>
      </w:pPr>
      <w:r w:rsidRPr="00D733EB">
        <w:rPr>
          <w:rFonts w:ascii="Tahoma" w:eastAsia="Calibri" w:hAnsi="Tahoma" w:cs="Tahoma"/>
          <w:sz w:val="22"/>
          <w:szCs w:val="22"/>
        </w:rPr>
        <w:lastRenderedPageBreak/>
        <w:t>Noting previous comments from</w:t>
      </w:r>
      <w:r w:rsidR="008B4ACC">
        <w:rPr>
          <w:rFonts w:ascii="Tahoma" w:eastAsia="Calibri" w:hAnsi="Tahoma" w:cs="Tahoma"/>
          <w:sz w:val="22"/>
          <w:szCs w:val="22"/>
        </w:rPr>
        <w:t xml:space="preserve"> VAGO </w:t>
      </w:r>
      <w:r w:rsidR="00A62F31" w:rsidRPr="00E84DC2">
        <w:rPr>
          <w:rFonts w:ascii="Tahoma" w:eastAsia="Calibri" w:hAnsi="Tahoma" w:cs="Tahoma"/>
          <w:sz w:val="22"/>
          <w:szCs w:val="22"/>
        </w:rPr>
        <w:t>that a compliance-centric approach has a risk of providing a high volume of information of limited use, the proposed Regulations have been through a rigorous development stage to test a wider range of indicators and eliminate or amend those where feedback indicated that the effort in measuring the indicator was not proportionate with the importance of having the relevant information. In contrast, the process for developing the indicator</w:t>
      </w:r>
      <w:r w:rsidRPr="00D733EB">
        <w:rPr>
          <w:rFonts w:ascii="Tahoma" w:eastAsia="Calibri" w:hAnsi="Tahoma" w:cs="Tahoma"/>
          <w:sz w:val="22"/>
          <w:szCs w:val="22"/>
        </w:rPr>
        <w:t>s and other reporting requirements in the proposed Regulations has had a primary focus on improving the quality, not just increase the volume, of information.</w:t>
      </w:r>
    </w:p>
    <w:p w:rsidR="00A62F31" w:rsidRPr="00E84DC2" w:rsidRDefault="00A62F31" w:rsidP="00E72123">
      <w:pPr>
        <w:rPr>
          <w:rFonts w:ascii="Tahoma" w:eastAsia="Times New Roman" w:hAnsi="Tahoma" w:cs="Tahoma"/>
          <w:sz w:val="22"/>
          <w:szCs w:val="22"/>
          <w:lang w:val="en-AU"/>
        </w:rPr>
      </w:pPr>
    </w:p>
    <w:p w:rsidR="00E72123" w:rsidRPr="00E84DC2" w:rsidRDefault="00D733EB" w:rsidP="00E72123">
      <w:pPr>
        <w:rPr>
          <w:rFonts w:ascii="Tahoma" w:eastAsia="Times New Roman" w:hAnsi="Tahoma" w:cs="Tahoma"/>
          <w:b/>
          <w:sz w:val="28"/>
          <w:szCs w:val="28"/>
          <w:lang w:val="en-AU"/>
        </w:rPr>
      </w:pPr>
      <w:r w:rsidRPr="00D733EB">
        <w:rPr>
          <w:rFonts w:ascii="Tahoma" w:eastAsia="Times New Roman" w:hAnsi="Tahoma" w:cs="Tahoma"/>
          <w:b/>
          <w:sz w:val="28"/>
          <w:szCs w:val="28"/>
          <w:lang w:val="en-AU"/>
        </w:rPr>
        <w:t>Why other options are not appropriate</w:t>
      </w:r>
    </w:p>
    <w:p w:rsidR="00E72123" w:rsidRPr="00E84DC2" w:rsidRDefault="00E72123" w:rsidP="00E72123">
      <w:pPr>
        <w:rPr>
          <w:rFonts w:ascii="Tahoma" w:eastAsia="Times New Roman" w:hAnsi="Tahoma" w:cs="Tahoma"/>
          <w:sz w:val="22"/>
          <w:szCs w:val="22"/>
          <w:lang w:val="en-AU"/>
        </w:rPr>
      </w:pPr>
    </w:p>
    <w:p w:rsidR="00A90D56" w:rsidRPr="00E84DC2" w:rsidRDefault="00D733EB" w:rsidP="004451BC">
      <w:pPr>
        <w:rPr>
          <w:rFonts w:ascii="Tahoma" w:eastAsia="Times New Roman" w:hAnsi="Tahoma" w:cs="Tahoma"/>
          <w:sz w:val="22"/>
          <w:szCs w:val="22"/>
          <w:lang w:val="en-AU"/>
        </w:rPr>
      </w:pPr>
      <w:r w:rsidRPr="00D733EB">
        <w:rPr>
          <w:rFonts w:ascii="Tahoma" w:eastAsia="Times New Roman" w:hAnsi="Tahoma" w:cs="Tahoma"/>
          <w:sz w:val="22"/>
          <w:szCs w:val="22"/>
          <w:lang w:val="en-AU"/>
        </w:rPr>
        <w:t xml:space="preserve">Alternatives to the proposed Regulations assessed in the RIS are: </w:t>
      </w:r>
    </w:p>
    <w:p w:rsidR="00370858" w:rsidRPr="00E84DC2" w:rsidRDefault="00D733EB" w:rsidP="00A62F31">
      <w:pPr>
        <w:pStyle w:val="ListParagraph"/>
        <w:rPr>
          <w:rFonts w:ascii="Tahoma" w:hAnsi="Tahoma" w:cs="Tahoma"/>
          <w:lang w:val="en-AU"/>
        </w:rPr>
      </w:pPr>
      <w:r w:rsidRPr="00D733EB">
        <w:rPr>
          <w:rFonts w:ascii="Tahoma" w:hAnsi="Tahoma" w:cs="Tahoma"/>
          <w:lang w:val="en-AU"/>
        </w:rPr>
        <w:t>a voluntary approach where councils choose their level compliance - this is a non-regulatory approach. Under this option, the Victorian Government would publish ‘best practice’ reporting requirements, including the set of performance indicators in the proposed Regulations. Compliance would not be mandatory, with local councils able to choose their own reporting. Measures would not be required to be audited. Councils would therefore be able to choose which data would be most value-adding to their decision making, reducing the risk of measuring a large number of indicators of limited relevance to the council.</w:t>
      </w:r>
    </w:p>
    <w:p w:rsidR="00370858" w:rsidRPr="00E84DC2" w:rsidRDefault="00D733EB">
      <w:pPr>
        <w:pStyle w:val="ListParagraph"/>
        <w:rPr>
          <w:rFonts w:ascii="Tahoma" w:hAnsi="Tahoma" w:cs="Tahoma"/>
          <w:lang w:val="en-AU"/>
        </w:rPr>
      </w:pPr>
      <w:r w:rsidRPr="00D733EB">
        <w:rPr>
          <w:rFonts w:ascii="Tahoma" w:hAnsi="Tahoma" w:cs="Tahoma"/>
          <w:lang w:val="en-AU"/>
        </w:rPr>
        <w:t>a principles-based approach where councils continue to develop their own reporting indicators and measures - n</w:t>
      </w:r>
      <w:r w:rsidRPr="00D733EB">
        <w:rPr>
          <w:rFonts w:ascii="Tahoma" w:eastAsia="Calibri" w:hAnsi="Tahoma" w:cs="Tahoma"/>
          <w:lang w:val="en-AU"/>
        </w:rPr>
        <w:t>ew regulations could be put in place to explicitly require councils to develop their own set of performance indicators and measures, with the regulations setting out the principles for reporting along with the scope and type of indicators that must be used. Councils would therefore be able to choose which data would be most value-adding to their decision making, reducing the risk of measuring a large number of indicators of limited relevance to the council.</w:t>
      </w:r>
    </w:p>
    <w:p w:rsidR="00370858" w:rsidRPr="00E84DC2" w:rsidRDefault="00D733EB" w:rsidP="00A62F31">
      <w:pPr>
        <w:pStyle w:val="ListParagraph"/>
        <w:rPr>
          <w:rFonts w:ascii="Tahoma" w:hAnsi="Tahoma" w:cs="Tahoma"/>
          <w:lang w:val="en-AU"/>
        </w:rPr>
      </w:pPr>
      <w:r w:rsidRPr="00D733EB">
        <w:rPr>
          <w:rFonts w:ascii="Tahoma" w:hAnsi="Tahoma" w:cs="Tahoma"/>
          <w:lang w:val="en-AU"/>
        </w:rPr>
        <w:t xml:space="preserve">a more prescriptive approach – this is a more onerous and prescriptive approach to ensure that much more information about councils is provided to the community. The range of indicators and measures would be expanded, to include reporting against a further 34 indicators </w:t>
      </w:r>
      <w:r w:rsidRPr="00D733EB">
        <w:rPr>
          <w:rFonts w:ascii="Tahoma" w:hAnsi="Tahoma" w:cs="Tahoma"/>
          <w:bCs/>
          <w:lang w:val="en-AU"/>
        </w:rPr>
        <w:t xml:space="preserve">(21 service performance and 13 financial performance) </w:t>
      </w:r>
      <w:r w:rsidRPr="00D733EB">
        <w:rPr>
          <w:rFonts w:ascii="Tahoma" w:hAnsi="Tahoma" w:cs="Tahoma"/>
          <w:lang w:val="en-AU"/>
        </w:rPr>
        <w:t>that were initially part of the indicator set but removed b</w:t>
      </w:r>
      <w:r w:rsidRPr="00D733EB">
        <w:rPr>
          <w:rFonts w:ascii="Tahoma" w:hAnsi="Tahoma" w:cs="Tahoma"/>
          <w:bCs/>
          <w:lang w:val="en-AU"/>
        </w:rPr>
        <w:t xml:space="preserve">etween the first pilot and the </w:t>
      </w:r>
      <w:r w:rsidR="008B4ACC">
        <w:rPr>
          <w:rFonts w:ascii="Tahoma" w:hAnsi="Tahoma" w:cs="Tahoma"/>
          <w:bCs/>
          <w:lang w:val="en-AU"/>
        </w:rPr>
        <w:t>proposed</w:t>
      </w:r>
      <w:r w:rsidR="008B4ACC" w:rsidRPr="00E84DC2">
        <w:rPr>
          <w:rFonts w:ascii="Tahoma" w:hAnsi="Tahoma" w:cs="Tahoma"/>
          <w:bCs/>
          <w:lang w:val="en-AU"/>
        </w:rPr>
        <w:t xml:space="preserve"> </w:t>
      </w:r>
      <w:r w:rsidR="008B4ACC">
        <w:rPr>
          <w:rFonts w:ascii="Tahoma" w:hAnsi="Tahoma" w:cs="Tahoma"/>
          <w:bCs/>
          <w:lang w:val="en-AU"/>
        </w:rPr>
        <w:t>R</w:t>
      </w:r>
      <w:r w:rsidR="00A62F31" w:rsidRPr="00E84DC2">
        <w:rPr>
          <w:rFonts w:ascii="Tahoma" w:hAnsi="Tahoma" w:cs="Tahoma"/>
          <w:bCs/>
          <w:lang w:val="en-AU"/>
        </w:rPr>
        <w:t xml:space="preserve">egulations. These additional indicators covered services areas including libraries, sports grounds, governance (use of conduct panels), street sweeping, immunisation, as well a number of further financial performance indicators. </w:t>
      </w:r>
    </w:p>
    <w:p w:rsidR="00A90D56" w:rsidRPr="00E84DC2" w:rsidRDefault="00A90D56" w:rsidP="00A90D56">
      <w:pPr>
        <w:rPr>
          <w:rFonts w:ascii="Tahoma" w:eastAsia="Times New Roman" w:hAnsi="Tahoma" w:cs="Tahoma"/>
          <w:sz w:val="22"/>
          <w:szCs w:val="22"/>
          <w:lang w:val="en-AU"/>
        </w:rPr>
      </w:pPr>
    </w:p>
    <w:p w:rsidR="008B4ACC" w:rsidRDefault="00D733EB">
      <w:pPr>
        <w:rPr>
          <w:rFonts w:ascii="Tahoma" w:eastAsia="Calibri" w:hAnsi="Tahoma" w:cs="Tahoma"/>
          <w:b/>
          <w:sz w:val="22"/>
          <w:szCs w:val="22"/>
          <w:lang w:val="en-AU"/>
        </w:rPr>
      </w:pPr>
      <w:r w:rsidRPr="00D733EB">
        <w:rPr>
          <w:rFonts w:ascii="Tahoma" w:eastAsia="Times New Roman" w:hAnsi="Tahoma" w:cs="Tahoma"/>
          <w:sz w:val="22"/>
          <w:szCs w:val="22"/>
          <w:lang w:val="en-AU"/>
        </w:rPr>
        <w:t>The proposed Regulations and these alternative options were assessed against the intended objectives using a multi-criteria approach.</w:t>
      </w:r>
      <w:r w:rsidR="00C11D2C" w:rsidRPr="00E84DC2">
        <w:rPr>
          <w:rStyle w:val="FootnoteReference"/>
          <w:rFonts w:ascii="Tahoma" w:eastAsia="Times New Roman" w:hAnsi="Tahoma" w:cs="Tahoma"/>
          <w:sz w:val="22"/>
          <w:szCs w:val="22"/>
          <w:lang w:val="en-AU"/>
        </w:rPr>
        <w:footnoteReference w:id="8"/>
      </w:r>
      <w:r w:rsidR="00DC14B1" w:rsidRPr="00E84DC2">
        <w:rPr>
          <w:rFonts w:ascii="Tahoma" w:eastAsia="Times New Roman" w:hAnsi="Tahoma" w:cs="Tahoma"/>
          <w:sz w:val="22"/>
          <w:szCs w:val="22"/>
          <w:lang w:val="en-AU"/>
        </w:rPr>
        <w:t xml:space="preserve"> The assessment of alternative options indicated that, while all</w:t>
      </w:r>
      <w:r w:rsidRPr="00D733EB">
        <w:rPr>
          <w:rFonts w:ascii="Tahoma" w:eastAsia="Times New Roman" w:hAnsi="Tahoma" w:cs="Tahoma"/>
          <w:sz w:val="22"/>
          <w:szCs w:val="22"/>
          <w:lang w:val="en-AU"/>
        </w:rPr>
        <w:t xml:space="preserve"> the alternative approaches are likely to offer a net benefit above the base case, none offer a better overall assessment than the proposed Regulations. This is because there is a trade-off between the amount and quality of information required to be reported (which is affected by data auditability, consistency across councils and amount of information reported) and the costs in collecting the data – see section 4.4 for further discussion.</w:t>
      </w:r>
    </w:p>
    <w:p w:rsidR="00D073A3" w:rsidRPr="00E84DC2" w:rsidRDefault="00D733EB" w:rsidP="00D073A3">
      <w:pPr>
        <w:jc w:val="center"/>
        <w:rPr>
          <w:rFonts w:ascii="Tahoma" w:eastAsia="Calibri" w:hAnsi="Tahoma" w:cs="Tahoma"/>
          <w:b/>
          <w:sz w:val="22"/>
          <w:szCs w:val="22"/>
          <w:lang w:val="en-AU"/>
        </w:rPr>
      </w:pPr>
      <w:r w:rsidRPr="00D733EB">
        <w:rPr>
          <w:rFonts w:ascii="Tahoma" w:eastAsia="Calibri" w:hAnsi="Tahoma" w:cs="Tahoma"/>
          <w:b/>
          <w:sz w:val="22"/>
          <w:szCs w:val="22"/>
          <w:lang w:val="en-AU"/>
        </w:rPr>
        <w:lastRenderedPageBreak/>
        <w:t>Figure A</w:t>
      </w:r>
      <w:r w:rsidRPr="00D733EB">
        <w:rPr>
          <w:rFonts w:ascii="Tahoma" w:eastAsia="Calibri" w:hAnsi="Tahoma" w:cs="Tahoma"/>
          <w:b/>
          <w:sz w:val="22"/>
          <w:szCs w:val="22"/>
          <w:lang w:val="en-AU"/>
        </w:rPr>
        <w:br/>
        <w:t>Summary of Multi-criteria analysis results</w:t>
      </w:r>
    </w:p>
    <w:p w:rsidR="00D073A3" w:rsidRPr="00E84DC2" w:rsidRDefault="00D073A3" w:rsidP="00D073A3">
      <w:pPr>
        <w:jc w:val="center"/>
        <w:rPr>
          <w:rFonts w:ascii="Tahoma" w:eastAsia="Calibri" w:hAnsi="Tahoma" w:cs="Tahoma"/>
          <w:b/>
          <w:sz w:val="8"/>
          <w:szCs w:val="8"/>
          <w:lang w:val="en-AU"/>
        </w:rPr>
      </w:pPr>
    </w:p>
    <w:tbl>
      <w:tblPr>
        <w:tblStyle w:val="LightList-Accent11"/>
        <w:tblW w:w="8454" w:type="dxa"/>
        <w:tblLayout w:type="fixed"/>
        <w:tblLook w:val="04A0" w:firstRow="1" w:lastRow="0" w:firstColumn="1" w:lastColumn="0" w:noHBand="0" w:noVBand="1"/>
      </w:tblPr>
      <w:tblGrid>
        <w:gridCol w:w="2943"/>
        <w:gridCol w:w="1418"/>
        <w:gridCol w:w="1276"/>
        <w:gridCol w:w="1408"/>
        <w:gridCol w:w="1409"/>
      </w:tblGrid>
      <w:tr w:rsidR="00D073A3" w:rsidRPr="00E84DC2" w:rsidTr="00F452B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943" w:type="dxa"/>
          </w:tcPr>
          <w:p w:rsidR="00D073A3" w:rsidRPr="00E84DC2" w:rsidRDefault="00D733EB" w:rsidP="00D073A3">
            <w:pPr>
              <w:pStyle w:val="EPANormal"/>
              <w:rPr>
                <w:rFonts w:ascii="Tahoma" w:eastAsia="Calibri" w:hAnsi="Tahoma" w:cs="Tahoma"/>
                <w:color w:val="auto"/>
                <w:sz w:val="20"/>
              </w:rPr>
            </w:pPr>
            <w:r w:rsidRPr="00D733EB">
              <w:rPr>
                <w:rFonts w:ascii="Tahoma" w:eastAsia="Calibri" w:hAnsi="Tahoma" w:cs="Tahoma"/>
                <w:sz w:val="20"/>
              </w:rPr>
              <w:t>Criterion (and relative weighting)</w:t>
            </w:r>
          </w:p>
        </w:tc>
        <w:tc>
          <w:tcPr>
            <w:tcW w:w="1418" w:type="dxa"/>
          </w:tcPr>
          <w:p w:rsidR="00D073A3" w:rsidRPr="00E84DC2" w:rsidRDefault="00D733EB" w:rsidP="00D073A3">
            <w:pPr>
              <w:pStyle w:val="EPANormal"/>
              <w:jc w:val="center"/>
              <w:cnfStyle w:val="100000000000" w:firstRow="1" w:lastRow="0" w:firstColumn="0" w:lastColumn="0" w:oddVBand="0" w:evenVBand="0" w:oddHBand="0" w:evenHBand="0" w:firstRowFirstColumn="0" w:firstRowLastColumn="0" w:lastRowFirstColumn="0" w:lastRowLastColumn="0"/>
              <w:rPr>
                <w:rFonts w:ascii="Tahoma" w:eastAsia="Calibri" w:hAnsi="Tahoma" w:cs="Tahoma"/>
                <w:color w:val="auto"/>
                <w:sz w:val="20"/>
              </w:rPr>
            </w:pPr>
            <w:r w:rsidRPr="00D733EB">
              <w:rPr>
                <w:rFonts w:ascii="Tahoma" w:eastAsia="Calibri" w:hAnsi="Tahoma" w:cs="Tahoma"/>
                <w:sz w:val="20"/>
              </w:rPr>
              <w:t>Proposed Regulations</w:t>
            </w:r>
          </w:p>
        </w:tc>
        <w:tc>
          <w:tcPr>
            <w:tcW w:w="1276" w:type="dxa"/>
          </w:tcPr>
          <w:p w:rsidR="00D073A3" w:rsidRPr="00E84DC2" w:rsidRDefault="00D733EB" w:rsidP="00D073A3">
            <w:pPr>
              <w:pStyle w:val="EPANormal"/>
              <w:jc w:val="center"/>
              <w:cnfStyle w:val="100000000000" w:firstRow="1" w:lastRow="0" w:firstColumn="0" w:lastColumn="0" w:oddVBand="0" w:evenVBand="0" w:oddHBand="0" w:evenHBand="0" w:firstRowFirstColumn="0" w:firstRowLastColumn="0" w:lastRowFirstColumn="0" w:lastRowLastColumn="0"/>
              <w:rPr>
                <w:rFonts w:ascii="Tahoma" w:eastAsia="Calibri" w:hAnsi="Tahoma" w:cs="Tahoma"/>
                <w:color w:val="auto"/>
                <w:sz w:val="20"/>
              </w:rPr>
            </w:pPr>
            <w:r w:rsidRPr="00D733EB">
              <w:rPr>
                <w:rFonts w:ascii="Tahoma" w:eastAsia="Calibri" w:hAnsi="Tahoma" w:cs="Tahoma"/>
                <w:sz w:val="20"/>
              </w:rPr>
              <w:t>Voluntary Approach</w:t>
            </w:r>
          </w:p>
        </w:tc>
        <w:tc>
          <w:tcPr>
            <w:tcW w:w="1408" w:type="dxa"/>
          </w:tcPr>
          <w:p w:rsidR="00D073A3" w:rsidRPr="00E84DC2" w:rsidRDefault="00D733EB" w:rsidP="00D073A3">
            <w:pPr>
              <w:pStyle w:val="EPANormal"/>
              <w:jc w:val="center"/>
              <w:cnfStyle w:val="100000000000" w:firstRow="1" w:lastRow="0" w:firstColumn="0" w:lastColumn="0" w:oddVBand="0" w:evenVBand="0" w:oddHBand="0" w:evenHBand="0" w:firstRowFirstColumn="0" w:firstRowLastColumn="0" w:lastRowFirstColumn="0" w:lastRowLastColumn="0"/>
              <w:rPr>
                <w:rFonts w:ascii="Tahoma" w:eastAsia="Calibri" w:hAnsi="Tahoma" w:cs="Tahoma"/>
                <w:color w:val="auto"/>
                <w:sz w:val="20"/>
              </w:rPr>
            </w:pPr>
            <w:r w:rsidRPr="00D733EB">
              <w:rPr>
                <w:rFonts w:ascii="Tahoma" w:eastAsia="Calibri" w:hAnsi="Tahoma" w:cs="Tahoma"/>
                <w:sz w:val="20"/>
              </w:rPr>
              <w:t>Principles Approach</w:t>
            </w:r>
          </w:p>
        </w:tc>
        <w:tc>
          <w:tcPr>
            <w:tcW w:w="1409" w:type="dxa"/>
          </w:tcPr>
          <w:p w:rsidR="00D073A3" w:rsidRPr="00E84DC2" w:rsidRDefault="00D733EB" w:rsidP="00D073A3">
            <w:pPr>
              <w:pStyle w:val="EPANormal"/>
              <w:jc w:val="center"/>
              <w:cnfStyle w:val="100000000000" w:firstRow="1" w:lastRow="0" w:firstColumn="0" w:lastColumn="0" w:oddVBand="0" w:evenVBand="0" w:oddHBand="0" w:evenHBand="0" w:firstRowFirstColumn="0" w:firstRowLastColumn="0" w:lastRowFirstColumn="0" w:lastRowLastColumn="0"/>
              <w:rPr>
                <w:rFonts w:ascii="Tahoma" w:eastAsia="Calibri" w:hAnsi="Tahoma" w:cs="Tahoma"/>
                <w:color w:val="auto"/>
                <w:sz w:val="20"/>
              </w:rPr>
            </w:pPr>
            <w:r w:rsidRPr="00D733EB">
              <w:rPr>
                <w:rFonts w:ascii="Tahoma" w:eastAsia="Calibri" w:hAnsi="Tahoma" w:cs="Tahoma"/>
                <w:sz w:val="20"/>
              </w:rPr>
              <w:t>More Prescriptive</w:t>
            </w:r>
          </w:p>
        </w:tc>
      </w:tr>
      <w:tr w:rsidR="00D073A3" w:rsidRPr="00E84DC2" w:rsidTr="00F45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D073A3" w:rsidRPr="00E84DC2" w:rsidRDefault="00D733EB" w:rsidP="00D073A3">
            <w:pPr>
              <w:pStyle w:val="EPANormal"/>
              <w:rPr>
                <w:rFonts w:ascii="Tahoma" w:eastAsia="Calibri" w:hAnsi="Tahoma" w:cs="Tahoma"/>
                <w:b w:val="0"/>
                <w:sz w:val="20"/>
              </w:rPr>
            </w:pPr>
            <w:r w:rsidRPr="00D733EB">
              <w:rPr>
                <w:rFonts w:ascii="Tahoma" w:eastAsia="Calibri" w:hAnsi="Tahoma" w:cs="Tahoma"/>
                <w:sz w:val="20"/>
              </w:rPr>
              <w:t>Improved transparency and accountability of local councils. This is achieved if reported information is comprehensive, relevant and appropriate, as well as easy to access and understand. (30%)</w:t>
            </w:r>
          </w:p>
        </w:tc>
        <w:tc>
          <w:tcPr>
            <w:tcW w:w="1418" w:type="dxa"/>
          </w:tcPr>
          <w:p w:rsidR="00D073A3" w:rsidRPr="00E84DC2" w:rsidRDefault="00D733EB" w:rsidP="00D073A3">
            <w:pPr>
              <w:pStyle w:val="EPANormal"/>
              <w:jc w:val="center"/>
              <w:cnfStyle w:val="000000100000" w:firstRow="0" w:lastRow="0" w:firstColumn="0" w:lastColumn="0" w:oddVBand="0" w:evenVBand="0" w:oddHBand="1" w:evenHBand="0" w:firstRowFirstColumn="0" w:firstRowLastColumn="0" w:lastRowFirstColumn="0" w:lastRowLastColumn="0"/>
              <w:rPr>
                <w:rFonts w:ascii="Tahoma" w:eastAsia="Calibri" w:hAnsi="Tahoma" w:cs="Tahoma"/>
                <w:sz w:val="20"/>
              </w:rPr>
            </w:pPr>
            <w:r w:rsidRPr="00D733EB">
              <w:rPr>
                <w:rFonts w:ascii="Tahoma" w:eastAsia="Calibri" w:hAnsi="Tahoma" w:cs="Tahoma"/>
                <w:sz w:val="20"/>
              </w:rPr>
              <w:t>80</w:t>
            </w:r>
          </w:p>
        </w:tc>
        <w:tc>
          <w:tcPr>
            <w:tcW w:w="1276" w:type="dxa"/>
          </w:tcPr>
          <w:p w:rsidR="00D073A3" w:rsidRPr="00E84DC2" w:rsidRDefault="00D733EB" w:rsidP="00D073A3">
            <w:pPr>
              <w:pStyle w:val="EPANormal"/>
              <w:jc w:val="center"/>
              <w:cnfStyle w:val="000000100000" w:firstRow="0" w:lastRow="0" w:firstColumn="0" w:lastColumn="0" w:oddVBand="0" w:evenVBand="0" w:oddHBand="1" w:evenHBand="0" w:firstRowFirstColumn="0" w:firstRowLastColumn="0" w:lastRowFirstColumn="0" w:lastRowLastColumn="0"/>
              <w:rPr>
                <w:rFonts w:ascii="Tahoma" w:eastAsia="Calibri" w:hAnsi="Tahoma" w:cs="Tahoma"/>
                <w:sz w:val="20"/>
              </w:rPr>
            </w:pPr>
            <w:r w:rsidRPr="00D733EB">
              <w:rPr>
                <w:rFonts w:ascii="Tahoma" w:eastAsia="Calibri" w:hAnsi="Tahoma" w:cs="Tahoma"/>
                <w:sz w:val="20"/>
              </w:rPr>
              <w:t>40</w:t>
            </w:r>
          </w:p>
        </w:tc>
        <w:tc>
          <w:tcPr>
            <w:tcW w:w="1408" w:type="dxa"/>
          </w:tcPr>
          <w:p w:rsidR="00D073A3" w:rsidRPr="00E84DC2" w:rsidRDefault="00D733EB" w:rsidP="00D073A3">
            <w:pPr>
              <w:pStyle w:val="EPANormal"/>
              <w:jc w:val="center"/>
              <w:cnfStyle w:val="000000100000" w:firstRow="0" w:lastRow="0" w:firstColumn="0" w:lastColumn="0" w:oddVBand="0" w:evenVBand="0" w:oddHBand="1" w:evenHBand="0" w:firstRowFirstColumn="0" w:firstRowLastColumn="0" w:lastRowFirstColumn="0" w:lastRowLastColumn="0"/>
              <w:rPr>
                <w:rFonts w:ascii="Tahoma" w:eastAsia="Calibri" w:hAnsi="Tahoma" w:cs="Tahoma"/>
                <w:sz w:val="20"/>
              </w:rPr>
            </w:pPr>
            <w:r w:rsidRPr="00D733EB">
              <w:rPr>
                <w:rFonts w:ascii="Tahoma" w:eastAsia="Calibri" w:hAnsi="Tahoma" w:cs="Tahoma"/>
                <w:sz w:val="20"/>
              </w:rPr>
              <w:t>60</w:t>
            </w:r>
          </w:p>
        </w:tc>
        <w:tc>
          <w:tcPr>
            <w:tcW w:w="1409" w:type="dxa"/>
          </w:tcPr>
          <w:p w:rsidR="00D073A3" w:rsidRPr="00E84DC2" w:rsidRDefault="00D733EB" w:rsidP="00D073A3">
            <w:pPr>
              <w:pStyle w:val="EPANormal"/>
              <w:jc w:val="center"/>
              <w:cnfStyle w:val="000000100000" w:firstRow="0" w:lastRow="0" w:firstColumn="0" w:lastColumn="0" w:oddVBand="0" w:evenVBand="0" w:oddHBand="1" w:evenHBand="0" w:firstRowFirstColumn="0" w:firstRowLastColumn="0" w:lastRowFirstColumn="0" w:lastRowLastColumn="0"/>
              <w:rPr>
                <w:rFonts w:ascii="Tahoma" w:eastAsia="Calibri" w:hAnsi="Tahoma" w:cs="Tahoma"/>
                <w:sz w:val="20"/>
              </w:rPr>
            </w:pPr>
            <w:r w:rsidRPr="00D733EB">
              <w:rPr>
                <w:rFonts w:ascii="Tahoma" w:eastAsia="Calibri" w:hAnsi="Tahoma" w:cs="Tahoma"/>
                <w:sz w:val="20"/>
              </w:rPr>
              <w:t>90</w:t>
            </w:r>
          </w:p>
        </w:tc>
      </w:tr>
      <w:tr w:rsidR="00D073A3" w:rsidRPr="00E84DC2" w:rsidTr="00F452BB">
        <w:tc>
          <w:tcPr>
            <w:cnfStyle w:val="001000000000" w:firstRow="0" w:lastRow="0" w:firstColumn="1" w:lastColumn="0" w:oddVBand="0" w:evenVBand="0" w:oddHBand="0" w:evenHBand="0" w:firstRowFirstColumn="0" w:firstRowLastColumn="0" w:lastRowFirstColumn="0" w:lastRowLastColumn="0"/>
            <w:tcW w:w="2943" w:type="dxa"/>
          </w:tcPr>
          <w:p w:rsidR="00D073A3" w:rsidRPr="00E84DC2" w:rsidRDefault="00D733EB" w:rsidP="00D073A3">
            <w:pPr>
              <w:pStyle w:val="EPANormal"/>
              <w:rPr>
                <w:rFonts w:ascii="Tahoma" w:eastAsia="Calibri" w:hAnsi="Tahoma" w:cs="Tahoma"/>
                <w:b w:val="0"/>
                <w:sz w:val="20"/>
              </w:rPr>
            </w:pPr>
            <w:r w:rsidRPr="00D733EB">
              <w:rPr>
                <w:rFonts w:ascii="Tahoma" w:eastAsia="Calibri" w:hAnsi="Tahoma" w:cs="Tahoma"/>
                <w:sz w:val="20"/>
              </w:rPr>
              <w:t>Increases focus on continuous improvements in council effectiveness and efficiency. This is achieved where information is consistent across councils, robust, and reflects the quantity, quality, timeliness and costs of services. (20%)</w:t>
            </w:r>
          </w:p>
        </w:tc>
        <w:tc>
          <w:tcPr>
            <w:tcW w:w="1418" w:type="dxa"/>
          </w:tcPr>
          <w:p w:rsidR="00D073A3" w:rsidRPr="00E84DC2" w:rsidRDefault="00D733EB" w:rsidP="00D073A3">
            <w:pPr>
              <w:pStyle w:val="EPANormal"/>
              <w:jc w:val="center"/>
              <w:cnfStyle w:val="000000000000" w:firstRow="0" w:lastRow="0" w:firstColumn="0" w:lastColumn="0" w:oddVBand="0" w:evenVBand="0" w:oddHBand="0" w:evenHBand="0" w:firstRowFirstColumn="0" w:firstRowLastColumn="0" w:lastRowFirstColumn="0" w:lastRowLastColumn="0"/>
              <w:rPr>
                <w:rFonts w:ascii="Tahoma" w:eastAsia="Calibri" w:hAnsi="Tahoma" w:cs="Tahoma"/>
                <w:sz w:val="20"/>
              </w:rPr>
            </w:pPr>
            <w:r w:rsidRPr="00D733EB">
              <w:rPr>
                <w:rFonts w:ascii="Tahoma" w:eastAsia="Calibri" w:hAnsi="Tahoma" w:cs="Tahoma"/>
                <w:sz w:val="20"/>
              </w:rPr>
              <w:t>60</w:t>
            </w:r>
          </w:p>
        </w:tc>
        <w:tc>
          <w:tcPr>
            <w:tcW w:w="1276" w:type="dxa"/>
          </w:tcPr>
          <w:p w:rsidR="00D073A3" w:rsidRPr="00E84DC2" w:rsidRDefault="00D733EB" w:rsidP="00D073A3">
            <w:pPr>
              <w:pStyle w:val="EPANormal"/>
              <w:jc w:val="center"/>
              <w:cnfStyle w:val="000000000000" w:firstRow="0" w:lastRow="0" w:firstColumn="0" w:lastColumn="0" w:oddVBand="0" w:evenVBand="0" w:oddHBand="0" w:evenHBand="0" w:firstRowFirstColumn="0" w:firstRowLastColumn="0" w:lastRowFirstColumn="0" w:lastRowLastColumn="0"/>
              <w:rPr>
                <w:rFonts w:ascii="Tahoma" w:eastAsia="Calibri" w:hAnsi="Tahoma" w:cs="Tahoma"/>
                <w:sz w:val="20"/>
              </w:rPr>
            </w:pPr>
            <w:r w:rsidRPr="00D733EB">
              <w:rPr>
                <w:rFonts w:ascii="Tahoma" w:eastAsia="Calibri" w:hAnsi="Tahoma" w:cs="Tahoma"/>
                <w:sz w:val="20"/>
              </w:rPr>
              <w:t>30</w:t>
            </w:r>
          </w:p>
        </w:tc>
        <w:tc>
          <w:tcPr>
            <w:tcW w:w="1408" w:type="dxa"/>
          </w:tcPr>
          <w:p w:rsidR="00D073A3" w:rsidRPr="00E84DC2" w:rsidRDefault="00D733EB" w:rsidP="00D073A3">
            <w:pPr>
              <w:pStyle w:val="EPANormal"/>
              <w:jc w:val="center"/>
              <w:cnfStyle w:val="000000000000" w:firstRow="0" w:lastRow="0" w:firstColumn="0" w:lastColumn="0" w:oddVBand="0" w:evenVBand="0" w:oddHBand="0" w:evenHBand="0" w:firstRowFirstColumn="0" w:firstRowLastColumn="0" w:lastRowFirstColumn="0" w:lastRowLastColumn="0"/>
              <w:rPr>
                <w:rFonts w:ascii="Tahoma" w:eastAsia="Calibri" w:hAnsi="Tahoma" w:cs="Tahoma"/>
                <w:sz w:val="20"/>
              </w:rPr>
            </w:pPr>
            <w:r w:rsidRPr="00D733EB">
              <w:rPr>
                <w:rFonts w:ascii="Tahoma" w:eastAsia="Calibri" w:hAnsi="Tahoma" w:cs="Tahoma"/>
                <w:sz w:val="20"/>
              </w:rPr>
              <w:t>30</w:t>
            </w:r>
          </w:p>
        </w:tc>
        <w:tc>
          <w:tcPr>
            <w:tcW w:w="1409" w:type="dxa"/>
          </w:tcPr>
          <w:p w:rsidR="00D073A3" w:rsidRPr="00E84DC2" w:rsidRDefault="00D733EB" w:rsidP="00D073A3">
            <w:pPr>
              <w:pStyle w:val="EPANormal"/>
              <w:jc w:val="center"/>
              <w:cnfStyle w:val="000000000000" w:firstRow="0" w:lastRow="0" w:firstColumn="0" w:lastColumn="0" w:oddVBand="0" w:evenVBand="0" w:oddHBand="0" w:evenHBand="0" w:firstRowFirstColumn="0" w:firstRowLastColumn="0" w:lastRowFirstColumn="0" w:lastRowLastColumn="0"/>
              <w:rPr>
                <w:rFonts w:ascii="Tahoma" w:eastAsia="Calibri" w:hAnsi="Tahoma" w:cs="Tahoma"/>
                <w:sz w:val="20"/>
              </w:rPr>
            </w:pPr>
            <w:r w:rsidRPr="00D733EB">
              <w:rPr>
                <w:rFonts w:ascii="Tahoma" w:eastAsia="Calibri" w:hAnsi="Tahoma" w:cs="Tahoma"/>
                <w:sz w:val="20"/>
              </w:rPr>
              <w:t>70</w:t>
            </w:r>
          </w:p>
        </w:tc>
      </w:tr>
      <w:tr w:rsidR="00D073A3" w:rsidRPr="00E84DC2" w:rsidTr="00F45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D073A3" w:rsidRPr="00E84DC2" w:rsidRDefault="00D733EB" w:rsidP="00D073A3">
            <w:pPr>
              <w:pStyle w:val="EPANormal"/>
              <w:rPr>
                <w:rFonts w:ascii="Tahoma" w:eastAsia="Calibri" w:hAnsi="Tahoma" w:cs="Tahoma"/>
                <w:b w:val="0"/>
                <w:sz w:val="20"/>
              </w:rPr>
            </w:pPr>
            <w:r w:rsidRPr="00D733EB">
              <w:rPr>
                <w:rFonts w:ascii="Tahoma" w:eastAsia="Calibri" w:hAnsi="Tahoma" w:cs="Tahoma"/>
                <w:sz w:val="20"/>
              </w:rPr>
              <w:t>Costs of providing information. (50%)</w:t>
            </w:r>
          </w:p>
        </w:tc>
        <w:tc>
          <w:tcPr>
            <w:tcW w:w="1418" w:type="dxa"/>
          </w:tcPr>
          <w:p w:rsidR="00D073A3" w:rsidRPr="00E84DC2" w:rsidRDefault="00D733EB" w:rsidP="00D073A3">
            <w:pPr>
              <w:pStyle w:val="EPANormal"/>
              <w:jc w:val="center"/>
              <w:cnfStyle w:val="000000100000" w:firstRow="0" w:lastRow="0" w:firstColumn="0" w:lastColumn="0" w:oddVBand="0" w:evenVBand="0" w:oddHBand="1" w:evenHBand="0" w:firstRowFirstColumn="0" w:firstRowLastColumn="0" w:lastRowFirstColumn="0" w:lastRowLastColumn="0"/>
              <w:rPr>
                <w:rFonts w:ascii="Tahoma" w:eastAsia="Calibri" w:hAnsi="Tahoma" w:cs="Tahoma"/>
                <w:sz w:val="20"/>
              </w:rPr>
            </w:pPr>
            <w:r w:rsidRPr="00D733EB">
              <w:rPr>
                <w:rFonts w:ascii="Tahoma" w:eastAsia="Calibri" w:hAnsi="Tahoma" w:cs="Tahoma"/>
                <w:sz w:val="20"/>
              </w:rPr>
              <w:t>-50</w:t>
            </w:r>
          </w:p>
        </w:tc>
        <w:tc>
          <w:tcPr>
            <w:tcW w:w="1276" w:type="dxa"/>
          </w:tcPr>
          <w:p w:rsidR="00D073A3" w:rsidRPr="00E84DC2" w:rsidRDefault="00D733EB" w:rsidP="00D073A3">
            <w:pPr>
              <w:pStyle w:val="EPANormal"/>
              <w:jc w:val="center"/>
              <w:cnfStyle w:val="000000100000" w:firstRow="0" w:lastRow="0" w:firstColumn="0" w:lastColumn="0" w:oddVBand="0" w:evenVBand="0" w:oddHBand="1" w:evenHBand="0" w:firstRowFirstColumn="0" w:firstRowLastColumn="0" w:lastRowFirstColumn="0" w:lastRowLastColumn="0"/>
              <w:rPr>
                <w:rFonts w:ascii="Tahoma" w:eastAsia="Calibri" w:hAnsi="Tahoma" w:cs="Tahoma"/>
                <w:sz w:val="20"/>
              </w:rPr>
            </w:pPr>
            <w:r w:rsidRPr="00D733EB">
              <w:rPr>
                <w:rFonts w:ascii="Tahoma" w:eastAsia="Calibri" w:hAnsi="Tahoma" w:cs="Tahoma"/>
                <w:sz w:val="20"/>
              </w:rPr>
              <w:t>-</w:t>
            </w:r>
            <w:r w:rsidR="008B4ACC">
              <w:rPr>
                <w:rFonts w:ascii="Tahoma" w:eastAsia="Calibri" w:hAnsi="Tahoma" w:cs="Tahoma"/>
                <w:sz w:val="20"/>
              </w:rPr>
              <w:t>3</w:t>
            </w:r>
            <w:r w:rsidR="00DC14B1" w:rsidRPr="00E84DC2">
              <w:rPr>
                <w:rFonts w:ascii="Tahoma" w:eastAsia="Calibri" w:hAnsi="Tahoma" w:cs="Tahoma"/>
                <w:sz w:val="20"/>
              </w:rPr>
              <w:t>0</w:t>
            </w:r>
          </w:p>
        </w:tc>
        <w:tc>
          <w:tcPr>
            <w:tcW w:w="1408" w:type="dxa"/>
          </w:tcPr>
          <w:p w:rsidR="00D073A3" w:rsidRPr="00E84DC2" w:rsidRDefault="00D733EB" w:rsidP="00D073A3">
            <w:pPr>
              <w:pStyle w:val="EPANormal"/>
              <w:jc w:val="center"/>
              <w:cnfStyle w:val="000000100000" w:firstRow="0" w:lastRow="0" w:firstColumn="0" w:lastColumn="0" w:oddVBand="0" w:evenVBand="0" w:oddHBand="1" w:evenHBand="0" w:firstRowFirstColumn="0" w:firstRowLastColumn="0" w:lastRowFirstColumn="0" w:lastRowLastColumn="0"/>
              <w:rPr>
                <w:rFonts w:ascii="Tahoma" w:eastAsia="Calibri" w:hAnsi="Tahoma" w:cs="Tahoma"/>
                <w:sz w:val="20"/>
              </w:rPr>
            </w:pPr>
            <w:r w:rsidRPr="00D733EB">
              <w:rPr>
                <w:rFonts w:ascii="Tahoma" w:eastAsia="Calibri" w:hAnsi="Tahoma" w:cs="Tahoma"/>
                <w:sz w:val="20"/>
              </w:rPr>
              <w:t>-40</w:t>
            </w:r>
          </w:p>
        </w:tc>
        <w:tc>
          <w:tcPr>
            <w:tcW w:w="1409" w:type="dxa"/>
          </w:tcPr>
          <w:p w:rsidR="00D073A3" w:rsidRPr="00E84DC2" w:rsidRDefault="00D733EB" w:rsidP="002D3215">
            <w:pPr>
              <w:pStyle w:val="EPANormal"/>
              <w:jc w:val="center"/>
              <w:cnfStyle w:val="000000100000" w:firstRow="0" w:lastRow="0" w:firstColumn="0" w:lastColumn="0" w:oddVBand="0" w:evenVBand="0" w:oddHBand="1" w:evenHBand="0" w:firstRowFirstColumn="0" w:firstRowLastColumn="0" w:lastRowFirstColumn="0" w:lastRowLastColumn="0"/>
              <w:rPr>
                <w:rFonts w:ascii="Tahoma" w:eastAsia="Calibri" w:hAnsi="Tahoma" w:cs="Tahoma"/>
                <w:sz w:val="20"/>
              </w:rPr>
            </w:pPr>
            <w:r w:rsidRPr="00D733EB">
              <w:rPr>
                <w:rFonts w:ascii="Tahoma" w:eastAsia="Calibri" w:hAnsi="Tahoma" w:cs="Tahoma"/>
                <w:sz w:val="20"/>
              </w:rPr>
              <w:t>-75</w:t>
            </w:r>
          </w:p>
        </w:tc>
      </w:tr>
      <w:tr w:rsidR="00D073A3" w:rsidRPr="00E84DC2" w:rsidTr="00F452BB">
        <w:tc>
          <w:tcPr>
            <w:cnfStyle w:val="001000000000" w:firstRow="0" w:lastRow="0" w:firstColumn="1" w:lastColumn="0" w:oddVBand="0" w:evenVBand="0" w:oddHBand="0" w:evenHBand="0" w:firstRowFirstColumn="0" w:firstRowLastColumn="0" w:lastRowFirstColumn="0" w:lastRowLastColumn="0"/>
            <w:tcW w:w="2943" w:type="dxa"/>
          </w:tcPr>
          <w:p w:rsidR="00D073A3" w:rsidRPr="00E84DC2" w:rsidRDefault="00D733EB" w:rsidP="00D073A3">
            <w:pPr>
              <w:pStyle w:val="EPANormal"/>
              <w:rPr>
                <w:rFonts w:ascii="Tahoma" w:eastAsia="Calibri" w:hAnsi="Tahoma" w:cs="Tahoma"/>
                <w:sz w:val="20"/>
              </w:rPr>
            </w:pPr>
            <w:r w:rsidRPr="00D733EB">
              <w:rPr>
                <w:rFonts w:ascii="Tahoma" w:eastAsia="Calibri" w:hAnsi="Tahoma" w:cs="Tahoma"/>
                <w:sz w:val="20"/>
              </w:rPr>
              <w:t>TOTAL SCORE (weighted)</w:t>
            </w:r>
          </w:p>
        </w:tc>
        <w:tc>
          <w:tcPr>
            <w:tcW w:w="1418" w:type="dxa"/>
          </w:tcPr>
          <w:p w:rsidR="00D073A3" w:rsidRPr="00E84DC2" w:rsidRDefault="00D733EB" w:rsidP="00D073A3">
            <w:pPr>
              <w:pStyle w:val="EPANormal"/>
              <w:jc w:val="center"/>
              <w:cnfStyle w:val="000000000000" w:firstRow="0" w:lastRow="0" w:firstColumn="0" w:lastColumn="0" w:oddVBand="0" w:evenVBand="0" w:oddHBand="0" w:evenHBand="0" w:firstRowFirstColumn="0" w:firstRowLastColumn="0" w:lastRowFirstColumn="0" w:lastRowLastColumn="0"/>
              <w:rPr>
                <w:rFonts w:ascii="Tahoma" w:eastAsia="Calibri" w:hAnsi="Tahoma" w:cs="Tahoma"/>
                <w:b/>
                <w:sz w:val="20"/>
              </w:rPr>
            </w:pPr>
            <w:r w:rsidRPr="00D733EB">
              <w:rPr>
                <w:rFonts w:ascii="Tahoma" w:eastAsia="Calibri" w:hAnsi="Tahoma" w:cs="Tahoma"/>
                <w:b/>
                <w:sz w:val="20"/>
              </w:rPr>
              <w:t>11</w:t>
            </w:r>
          </w:p>
        </w:tc>
        <w:tc>
          <w:tcPr>
            <w:tcW w:w="1276" w:type="dxa"/>
          </w:tcPr>
          <w:p w:rsidR="00D073A3" w:rsidRPr="00E84DC2" w:rsidRDefault="00D733EB" w:rsidP="00D073A3">
            <w:pPr>
              <w:pStyle w:val="EPANormal"/>
              <w:jc w:val="center"/>
              <w:cnfStyle w:val="000000000000" w:firstRow="0" w:lastRow="0" w:firstColumn="0" w:lastColumn="0" w:oddVBand="0" w:evenVBand="0" w:oddHBand="0" w:evenHBand="0" w:firstRowFirstColumn="0" w:firstRowLastColumn="0" w:lastRowFirstColumn="0" w:lastRowLastColumn="0"/>
              <w:rPr>
                <w:rFonts w:ascii="Tahoma" w:eastAsia="Calibri" w:hAnsi="Tahoma" w:cs="Tahoma"/>
                <w:b/>
                <w:sz w:val="20"/>
              </w:rPr>
            </w:pPr>
            <w:r w:rsidRPr="00D733EB">
              <w:rPr>
                <w:rFonts w:ascii="Tahoma" w:eastAsia="Calibri" w:hAnsi="Tahoma" w:cs="Tahoma"/>
                <w:b/>
                <w:sz w:val="20"/>
              </w:rPr>
              <w:t>8</w:t>
            </w:r>
          </w:p>
        </w:tc>
        <w:tc>
          <w:tcPr>
            <w:tcW w:w="1408" w:type="dxa"/>
          </w:tcPr>
          <w:p w:rsidR="00D073A3" w:rsidRPr="00E84DC2" w:rsidRDefault="00D733EB" w:rsidP="00D073A3">
            <w:pPr>
              <w:pStyle w:val="EPANormal"/>
              <w:jc w:val="center"/>
              <w:cnfStyle w:val="000000000000" w:firstRow="0" w:lastRow="0" w:firstColumn="0" w:lastColumn="0" w:oddVBand="0" w:evenVBand="0" w:oddHBand="0" w:evenHBand="0" w:firstRowFirstColumn="0" w:firstRowLastColumn="0" w:lastRowFirstColumn="0" w:lastRowLastColumn="0"/>
              <w:rPr>
                <w:rFonts w:ascii="Tahoma" w:eastAsia="Calibri" w:hAnsi="Tahoma" w:cs="Tahoma"/>
                <w:b/>
                <w:sz w:val="20"/>
              </w:rPr>
            </w:pPr>
            <w:r w:rsidRPr="00D733EB">
              <w:rPr>
                <w:rFonts w:ascii="Tahoma" w:eastAsia="Calibri" w:hAnsi="Tahoma" w:cs="Tahoma"/>
                <w:b/>
                <w:sz w:val="20"/>
              </w:rPr>
              <w:t>4</w:t>
            </w:r>
          </w:p>
        </w:tc>
        <w:tc>
          <w:tcPr>
            <w:tcW w:w="1409" w:type="dxa"/>
          </w:tcPr>
          <w:p w:rsidR="00D073A3" w:rsidRPr="00E84DC2" w:rsidRDefault="00D733EB" w:rsidP="00D073A3">
            <w:pPr>
              <w:pStyle w:val="EPANormal"/>
              <w:jc w:val="center"/>
              <w:cnfStyle w:val="000000000000" w:firstRow="0" w:lastRow="0" w:firstColumn="0" w:lastColumn="0" w:oddVBand="0" w:evenVBand="0" w:oddHBand="0" w:evenHBand="0" w:firstRowFirstColumn="0" w:firstRowLastColumn="0" w:lastRowFirstColumn="0" w:lastRowLastColumn="0"/>
              <w:rPr>
                <w:rFonts w:ascii="Tahoma" w:eastAsia="Calibri" w:hAnsi="Tahoma" w:cs="Tahoma"/>
                <w:b/>
                <w:sz w:val="20"/>
              </w:rPr>
            </w:pPr>
            <w:r w:rsidRPr="00D733EB">
              <w:rPr>
                <w:rFonts w:ascii="Tahoma" w:eastAsia="Calibri" w:hAnsi="Tahoma" w:cs="Tahoma"/>
                <w:b/>
                <w:sz w:val="20"/>
              </w:rPr>
              <w:t>3.5</w:t>
            </w:r>
          </w:p>
        </w:tc>
      </w:tr>
    </w:tbl>
    <w:p w:rsidR="00D073A3" w:rsidRPr="00E84DC2" w:rsidRDefault="00D073A3" w:rsidP="00E72123">
      <w:pPr>
        <w:rPr>
          <w:rFonts w:ascii="Tahoma" w:eastAsia="Times New Roman" w:hAnsi="Tahoma" w:cs="Tahoma"/>
          <w:sz w:val="22"/>
          <w:szCs w:val="22"/>
          <w:lang w:val="en-AU"/>
        </w:rPr>
      </w:pPr>
    </w:p>
    <w:p w:rsidR="00E72123" w:rsidRPr="00E84DC2" w:rsidRDefault="00D733EB" w:rsidP="00E72123">
      <w:pPr>
        <w:rPr>
          <w:rFonts w:ascii="Tahoma" w:eastAsia="Times New Roman" w:hAnsi="Tahoma" w:cs="Tahoma"/>
          <w:b/>
          <w:sz w:val="28"/>
          <w:szCs w:val="28"/>
          <w:lang w:val="en-AU"/>
        </w:rPr>
      </w:pPr>
      <w:r w:rsidRPr="00D733EB">
        <w:rPr>
          <w:rFonts w:ascii="Tahoma" w:eastAsia="Times New Roman" w:hAnsi="Tahoma" w:cs="Tahoma"/>
          <w:b/>
          <w:sz w:val="28"/>
          <w:szCs w:val="28"/>
          <w:lang w:val="en-AU"/>
        </w:rPr>
        <w:t xml:space="preserve">Public consultation </w:t>
      </w:r>
    </w:p>
    <w:p w:rsidR="00A96F7D" w:rsidRPr="00E84DC2" w:rsidRDefault="00A96F7D" w:rsidP="00E72123">
      <w:pPr>
        <w:rPr>
          <w:rFonts w:ascii="Tahoma" w:eastAsia="Times New Roman" w:hAnsi="Tahoma" w:cs="Tahoma"/>
          <w:sz w:val="22"/>
          <w:szCs w:val="22"/>
          <w:lang w:val="en-AU"/>
        </w:rPr>
      </w:pPr>
    </w:p>
    <w:p w:rsidR="00812077" w:rsidRPr="00E84DC2" w:rsidRDefault="00D733EB" w:rsidP="00E72123">
      <w:pPr>
        <w:rPr>
          <w:rFonts w:ascii="Tahoma" w:eastAsia="Times New Roman" w:hAnsi="Tahoma" w:cs="Tahoma"/>
          <w:sz w:val="22"/>
          <w:szCs w:val="22"/>
          <w:lang w:val="en-AU"/>
        </w:rPr>
      </w:pPr>
      <w:r w:rsidRPr="00D733EB">
        <w:rPr>
          <w:rFonts w:ascii="Tahoma" w:eastAsia="Times New Roman" w:hAnsi="Tahoma" w:cs="Tahoma"/>
          <w:sz w:val="22"/>
          <w:szCs w:val="22"/>
          <w:lang w:val="en-AU"/>
        </w:rPr>
        <w:t>The development of the proposed Regulations has followed extensive consultation over a number of years with local councils and other key stakeholders. The assessed impact of the proposed Regulations has largely drawn on feedback from local councils, particularly in terms of the reporting burden they are likely to impose.</w:t>
      </w:r>
    </w:p>
    <w:p w:rsidR="00B712F2" w:rsidRPr="00E84DC2" w:rsidRDefault="00B712F2" w:rsidP="00E72123">
      <w:pPr>
        <w:rPr>
          <w:rFonts w:ascii="Tahoma" w:eastAsia="Times New Roman" w:hAnsi="Tahoma" w:cs="Tahoma"/>
          <w:sz w:val="22"/>
          <w:szCs w:val="22"/>
          <w:lang w:val="en-AU"/>
        </w:rPr>
      </w:pPr>
    </w:p>
    <w:p w:rsidR="00812077" w:rsidRPr="00E84DC2" w:rsidRDefault="00D733EB" w:rsidP="00812077">
      <w:pPr>
        <w:rPr>
          <w:rFonts w:ascii="Tahoma" w:eastAsia="Times New Roman" w:hAnsi="Tahoma" w:cs="Tahoma"/>
          <w:sz w:val="22"/>
          <w:szCs w:val="22"/>
          <w:lang w:val="en-AU"/>
        </w:rPr>
      </w:pPr>
      <w:r w:rsidRPr="00D733EB">
        <w:rPr>
          <w:rFonts w:ascii="Tahoma" w:eastAsia="Times New Roman" w:hAnsi="Tahoma" w:cs="Tahoma"/>
          <w:sz w:val="22"/>
          <w:szCs w:val="22"/>
          <w:lang w:val="en-AU"/>
        </w:rPr>
        <w:t xml:space="preserve">A primary function of the RIS process is to allow members of the public to comment on the proposed Regulations before they are finalised. Public input provides valuable information and perspectives and improves the overall quality of regulations. Accordingly, feedback on the proposed Regulations is welcomed and encouraged. </w:t>
      </w:r>
    </w:p>
    <w:p w:rsidR="00812077" w:rsidRPr="00E84DC2" w:rsidRDefault="00812077" w:rsidP="00E72123">
      <w:pPr>
        <w:rPr>
          <w:rFonts w:ascii="Tahoma" w:eastAsia="Times New Roman" w:hAnsi="Tahoma" w:cs="Tahoma"/>
          <w:b/>
          <w:sz w:val="28"/>
          <w:szCs w:val="28"/>
          <w:lang w:val="en-AU"/>
        </w:rPr>
      </w:pPr>
    </w:p>
    <w:p w:rsidR="0035251B" w:rsidRPr="00E84DC2" w:rsidRDefault="00DC14B1" w:rsidP="004C64AD">
      <w:pPr>
        <w:rPr>
          <w:rFonts w:ascii="Tahoma" w:eastAsia="Times New Roman" w:hAnsi="Tahoma" w:cs="Tahoma"/>
          <w:sz w:val="22"/>
          <w:szCs w:val="22"/>
          <w:lang w:val="en-AU"/>
        </w:rPr>
      </w:pPr>
      <w:r w:rsidRPr="00E84DC2">
        <w:rPr>
          <w:rFonts w:ascii="Tahoma" w:eastAsia="Times New Roman" w:hAnsi="Tahoma" w:cs="Tahoma"/>
          <w:sz w:val="22"/>
          <w:szCs w:val="22"/>
          <w:lang w:val="en-AU"/>
        </w:rPr>
        <w:t xml:space="preserve">The </w:t>
      </w:r>
      <w:r w:rsidRPr="00E84DC2">
        <w:rPr>
          <w:rFonts w:ascii="Tahoma" w:eastAsia="Times New Roman" w:hAnsi="Tahoma" w:cs="Tahoma"/>
          <w:i/>
          <w:sz w:val="22"/>
          <w:szCs w:val="22"/>
          <w:lang w:val="en-AU"/>
        </w:rPr>
        <w:t>Subordinate Legislation Act 1994</w:t>
      </w:r>
      <w:r w:rsidRPr="00E84DC2">
        <w:rPr>
          <w:rFonts w:ascii="Tahoma" w:eastAsia="Times New Roman" w:hAnsi="Tahoma" w:cs="Tahoma"/>
          <w:sz w:val="22"/>
          <w:szCs w:val="22"/>
          <w:lang w:val="en-AU"/>
        </w:rPr>
        <w:t xml:space="preserve"> requires that the public be given at least 28 days to provide comments or submissions regarding the proposed Regulations. The consultation period for this RIS will </w:t>
      </w:r>
      <w:r w:rsidR="00D733EB" w:rsidRPr="00D733EB">
        <w:rPr>
          <w:rFonts w:ascii="Tahoma" w:eastAsia="Times New Roman" w:hAnsi="Tahoma" w:cs="Tahoma"/>
          <w:sz w:val="22"/>
          <w:szCs w:val="22"/>
          <w:lang w:val="en-AU"/>
        </w:rPr>
        <w:t>be 28 days, with written comments required by no later than 5.00pm</w:t>
      </w:r>
      <w:r w:rsidR="00D733EB" w:rsidRPr="00D12D1B">
        <w:rPr>
          <w:rFonts w:ascii="Tahoma" w:eastAsia="Times New Roman" w:hAnsi="Tahoma" w:cs="Tahoma"/>
          <w:sz w:val="22"/>
          <w:szCs w:val="22"/>
          <w:lang w:val="en-AU"/>
        </w:rPr>
        <w:t xml:space="preserve">, </w:t>
      </w:r>
      <w:r w:rsidR="00A60A9F">
        <w:rPr>
          <w:rFonts w:ascii="Tahoma" w:eastAsia="Times New Roman" w:hAnsi="Tahoma" w:cs="Tahoma"/>
          <w:sz w:val="22"/>
          <w:szCs w:val="22"/>
          <w:lang w:val="en-AU"/>
        </w:rPr>
        <w:t>Wednesday</w:t>
      </w:r>
      <w:r w:rsidR="00A60A9F" w:rsidRPr="00633927">
        <w:rPr>
          <w:rFonts w:ascii="Tahoma" w:eastAsia="Times New Roman" w:hAnsi="Tahoma" w:cs="Tahoma"/>
          <w:sz w:val="22"/>
          <w:szCs w:val="22"/>
          <w:lang w:val="en-AU"/>
        </w:rPr>
        <w:t xml:space="preserve"> </w:t>
      </w:r>
      <w:r w:rsidR="00633927" w:rsidRPr="00633927">
        <w:rPr>
          <w:rFonts w:ascii="Tahoma" w:eastAsia="Times New Roman" w:hAnsi="Tahoma" w:cs="Tahoma"/>
          <w:sz w:val="22"/>
          <w:szCs w:val="22"/>
          <w:lang w:val="en-AU"/>
        </w:rPr>
        <w:t>1</w:t>
      </w:r>
      <w:r w:rsidR="00A60A9F">
        <w:rPr>
          <w:rFonts w:ascii="Tahoma" w:eastAsia="Times New Roman" w:hAnsi="Tahoma" w:cs="Tahoma"/>
          <w:sz w:val="22"/>
          <w:szCs w:val="22"/>
          <w:lang w:val="en-AU"/>
        </w:rPr>
        <w:t>9</w:t>
      </w:r>
      <w:r w:rsidR="00633927" w:rsidRPr="00633927">
        <w:rPr>
          <w:rFonts w:ascii="Tahoma" w:eastAsia="Times New Roman" w:hAnsi="Tahoma" w:cs="Tahoma"/>
          <w:sz w:val="22"/>
          <w:szCs w:val="22"/>
          <w:lang w:val="en-AU"/>
        </w:rPr>
        <w:t xml:space="preserve"> March</w:t>
      </w:r>
      <w:r w:rsidR="00D733EB" w:rsidRPr="00D733EB">
        <w:rPr>
          <w:rFonts w:ascii="Tahoma" w:eastAsia="Times New Roman" w:hAnsi="Tahoma" w:cs="Tahoma"/>
          <w:sz w:val="22"/>
          <w:szCs w:val="22"/>
          <w:lang w:val="en-AU"/>
        </w:rPr>
        <w:t xml:space="preserve"> 2014.</w:t>
      </w:r>
    </w:p>
    <w:p w:rsidR="009C7151" w:rsidRPr="00E84DC2" w:rsidRDefault="009C7151" w:rsidP="004C64AD">
      <w:pPr>
        <w:rPr>
          <w:rFonts w:ascii="Tahoma" w:eastAsia="Times New Roman" w:hAnsi="Tahoma" w:cs="Tahoma"/>
          <w:sz w:val="22"/>
          <w:szCs w:val="22"/>
          <w:lang w:val="en-AU"/>
        </w:rPr>
      </w:pPr>
    </w:p>
    <w:p w:rsidR="009C7151" w:rsidRPr="00E84DC2" w:rsidRDefault="009C7151" w:rsidP="004C64AD">
      <w:pPr>
        <w:rPr>
          <w:rFonts w:ascii="Tahoma" w:eastAsia="Times New Roman" w:hAnsi="Tahoma" w:cs="Tahoma"/>
          <w:sz w:val="22"/>
          <w:szCs w:val="22"/>
          <w:lang w:val="en-AU"/>
        </w:rPr>
      </w:pPr>
    </w:p>
    <w:p w:rsidR="00370858" w:rsidRPr="00E84DC2" w:rsidRDefault="00D733EB">
      <w:pPr>
        <w:jc w:val="center"/>
        <w:rPr>
          <w:rFonts w:ascii="Tahoma" w:hAnsi="Tahoma" w:cs="Tahoma"/>
          <w:lang w:val="en-AU"/>
        </w:rPr>
      </w:pPr>
      <w:r w:rsidRPr="00D733EB">
        <w:rPr>
          <w:rFonts w:ascii="Tahoma" w:eastAsia="Times New Roman" w:hAnsi="Tahoma" w:cs="Tahoma"/>
          <w:sz w:val="22"/>
          <w:szCs w:val="22"/>
          <w:lang w:val="en-AU"/>
        </w:rPr>
        <w:t>_________________________________</w:t>
      </w:r>
    </w:p>
    <w:p w:rsidR="004E4A33" w:rsidRPr="00E84DC2" w:rsidRDefault="004E4A33" w:rsidP="00C85DE9">
      <w:pPr>
        <w:rPr>
          <w:rFonts w:ascii="Tahoma" w:eastAsia="Times New Roman" w:hAnsi="Tahoma" w:cs="Tahoma"/>
          <w:sz w:val="22"/>
          <w:szCs w:val="22"/>
          <w:lang w:val="en-AU"/>
        </w:rPr>
        <w:sectPr w:rsidR="004E4A33" w:rsidRPr="00E84DC2" w:rsidSect="00397058">
          <w:headerReference w:type="default" r:id="rId18"/>
          <w:footerReference w:type="default" r:id="rId19"/>
          <w:headerReference w:type="first" r:id="rId20"/>
          <w:footerReference w:type="first" r:id="rId21"/>
          <w:pgSz w:w="11900" w:h="16840"/>
          <w:pgMar w:top="1440" w:right="1800" w:bottom="1440" w:left="1800" w:header="708" w:footer="708" w:gutter="0"/>
          <w:pgNumType w:fmt="lowerRoman" w:start="1"/>
          <w:cols w:space="708"/>
          <w:titlePg/>
          <w:docGrid w:linePitch="360"/>
        </w:sectPr>
      </w:pPr>
    </w:p>
    <w:p w:rsidR="004E4A33" w:rsidRPr="00E84DC2" w:rsidRDefault="00DC14B1" w:rsidP="00E84CE8">
      <w:pPr>
        <w:pStyle w:val="Heading1"/>
      </w:pPr>
      <w:bookmarkStart w:id="2" w:name="_Toc379878648"/>
      <w:r w:rsidRPr="00E84DC2">
        <w:lastRenderedPageBreak/>
        <w:t>INTRODUCTION</w:t>
      </w:r>
      <w:bookmarkEnd w:id="2"/>
    </w:p>
    <w:p w:rsidR="00A561D8" w:rsidRPr="00E84DC2" w:rsidRDefault="00D733EB" w:rsidP="00E84CE8">
      <w:pPr>
        <w:pStyle w:val="Heading2"/>
      </w:pPr>
      <w:bookmarkStart w:id="3" w:name="_Toc379878649"/>
      <w:r w:rsidRPr="00D733EB">
        <w:t>Regulation of local government</w:t>
      </w:r>
      <w:bookmarkEnd w:id="3"/>
    </w:p>
    <w:p w:rsidR="00A561D8" w:rsidRPr="00E84DC2" w:rsidRDefault="00A561D8" w:rsidP="00A561D8">
      <w:pPr>
        <w:rPr>
          <w:rFonts w:ascii="Tahoma" w:eastAsia="Times New Roman" w:hAnsi="Tahoma" w:cs="Tahoma"/>
          <w:sz w:val="22"/>
          <w:szCs w:val="22"/>
          <w:lang w:val="en-AU"/>
        </w:rPr>
      </w:pPr>
    </w:p>
    <w:p w:rsidR="007A0DBA" w:rsidRPr="00E84DC2" w:rsidRDefault="00D733EB" w:rsidP="00625AF3">
      <w:pPr>
        <w:rPr>
          <w:rFonts w:ascii="Tahoma" w:eastAsia="Times New Roman" w:hAnsi="Tahoma" w:cs="Tahoma"/>
          <w:sz w:val="22"/>
          <w:szCs w:val="22"/>
          <w:lang w:val="en-AU"/>
        </w:rPr>
      </w:pPr>
      <w:r w:rsidRPr="00D733EB">
        <w:rPr>
          <w:rFonts w:ascii="Tahoma" w:eastAsia="Times New Roman" w:hAnsi="Tahoma" w:cs="Tahoma"/>
          <w:sz w:val="22"/>
          <w:szCs w:val="22"/>
          <w:lang w:val="en-AU"/>
        </w:rPr>
        <w:t xml:space="preserve">The Victorian </w:t>
      </w:r>
      <w:r w:rsidRPr="00D733EB">
        <w:rPr>
          <w:rFonts w:ascii="Tahoma" w:eastAsia="Times New Roman" w:hAnsi="Tahoma" w:cs="Tahoma"/>
          <w:i/>
          <w:sz w:val="22"/>
          <w:szCs w:val="22"/>
          <w:lang w:val="en-AU"/>
        </w:rPr>
        <w:t xml:space="preserve">Constitution Act 1975 </w:t>
      </w:r>
      <w:r w:rsidRPr="00D733EB">
        <w:rPr>
          <w:rFonts w:ascii="Tahoma" w:eastAsia="Times New Roman" w:hAnsi="Tahoma" w:cs="Tahoma"/>
          <w:sz w:val="22"/>
          <w:szCs w:val="22"/>
          <w:lang w:val="en-AU"/>
        </w:rPr>
        <w:t xml:space="preserve">recognises local government as a distinct and essential tier of government consisting of democratically elected councils having the functions and powers necessary to ensure the peace, order and good government of each municipal district. </w:t>
      </w:r>
    </w:p>
    <w:p w:rsidR="007A0DBA" w:rsidRPr="00E84DC2" w:rsidRDefault="007A0DBA" w:rsidP="00625AF3">
      <w:pPr>
        <w:rPr>
          <w:rFonts w:ascii="Tahoma" w:eastAsia="Times New Roman" w:hAnsi="Tahoma" w:cs="Tahoma"/>
          <w:sz w:val="22"/>
          <w:szCs w:val="22"/>
          <w:lang w:val="en-AU"/>
        </w:rPr>
      </w:pPr>
    </w:p>
    <w:p w:rsidR="00625AF3" w:rsidRPr="00E84DC2" w:rsidRDefault="00D733EB" w:rsidP="00625AF3">
      <w:pPr>
        <w:rPr>
          <w:rFonts w:ascii="Tahoma" w:eastAsia="Times New Roman" w:hAnsi="Tahoma" w:cs="Tahoma"/>
          <w:sz w:val="22"/>
          <w:szCs w:val="22"/>
          <w:lang w:val="en-AU"/>
        </w:rPr>
      </w:pPr>
      <w:r w:rsidRPr="00D733EB">
        <w:rPr>
          <w:rFonts w:ascii="Tahoma" w:eastAsia="Times New Roman" w:hAnsi="Tahoma" w:cs="Tahoma"/>
          <w:sz w:val="22"/>
          <w:szCs w:val="22"/>
          <w:lang w:val="en-AU"/>
        </w:rPr>
        <w:t xml:space="preserve">The Victorian Government has an important role in overseeing an effective system of local government, with a key focus being on setting the right the legislative frameworks in which local government operates. While administered under the </w:t>
      </w:r>
      <w:r w:rsidRPr="00D733EB">
        <w:rPr>
          <w:rFonts w:ascii="Tahoma" w:eastAsia="Times New Roman" w:hAnsi="Tahoma" w:cs="Tahoma"/>
          <w:i/>
          <w:iCs/>
          <w:sz w:val="22"/>
          <w:szCs w:val="22"/>
          <w:lang w:val="en-AU"/>
        </w:rPr>
        <w:t>Local Government Act 1989</w:t>
      </w:r>
      <w:r w:rsidRPr="00D733EB">
        <w:rPr>
          <w:rFonts w:ascii="Tahoma" w:eastAsia="Times New Roman" w:hAnsi="Tahoma" w:cs="Tahoma"/>
          <w:iCs/>
          <w:sz w:val="22"/>
          <w:szCs w:val="22"/>
          <w:lang w:val="en-AU"/>
        </w:rPr>
        <w:t xml:space="preserve"> (the Act)</w:t>
      </w:r>
      <w:r w:rsidRPr="00D733EB">
        <w:rPr>
          <w:rFonts w:ascii="Tahoma" w:eastAsia="Times New Roman" w:hAnsi="Tahoma" w:cs="Tahoma"/>
          <w:sz w:val="22"/>
          <w:szCs w:val="22"/>
          <w:lang w:val="en-AU"/>
        </w:rPr>
        <w:t>, each council operates autonomously and is directly accountable to its constituents.</w:t>
      </w:r>
    </w:p>
    <w:p w:rsidR="00E61454" w:rsidRPr="00E84DC2" w:rsidRDefault="00E61454" w:rsidP="00D76BE7">
      <w:pPr>
        <w:rPr>
          <w:rFonts w:ascii="Tahoma" w:eastAsia="Times New Roman" w:hAnsi="Tahoma" w:cs="Tahoma"/>
          <w:sz w:val="22"/>
          <w:szCs w:val="22"/>
          <w:lang w:val="en-AU"/>
        </w:rPr>
      </w:pPr>
    </w:p>
    <w:p w:rsidR="002F66CC" w:rsidRPr="00E84DC2" w:rsidRDefault="00D733EB" w:rsidP="002F66CC">
      <w:pPr>
        <w:rPr>
          <w:rFonts w:ascii="Tahoma" w:eastAsia="Times New Roman" w:hAnsi="Tahoma" w:cs="Tahoma"/>
          <w:sz w:val="22"/>
          <w:szCs w:val="22"/>
          <w:lang w:val="en-AU"/>
        </w:rPr>
      </w:pPr>
      <w:r w:rsidRPr="00D733EB">
        <w:rPr>
          <w:rFonts w:ascii="Tahoma" w:eastAsia="Times New Roman" w:hAnsi="Tahoma" w:cs="Tahoma"/>
          <w:sz w:val="22"/>
          <w:szCs w:val="22"/>
          <w:lang w:val="en-AU"/>
        </w:rPr>
        <w:t xml:space="preserve">The local government sector in Victoria comprises 79 area-based, representative governments with a legislative responsibility to manage local issues and plan for their community’s needs.  </w:t>
      </w:r>
    </w:p>
    <w:p w:rsidR="002F66CC" w:rsidRPr="00E84DC2" w:rsidRDefault="002F66CC" w:rsidP="002F66CC">
      <w:pPr>
        <w:rPr>
          <w:rFonts w:ascii="Tahoma" w:eastAsia="Times New Roman" w:hAnsi="Tahoma" w:cs="Tahoma"/>
          <w:sz w:val="22"/>
          <w:szCs w:val="22"/>
          <w:lang w:val="en-AU"/>
        </w:rPr>
      </w:pPr>
    </w:p>
    <w:p w:rsidR="003A23AA" w:rsidRPr="00E84DC2" w:rsidRDefault="00D733EB" w:rsidP="00B0093D">
      <w:pPr>
        <w:rPr>
          <w:rFonts w:ascii="Tahoma" w:hAnsi="Tahoma" w:cs="Tahoma"/>
          <w:sz w:val="22"/>
          <w:szCs w:val="22"/>
        </w:rPr>
      </w:pPr>
      <w:r w:rsidRPr="00D733EB">
        <w:rPr>
          <w:rFonts w:ascii="Tahoma" w:hAnsi="Tahoma" w:cs="Tahoma"/>
          <w:sz w:val="22"/>
          <w:szCs w:val="22"/>
        </w:rPr>
        <w:t>Under the Local Government Charter set out in the Act, the primary objective of local councils is to endeavour to achieve the best outcomes for the local community having regard to the long-term and cumulative effects of decisions. In seeking to achieve its primary objective, a council must seek to ensure transparency and accountability in Council decision making.</w:t>
      </w:r>
      <w:r w:rsidR="00DC14B1" w:rsidRPr="00E84DC2">
        <w:rPr>
          <w:rStyle w:val="FootnoteReference"/>
          <w:rFonts w:ascii="Tahoma" w:hAnsi="Tahoma" w:cs="Tahoma"/>
          <w:sz w:val="22"/>
          <w:szCs w:val="22"/>
        </w:rPr>
        <w:footnoteReference w:id="9"/>
      </w:r>
      <w:r w:rsidR="00DC14B1" w:rsidRPr="00E84DC2">
        <w:rPr>
          <w:rFonts w:ascii="Tahoma" w:hAnsi="Tahoma" w:cs="Tahoma"/>
          <w:sz w:val="22"/>
          <w:szCs w:val="22"/>
        </w:rPr>
        <w:t xml:space="preserve"> </w:t>
      </w:r>
    </w:p>
    <w:p w:rsidR="003A23AA" w:rsidRPr="00E84DC2" w:rsidRDefault="003A23AA" w:rsidP="002F2159">
      <w:pPr>
        <w:rPr>
          <w:rFonts w:ascii="Tahoma" w:hAnsi="Tahoma" w:cs="Tahoma"/>
          <w:sz w:val="22"/>
          <w:szCs w:val="22"/>
        </w:rPr>
      </w:pPr>
    </w:p>
    <w:p w:rsidR="0056588A" w:rsidRPr="00E84DC2" w:rsidRDefault="00D733EB" w:rsidP="00A561D8">
      <w:pPr>
        <w:rPr>
          <w:rFonts w:ascii="Tahoma" w:eastAsia="Times New Roman" w:hAnsi="Tahoma" w:cs="Tahoma"/>
          <w:sz w:val="22"/>
          <w:szCs w:val="22"/>
          <w:lang w:val="en-AU"/>
        </w:rPr>
      </w:pPr>
      <w:r w:rsidRPr="00D733EB">
        <w:rPr>
          <w:rFonts w:ascii="Tahoma" w:eastAsia="Times New Roman" w:hAnsi="Tahoma" w:cs="Tahoma"/>
          <w:sz w:val="22"/>
          <w:szCs w:val="22"/>
          <w:lang w:val="en-AU"/>
        </w:rPr>
        <w:t>Part 6 of the Act sets out a number of planning and accountability reports required to be prepared by councils, which include:</w:t>
      </w:r>
    </w:p>
    <w:p w:rsidR="00370858" w:rsidRPr="00E84DC2" w:rsidRDefault="00D733EB">
      <w:pPr>
        <w:pStyle w:val="ListParagraph"/>
        <w:rPr>
          <w:rFonts w:ascii="Tahoma" w:hAnsi="Tahoma" w:cs="Tahoma"/>
          <w:lang w:val="en-AU"/>
        </w:rPr>
      </w:pPr>
      <w:r w:rsidRPr="00D733EB">
        <w:rPr>
          <w:rFonts w:ascii="Tahoma" w:hAnsi="Tahoma" w:cs="Tahoma"/>
          <w:lang w:val="en-AU"/>
        </w:rPr>
        <w:t>a council plan</w:t>
      </w:r>
      <w:r w:rsidR="008B4ACC">
        <w:rPr>
          <w:rFonts w:ascii="Tahoma" w:hAnsi="Tahoma" w:cs="Tahoma"/>
          <w:lang w:val="en-AU"/>
        </w:rPr>
        <w:t>;</w:t>
      </w:r>
    </w:p>
    <w:p w:rsidR="00370858" w:rsidRPr="00E84DC2" w:rsidRDefault="00DC14B1">
      <w:pPr>
        <w:pStyle w:val="ListParagraph"/>
        <w:rPr>
          <w:rFonts w:ascii="Tahoma" w:hAnsi="Tahoma" w:cs="Tahoma"/>
          <w:lang w:val="en-AU"/>
        </w:rPr>
      </w:pPr>
      <w:r w:rsidRPr="00E84DC2">
        <w:rPr>
          <w:rFonts w:ascii="Tahoma" w:hAnsi="Tahoma" w:cs="Tahoma"/>
          <w:lang w:val="en-AU"/>
        </w:rPr>
        <w:t>a strategic resource plan</w:t>
      </w:r>
      <w:r w:rsidR="008B4ACC">
        <w:rPr>
          <w:rFonts w:ascii="Tahoma" w:hAnsi="Tahoma" w:cs="Tahoma"/>
          <w:lang w:val="en-AU"/>
        </w:rPr>
        <w:t>;</w:t>
      </w:r>
    </w:p>
    <w:p w:rsidR="00370858" w:rsidRPr="00E84DC2" w:rsidRDefault="00DC14B1">
      <w:pPr>
        <w:pStyle w:val="ListParagraph"/>
        <w:rPr>
          <w:rFonts w:ascii="Tahoma" w:hAnsi="Tahoma" w:cs="Tahoma"/>
          <w:lang w:val="en-AU"/>
        </w:rPr>
      </w:pPr>
      <w:r w:rsidRPr="00E84DC2">
        <w:rPr>
          <w:rFonts w:ascii="Tahoma" w:hAnsi="Tahoma" w:cs="Tahoma"/>
          <w:lang w:val="en-AU"/>
        </w:rPr>
        <w:t>an annual budget</w:t>
      </w:r>
      <w:r w:rsidR="008B4ACC">
        <w:rPr>
          <w:rFonts w:ascii="Tahoma" w:hAnsi="Tahoma" w:cs="Tahoma"/>
          <w:lang w:val="en-AU"/>
        </w:rPr>
        <w:t>; and</w:t>
      </w:r>
    </w:p>
    <w:p w:rsidR="00370858" w:rsidRPr="00E84DC2" w:rsidRDefault="00D733EB">
      <w:pPr>
        <w:pStyle w:val="ListParagraph"/>
        <w:rPr>
          <w:rFonts w:ascii="Tahoma" w:hAnsi="Tahoma" w:cs="Tahoma"/>
          <w:lang w:val="en-AU"/>
        </w:rPr>
      </w:pPr>
      <w:r w:rsidRPr="00D733EB">
        <w:rPr>
          <w:rFonts w:ascii="Tahoma" w:hAnsi="Tahoma" w:cs="Tahoma"/>
          <w:lang w:val="en-AU"/>
        </w:rPr>
        <w:t>an annual report.</w:t>
      </w:r>
    </w:p>
    <w:p w:rsidR="00370858" w:rsidRPr="00E84DC2" w:rsidRDefault="00370858">
      <w:pPr>
        <w:pStyle w:val="ListParagraph"/>
        <w:numPr>
          <w:ilvl w:val="0"/>
          <w:numId w:val="0"/>
        </w:numPr>
        <w:ind w:left="765"/>
        <w:rPr>
          <w:rFonts w:ascii="Tahoma" w:hAnsi="Tahoma" w:cs="Tahoma"/>
          <w:lang w:val="en-AU"/>
        </w:rPr>
      </w:pPr>
    </w:p>
    <w:p w:rsidR="00450549" w:rsidRPr="00E84DC2" w:rsidRDefault="00D733EB" w:rsidP="00A561D8">
      <w:pPr>
        <w:rPr>
          <w:rFonts w:ascii="Tahoma" w:eastAsia="Times New Roman" w:hAnsi="Tahoma" w:cs="Tahoma"/>
          <w:sz w:val="22"/>
          <w:szCs w:val="22"/>
          <w:lang w:val="en-AU"/>
        </w:rPr>
      </w:pPr>
      <w:r w:rsidRPr="00D733EB">
        <w:rPr>
          <w:rFonts w:ascii="Tahoma" w:eastAsia="Times New Roman" w:hAnsi="Tahoma" w:cs="Tahoma"/>
          <w:sz w:val="22"/>
          <w:szCs w:val="22"/>
          <w:lang w:val="en-AU"/>
        </w:rPr>
        <w:t xml:space="preserve">The required content of these reports is largely set out in Part 6 of the Act with further information required prescribed in the </w:t>
      </w:r>
      <w:r w:rsidRPr="00D733EB">
        <w:rPr>
          <w:rFonts w:ascii="Tahoma" w:eastAsia="Times New Roman" w:hAnsi="Tahoma" w:cs="Tahoma"/>
          <w:i/>
          <w:sz w:val="22"/>
          <w:szCs w:val="22"/>
          <w:lang w:val="en-AU"/>
        </w:rPr>
        <w:t>Local Government (Finance and Reporting) Regulations 2004</w:t>
      </w:r>
      <w:r w:rsidRPr="00D733EB">
        <w:rPr>
          <w:rFonts w:ascii="Tahoma" w:eastAsia="Times New Roman" w:hAnsi="Tahoma" w:cs="Tahoma"/>
          <w:sz w:val="22"/>
          <w:szCs w:val="22"/>
          <w:lang w:val="en-AU"/>
        </w:rPr>
        <w:t xml:space="preserve"> (the current Regulations). </w:t>
      </w:r>
      <w:r w:rsidRPr="00D733EB">
        <w:rPr>
          <w:rFonts w:ascii="Tahoma" w:eastAsia="Calibri" w:hAnsi="Tahoma" w:cs="Tahoma"/>
          <w:sz w:val="22"/>
          <w:szCs w:val="22"/>
        </w:rPr>
        <w:t>The current Regulations have been in place, with some minor amendments, since 2004 and are due to</w:t>
      </w:r>
      <w:r w:rsidRPr="00D733EB">
        <w:rPr>
          <w:rFonts w:ascii="Tahoma" w:eastAsia="Times New Roman" w:hAnsi="Tahoma" w:cs="Tahoma"/>
          <w:sz w:val="22"/>
          <w:szCs w:val="22"/>
          <w:lang w:val="en-AU"/>
        </w:rPr>
        <w:t xml:space="preserve"> sunset on 20 April 2014. New regulations are proposed.</w:t>
      </w:r>
    </w:p>
    <w:p w:rsidR="00EE27F4" w:rsidRPr="00E84DC2" w:rsidRDefault="00EE27F4" w:rsidP="00A561D8">
      <w:pPr>
        <w:rPr>
          <w:rFonts w:ascii="Tahoma" w:eastAsia="Times New Roman" w:hAnsi="Tahoma" w:cs="Tahoma"/>
          <w:sz w:val="22"/>
          <w:szCs w:val="22"/>
          <w:lang w:val="en-AU"/>
        </w:rPr>
      </w:pPr>
    </w:p>
    <w:p w:rsidR="003A23AA" w:rsidRPr="00E84DC2" w:rsidRDefault="00D733EB" w:rsidP="002801C4">
      <w:pPr>
        <w:pStyle w:val="EPANormal"/>
        <w:rPr>
          <w:rFonts w:ascii="Tahoma" w:eastAsia="Calibri" w:hAnsi="Tahoma" w:cs="Tahoma"/>
          <w:sz w:val="22"/>
          <w:szCs w:val="22"/>
        </w:rPr>
      </w:pPr>
      <w:r w:rsidRPr="00D733EB">
        <w:rPr>
          <w:rFonts w:ascii="Tahoma" w:eastAsia="Calibri" w:hAnsi="Tahoma" w:cs="Tahoma"/>
          <w:sz w:val="22"/>
          <w:szCs w:val="22"/>
        </w:rPr>
        <w:t>A number of reviews in recent years have identified that the planning and accountability framework for local government has slipped from being best practice. In April 2012, the Victorian Auditor-General</w:t>
      </w:r>
      <w:r w:rsidR="008B4ACC">
        <w:rPr>
          <w:rFonts w:ascii="Tahoma" w:eastAsia="Calibri" w:hAnsi="Tahoma" w:cs="Tahoma"/>
          <w:sz w:val="22"/>
          <w:szCs w:val="22"/>
        </w:rPr>
        <w:t>’s Office (VAGO)</w:t>
      </w:r>
      <w:r w:rsidR="00DC14B1" w:rsidRPr="00E84DC2">
        <w:rPr>
          <w:rFonts w:ascii="Tahoma" w:eastAsia="Calibri" w:hAnsi="Tahoma" w:cs="Tahoma"/>
          <w:sz w:val="22"/>
          <w:szCs w:val="22"/>
        </w:rPr>
        <w:t xml:space="preserve"> recommended that regulations be developed to establish minimum standards for the form and content of performance statements of local councils.</w:t>
      </w:r>
      <w:r w:rsidR="00DC14B1" w:rsidRPr="00E84DC2">
        <w:rPr>
          <w:rFonts w:ascii="Tahoma" w:eastAsia="Calibri" w:hAnsi="Tahoma" w:cs="Tahoma"/>
          <w:sz w:val="22"/>
          <w:szCs w:val="22"/>
          <w:vertAlign w:val="superscript"/>
        </w:rPr>
        <w:footnoteReference w:id="10"/>
      </w:r>
    </w:p>
    <w:p w:rsidR="00E5162C" w:rsidRPr="00E84DC2" w:rsidRDefault="00E5162C" w:rsidP="00A561D8">
      <w:pPr>
        <w:rPr>
          <w:rFonts w:ascii="Tahoma" w:eastAsia="Times New Roman" w:hAnsi="Tahoma" w:cs="Tahoma"/>
          <w:sz w:val="22"/>
          <w:szCs w:val="22"/>
          <w:lang w:val="en-AU"/>
        </w:rPr>
      </w:pPr>
    </w:p>
    <w:p w:rsidR="00E62805" w:rsidRPr="00E84DC2" w:rsidRDefault="00D733EB" w:rsidP="00A561D8">
      <w:pPr>
        <w:rPr>
          <w:rFonts w:ascii="Tahoma" w:eastAsia="Times New Roman" w:hAnsi="Tahoma" w:cs="Tahoma"/>
          <w:sz w:val="22"/>
          <w:szCs w:val="22"/>
          <w:lang w:val="en-AU"/>
        </w:rPr>
      </w:pPr>
      <w:r w:rsidRPr="00D733EB">
        <w:rPr>
          <w:rFonts w:ascii="Tahoma" w:eastAsia="Times New Roman" w:hAnsi="Tahoma" w:cs="Tahoma"/>
          <w:sz w:val="22"/>
          <w:szCs w:val="22"/>
          <w:lang w:val="en-AU"/>
        </w:rPr>
        <w:lastRenderedPageBreak/>
        <w:t>Subsequently the Victorian Government has committed to implement a performance monitoring and reporting framework that will be mandatory for local government.</w:t>
      </w:r>
      <w:r w:rsidR="00DC14B1" w:rsidRPr="00E84DC2">
        <w:rPr>
          <w:rStyle w:val="FootnoteReference"/>
          <w:rFonts w:ascii="Tahoma" w:eastAsia="Times New Roman" w:hAnsi="Tahoma" w:cs="Tahoma"/>
          <w:sz w:val="22"/>
          <w:szCs w:val="22"/>
          <w:lang w:val="en-AU"/>
        </w:rPr>
        <w:footnoteReference w:id="11"/>
      </w:r>
      <w:r w:rsidR="00DC14B1" w:rsidRPr="00E84DC2">
        <w:rPr>
          <w:rFonts w:ascii="Tahoma" w:eastAsia="Times New Roman" w:hAnsi="Tahoma" w:cs="Tahoma"/>
          <w:sz w:val="22"/>
          <w:szCs w:val="22"/>
          <w:lang w:val="en-AU"/>
        </w:rPr>
        <w:t xml:space="preserve"> The intention is to strengthen the planning and accountability requirement</w:t>
      </w:r>
      <w:r w:rsidRPr="00D733EB">
        <w:rPr>
          <w:rFonts w:ascii="Tahoma" w:eastAsia="Times New Roman" w:hAnsi="Tahoma" w:cs="Tahoma"/>
          <w:sz w:val="22"/>
          <w:szCs w:val="22"/>
          <w:lang w:val="en-AU"/>
        </w:rPr>
        <w:t>s to ensure that Victoria has a strong, viable and accountable local government sector.</w:t>
      </w:r>
    </w:p>
    <w:p w:rsidR="004E4A33" w:rsidRPr="00E84DC2" w:rsidRDefault="00D733EB" w:rsidP="00E84CE8">
      <w:pPr>
        <w:pStyle w:val="Heading2"/>
      </w:pPr>
      <w:bookmarkStart w:id="4" w:name="_Toc379878650"/>
      <w:r w:rsidRPr="00D733EB">
        <w:t>Purpose of this Regulatory Impact Statement</w:t>
      </w:r>
      <w:bookmarkEnd w:id="4"/>
      <w:r w:rsidRPr="00D733EB">
        <w:t xml:space="preserve"> </w:t>
      </w:r>
    </w:p>
    <w:p w:rsidR="004E4A33" w:rsidRPr="00E84DC2" w:rsidRDefault="004E4A33" w:rsidP="004E4A33">
      <w:pPr>
        <w:rPr>
          <w:rFonts w:ascii="Tahoma" w:eastAsia="Times New Roman" w:hAnsi="Tahoma" w:cs="Tahoma"/>
          <w:sz w:val="22"/>
          <w:szCs w:val="22"/>
          <w:lang w:val="en-AU"/>
        </w:rPr>
      </w:pPr>
    </w:p>
    <w:p w:rsidR="004E4A33" w:rsidRPr="00E84DC2" w:rsidRDefault="00D733EB" w:rsidP="004E4A33">
      <w:pPr>
        <w:rPr>
          <w:rFonts w:ascii="Tahoma" w:eastAsia="Times New Roman" w:hAnsi="Tahoma" w:cs="Tahoma"/>
          <w:sz w:val="22"/>
          <w:szCs w:val="22"/>
          <w:lang w:val="en-AU"/>
        </w:rPr>
      </w:pPr>
      <w:r w:rsidRPr="00D733EB">
        <w:rPr>
          <w:rFonts w:ascii="Tahoma" w:eastAsia="Times New Roman" w:hAnsi="Tahoma" w:cs="Tahoma"/>
          <w:sz w:val="22"/>
          <w:szCs w:val="22"/>
          <w:lang w:val="en-AU"/>
        </w:rPr>
        <w:t xml:space="preserve">This Regulatory Impact Statement (RIS) formally assesses the proposed Regulations against the requirements in the </w:t>
      </w:r>
      <w:r w:rsidRPr="00D733EB">
        <w:rPr>
          <w:rFonts w:ascii="Tahoma" w:eastAsia="Times New Roman" w:hAnsi="Tahoma" w:cs="Tahoma"/>
          <w:i/>
          <w:sz w:val="22"/>
          <w:szCs w:val="22"/>
          <w:lang w:val="en-AU"/>
        </w:rPr>
        <w:t xml:space="preserve">Subordinate Legislation Act 1994 </w:t>
      </w:r>
      <w:r w:rsidRPr="00D733EB">
        <w:rPr>
          <w:rFonts w:ascii="Tahoma" w:eastAsia="Times New Roman" w:hAnsi="Tahoma" w:cs="Tahoma"/>
          <w:sz w:val="22"/>
          <w:szCs w:val="22"/>
          <w:lang w:val="en-AU"/>
        </w:rPr>
        <w:t xml:space="preserve">and the </w:t>
      </w:r>
      <w:r w:rsidRPr="00D733EB">
        <w:rPr>
          <w:rFonts w:ascii="Tahoma" w:eastAsia="Times New Roman" w:hAnsi="Tahoma" w:cs="Tahoma"/>
          <w:i/>
          <w:sz w:val="22"/>
          <w:szCs w:val="22"/>
          <w:lang w:val="en-AU"/>
        </w:rPr>
        <w:t>Victorian Guide to Regulation incorporating: Guidelines made under the Subordinate Legislation Act 1994</w:t>
      </w:r>
      <w:r w:rsidRPr="00D733EB">
        <w:rPr>
          <w:rFonts w:ascii="Tahoma" w:eastAsia="Times New Roman" w:hAnsi="Tahoma" w:cs="Tahoma"/>
          <w:sz w:val="22"/>
          <w:szCs w:val="22"/>
          <w:lang w:val="en-AU"/>
        </w:rPr>
        <w:t>.</w:t>
      </w:r>
    </w:p>
    <w:p w:rsidR="004E4A33" w:rsidRPr="00E84DC2" w:rsidRDefault="004E4A33" w:rsidP="004E4A33">
      <w:pPr>
        <w:rPr>
          <w:rFonts w:ascii="Tahoma" w:eastAsia="Times New Roman" w:hAnsi="Tahoma" w:cs="Tahoma"/>
          <w:sz w:val="22"/>
          <w:szCs w:val="22"/>
          <w:lang w:val="en-AU"/>
        </w:rPr>
      </w:pPr>
    </w:p>
    <w:p w:rsidR="004E4A33" w:rsidRPr="00E84DC2" w:rsidRDefault="00D733EB" w:rsidP="004E4A33">
      <w:pPr>
        <w:rPr>
          <w:rFonts w:ascii="Tahoma" w:eastAsia="Times New Roman" w:hAnsi="Tahoma" w:cs="Tahoma"/>
          <w:sz w:val="22"/>
          <w:szCs w:val="22"/>
          <w:lang w:val="en-AU"/>
        </w:rPr>
      </w:pPr>
      <w:r w:rsidRPr="00D733EB">
        <w:rPr>
          <w:rFonts w:ascii="Tahoma" w:eastAsia="Times New Roman" w:hAnsi="Tahoma" w:cs="Tahoma"/>
          <w:sz w:val="22"/>
          <w:szCs w:val="22"/>
          <w:lang w:val="en-AU"/>
        </w:rPr>
        <w:t>The Victorian Government’s principles in relation to regulation are to:</w:t>
      </w:r>
    </w:p>
    <w:p w:rsidR="004E4A33" w:rsidRPr="00E84DC2" w:rsidRDefault="00D733EB" w:rsidP="00C3402D">
      <w:pPr>
        <w:pStyle w:val="ListParagraph"/>
        <w:rPr>
          <w:rFonts w:ascii="Tahoma" w:hAnsi="Tahoma" w:cs="Tahoma"/>
          <w:lang w:val="en-AU"/>
        </w:rPr>
      </w:pPr>
      <w:r w:rsidRPr="00D733EB">
        <w:rPr>
          <w:rFonts w:ascii="Tahoma" w:hAnsi="Tahoma" w:cs="Tahoma"/>
          <w:lang w:val="en-AU"/>
        </w:rPr>
        <w:t>ensure that regulations are well targeted, effective and appropriate</w:t>
      </w:r>
      <w:r w:rsidR="008B4ACC">
        <w:rPr>
          <w:rFonts w:ascii="Tahoma" w:hAnsi="Tahoma" w:cs="Tahoma"/>
          <w:lang w:val="en-AU"/>
        </w:rPr>
        <w:t>; and</w:t>
      </w:r>
    </w:p>
    <w:p w:rsidR="004E4A33" w:rsidRPr="00E84DC2" w:rsidRDefault="00D733EB" w:rsidP="00C3402D">
      <w:pPr>
        <w:pStyle w:val="ListParagraph"/>
        <w:rPr>
          <w:rFonts w:ascii="Tahoma" w:hAnsi="Tahoma" w:cs="Tahoma"/>
          <w:lang w:val="en-AU"/>
        </w:rPr>
      </w:pPr>
      <w:r w:rsidRPr="00D733EB">
        <w:rPr>
          <w:rFonts w:ascii="Tahoma" w:hAnsi="Tahoma" w:cs="Tahoma"/>
          <w:lang w:val="en-AU"/>
        </w:rPr>
        <w:t>reduce the regulatory burden on business and not-for-profit organisations.</w:t>
      </w:r>
    </w:p>
    <w:p w:rsidR="004E4A33" w:rsidRPr="00E84DC2" w:rsidRDefault="004E4A33" w:rsidP="004E4A33">
      <w:pPr>
        <w:rPr>
          <w:rFonts w:ascii="Tahoma" w:eastAsia="Times New Roman" w:hAnsi="Tahoma" w:cs="Tahoma"/>
          <w:sz w:val="22"/>
          <w:szCs w:val="22"/>
          <w:lang w:val="en-AU"/>
        </w:rPr>
      </w:pPr>
    </w:p>
    <w:p w:rsidR="004E4A33" w:rsidRPr="00E84DC2" w:rsidRDefault="00D733EB" w:rsidP="004E4A33">
      <w:pPr>
        <w:rPr>
          <w:rFonts w:ascii="Tahoma" w:eastAsia="Times New Roman" w:hAnsi="Tahoma" w:cs="Tahoma"/>
          <w:sz w:val="22"/>
          <w:szCs w:val="22"/>
          <w:lang w:val="en-AU"/>
        </w:rPr>
      </w:pPr>
      <w:r w:rsidRPr="00D733EB">
        <w:rPr>
          <w:rFonts w:ascii="Tahoma" w:eastAsia="Times New Roman" w:hAnsi="Tahoma" w:cs="Tahoma"/>
          <w:sz w:val="22"/>
          <w:szCs w:val="22"/>
          <w:lang w:val="en-AU"/>
        </w:rPr>
        <w:t xml:space="preserve">The proposed Regulations have been assessed in the context of these principles. </w:t>
      </w:r>
    </w:p>
    <w:p w:rsidR="004E4A33" w:rsidRPr="00E84DC2" w:rsidRDefault="004E4A33" w:rsidP="004E4A33">
      <w:pPr>
        <w:rPr>
          <w:rFonts w:ascii="Tahoma" w:eastAsia="Times New Roman" w:hAnsi="Tahoma" w:cs="Tahoma"/>
          <w:sz w:val="22"/>
          <w:szCs w:val="22"/>
          <w:lang w:val="en-AU"/>
        </w:rPr>
      </w:pPr>
    </w:p>
    <w:p w:rsidR="004E4A33" w:rsidRPr="00E84DC2" w:rsidRDefault="00D733EB" w:rsidP="004E4A33">
      <w:pPr>
        <w:rPr>
          <w:rFonts w:ascii="Tahoma" w:eastAsia="Times New Roman" w:hAnsi="Tahoma" w:cs="Tahoma"/>
          <w:sz w:val="22"/>
          <w:szCs w:val="22"/>
          <w:lang w:val="en-AU"/>
        </w:rPr>
      </w:pPr>
      <w:r w:rsidRPr="00D733EB">
        <w:rPr>
          <w:rFonts w:ascii="Tahoma" w:eastAsia="Times New Roman" w:hAnsi="Tahoma" w:cs="Tahoma"/>
          <w:sz w:val="22"/>
          <w:szCs w:val="22"/>
          <w:lang w:val="en-AU"/>
        </w:rPr>
        <w:t>The assessment framework of this RIS:</w:t>
      </w:r>
    </w:p>
    <w:p w:rsidR="004E4A33" w:rsidRPr="00E84DC2" w:rsidRDefault="00D733EB" w:rsidP="00C3402D">
      <w:pPr>
        <w:pStyle w:val="ListParagraph"/>
        <w:rPr>
          <w:rFonts w:ascii="Tahoma" w:hAnsi="Tahoma" w:cs="Tahoma"/>
          <w:lang w:val="en-AU"/>
        </w:rPr>
      </w:pPr>
      <w:r w:rsidRPr="00D733EB">
        <w:rPr>
          <w:rFonts w:ascii="Tahoma" w:hAnsi="Tahoma" w:cs="Tahoma"/>
          <w:lang w:val="en-AU"/>
        </w:rPr>
        <w:t>examines the nature and extent of the problem to be addressed</w:t>
      </w:r>
      <w:r w:rsidR="008B4ACC">
        <w:rPr>
          <w:rFonts w:ascii="Tahoma" w:hAnsi="Tahoma" w:cs="Tahoma"/>
          <w:lang w:val="en-AU"/>
        </w:rPr>
        <w:t>;</w:t>
      </w:r>
    </w:p>
    <w:p w:rsidR="004E4A33" w:rsidRPr="00E84DC2" w:rsidRDefault="00DC14B1" w:rsidP="00C3402D">
      <w:pPr>
        <w:pStyle w:val="ListParagraph"/>
        <w:rPr>
          <w:rFonts w:ascii="Tahoma" w:hAnsi="Tahoma" w:cs="Tahoma"/>
          <w:lang w:val="en-AU"/>
        </w:rPr>
      </w:pPr>
      <w:r w:rsidRPr="00E84DC2">
        <w:rPr>
          <w:rFonts w:ascii="Tahoma" w:hAnsi="Tahoma" w:cs="Tahoma"/>
          <w:lang w:val="en-AU"/>
        </w:rPr>
        <w:t>outlines the objectives of the proposed Regulations</w:t>
      </w:r>
      <w:r w:rsidR="007E24A7">
        <w:rPr>
          <w:rFonts w:ascii="Tahoma" w:hAnsi="Tahoma" w:cs="Tahoma"/>
          <w:lang w:val="en-AU"/>
        </w:rPr>
        <w:t>;</w:t>
      </w:r>
    </w:p>
    <w:p w:rsidR="004E4A33" w:rsidRPr="00E84DC2" w:rsidRDefault="00DC14B1" w:rsidP="00C3402D">
      <w:pPr>
        <w:pStyle w:val="ListParagraph"/>
        <w:rPr>
          <w:rFonts w:ascii="Tahoma" w:hAnsi="Tahoma" w:cs="Tahoma"/>
          <w:lang w:val="en-AU"/>
        </w:rPr>
      </w:pPr>
      <w:r w:rsidRPr="00E84DC2">
        <w:rPr>
          <w:rFonts w:ascii="Tahoma" w:hAnsi="Tahoma" w:cs="Tahoma"/>
          <w:lang w:val="en-AU"/>
        </w:rPr>
        <w:t>explains the effects of the proposed Regulations on various stakeholders</w:t>
      </w:r>
      <w:r w:rsidR="007E24A7">
        <w:rPr>
          <w:rFonts w:ascii="Tahoma" w:hAnsi="Tahoma" w:cs="Tahoma"/>
          <w:lang w:val="en-AU"/>
        </w:rPr>
        <w:t>; and</w:t>
      </w:r>
    </w:p>
    <w:p w:rsidR="004E4A33" w:rsidRPr="00E84DC2" w:rsidRDefault="00D733EB" w:rsidP="00C3402D">
      <w:pPr>
        <w:pStyle w:val="ListParagraph"/>
        <w:rPr>
          <w:rFonts w:ascii="Tahoma" w:hAnsi="Tahoma" w:cs="Tahoma"/>
          <w:lang w:val="en-AU"/>
        </w:rPr>
      </w:pPr>
      <w:r w:rsidRPr="00D733EB">
        <w:rPr>
          <w:rFonts w:ascii="Tahoma" w:hAnsi="Tahoma" w:cs="Tahoma"/>
          <w:lang w:val="en-AU"/>
        </w:rPr>
        <w:t>assesses the costs and benefits of the proposed Regulations.</w:t>
      </w:r>
    </w:p>
    <w:p w:rsidR="004E4A33" w:rsidRPr="00E84DC2" w:rsidRDefault="004E4A33" w:rsidP="004E4A33">
      <w:pPr>
        <w:rPr>
          <w:rFonts w:ascii="Tahoma" w:eastAsia="Times New Roman" w:hAnsi="Tahoma" w:cs="Tahoma"/>
          <w:sz w:val="22"/>
          <w:szCs w:val="22"/>
          <w:lang w:val="en-AU"/>
        </w:rPr>
      </w:pPr>
    </w:p>
    <w:p w:rsidR="004E4A33" w:rsidRPr="00E84DC2" w:rsidRDefault="00D733EB" w:rsidP="004E4A33">
      <w:pPr>
        <w:rPr>
          <w:rFonts w:ascii="Tahoma" w:eastAsia="Times New Roman" w:hAnsi="Tahoma" w:cs="Tahoma"/>
          <w:sz w:val="22"/>
          <w:lang w:val="en-AU"/>
        </w:rPr>
      </w:pPr>
      <w:r w:rsidRPr="00D733EB">
        <w:rPr>
          <w:rFonts w:ascii="Tahoma" w:eastAsia="Times New Roman" w:hAnsi="Tahoma" w:cs="Tahoma"/>
          <w:sz w:val="22"/>
          <w:lang w:val="en-AU"/>
        </w:rPr>
        <w:t>Feasible alternatives to the proposed Regulations are also considered and assessed. The RIS considers if there is any net change in the regulatory burden imposed that arises from the proposed Regulations. It also examines potential impacts on competition.</w:t>
      </w:r>
    </w:p>
    <w:p w:rsidR="004E4A33" w:rsidRPr="00E84DC2" w:rsidRDefault="004E4A33" w:rsidP="004E4A33">
      <w:pPr>
        <w:rPr>
          <w:rFonts w:ascii="Tahoma" w:eastAsia="Times New Roman" w:hAnsi="Tahoma" w:cs="Tahoma"/>
          <w:sz w:val="22"/>
          <w:szCs w:val="22"/>
          <w:lang w:val="en-AU"/>
        </w:rPr>
      </w:pPr>
    </w:p>
    <w:p w:rsidR="00AE7F23" w:rsidRPr="00E84DC2" w:rsidRDefault="00D733EB" w:rsidP="004E4A33">
      <w:pPr>
        <w:rPr>
          <w:rFonts w:ascii="Tahoma" w:eastAsia="Times New Roman" w:hAnsi="Tahoma" w:cs="Tahoma"/>
          <w:sz w:val="22"/>
          <w:szCs w:val="22"/>
          <w:lang w:val="en-AU"/>
        </w:rPr>
      </w:pPr>
      <w:r w:rsidRPr="00D733EB">
        <w:rPr>
          <w:rFonts w:ascii="Tahoma" w:eastAsia="Times New Roman" w:hAnsi="Tahoma" w:cs="Tahoma"/>
          <w:sz w:val="22"/>
          <w:szCs w:val="22"/>
          <w:lang w:val="en-AU"/>
        </w:rPr>
        <w:t>A primary function of the RIS process is to allow members of the public to comment on the proposed Regulations before they are finalised. Public input provides valuable information and perspectives and improves the overall quality of regulations. Accordingly, feedback on the proposed Regulations is welcomed and encouraged.</w:t>
      </w:r>
    </w:p>
    <w:p w:rsidR="00BE37E6" w:rsidRPr="00E84DC2" w:rsidRDefault="00BE37E6" w:rsidP="003C025F">
      <w:pPr>
        <w:rPr>
          <w:rFonts w:ascii="Tahoma" w:eastAsia="Calibri" w:hAnsi="Tahoma" w:cs="Tahoma"/>
          <w:sz w:val="22"/>
          <w:szCs w:val="22"/>
          <w:lang w:val="en-AU"/>
        </w:rPr>
      </w:pPr>
    </w:p>
    <w:p w:rsidR="00B42DA9" w:rsidRPr="00E84DC2" w:rsidRDefault="00B42DA9" w:rsidP="00E72123">
      <w:pPr>
        <w:ind w:left="360" w:hanging="360"/>
        <w:rPr>
          <w:rFonts w:ascii="Tahoma" w:hAnsi="Tahoma" w:cs="Tahoma"/>
          <w:lang w:val="en-AU"/>
        </w:rPr>
      </w:pPr>
    </w:p>
    <w:p w:rsidR="004E4A33" w:rsidRPr="00E84DC2" w:rsidRDefault="00D733EB" w:rsidP="004E4A33">
      <w:pPr>
        <w:rPr>
          <w:rFonts w:ascii="Tahoma" w:eastAsia="Calibri" w:hAnsi="Tahoma" w:cs="Tahoma"/>
          <w:sz w:val="22"/>
          <w:szCs w:val="22"/>
          <w:lang w:val="en-AU"/>
        </w:rPr>
      </w:pPr>
      <w:r w:rsidRPr="00D733EB">
        <w:rPr>
          <w:rFonts w:ascii="Tahoma" w:eastAsia="Calibri" w:hAnsi="Tahoma" w:cs="Tahoma"/>
          <w:sz w:val="22"/>
          <w:szCs w:val="22"/>
          <w:lang w:val="en-AU"/>
        </w:rPr>
        <w:t xml:space="preserve"> </w:t>
      </w:r>
    </w:p>
    <w:p w:rsidR="004E4A33" w:rsidRPr="00E84DC2" w:rsidRDefault="004E4A33" w:rsidP="004E4A33">
      <w:pPr>
        <w:rPr>
          <w:rFonts w:ascii="Tahoma" w:eastAsia="Times New Roman" w:hAnsi="Tahoma" w:cs="Tahoma"/>
          <w:b/>
          <w:sz w:val="22"/>
          <w:szCs w:val="22"/>
          <w:lang w:val="en-AU"/>
        </w:rPr>
        <w:sectPr w:rsidR="004E4A33" w:rsidRPr="00E84DC2" w:rsidSect="004E4A33">
          <w:headerReference w:type="default" r:id="rId22"/>
          <w:footerReference w:type="default" r:id="rId23"/>
          <w:footerReference w:type="first" r:id="rId24"/>
          <w:pgSz w:w="11900" w:h="16840"/>
          <w:pgMar w:top="1440" w:right="1800" w:bottom="1440" w:left="1800" w:header="708" w:footer="708" w:gutter="0"/>
          <w:pgNumType w:start="1"/>
          <w:cols w:space="708"/>
          <w:titlePg/>
          <w:docGrid w:linePitch="360"/>
        </w:sectPr>
      </w:pPr>
    </w:p>
    <w:p w:rsidR="004E4A33" w:rsidRPr="00E84DC2" w:rsidRDefault="00D733EB" w:rsidP="00E84CE8">
      <w:pPr>
        <w:pStyle w:val="Heading1"/>
      </w:pPr>
      <w:bookmarkStart w:id="5" w:name="_Toc379878651"/>
      <w:r w:rsidRPr="00D733EB">
        <w:lastRenderedPageBreak/>
        <w:t>THE REASONS FOR REGULATING LOCAL GOVERNMENT PLANNING AND REPORTING</w:t>
      </w:r>
      <w:bookmarkEnd w:id="5"/>
      <w:r w:rsidRPr="00D733EB">
        <w:t xml:space="preserve"> </w:t>
      </w:r>
    </w:p>
    <w:p w:rsidR="00C8259C" w:rsidRPr="00E84DC2" w:rsidRDefault="00C8259C" w:rsidP="00C8259C">
      <w:pPr>
        <w:rPr>
          <w:rFonts w:ascii="Tahoma" w:hAnsi="Tahoma" w:cs="Tahoma"/>
          <w:lang w:val="en-AU"/>
        </w:rPr>
      </w:pPr>
    </w:p>
    <w:p w:rsidR="004B2297" w:rsidRPr="00E84DC2" w:rsidRDefault="00D733EB" w:rsidP="004B2297">
      <w:pPr>
        <w:pBdr>
          <w:top w:val="single" w:sz="4" w:space="1" w:color="auto"/>
          <w:left w:val="single" w:sz="4" w:space="4" w:color="auto"/>
          <w:bottom w:val="single" w:sz="4" w:space="1" w:color="auto"/>
          <w:right w:val="single" w:sz="4" w:space="4" w:color="auto"/>
        </w:pBdr>
        <w:shd w:val="clear" w:color="auto" w:fill="C6D9F1"/>
        <w:spacing w:after="100"/>
        <w:rPr>
          <w:rFonts w:ascii="Tahoma" w:eastAsia="Calibri" w:hAnsi="Tahoma" w:cs="Tahoma"/>
          <w:b/>
          <w:i/>
          <w:sz w:val="22"/>
          <w:szCs w:val="22"/>
          <w:lang w:val="en-AU"/>
        </w:rPr>
      </w:pPr>
      <w:r w:rsidRPr="00D733EB">
        <w:rPr>
          <w:rFonts w:ascii="Tahoma" w:eastAsia="Calibri" w:hAnsi="Tahoma" w:cs="Tahoma"/>
          <w:b/>
          <w:i/>
          <w:sz w:val="22"/>
          <w:szCs w:val="22"/>
          <w:lang w:val="en-AU"/>
        </w:rPr>
        <w:t>Key points</w:t>
      </w:r>
    </w:p>
    <w:p w:rsidR="0037090A" w:rsidRPr="00E84DC2" w:rsidRDefault="00D733EB" w:rsidP="00D969E2">
      <w:pPr>
        <w:pStyle w:val="ListParagraph"/>
        <w:numPr>
          <w:ilvl w:val="0"/>
          <w:numId w:val="29"/>
        </w:numPr>
        <w:pBdr>
          <w:top w:val="single" w:sz="4" w:space="1" w:color="auto"/>
          <w:left w:val="single" w:sz="4" w:space="4" w:color="auto"/>
          <w:bottom w:val="single" w:sz="4" w:space="1" w:color="auto"/>
          <w:right w:val="single" w:sz="4" w:space="4" w:color="auto"/>
        </w:pBdr>
        <w:shd w:val="clear" w:color="auto" w:fill="C6D9F1"/>
        <w:spacing w:after="100"/>
        <w:rPr>
          <w:rFonts w:ascii="Tahoma" w:hAnsi="Tahoma" w:cs="Tahoma"/>
          <w:lang w:val="en-AU"/>
        </w:rPr>
      </w:pPr>
      <w:r w:rsidRPr="00D733EB">
        <w:rPr>
          <w:rFonts w:ascii="Tahoma" w:hAnsi="Tahoma" w:cs="Tahoma"/>
          <w:lang w:val="en-AU"/>
        </w:rPr>
        <w:t>Successive reviews have found re</w:t>
      </w:r>
      <w:r w:rsidR="007E24A7">
        <w:rPr>
          <w:rFonts w:ascii="Tahoma" w:hAnsi="Tahoma" w:cs="Tahoma"/>
          <w:lang w:val="en-AU"/>
        </w:rPr>
        <w:t>-</w:t>
      </w:r>
      <w:r w:rsidR="00DC14B1" w:rsidRPr="00E84DC2">
        <w:rPr>
          <w:rFonts w:ascii="Tahoma" w:hAnsi="Tahoma" w:cs="Tahoma"/>
          <w:lang w:val="en-AU"/>
        </w:rPr>
        <w:t xml:space="preserve">occurring themes of ineffective planning and reporting by local government. </w:t>
      </w:r>
    </w:p>
    <w:p w:rsidR="00C8259C" w:rsidRPr="00E84DC2" w:rsidRDefault="00D733EB" w:rsidP="00D969E2">
      <w:pPr>
        <w:pStyle w:val="ListParagraph"/>
        <w:numPr>
          <w:ilvl w:val="0"/>
          <w:numId w:val="29"/>
        </w:numPr>
        <w:pBdr>
          <w:top w:val="single" w:sz="4" w:space="1" w:color="auto"/>
          <w:left w:val="single" w:sz="4" w:space="4" w:color="auto"/>
          <w:bottom w:val="single" w:sz="4" w:space="1" w:color="auto"/>
          <w:right w:val="single" w:sz="4" w:space="4" w:color="auto"/>
        </w:pBdr>
        <w:shd w:val="clear" w:color="auto" w:fill="C6D9F1"/>
        <w:spacing w:after="100"/>
        <w:rPr>
          <w:rFonts w:ascii="Tahoma" w:hAnsi="Tahoma" w:cs="Tahoma"/>
          <w:lang w:val="en-AU"/>
        </w:rPr>
      </w:pPr>
      <w:r w:rsidRPr="00D733EB">
        <w:rPr>
          <w:rFonts w:ascii="Tahoma" w:hAnsi="Tahoma" w:cs="Tahoma"/>
          <w:lang w:val="en-AU"/>
        </w:rPr>
        <w:t>Citizens and ratepayers do not have adequate information about the performance of local councils.</w:t>
      </w:r>
    </w:p>
    <w:p w:rsidR="003A23AA" w:rsidRPr="00E84DC2" w:rsidRDefault="00D733EB" w:rsidP="00D969E2">
      <w:pPr>
        <w:pStyle w:val="ListParagraph"/>
        <w:numPr>
          <w:ilvl w:val="0"/>
          <w:numId w:val="29"/>
        </w:numPr>
        <w:pBdr>
          <w:top w:val="single" w:sz="4" w:space="1" w:color="auto"/>
          <w:left w:val="single" w:sz="4" w:space="4" w:color="auto"/>
          <w:bottom w:val="single" w:sz="4" w:space="1" w:color="auto"/>
          <w:right w:val="single" w:sz="4" w:space="4" w:color="auto"/>
        </w:pBdr>
        <w:shd w:val="clear" w:color="auto" w:fill="C6D9F1"/>
        <w:spacing w:after="100"/>
        <w:rPr>
          <w:rFonts w:ascii="Tahoma" w:hAnsi="Tahoma" w:cs="Tahoma"/>
          <w:lang w:val="en-AU"/>
        </w:rPr>
      </w:pPr>
      <w:r w:rsidRPr="00D733EB">
        <w:rPr>
          <w:rFonts w:ascii="Tahoma" w:hAnsi="Tahoma" w:cs="Tahoma"/>
          <w:lang w:val="en-AU"/>
        </w:rPr>
        <w:t>Better information on performance enhances transparency and accountability.</w:t>
      </w:r>
    </w:p>
    <w:p w:rsidR="003A23AA" w:rsidRPr="00E84DC2" w:rsidRDefault="00D733EB" w:rsidP="00D969E2">
      <w:pPr>
        <w:pStyle w:val="ListParagraph"/>
        <w:numPr>
          <w:ilvl w:val="0"/>
          <w:numId w:val="29"/>
        </w:numPr>
        <w:pBdr>
          <w:top w:val="single" w:sz="4" w:space="1" w:color="auto"/>
          <w:left w:val="single" w:sz="4" w:space="4" w:color="auto"/>
          <w:bottom w:val="single" w:sz="4" w:space="1" w:color="auto"/>
          <w:right w:val="single" w:sz="4" w:space="4" w:color="auto"/>
        </w:pBdr>
        <w:shd w:val="clear" w:color="auto" w:fill="C6D9F1"/>
        <w:spacing w:after="100"/>
        <w:rPr>
          <w:rFonts w:ascii="Tahoma" w:hAnsi="Tahoma" w:cs="Tahoma"/>
          <w:lang w:val="en-AU"/>
        </w:rPr>
      </w:pPr>
      <w:r w:rsidRPr="00D733EB">
        <w:rPr>
          <w:rFonts w:ascii="Tahoma" w:hAnsi="Tahoma" w:cs="Tahoma"/>
          <w:lang w:val="en-AU"/>
        </w:rPr>
        <w:t>Comparative performance reporting allows council decisions to be scrutinised and comparisons against similar councils to be made leading to improved performance.</w:t>
      </w:r>
    </w:p>
    <w:p w:rsidR="00FE2EE2" w:rsidRPr="00E84DC2" w:rsidRDefault="00FE2EE2" w:rsidP="00FE2EE2">
      <w:pPr>
        <w:pBdr>
          <w:top w:val="single" w:sz="4" w:space="1" w:color="auto"/>
          <w:left w:val="single" w:sz="4" w:space="4" w:color="auto"/>
          <w:bottom w:val="single" w:sz="4" w:space="1" w:color="auto"/>
          <w:right w:val="single" w:sz="4" w:space="4" w:color="auto"/>
        </w:pBdr>
        <w:shd w:val="clear" w:color="auto" w:fill="C6D9F1"/>
        <w:spacing w:after="100"/>
        <w:rPr>
          <w:rFonts w:ascii="Tahoma" w:eastAsia="Calibri" w:hAnsi="Tahoma" w:cs="Tahoma"/>
          <w:sz w:val="6"/>
          <w:szCs w:val="6"/>
          <w:lang w:val="en-AU"/>
        </w:rPr>
      </w:pPr>
    </w:p>
    <w:p w:rsidR="004E4A33" w:rsidRPr="00E84DC2" w:rsidRDefault="00D733EB" w:rsidP="00E84CE8">
      <w:pPr>
        <w:pStyle w:val="Heading2"/>
      </w:pPr>
      <w:bookmarkStart w:id="6" w:name="_Toc379878652"/>
      <w:r w:rsidRPr="00D733EB">
        <w:t>Background</w:t>
      </w:r>
      <w:bookmarkEnd w:id="6"/>
      <w:r w:rsidRPr="00D733EB">
        <w:t xml:space="preserve"> </w:t>
      </w:r>
      <w:r w:rsidR="007E24A7">
        <w:t xml:space="preserve"> </w:t>
      </w:r>
    </w:p>
    <w:p w:rsidR="00FB0478" w:rsidRPr="00E84DC2" w:rsidRDefault="00FB0478" w:rsidP="004E4A33">
      <w:pPr>
        <w:rPr>
          <w:rFonts w:ascii="Tahoma" w:eastAsia="Times New Roman" w:hAnsi="Tahoma" w:cs="Tahoma"/>
          <w:sz w:val="22"/>
          <w:szCs w:val="22"/>
          <w:lang w:val="en-AU"/>
        </w:rPr>
      </w:pPr>
    </w:p>
    <w:p w:rsidR="0011084F" w:rsidRPr="00E84DC2" w:rsidRDefault="00D733EB" w:rsidP="0054497A">
      <w:pPr>
        <w:rPr>
          <w:rFonts w:ascii="Tahoma" w:eastAsia="Calibri" w:hAnsi="Tahoma" w:cs="Tahoma"/>
          <w:sz w:val="22"/>
          <w:szCs w:val="22"/>
          <w:lang w:val="en-AU"/>
        </w:rPr>
      </w:pPr>
      <w:r w:rsidRPr="00D733EB">
        <w:rPr>
          <w:rFonts w:ascii="Tahoma" w:eastAsia="Calibri" w:hAnsi="Tahoma" w:cs="Tahoma"/>
          <w:sz w:val="22"/>
          <w:szCs w:val="22"/>
          <w:lang w:val="en-AU"/>
        </w:rPr>
        <w:t>Councils in Victoria play a large part in the wellbeing of local communities. They manage assets and deliver services that support economic, social and environmental outcomes.</w:t>
      </w:r>
    </w:p>
    <w:p w:rsidR="00A06047" w:rsidRPr="00E84DC2" w:rsidRDefault="00A06047" w:rsidP="0054497A">
      <w:pPr>
        <w:rPr>
          <w:rFonts w:ascii="Tahoma" w:eastAsia="Calibri" w:hAnsi="Tahoma" w:cs="Tahoma"/>
          <w:sz w:val="22"/>
          <w:szCs w:val="22"/>
          <w:lang w:val="en-AU"/>
        </w:rPr>
      </w:pPr>
    </w:p>
    <w:p w:rsidR="00A06047" w:rsidRPr="00E84DC2" w:rsidRDefault="00D733EB" w:rsidP="0054497A">
      <w:pPr>
        <w:rPr>
          <w:rFonts w:ascii="Tahoma" w:eastAsia="Calibri" w:hAnsi="Tahoma" w:cs="Tahoma"/>
          <w:sz w:val="22"/>
          <w:szCs w:val="22"/>
          <w:lang w:val="en-AU"/>
        </w:rPr>
      </w:pPr>
      <w:r w:rsidRPr="00D733EB">
        <w:rPr>
          <w:rFonts w:ascii="Tahoma" w:eastAsia="Calibri" w:hAnsi="Tahoma" w:cs="Tahoma"/>
          <w:sz w:val="22"/>
          <w:szCs w:val="22"/>
          <w:lang w:val="en-AU"/>
        </w:rPr>
        <w:t>Each council delivers a distinct set of services tailored to meet the needs of its municipality. However, council services can be broadly grouped into the following categories:</w:t>
      </w:r>
    </w:p>
    <w:p w:rsidR="00A06047" w:rsidRPr="00E84DC2" w:rsidRDefault="00D733EB" w:rsidP="00C3402D">
      <w:pPr>
        <w:pStyle w:val="ListParagraph"/>
        <w:rPr>
          <w:rFonts w:ascii="Tahoma" w:hAnsi="Tahoma" w:cs="Tahoma"/>
          <w:lang w:val="en-AU"/>
        </w:rPr>
      </w:pPr>
      <w:r w:rsidRPr="00D733EB">
        <w:rPr>
          <w:rFonts w:ascii="Tahoma" w:hAnsi="Tahoma" w:cs="Tahoma"/>
          <w:b/>
          <w:lang w:val="en-AU"/>
        </w:rPr>
        <w:t>General public services</w:t>
      </w:r>
      <w:r w:rsidRPr="00D733EB">
        <w:rPr>
          <w:rFonts w:ascii="Tahoma" w:hAnsi="Tahoma" w:cs="Tahoma"/>
          <w:lang w:val="en-AU"/>
        </w:rPr>
        <w:t xml:space="preserve"> such as emergency prevention and protection, animal management and control, tourism and visitors, commerce and industry, community information and engagements and local law enforcement.</w:t>
      </w:r>
    </w:p>
    <w:p w:rsidR="00876DB5" w:rsidRPr="00E84DC2" w:rsidRDefault="00D733EB" w:rsidP="00C3402D">
      <w:pPr>
        <w:pStyle w:val="ListParagraph"/>
        <w:rPr>
          <w:rFonts w:ascii="Tahoma" w:hAnsi="Tahoma" w:cs="Tahoma"/>
          <w:lang w:val="en-AU"/>
        </w:rPr>
      </w:pPr>
      <w:r w:rsidRPr="00D733EB">
        <w:rPr>
          <w:rFonts w:ascii="Tahoma" w:eastAsia="Calibri" w:hAnsi="Tahoma" w:cs="Tahoma"/>
          <w:b/>
          <w:lang w:val="en-AU"/>
        </w:rPr>
        <w:t xml:space="preserve">Health, </w:t>
      </w:r>
      <w:r w:rsidRPr="00D733EB">
        <w:rPr>
          <w:rFonts w:ascii="Tahoma" w:hAnsi="Tahoma" w:cs="Tahoma"/>
          <w:b/>
          <w:lang w:val="en-AU"/>
        </w:rPr>
        <w:t>welfare and community services</w:t>
      </w:r>
      <w:r w:rsidRPr="00D733EB">
        <w:rPr>
          <w:rFonts w:ascii="Tahoma" w:hAnsi="Tahoma" w:cs="Tahoma"/>
          <w:lang w:val="en-AU"/>
        </w:rPr>
        <w:t xml:space="preserve"> such as aged care, maternal and child health, family and children’s services, youth services, disability services, cultural development, public libraries, leisure and recreation, housing, public health, employment and migrant and indigenous services.</w:t>
      </w:r>
    </w:p>
    <w:p w:rsidR="002D1BF2" w:rsidRPr="00E84DC2" w:rsidRDefault="00D733EB" w:rsidP="00C3402D">
      <w:pPr>
        <w:pStyle w:val="ListParagraph"/>
        <w:rPr>
          <w:rFonts w:ascii="Tahoma" w:hAnsi="Tahoma" w:cs="Tahoma"/>
          <w:lang w:val="en-AU"/>
        </w:rPr>
      </w:pPr>
      <w:r w:rsidRPr="00D733EB">
        <w:rPr>
          <w:rFonts w:ascii="Tahoma" w:hAnsi="Tahoma" w:cs="Tahoma"/>
          <w:b/>
          <w:lang w:val="en-AU"/>
        </w:rPr>
        <w:t>Planning and building services</w:t>
      </w:r>
      <w:r w:rsidRPr="00D733EB">
        <w:rPr>
          <w:rFonts w:ascii="Tahoma" w:hAnsi="Tahoma" w:cs="Tahoma"/>
          <w:lang w:val="en-AU"/>
        </w:rPr>
        <w:t xml:space="preserve"> such as statutory planning, strategic planning, planning system reform, built form sustainability, rural land use management, forestry, native title and indigenous cultural heritage.</w:t>
      </w:r>
    </w:p>
    <w:p w:rsidR="00947B5D" w:rsidRPr="00E84DC2" w:rsidRDefault="00D733EB" w:rsidP="00C3402D">
      <w:pPr>
        <w:pStyle w:val="ListParagraph"/>
        <w:rPr>
          <w:rFonts w:ascii="Tahoma" w:hAnsi="Tahoma" w:cs="Tahoma"/>
          <w:lang w:val="en-AU"/>
        </w:rPr>
      </w:pPr>
      <w:r w:rsidRPr="00D733EB">
        <w:rPr>
          <w:rFonts w:ascii="Tahoma" w:hAnsi="Tahoma" w:cs="Tahoma"/>
          <w:b/>
          <w:lang w:val="en-AU"/>
        </w:rPr>
        <w:t>Environment services</w:t>
      </w:r>
      <w:r w:rsidRPr="00D733EB">
        <w:rPr>
          <w:rFonts w:ascii="Tahoma" w:hAnsi="Tahoma" w:cs="Tahoma"/>
          <w:lang w:val="en-AU"/>
        </w:rPr>
        <w:t xml:space="preserve"> such as management of waste, catchments, stormwater, native vegetation and weeds, salinity and water quality, sustainability, parks and reserves.</w:t>
      </w:r>
    </w:p>
    <w:p w:rsidR="00947B5D" w:rsidRPr="00E84DC2" w:rsidRDefault="00D733EB" w:rsidP="00C3402D">
      <w:pPr>
        <w:pStyle w:val="ListParagraph"/>
        <w:rPr>
          <w:rFonts w:ascii="Tahoma" w:eastAsia="Calibri" w:hAnsi="Tahoma" w:cs="Tahoma"/>
          <w:lang w:val="en-AU"/>
        </w:rPr>
      </w:pPr>
      <w:r w:rsidRPr="00D733EB">
        <w:rPr>
          <w:rFonts w:ascii="Tahoma" w:hAnsi="Tahoma" w:cs="Tahoma"/>
          <w:b/>
          <w:lang w:val="en-AU"/>
        </w:rPr>
        <w:t>Infrastructure services</w:t>
      </w:r>
      <w:r w:rsidRPr="00D733EB">
        <w:rPr>
          <w:rFonts w:ascii="Tahoma" w:hAnsi="Tahoma" w:cs="Tahoma"/>
          <w:lang w:val="en-AU"/>
        </w:rPr>
        <w:t xml:space="preserve"> such as building maintenance and renewal, road construction and maintenance, traffic and parking management, community safety, public space</w:t>
      </w:r>
      <w:r w:rsidRPr="00D733EB">
        <w:rPr>
          <w:rFonts w:ascii="Tahoma" w:eastAsia="Calibri" w:hAnsi="Tahoma" w:cs="Tahoma"/>
          <w:lang w:val="en-AU"/>
        </w:rPr>
        <w:t xml:space="preserve"> maintenance, leisure facilities.</w:t>
      </w:r>
      <w:r w:rsidR="00B84C54" w:rsidRPr="00E84DC2">
        <w:rPr>
          <w:rStyle w:val="FootnoteReference"/>
          <w:rFonts w:ascii="Tahoma" w:eastAsia="Calibri" w:hAnsi="Tahoma" w:cs="Tahoma"/>
          <w:lang w:val="en-AU"/>
        </w:rPr>
        <w:footnoteReference w:id="12"/>
      </w:r>
    </w:p>
    <w:p w:rsidR="002F7C69" w:rsidRPr="00E84DC2" w:rsidRDefault="002F7C69" w:rsidP="0054497A">
      <w:pPr>
        <w:rPr>
          <w:rFonts w:ascii="Tahoma" w:eastAsia="Calibri" w:hAnsi="Tahoma" w:cs="Tahoma"/>
          <w:sz w:val="22"/>
          <w:szCs w:val="22"/>
          <w:lang w:val="en-AU"/>
        </w:rPr>
      </w:pPr>
    </w:p>
    <w:p w:rsidR="0069381C" w:rsidRPr="00E84DC2" w:rsidRDefault="00D733EB" w:rsidP="0054497A">
      <w:pPr>
        <w:rPr>
          <w:rFonts w:ascii="Tahoma" w:eastAsia="Calibri" w:hAnsi="Tahoma" w:cs="Tahoma"/>
          <w:sz w:val="22"/>
          <w:szCs w:val="22"/>
          <w:lang w:val="en-AU"/>
        </w:rPr>
      </w:pPr>
      <w:r w:rsidRPr="00D733EB">
        <w:rPr>
          <w:rFonts w:ascii="Tahoma" w:eastAsia="Calibri" w:hAnsi="Tahoma" w:cs="Tahoma"/>
          <w:sz w:val="22"/>
          <w:szCs w:val="22"/>
        </w:rPr>
        <w:t xml:space="preserve">While the operating context of each council varies depending on location, size, demographics, local needs and priorities, all councils have the same obligation to </w:t>
      </w:r>
      <w:r w:rsidRPr="00D733EB">
        <w:rPr>
          <w:rFonts w:ascii="Tahoma" w:eastAsia="Calibri" w:hAnsi="Tahoma" w:cs="Tahoma"/>
          <w:sz w:val="22"/>
          <w:szCs w:val="22"/>
        </w:rPr>
        <w:lastRenderedPageBreak/>
        <w:t>manage their finances responsibly and to ensure their services and infrastructure meet community needs, both now and in the future.</w:t>
      </w:r>
    </w:p>
    <w:p w:rsidR="004E4A33" w:rsidRPr="00E84CE8" w:rsidRDefault="00D733EB" w:rsidP="00E84CE8">
      <w:pPr>
        <w:pStyle w:val="Heading2"/>
      </w:pPr>
      <w:bookmarkStart w:id="7" w:name="_Toc379878653"/>
      <w:r w:rsidRPr="00E84CE8">
        <w:t>Nature of the problem</w:t>
      </w:r>
      <w:bookmarkEnd w:id="7"/>
    </w:p>
    <w:p w:rsidR="0091013B" w:rsidRPr="00E84DC2" w:rsidRDefault="0091013B" w:rsidP="00D95A78">
      <w:pPr>
        <w:rPr>
          <w:rFonts w:ascii="Tahoma" w:eastAsia="Calibri" w:hAnsi="Tahoma" w:cs="Tahoma"/>
          <w:sz w:val="22"/>
          <w:szCs w:val="22"/>
          <w:lang w:val="en-AU"/>
        </w:rPr>
      </w:pPr>
    </w:p>
    <w:p w:rsidR="00C67830" w:rsidRPr="00E84DC2" w:rsidRDefault="00D733EB" w:rsidP="00BC0B95">
      <w:pPr>
        <w:rPr>
          <w:rFonts w:ascii="Tahoma" w:eastAsia="Calibri" w:hAnsi="Tahoma" w:cs="Tahoma"/>
          <w:sz w:val="22"/>
          <w:szCs w:val="22"/>
          <w:lang w:val="en-AU"/>
        </w:rPr>
      </w:pPr>
      <w:r w:rsidRPr="00D733EB">
        <w:rPr>
          <w:rFonts w:ascii="Tahoma" w:eastAsia="Calibri" w:hAnsi="Tahoma" w:cs="Tahoma"/>
          <w:sz w:val="22"/>
          <w:szCs w:val="22"/>
          <w:lang w:val="en-AU"/>
        </w:rPr>
        <w:t xml:space="preserve">It is generally accepted that government may need to regulate where there is insufficient or inadequate information available to people who need it to make decisions. The </w:t>
      </w:r>
      <w:r w:rsidRPr="00D733EB">
        <w:rPr>
          <w:rFonts w:ascii="Tahoma" w:eastAsia="Calibri" w:hAnsi="Tahoma" w:cs="Tahoma"/>
          <w:i/>
          <w:sz w:val="22"/>
          <w:szCs w:val="22"/>
          <w:lang w:val="en-AU"/>
        </w:rPr>
        <w:t>Victorian Guide to Regulation</w:t>
      </w:r>
      <w:r w:rsidRPr="00D733EB">
        <w:rPr>
          <w:rFonts w:ascii="Tahoma" w:eastAsia="Calibri" w:hAnsi="Tahoma" w:cs="Tahoma"/>
          <w:sz w:val="22"/>
          <w:szCs w:val="22"/>
          <w:lang w:val="en-AU"/>
        </w:rPr>
        <w:t xml:space="preserve"> provides an example of this type of government intervention:</w:t>
      </w:r>
    </w:p>
    <w:p w:rsidR="00C67830" w:rsidRPr="00E84DC2" w:rsidRDefault="00C67830" w:rsidP="00BC0B95">
      <w:pPr>
        <w:rPr>
          <w:rFonts w:ascii="Tahoma" w:eastAsia="Calibri" w:hAnsi="Tahoma" w:cs="Tahoma"/>
          <w:sz w:val="18"/>
          <w:szCs w:val="18"/>
          <w:lang w:val="en-AU"/>
        </w:rPr>
      </w:pPr>
    </w:p>
    <w:p w:rsidR="002E2BB3" w:rsidRPr="00E84DC2" w:rsidRDefault="00D733EB" w:rsidP="00C67830">
      <w:pPr>
        <w:ind w:left="284" w:right="362"/>
        <w:rPr>
          <w:rFonts w:ascii="Tahoma" w:eastAsia="Calibri" w:hAnsi="Tahoma" w:cs="Tahoma"/>
          <w:sz w:val="20"/>
          <w:szCs w:val="20"/>
          <w:lang w:val="en-AU"/>
        </w:rPr>
      </w:pPr>
      <w:r w:rsidRPr="00D733EB">
        <w:rPr>
          <w:rFonts w:ascii="Tahoma" w:eastAsia="Calibri" w:hAnsi="Tahoma" w:cs="Tahoma"/>
          <w:sz w:val="20"/>
          <w:szCs w:val="20"/>
          <w:lang w:val="en-AU"/>
        </w:rPr>
        <w:t>Consumers may not have adequate access to the information they require to make decisions that are in their best interests. For example, consumers need access to information on the quality or content of products (including associated hazards). Sometimes, sellers may have access to better information than buyers (often referred to as ‘information asymmetries’). Under such circumstances, governments may regulate to require information disclosure.</w:t>
      </w:r>
      <w:r>
        <w:rPr>
          <w:rStyle w:val="FootnoteReference"/>
          <w:rFonts w:ascii="Tahoma" w:eastAsia="Calibri" w:hAnsi="Tahoma" w:cs="Tahoma"/>
          <w:sz w:val="20"/>
          <w:szCs w:val="20"/>
          <w:lang w:val="en-AU"/>
        </w:rPr>
        <w:footnoteReference w:id="13"/>
      </w:r>
    </w:p>
    <w:p w:rsidR="00BC0B95" w:rsidRPr="00E84DC2" w:rsidRDefault="00BC0B95" w:rsidP="00BC0B95">
      <w:pPr>
        <w:rPr>
          <w:rFonts w:ascii="Tahoma" w:eastAsia="Calibri" w:hAnsi="Tahoma" w:cs="Tahoma"/>
          <w:sz w:val="22"/>
          <w:szCs w:val="22"/>
          <w:lang w:val="en-AU"/>
        </w:rPr>
      </w:pPr>
    </w:p>
    <w:p w:rsidR="00DC5086" w:rsidRPr="00E84DC2" w:rsidRDefault="00D733EB" w:rsidP="00BC0B95">
      <w:pPr>
        <w:rPr>
          <w:rFonts w:ascii="Tahoma" w:eastAsia="Calibri" w:hAnsi="Tahoma" w:cs="Tahoma"/>
          <w:sz w:val="22"/>
          <w:szCs w:val="22"/>
          <w:lang w:val="en-AU"/>
        </w:rPr>
      </w:pPr>
      <w:r w:rsidRPr="00D733EB">
        <w:rPr>
          <w:rFonts w:ascii="Tahoma" w:eastAsia="Calibri" w:hAnsi="Tahoma" w:cs="Tahoma"/>
          <w:sz w:val="22"/>
          <w:szCs w:val="22"/>
          <w:lang w:val="en-AU"/>
        </w:rPr>
        <w:t>Local communities are consumers of their local councils—the community pays rates in exchange for the services provided by the council. Ratepayers therefore have a legitimate right to know how their rates are being used.</w:t>
      </w:r>
    </w:p>
    <w:p w:rsidR="00DC5086" w:rsidRPr="00E84DC2" w:rsidRDefault="00DC5086" w:rsidP="00BC0B95">
      <w:pPr>
        <w:rPr>
          <w:rFonts w:ascii="Tahoma" w:eastAsia="Calibri" w:hAnsi="Tahoma" w:cs="Tahoma"/>
          <w:sz w:val="22"/>
          <w:szCs w:val="22"/>
          <w:lang w:val="en-AU"/>
        </w:rPr>
      </w:pPr>
    </w:p>
    <w:p w:rsidR="00B151BE" w:rsidRPr="00E84DC2" w:rsidRDefault="00D733EB" w:rsidP="00BC0B95">
      <w:pPr>
        <w:rPr>
          <w:rFonts w:ascii="Tahoma" w:eastAsia="Calibri" w:hAnsi="Tahoma" w:cs="Tahoma"/>
          <w:sz w:val="22"/>
          <w:szCs w:val="22"/>
        </w:rPr>
      </w:pPr>
      <w:r w:rsidRPr="00D733EB">
        <w:rPr>
          <w:rFonts w:ascii="Tahoma" w:eastAsia="Calibri" w:hAnsi="Tahoma" w:cs="Tahoma"/>
          <w:sz w:val="22"/>
          <w:szCs w:val="22"/>
          <w:lang w:val="en-AU"/>
        </w:rPr>
        <w:t xml:space="preserve">Ratepayers’ consumption decisions also includes their right to vote at local elections. </w:t>
      </w:r>
      <w:r w:rsidRPr="00D733EB">
        <w:rPr>
          <w:rFonts w:ascii="Tahoma" w:eastAsia="Calibri" w:hAnsi="Tahoma" w:cs="Tahoma"/>
          <w:sz w:val="22"/>
          <w:szCs w:val="22"/>
        </w:rPr>
        <w:t>Effective performance reporting ensures councils are accountable to their local residents and ratepayers for their legislative obligations. The Victorian Auditor-General noted in 2012:</w:t>
      </w:r>
    </w:p>
    <w:p w:rsidR="00B151BE" w:rsidRPr="00E84DC2" w:rsidRDefault="00B151BE" w:rsidP="00BC0B95">
      <w:pPr>
        <w:rPr>
          <w:rFonts w:ascii="Tahoma" w:eastAsia="Calibri" w:hAnsi="Tahoma" w:cs="Tahoma"/>
          <w:sz w:val="18"/>
          <w:szCs w:val="18"/>
        </w:rPr>
      </w:pPr>
    </w:p>
    <w:p w:rsidR="0045297A" w:rsidRPr="00E84DC2" w:rsidRDefault="00D733EB" w:rsidP="00B151BE">
      <w:pPr>
        <w:ind w:left="284" w:right="362"/>
        <w:rPr>
          <w:rFonts w:ascii="Tahoma" w:eastAsia="Calibri" w:hAnsi="Tahoma" w:cs="Tahoma"/>
          <w:sz w:val="20"/>
          <w:szCs w:val="20"/>
          <w:lang w:val="en-AU"/>
        </w:rPr>
      </w:pPr>
      <w:r w:rsidRPr="00D733EB">
        <w:rPr>
          <w:rFonts w:ascii="Tahoma" w:eastAsia="Calibri" w:hAnsi="Tahoma" w:cs="Tahoma"/>
          <w:i/>
          <w:sz w:val="20"/>
          <w:szCs w:val="20"/>
          <w:lang w:val="en-AU"/>
        </w:rPr>
        <w:t>[Performance reporting by local councils]</w:t>
      </w:r>
      <w:r w:rsidRPr="00D733EB">
        <w:rPr>
          <w:rFonts w:ascii="Tahoma" w:eastAsia="Calibri" w:hAnsi="Tahoma" w:cs="Tahoma"/>
          <w:sz w:val="20"/>
          <w:szCs w:val="20"/>
          <w:lang w:val="en-AU"/>
        </w:rPr>
        <w:t xml:space="preserve"> is critical for demonstrating value-for-money, the achievement of objectives, equitable access to services, and that services are appropriate, of good quality, and cost effective.</w:t>
      </w:r>
      <w:r>
        <w:rPr>
          <w:rStyle w:val="FootnoteReference"/>
          <w:rFonts w:ascii="Tahoma" w:eastAsia="Calibri" w:hAnsi="Tahoma" w:cs="Tahoma"/>
          <w:sz w:val="20"/>
          <w:szCs w:val="20"/>
          <w:lang w:val="en-AU"/>
        </w:rPr>
        <w:footnoteReference w:id="14"/>
      </w:r>
    </w:p>
    <w:p w:rsidR="00EF2F55" w:rsidRPr="00E84DC2" w:rsidRDefault="00EF2F55" w:rsidP="00EF2F55">
      <w:pPr>
        <w:rPr>
          <w:rFonts w:ascii="Tahoma" w:eastAsia="Calibri" w:hAnsi="Tahoma" w:cs="Tahoma"/>
          <w:sz w:val="22"/>
          <w:szCs w:val="22"/>
          <w:lang w:val="en-AU"/>
        </w:rPr>
      </w:pPr>
    </w:p>
    <w:p w:rsidR="00EF2F55" w:rsidRPr="00E84DC2" w:rsidRDefault="00D733EB" w:rsidP="00EF2F55">
      <w:pPr>
        <w:rPr>
          <w:rFonts w:ascii="Tahoma" w:eastAsia="Calibri" w:hAnsi="Tahoma" w:cs="Tahoma"/>
          <w:sz w:val="22"/>
          <w:szCs w:val="22"/>
          <w:lang w:val="en-AU"/>
        </w:rPr>
      </w:pPr>
      <w:r w:rsidRPr="00D733EB">
        <w:rPr>
          <w:rFonts w:ascii="Tahoma" w:eastAsia="Calibri" w:hAnsi="Tahoma" w:cs="Tahoma"/>
          <w:sz w:val="22"/>
          <w:szCs w:val="22"/>
          <w:lang w:val="en-AU"/>
        </w:rPr>
        <w:t xml:space="preserve">Regulation of the reporting of local councils is based on enhancing transparency and accountability of local government. This is important in its own right, as councils are elected by their communities. </w:t>
      </w:r>
    </w:p>
    <w:p w:rsidR="00EF2F55" w:rsidRPr="00E84DC2" w:rsidRDefault="00EF2F55" w:rsidP="00EF2F55">
      <w:pPr>
        <w:rPr>
          <w:rFonts w:ascii="Tahoma" w:eastAsia="Calibri" w:hAnsi="Tahoma" w:cs="Tahoma"/>
          <w:sz w:val="22"/>
          <w:szCs w:val="22"/>
          <w:lang w:val="en-AU"/>
        </w:rPr>
      </w:pPr>
    </w:p>
    <w:p w:rsidR="00A26A00" w:rsidRPr="00E84DC2" w:rsidRDefault="00D733EB" w:rsidP="00BC0B95">
      <w:pPr>
        <w:rPr>
          <w:rFonts w:ascii="Tahoma" w:eastAsia="Calibri" w:hAnsi="Tahoma" w:cs="Tahoma"/>
          <w:sz w:val="22"/>
          <w:szCs w:val="22"/>
          <w:lang w:val="en-AU"/>
        </w:rPr>
      </w:pPr>
      <w:r w:rsidRPr="00D733EB">
        <w:rPr>
          <w:rFonts w:ascii="Tahoma" w:eastAsia="Calibri" w:hAnsi="Tahoma" w:cs="Tahoma"/>
          <w:sz w:val="22"/>
          <w:szCs w:val="22"/>
          <w:lang w:val="en-AU"/>
        </w:rPr>
        <w:t xml:space="preserve">Better reporting may also lead to better outcomes. Good reporting on performance allows greater scrutiny of decision making, which can in turn lead to better decisions. A consistent approach to reporting also allows meaningful comparisons and benchmarking to be undertaken, allowing identification of areas for improvement in council activities. </w:t>
      </w:r>
    </w:p>
    <w:p w:rsidR="008F1C75" w:rsidRPr="00E84DC2" w:rsidRDefault="008F1C75" w:rsidP="00BC0B95">
      <w:pPr>
        <w:rPr>
          <w:rFonts w:ascii="Tahoma" w:eastAsia="Calibri" w:hAnsi="Tahoma" w:cs="Tahoma"/>
          <w:sz w:val="22"/>
          <w:szCs w:val="22"/>
          <w:lang w:val="en-AU"/>
        </w:rPr>
      </w:pPr>
    </w:p>
    <w:p w:rsidR="008F1C75" w:rsidRPr="00E84DC2" w:rsidRDefault="00D733EB" w:rsidP="00BC0B95">
      <w:pPr>
        <w:rPr>
          <w:rFonts w:ascii="Tahoma" w:eastAsia="Calibri" w:hAnsi="Tahoma" w:cs="Tahoma"/>
          <w:sz w:val="22"/>
          <w:szCs w:val="22"/>
          <w:lang w:val="en-AU"/>
        </w:rPr>
      </w:pPr>
      <w:r w:rsidRPr="00D733EB">
        <w:rPr>
          <w:rFonts w:ascii="Tahoma" w:eastAsia="Calibri" w:hAnsi="Tahoma" w:cs="Tahoma"/>
          <w:sz w:val="22"/>
          <w:szCs w:val="22"/>
          <w:lang w:val="en-AU"/>
        </w:rPr>
        <w:t>Of course, better reporting is linked to the planning of council activities. To be able to meaningfully assess performance, the public needs sufficient information about council objectives and intentions. Citizens need to understand councils’ strategic plans and budget. Better disclosure on council planning not only facilitates better scrutiny of performance, but will usually lead to better plans.</w:t>
      </w:r>
    </w:p>
    <w:p w:rsidR="006F1FDB" w:rsidRPr="00E84DC2" w:rsidRDefault="006F1FDB" w:rsidP="00BC0B95">
      <w:pPr>
        <w:rPr>
          <w:rFonts w:ascii="Tahoma" w:eastAsia="Calibri" w:hAnsi="Tahoma" w:cs="Tahoma"/>
          <w:sz w:val="22"/>
          <w:szCs w:val="22"/>
          <w:lang w:val="en-AU"/>
        </w:rPr>
      </w:pPr>
    </w:p>
    <w:p w:rsidR="006F1FDB" w:rsidRPr="00E84DC2" w:rsidRDefault="00D733EB" w:rsidP="006F1FDB">
      <w:pPr>
        <w:rPr>
          <w:rFonts w:ascii="Tahoma" w:eastAsia="Times New Roman" w:hAnsi="Tahoma" w:cs="Tahoma"/>
          <w:sz w:val="22"/>
          <w:szCs w:val="22"/>
          <w:lang w:val="en-AU"/>
        </w:rPr>
      </w:pPr>
      <w:r w:rsidRPr="00D733EB">
        <w:rPr>
          <w:rFonts w:ascii="Tahoma" w:eastAsia="Times New Roman" w:hAnsi="Tahoma" w:cs="Tahoma"/>
          <w:sz w:val="22"/>
          <w:szCs w:val="22"/>
          <w:lang w:val="en-AU"/>
        </w:rPr>
        <w:t xml:space="preserve">As early as 1997, the Industry Commission found that there would be considerable net benefits to the community from improving performance measurement systems </w:t>
      </w:r>
      <w:r w:rsidRPr="00D733EB">
        <w:rPr>
          <w:rFonts w:ascii="Tahoma" w:eastAsia="Times New Roman" w:hAnsi="Tahoma" w:cs="Tahoma"/>
          <w:sz w:val="22"/>
          <w:szCs w:val="22"/>
          <w:lang w:val="en-AU"/>
        </w:rPr>
        <w:lastRenderedPageBreak/>
        <w:t>used by local councils—by providing insights into how to raise performance and to be a useful basis for ‘yardstick competition’.</w:t>
      </w:r>
      <w:r>
        <w:rPr>
          <w:rStyle w:val="FootnoteReference"/>
          <w:rFonts w:ascii="Tahoma" w:eastAsia="Times New Roman" w:hAnsi="Tahoma" w:cs="Tahoma"/>
          <w:sz w:val="22"/>
          <w:szCs w:val="22"/>
          <w:lang w:val="en-AU"/>
        </w:rPr>
        <w:footnoteReference w:id="15"/>
      </w:r>
      <w:r w:rsidRPr="00D733EB">
        <w:rPr>
          <w:rFonts w:ascii="Tahoma" w:eastAsia="Times New Roman" w:hAnsi="Tahoma" w:cs="Tahoma"/>
          <w:sz w:val="22"/>
          <w:szCs w:val="22"/>
          <w:lang w:val="en-AU"/>
        </w:rPr>
        <w:t xml:space="preserve"> The Commission stated (at page 6):</w:t>
      </w:r>
    </w:p>
    <w:p w:rsidR="006F1FDB" w:rsidRPr="00E84DC2" w:rsidRDefault="006F1FDB" w:rsidP="006F1FDB">
      <w:pPr>
        <w:rPr>
          <w:rFonts w:ascii="Tahoma" w:eastAsia="Times New Roman" w:hAnsi="Tahoma" w:cs="Tahoma"/>
          <w:sz w:val="18"/>
          <w:szCs w:val="18"/>
          <w:lang w:val="en-AU"/>
        </w:rPr>
      </w:pPr>
    </w:p>
    <w:p w:rsidR="006F1FDB" w:rsidRPr="00E84DC2" w:rsidRDefault="00D733EB" w:rsidP="006F1FDB">
      <w:pPr>
        <w:ind w:left="284" w:right="362"/>
        <w:rPr>
          <w:rFonts w:ascii="Tahoma" w:eastAsia="Times New Roman" w:hAnsi="Tahoma" w:cs="Tahoma"/>
          <w:sz w:val="20"/>
          <w:szCs w:val="20"/>
          <w:lang w:val="en-AU"/>
        </w:rPr>
      </w:pPr>
      <w:r w:rsidRPr="00D733EB">
        <w:rPr>
          <w:rFonts w:ascii="Tahoma" w:eastAsia="Times New Roman" w:hAnsi="Tahoma" w:cs="Tahoma"/>
          <w:sz w:val="20"/>
          <w:szCs w:val="20"/>
          <w:lang w:val="en-AU"/>
        </w:rPr>
        <w:t>Improving comparative performance indicators … has been an integral part of many of the changes in local government during the past decade. These changes have seen a greater role for competition – be it ‘yardstick’ competition, comparisons with other providers performing similar activities, or ‘direct’ competition for the right to supply a service – for example, through the increased use of competitive tendering and contracting.</w:t>
      </w:r>
    </w:p>
    <w:p w:rsidR="006F1FDB" w:rsidRPr="00E84DC2" w:rsidRDefault="006F1FDB" w:rsidP="006F1FDB">
      <w:pPr>
        <w:rPr>
          <w:rFonts w:ascii="Tahoma" w:eastAsia="Times New Roman" w:hAnsi="Tahoma" w:cs="Tahoma"/>
          <w:sz w:val="18"/>
          <w:szCs w:val="18"/>
          <w:lang w:val="en-AU"/>
        </w:rPr>
      </w:pPr>
    </w:p>
    <w:p w:rsidR="006F1FDB" w:rsidRPr="00E84DC2" w:rsidRDefault="00D733EB" w:rsidP="006F1FDB">
      <w:pPr>
        <w:ind w:left="284" w:right="362"/>
        <w:rPr>
          <w:rFonts w:ascii="Tahoma" w:eastAsia="Times New Roman" w:hAnsi="Tahoma" w:cs="Tahoma"/>
          <w:sz w:val="22"/>
          <w:szCs w:val="22"/>
          <w:lang w:val="en-AU"/>
        </w:rPr>
      </w:pPr>
      <w:r w:rsidRPr="00D733EB">
        <w:rPr>
          <w:rFonts w:ascii="Tahoma" w:eastAsia="Calibri" w:hAnsi="Tahoma" w:cs="Tahoma"/>
          <w:sz w:val="20"/>
          <w:szCs w:val="20"/>
          <w:lang w:val="en-AU"/>
        </w:rPr>
        <w:t>The</w:t>
      </w:r>
      <w:r w:rsidRPr="00D733EB">
        <w:rPr>
          <w:rFonts w:ascii="Tahoma" w:eastAsia="Times New Roman" w:hAnsi="Tahoma" w:cs="Tahoma"/>
          <w:sz w:val="20"/>
          <w:szCs w:val="20"/>
          <w:lang w:val="en-AU"/>
        </w:rPr>
        <w:t xml:space="preserve"> Commission considers that there is an increased role for performance indicators in improving efficiency and effectiveness of local government, and in enhancing its accountability by enabling residents and ratepayers (as well as state governments) to better asses each council’s performance.</w:t>
      </w:r>
    </w:p>
    <w:p w:rsidR="006F1FDB" w:rsidRPr="00E84DC2" w:rsidRDefault="006F1FDB" w:rsidP="00BC0B95">
      <w:pPr>
        <w:rPr>
          <w:rFonts w:ascii="Tahoma" w:eastAsia="Calibri" w:hAnsi="Tahoma" w:cs="Tahoma"/>
          <w:sz w:val="22"/>
          <w:szCs w:val="22"/>
          <w:lang w:val="en-AU"/>
        </w:rPr>
      </w:pPr>
    </w:p>
    <w:p w:rsidR="00A26A00" w:rsidRPr="00E84DC2" w:rsidRDefault="00D733EB" w:rsidP="00BC0B95">
      <w:pPr>
        <w:rPr>
          <w:rFonts w:ascii="Tahoma" w:eastAsia="Calibri" w:hAnsi="Tahoma" w:cs="Tahoma"/>
          <w:sz w:val="22"/>
          <w:szCs w:val="22"/>
          <w:lang w:val="en-AU"/>
        </w:rPr>
      </w:pPr>
      <w:r w:rsidRPr="00D733EB">
        <w:rPr>
          <w:rFonts w:ascii="Tahoma" w:eastAsia="Calibri" w:hAnsi="Tahoma" w:cs="Tahoma"/>
          <w:sz w:val="22"/>
          <w:szCs w:val="22"/>
          <w:lang w:val="en-AU"/>
        </w:rPr>
        <w:t>The Industry Commission concluded that good comparative information on performance can enhance the incentives to achieve continuous improvement by:</w:t>
      </w:r>
    </w:p>
    <w:p w:rsidR="00DC3FA8" w:rsidRPr="00E84DC2" w:rsidRDefault="00D733EB" w:rsidP="00C3402D">
      <w:pPr>
        <w:pStyle w:val="ListParagraph"/>
        <w:rPr>
          <w:rFonts w:ascii="Tahoma" w:hAnsi="Tahoma" w:cs="Tahoma"/>
          <w:lang w:val="en-AU"/>
        </w:rPr>
      </w:pPr>
      <w:r w:rsidRPr="00D733EB">
        <w:rPr>
          <w:rFonts w:ascii="Tahoma" w:hAnsi="Tahoma" w:cs="Tahoma"/>
          <w:lang w:val="en-AU"/>
        </w:rPr>
        <w:t>encouraging councils to be more explicit about their objectives</w:t>
      </w:r>
      <w:r w:rsidR="002D6369">
        <w:rPr>
          <w:rFonts w:ascii="Tahoma" w:hAnsi="Tahoma" w:cs="Tahoma"/>
          <w:lang w:val="en-AU"/>
        </w:rPr>
        <w:t>;</w:t>
      </w:r>
    </w:p>
    <w:p w:rsidR="00DC3FA8" w:rsidRPr="00E84DC2" w:rsidRDefault="00D733EB" w:rsidP="00C3402D">
      <w:pPr>
        <w:pStyle w:val="ListParagraph"/>
        <w:rPr>
          <w:rFonts w:ascii="Tahoma" w:hAnsi="Tahoma" w:cs="Tahoma"/>
          <w:lang w:val="en-AU"/>
        </w:rPr>
      </w:pPr>
      <w:r w:rsidRPr="00D733EB">
        <w:rPr>
          <w:rFonts w:ascii="Tahoma" w:hAnsi="Tahoma" w:cs="Tahoma"/>
          <w:lang w:val="en-AU"/>
        </w:rPr>
        <w:t>providing information on attainable levels of performance, thereby fostering yardstick competition where competitive forces are at work</w:t>
      </w:r>
      <w:r w:rsidR="002D6369">
        <w:rPr>
          <w:rFonts w:ascii="Tahoma" w:hAnsi="Tahoma" w:cs="Tahoma"/>
          <w:lang w:val="en-AU"/>
        </w:rPr>
        <w:t>; and</w:t>
      </w:r>
    </w:p>
    <w:p w:rsidR="00DC3FA8" w:rsidRPr="00E84DC2" w:rsidRDefault="00D733EB" w:rsidP="00C3402D">
      <w:pPr>
        <w:pStyle w:val="ListParagraph"/>
        <w:rPr>
          <w:rFonts w:ascii="Tahoma" w:hAnsi="Tahoma" w:cs="Tahoma"/>
          <w:lang w:val="en-AU"/>
        </w:rPr>
      </w:pPr>
      <w:r w:rsidRPr="00D733EB">
        <w:rPr>
          <w:rFonts w:ascii="Tahoma" w:hAnsi="Tahoma" w:cs="Tahoma"/>
          <w:lang w:val="en-AU"/>
        </w:rPr>
        <w:t>providing managers with insights into which other approaches may work.</w:t>
      </w:r>
    </w:p>
    <w:p w:rsidR="00DC3FA8" w:rsidRPr="00E84DC2" w:rsidRDefault="00DC3FA8" w:rsidP="00BC0B95">
      <w:pPr>
        <w:rPr>
          <w:rFonts w:ascii="Tahoma" w:eastAsia="Calibri" w:hAnsi="Tahoma" w:cs="Tahoma"/>
          <w:sz w:val="22"/>
          <w:szCs w:val="22"/>
          <w:lang w:val="en-AU"/>
        </w:rPr>
      </w:pPr>
    </w:p>
    <w:p w:rsidR="00514B15" w:rsidRPr="00E84DC2" w:rsidRDefault="00D733EB" w:rsidP="00BC0B95">
      <w:pPr>
        <w:rPr>
          <w:rFonts w:ascii="Tahoma" w:eastAsia="Calibri" w:hAnsi="Tahoma" w:cs="Tahoma"/>
          <w:sz w:val="22"/>
          <w:szCs w:val="22"/>
          <w:lang w:val="en-AU"/>
        </w:rPr>
      </w:pPr>
      <w:r w:rsidRPr="00D733EB">
        <w:rPr>
          <w:rFonts w:ascii="Tahoma" w:eastAsia="Calibri" w:hAnsi="Tahoma" w:cs="Tahoma"/>
          <w:sz w:val="22"/>
          <w:szCs w:val="22"/>
          <w:lang w:val="en-AU"/>
        </w:rPr>
        <w:t>The services of local councils are rarely subject to competitive pressures, which make yardstick competition and the use of performance indicators more important. Yardstick competition is essentially the same as ‘competition by comparison’ used in relation to pubic utilities. As the VCEC notes:</w:t>
      </w:r>
    </w:p>
    <w:p w:rsidR="00BA1237" w:rsidRPr="00E84DC2" w:rsidRDefault="00BA1237" w:rsidP="00BC0B95">
      <w:pPr>
        <w:rPr>
          <w:rFonts w:ascii="Tahoma" w:eastAsia="Calibri" w:hAnsi="Tahoma" w:cs="Tahoma"/>
          <w:sz w:val="18"/>
          <w:szCs w:val="18"/>
          <w:lang w:val="en-AU"/>
        </w:rPr>
      </w:pPr>
    </w:p>
    <w:p w:rsidR="00BA1237" w:rsidRPr="00E84DC2" w:rsidRDefault="00D733EB" w:rsidP="007B4826">
      <w:pPr>
        <w:ind w:left="284" w:right="362"/>
        <w:rPr>
          <w:rFonts w:ascii="Tahoma" w:eastAsia="Times New Roman" w:hAnsi="Tahoma" w:cs="Tahoma"/>
          <w:sz w:val="20"/>
          <w:szCs w:val="20"/>
          <w:lang w:val="en-AU"/>
        </w:rPr>
      </w:pPr>
      <w:r w:rsidRPr="00D733EB">
        <w:rPr>
          <w:rFonts w:ascii="Tahoma" w:eastAsia="Times New Roman" w:hAnsi="Tahoma" w:cs="Tahoma"/>
          <w:sz w:val="20"/>
          <w:szCs w:val="20"/>
          <w:lang w:val="en-AU"/>
        </w:rPr>
        <w:t>The concept of competition by comparison was developed in the 1980s as a way to help limit abuse of market power in monopolised utility industries such as electricity and water. It was suggested that monopoly enterprises could be successfully regulated using ‘the costs of comparable firms to infer a firm’s attainable cost level.’ In practice, comparative competition has been employed in several ways, ranging from simply reporting publicly on the performance of utilities, to the active use by economic regulators of ‘league tables’ as a means for setting prices.</w:t>
      </w:r>
      <w:r>
        <w:rPr>
          <w:rStyle w:val="FootnoteReference"/>
          <w:rFonts w:ascii="Tahoma" w:eastAsia="Times New Roman" w:hAnsi="Tahoma" w:cs="Tahoma"/>
          <w:sz w:val="20"/>
          <w:szCs w:val="20"/>
          <w:lang w:val="en-AU"/>
        </w:rPr>
        <w:footnoteReference w:id="16"/>
      </w:r>
      <w:r w:rsidRPr="00D733EB">
        <w:rPr>
          <w:rFonts w:ascii="Tahoma" w:eastAsia="Times New Roman" w:hAnsi="Tahoma" w:cs="Tahoma"/>
          <w:sz w:val="20"/>
          <w:szCs w:val="20"/>
          <w:lang w:val="en-AU"/>
        </w:rPr>
        <w:t xml:space="preserve"> </w:t>
      </w:r>
    </w:p>
    <w:p w:rsidR="00F8045F" w:rsidRPr="00E84DC2" w:rsidRDefault="00F8045F" w:rsidP="00BC0B95">
      <w:pPr>
        <w:rPr>
          <w:rFonts w:ascii="Tahoma" w:eastAsia="Calibri" w:hAnsi="Tahoma" w:cs="Tahoma"/>
          <w:sz w:val="22"/>
          <w:szCs w:val="22"/>
          <w:lang w:val="en-AU"/>
        </w:rPr>
      </w:pPr>
    </w:p>
    <w:p w:rsidR="00B96DC6" w:rsidRPr="00E84DC2" w:rsidRDefault="00D733EB" w:rsidP="00B96DC6">
      <w:pPr>
        <w:rPr>
          <w:rFonts w:ascii="Tahoma" w:eastAsia="Times New Roman" w:hAnsi="Tahoma" w:cs="Tahoma"/>
          <w:sz w:val="27"/>
          <w:szCs w:val="27"/>
          <w:lang w:val="en-AU" w:eastAsia="en-US"/>
        </w:rPr>
      </w:pPr>
      <w:r w:rsidRPr="00D733EB">
        <w:rPr>
          <w:rFonts w:ascii="Tahoma" w:eastAsia="Calibri" w:hAnsi="Tahoma" w:cs="Tahoma"/>
          <w:sz w:val="22"/>
          <w:szCs w:val="22"/>
          <w:lang w:val="en-AU"/>
        </w:rPr>
        <w:t>In that report, the VCEC noted that, in principle, competition by comparison can influence water retailers’ activities and hence their controllable expenditures.</w:t>
      </w:r>
      <w:r>
        <w:rPr>
          <w:rStyle w:val="FootnoteReference"/>
          <w:rFonts w:ascii="Tahoma" w:eastAsia="Calibri" w:hAnsi="Tahoma" w:cs="Tahoma"/>
          <w:sz w:val="22"/>
          <w:szCs w:val="22"/>
          <w:lang w:val="en-AU"/>
        </w:rPr>
        <w:footnoteReference w:id="17"/>
      </w:r>
      <w:r w:rsidRPr="00D733EB">
        <w:rPr>
          <w:rFonts w:ascii="Tahoma" w:eastAsia="Calibri" w:hAnsi="Tahoma" w:cs="Tahoma"/>
          <w:sz w:val="22"/>
          <w:szCs w:val="22"/>
          <w:lang w:val="en-AU"/>
        </w:rPr>
        <w:t xml:space="preserve"> The VCEC found that the scope for competition by comparison to influence the aggregate performance of the water sector, while likely to be relatively less than has previously been the case, was still significant in dollar terms.</w:t>
      </w:r>
      <w:r w:rsidRPr="00D733EB">
        <w:rPr>
          <w:rFonts w:ascii="Tahoma" w:eastAsia="Times New Roman" w:hAnsi="Tahoma" w:cs="Tahoma"/>
          <w:sz w:val="27"/>
          <w:szCs w:val="27"/>
          <w:lang w:val="en-AU" w:eastAsia="en-US"/>
        </w:rPr>
        <w:t xml:space="preserve"> </w:t>
      </w:r>
    </w:p>
    <w:p w:rsidR="00B96DC6" w:rsidRPr="00E84DC2" w:rsidRDefault="00B96DC6" w:rsidP="00BC0B95">
      <w:pPr>
        <w:rPr>
          <w:rFonts w:ascii="Tahoma" w:eastAsia="Calibri" w:hAnsi="Tahoma" w:cs="Tahoma"/>
          <w:sz w:val="22"/>
          <w:szCs w:val="22"/>
          <w:lang w:val="en-AU"/>
        </w:rPr>
      </w:pPr>
    </w:p>
    <w:p w:rsidR="00CD4E43" w:rsidRPr="00E84DC2" w:rsidRDefault="00D733EB" w:rsidP="00BC0B95">
      <w:pPr>
        <w:rPr>
          <w:rFonts w:ascii="Tahoma" w:eastAsia="Calibri" w:hAnsi="Tahoma" w:cs="Tahoma"/>
          <w:sz w:val="22"/>
          <w:szCs w:val="22"/>
        </w:rPr>
      </w:pPr>
      <w:r w:rsidRPr="00D733EB">
        <w:rPr>
          <w:rFonts w:ascii="Tahoma" w:eastAsia="Calibri" w:hAnsi="Tahoma" w:cs="Tahoma"/>
          <w:sz w:val="22"/>
          <w:szCs w:val="22"/>
          <w:lang w:val="en-AU"/>
        </w:rPr>
        <w:t>In a similar vein, the Auditor-General noted in 2012 that ‘g</w:t>
      </w:r>
      <w:r w:rsidRPr="00D733EB">
        <w:rPr>
          <w:rFonts w:ascii="Tahoma" w:eastAsia="Calibri" w:hAnsi="Tahoma" w:cs="Tahoma"/>
          <w:sz w:val="22"/>
          <w:szCs w:val="22"/>
        </w:rPr>
        <w:t xml:space="preserve">ood performance information helps ratepayers and councils to gain important assurance that these critical functions are being performed well. It also helps them identify inadequate performance, and to initiate timely corrective actions.’ The Auditor-General found </w:t>
      </w:r>
      <w:r w:rsidRPr="00D733EB">
        <w:rPr>
          <w:rFonts w:ascii="Tahoma" w:eastAsia="Calibri" w:hAnsi="Tahoma" w:cs="Tahoma"/>
          <w:sz w:val="22"/>
          <w:szCs w:val="22"/>
        </w:rPr>
        <w:lastRenderedPageBreak/>
        <w:t>that deficiencies in the quality and availability of performance information contributed to its findings of:</w:t>
      </w:r>
    </w:p>
    <w:p w:rsidR="00A26A00" w:rsidRPr="00E84DC2" w:rsidRDefault="00D733EB" w:rsidP="00C3402D">
      <w:pPr>
        <w:pStyle w:val="ListParagraph"/>
        <w:rPr>
          <w:rFonts w:ascii="Tahoma" w:hAnsi="Tahoma" w:cs="Tahoma"/>
          <w:lang w:val="en-AU"/>
        </w:rPr>
      </w:pPr>
      <w:r w:rsidRPr="00D733EB">
        <w:rPr>
          <w:rFonts w:ascii="Tahoma" w:hAnsi="Tahoma" w:cs="Tahoma"/>
          <w:lang w:val="en-AU"/>
        </w:rPr>
        <w:t>repeated poor financial and asset management practices, offering little assurance that councils’ long-term financial management is robust</w:t>
      </w:r>
      <w:r w:rsidR="002D6369">
        <w:rPr>
          <w:rFonts w:ascii="Tahoma" w:hAnsi="Tahoma" w:cs="Tahoma"/>
          <w:lang w:val="en-AU"/>
        </w:rPr>
        <w:t>;</w:t>
      </w:r>
    </w:p>
    <w:p w:rsidR="00A26A00" w:rsidRPr="00E84DC2" w:rsidRDefault="00D733EB" w:rsidP="00C3402D">
      <w:pPr>
        <w:pStyle w:val="ListParagraph"/>
        <w:rPr>
          <w:rFonts w:ascii="Tahoma" w:hAnsi="Tahoma" w:cs="Tahoma"/>
          <w:lang w:val="en-AU"/>
        </w:rPr>
      </w:pPr>
      <w:r w:rsidRPr="00D733EB">
        <w:rPr>
          <w:rFonts w:ascii="Tahoma" w:hAnsi="Tahoma" w:cs="Tahoma"/>
          <w:lang w:val="en-AU"/>
        </w:rPr>
        <w:t>a lack of effective policies, planning, monitoring and evaluation, including data quality assurance, reducing assurance that councils are operating efficiently, and in compliance with relevant obligations</w:t>
      </w:r>
      <w:r w:rsidR="002D6369">
        <w:rPr>
          <w:rFonts w:ascii="Tahoma" w:hAnsi="Tahoma" w:cs="Tahoma"/>
          <w:lang w:val="en-AU"/>
        </w:rPr>
        <w:t>; and</w:t>
      </w:r>
    </w:p>
    <w:p w:rsidR="00A26A00" w:rsidRPr="00E84DC2" w:rsidRDefault="00D733EB" w:rsidP="00C3402D">
      <w:pPr>
        <w:pStyle w:val="ListParagraph"/>
        <w:rPr>
          <w:rFonts w:ascii="Tahoma" w:hAnsi="Tahoma" w:cs="Tahoma"/>
          <w:lang w:val="en-AU"/>
        </w:rPr>
      </w:pPr>
      <w:r w:rsidRPr="00D733EB">
        <w:rPr>
          <w:rFonts w:ascii="Tahoma" w:hAnsi="Tahoma" w:cs="Tahoma"/>
          <w:lang w:val="en-AU"/>
        </w:rPr>
        <w:t>inadequate oversight of procurement processes.</w:t>
      </w:r>
    </w:p>
    <w:p w:rsidR="001C53A1" w:rsidRPr="00E84DC2" w:rsidRDefault="001C53A1" w:rsidP="001C53A1">
      <w:pPr>
        <w:rPr>
          <w:rFonts w:ascii="Tahoma" w:eastAsia="Calibri" w:hAnsi="Tahoma" w:cs="Tahoma"/>
          <w:sz w:val="22"/>
          <w:szCs w:val="22"/>
        </w:rPr>
      </w:pPr>
    </w:p>
    <w:p w:rsidR="001C53A1" w:rsidRPr="00E84DC2" w:rsidRDefault="00D733EB" w:rsidP="001C53A1">
      <w:pPr>
        <w:rPr>
          <w:rFonts w:ascii="Tahoma" w:eastAsia="Calibri" w:hAnsi="Tahoma" w:cs="Tahoma"/>
          <w:sz w:val="22"/>
          <w:szCs w:val="22"/>
        </w:rPr>
      </w:pPr>
      <w:r w:rsidRPr="00D733EB">
        <w:rPr>
          <w:rFonts w:ascii="Tahoma" w:eastAsia="Calibri" w:hAnsi="Tahoma" w:cs="Tahoma"/>
          <w:sz w:val="22"/>
          <w:szCs w:val="22"/>
        </w:rPr>
        <w:t>Enhanced performance reporting has also been recommended in more specific contexts. For example, the VCEC recommended improving local planning decisions and enforcement of regulations by strengthening local council performance reporting including developing a comprehensive performance reporting strategy.</w:t>
      </w:r>
      <w:r w:rsidR="00DC14B1" w:rsidRPr="00E84DC2">
        <w:rPr>
          <w:rStyle w:val="FootnoteReference"/>
          <w:rFonts w:ascii="Tahoma" w:eastAsia="Calibri" w:hAnsi="Tahoma" w:cs="Tahoma"/>
          <w:sz w:val="22"/>
          <w:szCs w:val="22"/>
        </w:rPr>
        <w:footnoteReference w:id="18"/>
      </w:r>
    </w:p>
    <w:p w:rsidR="00127DB0" w:rsidRPr="00E84DC2" w:rsidRDefault="00D733EB" w:rsidP="00E84CE8">
      <w:pPr>
        <w:pStyle w:val="Heading2"/>
      </w:pPr>
      <w:bookmarkStart w:id="8" w:name="_Toc379878654"/>
      <w:r w:rsidRPr="00D733EB">
        <w:t>Extent of the problem</w:t>
      </w:r>
      <w:bookmarkEnd w:id="8"/>
    </w:p>
    <w:p w:rsidR="00A83FB2" w:rsidRPr="00E84DC2" w:rsidRDefault="00A83FB2" w:rsidP="002F7827">
      <w:pPr>
        <w:rPr>
          <w:rFonts w:ascii="Tahoma" w:eastAsia="Times New Roman" w:hAnsi="Tahoma" w:cs="Tahoma"/>
          <w:sz w:val="22"/>
          <w:szCs w:val="22"/>
          <w:lang w:val="en-AU"/>
        </w:rPr>
      </w:pPr>
    </w:p>
    <w:p w:rsidR="002F7827" w:rsidRPr="00E84DC2" w:rsidRDefault="00D733EB" w:rsidP="002F7827">
      <w:pPr>
        <w:rPr>
          <w:rFonts w:ascii="Tahoma" w:eastAsia="Times New Roman" w:hAnsi="Tahoma" w:cs="Tahoma"/>
          <w:sz w:val="22"/>
          <w:szCs w:val="22"/>
          <w:lang w:val="en-AU"/>
        </w:rPr>
      </w:pPr>
      <w:r w:rsidRPr="00D733EB">
        <w:rPr>
          <w:rFonts w:ascii="Tahoma" w:eastAsia="Times New Roman" w:hAnsi="Tahoma" w:cs="Tahoma"/>
          <w:sz w:val="22"/>
          <w:szCs w:val="22"/>
          <w:lang w:val="en-AU"/>
        </w:rPr>
        <w:t>It is difficult to measure the extent of the problem, as reporting requirements of local government to state government has a long history. In 1843 a requirement was introduced for local government to have its accounts audited and then to be transmitted to the Governor.</w:t>
      </w:r>
      <w:r w:rsidR="00DC14B1" w:rsidRPr="00E84DC2">
        <w:rPr>
          <w:rFonts w:ascii="Tahoma" w:eastAsia="Times New Roman" w:hAnsi="Tahoma" w:cs="Tahoma"/>
          <w:sz w:val="22"/>
          <w:szCs w:val="22"/>
          <w:vertAlign w:val="superscript"/>
          <w:lang w:val="en-AU"/>
        </w:rPr>
        <w:footnoteReference w:id="19"/>
      </w:r>
      <w:r w:rsidR="00DC14B1" w:rsidRPr="00E84DC2">
        <w:rPr>
          <w:rFonts w:ascii="Tahoma" w:eastAsia="Times New Roman" w:hAnsi="Tahoma" w:cs="Tahoma"/>
          <w:sz w:val="22"/>
          <w:szCs w:val="22"/>
          <w:lang w:val="en-AU"/>
        </w:rPr>
        <w:t xml:space="preserve"> The current Regulations succeeded previous regulations that, while dif</w:t>
      </w:r>
      <w:r w:rsidRPr="00D733EB">
        <w:rPr>
          <w:rFonts w:ascii="Tahoma" w:eastAsia="Times New Roman" w:hAnsi="Tahoma" w:cs="Tahoma"/>
          <w:sz w:val="22"/>
          <w:szCs w:val="22"/>
          <w:lang w:val="en-AU"/>
        </w:rPr>
        <w:t>ferent in detail, were aimed at addressing the same fundamental problem.</w:t>
      </w:r>
    </w:p>
    <w:p w:rsidR="00445252" w:rsidRPr="00E84DC2" w:rsidRDefault="00445252" w:rsidP="002F7827">
      <w:pPr>
        <w:rPr>
          <w:rFonts w:ascii="Tahoma" w:eastAsia="Times New Roman" w:hAnsi="Tahoma" w:cs="Tahoma"/>
          <w:sz w:val="22"/>
          <w:szCs w:val="22"/>
          <w:lang w:val="en-AU"/>
        </w:rPr>
      </w:pPr>
    </w:p>
    <w:p w:rsidR="00445252" w:rsidRPr="00E84DC2" w:rsidRDefault="00D733EB" w:rsidP="002F7827">
      <w:pPr>
        <w:rPr>
          <w:rFonts w:ascii="Tahoma" w:eastAsia="Times New Roman" w:hAnsi="Tahoma" w:cs="Tahoma"/>
          <w:sz w:val="22"/>
          <w:szCs w:val="22"/>
          <w:lang w:val="en-AU"/>
        </w:rPr>
      </w:pPr>
      <w:r w:rsidRPr="00D733EB">
        <w:rPr>
          <w:rFonts w:ascii="Tahoma" w:eastAsia="Times New Roman" w:hAnsi="Tahoma" w:cs="Tahoma"/>
          <w:sz w:val="22"/>
          <w:szCs w:val="22"/>
          <w:lang w:val="en-AU"/>
        </w:rPr>
        <w:t>It is also difficult to quantify the benefits of having a rigorous reporting framework in place. This is because the primary motivation for reporting is improved transparency and accountability, which is not readily measured. Secondary benefits of performance reporting—the mechanisms to drive greater efficiency and effectiveness—is also difficult to measure as the beneficial impact contributes to the overall framework rather than directly linked to individual decisions.</w:t>
      </w:r>
    </w:p>
    <w:p w:rsidR="000034B1" w:rsidRPr="00E84DC2" w:rsidRDefault="000034B1" w:rsidP="002F7827">
      <w:pPr>
        <w:rPr>
          <w:rFonts w:ascii="Tahoma" w:eastAsia="Times New Roman" w:hAnsi="Tahoma" w:cs="Tahoma"/>
          <w:sz w:val="22"/>
          <w:szCs w:val="22"/>
          <w:lang w:val="en-AU"/>
        </w:rPr>
      </w:pPr>
    </w:p>
    <w:p w:rsidR="00773F34" w:rsidRPr="00E84DC2" w:rsidRDefault="00D733EB" w:rsidP="002F7827">
      <w:pPr>
        <w:rPr>
          <w:rFonts w:ascii="Tahoma" w:eastAsia="Times New Roman" w:hAnsi="Tahoma" w:cs="Tahoma"/>
          <w:sz w:val="22"/>
          <w:szCs w:val="22"/>
          <w:lang w:val="en-AU"/>
        </w:rPr>
      </w:pPr>
      <w:r w:rsidRPr="00D733EB">
        <w:rPr>
          <w:rFonts w:ascii="Tahoma" w:eastAsia="Times New Roman" w:hAnsi="Tahoma" w:cs="Tahoma"/>
          <w:sz w:val="22"/>
          <w:szCs w:val="22"/>
          <w:lang w:val="en-AU"/>
        </w:rPr>
        <w:t xml:space="preserve">That said, repeated findings by the Essential Services Commission (ESC), </w:t>
      </w:r>
      <w:r w:rsidR="002D6369">
        <w:rPr>
          <w:rFonts w:ascii="Tahoma" w:eastAsia="Times New Roman" w:hAnsi="Tahoma" w:cs="Tahoma"/>
          <w:sz w:val="22"/>
          <w:szCs w:val="22"/>
          <w:lang w:val="en-AU"/>
        </w:rPr>
        <w:t>VAGO</w:t>
      </w:r>
      <w:r w:rsidRPr="00D733EB">
        <w:rPr>
          <w:rFonts w:ascii="Tahoma" w:eastAsia="Times New Roman" w:hAnsi="Tahoma" w:cs="Tahoma"/>
          <w:sz w:val="22"/>
          <w:szCs w:val="22"/>
          <w:lang w:val="en-AU"/>
        </w:rPr>
        <w:t>, and feedback through consultation, all point to a general community expectation of continued and improved performance reporting by local councils. Evidence of improved performance is the work of the UK Audit Commission, which was designed to empower citizens as part of the Citizen’s Charter initiative. The Audit Commission found that publishing comparative information on the performance of local government had influenced public opinion and created greater pressure on councils to improvement management.</w:t>
      </w:r>
      <w:r w:rsidR="00DC14B1" w:rsidRPr="00E84DC2">
        <w:rPr>
          <w:rStyle w:val="FootnoteReference"/>
          <w:rFonts w:ascii="Tahoma" w:eastAsia="Times New Roman" w:hAnsi="Tahoma" w:cs="Tahoma"/>
          <w:sz w:val="22"/>
          <w:szCs w:val="22"/>
          <w:lang w:val="en-AU"/>
        </w:rPr>
        <w:footnoteReference w:id="20"/>
      </w:r>
    </w:p>
    <w:p w:rsidR="00773F34" w:rsidRPr="00E84DC2" w:rsidRDefault="00773F34" w:rsidP="002F7827">
      <w:pPr>
        <w:rPr>
          <w:rFonts w:ascii="Tahoma" w:eastAsia="Times New Roman" w:hAnsi="Tahoma" w:cs="Tahoma"/>
          <w:sz w:val="22"/>
          <w:szCs w:val="22"/>
          <w:lang w:val="en-AU"/>
        </w:rPr>
      </w:pPr>
    </w:p>
    <w:p w:rsidR="008D00F4" w:rsidRPr="00E84DC2" w:rsidRDefault="00D733EB" w:rsidP="006F1FDB">
      <w:pPr>
        <w:rPr>
          <w:rFonts w:ascii="Tahoma" w:eastAsia="Times New Roman" w:hAnsi="Tahoma" w:cs="Tahoma"/>
          <w:sz w:val="22"/>
          <w:szCs w:val="22"/>
          <w:lang w:val="en-AU"/>
        </w:rPr>
      </w:pPr>
      <w:r w:rsidRPr="00D733EB">
        <w:rPr>
          <w:rFonts w:ascii="Tahoma" w:eastAsia="Times New Roman" w:hAnsi="Tahoma" w:cs="Tahoma"/>
          <w:sz w:val="22"/>
          <w:szCs w:val="22"/>
          <w:lang w:val="en-AU"/>
        </w:rPr>
        <w:t>Each year local councils in Victoria spend around $7 billion</w:t>
      </w:r>
      <w:r w:rsidR="00DC14B1" w:rsidRPr="00E84DC2">
        <w:rPr>
          <w:rStyle w:val="FootnoteReference"/>
          <w:rFonts w:ascii="Tahoma" w:eastAsia="Times New Roman" w:hAnsi="Tahoma" w:cs="Tahoma"/>
          <w:sz w:val="22"/>
          <w:szCs w:val="22"/>
          <w:lang w:val="en-AU"/>
        </w:rPr>
        <w:footnoteReference w:id="21"/>
      </w:r>
      <w:r w:rsidR="00370858" w:rsidRPr="00E84DC2">
        <w:rPr>
          <w:rFonts w:ascii="Tahoma" w:eastAsia="Times New Roman" w:hAnsi="Tahoma" w:cs="Tahoma"/>
          <w:sz w:val="22"/>
          <w:szCs w:val="22"/>
          <w:lang w:val="en-AU"/>
        </w:rPr>
        <w:t xml:space="preserve"> and manage over $67</w:t>
      </w:r>
      <w:r w:rsidR="00DC14B1" w:rsidRPr="00E84DC2">
        <w:rPr>
          <w:rFonts w:ascii="Tahoma" w:eastAsia="Times New Roman" w:hAnsi="Tahoma" w:cs="Tahoma"/>
          <w:sz w:val="22"/>
          <w:szCs w:val="22"/>
          <w:lang w:val="en-AU"/>
        </w:rPr>
        <w:t xml:space="preserve"> billion of community assets and infrastructure</w:t>
      </w:r>
      <w:r w:rsidR="00DC14B1" w:rsidRPr="00E84DC2">
        <w:rPr>
          <w:rStyle w:val="FootnoteReference"/>
          <w:rFonts w:ascii="Tahoma" w:eastAsia="Times New Roman" w:hAnsi="Tahoma" w:cs="Tahoma"/>
          <w:sz w:val="22"/>
          <w:szCs w:val="22"/>
          <w:lang w:val="en-AU"/>
        </w:rPr>
        <w:footnoteReference w:id="22"/>
      </w:r>
      <w:r w:rsidR="00DC14B1" w:rsidRPr="00E84DC2">
        <w:rPr>
          <w:rFonts w:ascii="Tahoma" w:eastAsia="Times New Roman" w:hAnsi="Tahoma" w:cs="Tahoma"/>
          <w:sz w:val="22"/>
          <w:szCs w:val="22"/>
          <w:lang w:val="en-AU"/>
        </w:rPr>
        <w:t xml:space="preserve"> so </w:t>
      </w:r>
      <w:r w:rsidR="002D6369">
        <w:rPr>
          <w:rFonts w:ascii="Tahoma" w:eastAsia="Times New Roman" w:hAnsi="Tahoma" w:cs="Tahoma"/>
          <w:sz w:val="22"/>
          <w:szCs w:val="22"/>
          <w:lang w:val="en-AU"/>
        </w:rPr>
        <w:t xml:space="preserve">the scope for </w:t>
      </w:r>
      <w:r w:rsidR="00DC14B1" w:rsidRPr="00E84DC2">
        <w:rPr>
          <w:rFonts w:ascii="Tahoma" w:eastAsia="Times New Roman" w:hAnsi="Tahoma" w:cs="Tahoma"/>
          <w:sz w:val="22"/>
          <w:szCs w:val="22"/>
          <w:lang w:val="en-AU"/>
        </w:rPr>
        <w:t xml:space="preserve">incremental improvements </w:t>
      </w:r>
      <w:r w:rsidR="002D6369">
        <w:rPr>
          <w:rFonts w:ascii="Tahoma" w:eastAsia="Times New Roman" w:hAnsi="Tahoma" w:cs="Tahoma"/>
          <w:sz w:val="22"/>
          <w:szCs w:val="22"/>
          <w:lang w:val="en-AU"/>
        </w:rPr>
        <w:t>from assessing</w:t>
      </w:r>
      <w:r w:rsidR="002D6369" w:rsidRPr="00E84DC2">
        <w:rPr>
          <w:rFonts w:ascii="Tahoma" w:eastAsia="Times New Roman" w:hAnsi="Tahoma" w:cs="Tahoma"/>
          <w:sz w:val="22"/>
          <w:szCs w:val="22"/>
          <w:lang w:val="en-AU"/>
        </w:rPr>
        <w:t xml:space="preserve"> </w:t>
      </w:r>
      <w:r w:rsidR="00DC14B1" w:rsidRPr="00E84DC2">
        <w:rPr>
          <w:rFonts w:ascii="Tahoma" w:eastAsia="Times New Roman" w:hAnsi="Tahoma" w:cs="Tahoma"/>
          <w:sz w:val="22"/>
          <w:szCs w:val="22"/>
          <w:lang w:val="en-AU"/>
        </w:rPr>
        <w:t xml:space="preserve">performance has the potential to translate into significant benefits. </w:t>
      </w:r>
    </w:p>
    <w:p w:rsidR="008D00F4" w:rsidRPr="00E84DC2" w:rsidRDefault="008D00F4" w:rsidP="006F1FDB">
      <w:pPr>
        <w:rPr>
          <w:rFonts w:ascii="Tahoma" w:eastAsia="Times New Roman" w:hAnsi="Tahoma" w:cs="Tahoma"/>
          <w:sz w:val="22"/>
          <w:szCs w:val="22"/>
          <w:lang w:val="en-AU"/>
        </w:rPr>
      </w:pPr>
    </w:p>
    <w:tbl>
      <w:tblPr>
        <w:tblW w:w="0" w:type="auto"/>
        <w:tblBorders>
          <w:top w:val="single" w:sz="4" w:space="0" w:color="auto"/>
          <w:left w:val="single" w:sz="4" w:space="0" w:color="auto"/>
          <w:bottom w:val="single" w:sz="4" w:space="0" w:color="auto"/>
          <w:right w:val="single" w:sz="4" w:space="0" w:color="auto"/>
        </w:tblBorders>
        <w:shd w:val="clear" w:color="auto" w:fill="E0E0E0"/>
        <w:tblCellMar>
          <w:top w:w="170" w:type="dxa"/>
          <w:bottom w:w="170" w:type="dxa"/>
        </w:tblCellMar>
        <w:tblLook w:val="04A0" w:firstRow="1" w:lastRow="0" w:firstColumn="1" w:lastColumn="0" w:noHBand="0" w:noVBand="1"/>
      </w:tblPr>
      <w:tblGrid>
        <w:gridCol w:w="8516"/>
      </w:tblGrid>
      <w:tr w:rsidR="008D00F4" w:rsidRPr="00E84DC2" w:rsidTr="002D6369">
        <w:trPr>
          <w:trHeight w:val="263"/>
        </w:trPr>
        <w:tc>
          <w:tcPr>
            <w:tcW w:w="8529" w:type="dxa"/>
            <w:shd w:val="clear" w:color="auto" w:fill="E0E0E0"/>
          </w:tcPr>
          <w:p w:rsidR="008D00F4" w:rsidRPr="002D6369" w:rsidRDefault="00633927" w:rsidP="008D00F4">
            <w:pPr>
              <w:rPr>
                <w:rFonts w:ascii="Tahoma" w:eastAsia="Times New Roman" w:hAnsi="Tahoma" w:cs="Tahoma"/>
                <w:b/>
                <w:sz w:val="22"/>
                <w:szCs w:val="22"/>
                <w:lang w:val="en-AU"/>
              </w:rPr>
            </w:pPr>
            <w:r w:rsidRPr="00633927">
              <w:rPr>
                <w:rFonts w:ascii="Tahoma" w:eastAsia="Times New Roman" w:hAnsi="Tahoma" w:cs="Tahoma"/>
                <w:b/>
                <w:sz w:val="22"/>
                <w:szCs w:val="22"/>
                <w:lang w:val="en-AU"/>
              </w:rPr>
              <w:t>Councils in Victoria:</w:t>
            </w:r>
          </w:p>
        </w:tc>
      </w:tr>
      <w:tr w:rsidR="008D00F4" w:rsidRPr="00E84DC2" w:rsidTr="00F90890">
        <w:tc>
          <w:tcPr>
            <w:tcW w:w="8529" w:type="dxa"/>
            <w:shd w:val="clear" w:color="auto" w:fill="E0E0E0"/>
          </w:tcPr>
          <w:p w:rsidR="00A06B52" w:rsidRDefault="00D733EB">
            <w:pPr>
              <w:numPr>
                <w:ilvl w:val="0"/>
                <w:numId w:val="30"/>
              </w:numPr>
              <w:ind w:left="1077" w:hanging="357"/>
              <w:rPr>
                <w:rFonts w:ascii="Tahoma" w:eastAsia="Times New Roman" w:hAnsi="Tahoma" w:cs="Tahoma"/>
                <w:sz w:val="22"/>
                <w:szCs w:val="22"/>
                <w:lang w:val="en-AU"/>
              </w:rPr>
            </w:pPr>
            <w:r w:rsidRPr="00D733EB">
              <w:rPr>
                <w:rFonts w:ascii="Tahoma" w:eastAsia="Times New Roman" w:hAnsi="Tahoma" w:cs="Tahoma"/>
                <w:sz w:val="22"/>
                <w:szCs w:val="22"/>
                <w:lang w:val="en-AU"/>
              </w:rPr>
              <w:t>Service 129,201 kilometres of roads (approximately 85 per cent of Victoria’s total road network)</w:t>
            </w:r>
          </w:p>
          <w:p w:rsidR="00A06B52" w:rsidRDefault="00D733EB">
            <w:pPr>
              <w:numPr>
                <w:ilvl w:val="0"/>
                <w:numId w:val="30"/>
              </w:numPr>
              <w:ind w:left="1077" w:hanging="357"/>
              <w:rPr>
                <w:rFonts w:ascii="Tahoma" w:eastAsia="Times New Roman" w:hAnsi="Tahoma" w:cs="Tahoma"/>
                <w:sz w:val="22"/>
                <w:szCs w:val="22"/>
                <w:lang w:val="en-AU"/>
              </w:rPr>
            </w:pPr>
            <w:r w:rsidRPr="00D733EB">
              <w:rPr>
                <w:rFonts w:ascii="Tahoma" w:eastAsia="Times New Roman" w:hAnsi="Tahoma" w:cs="Tahoma"/>
                <w:sz w:val="22"/>
                <w:szCs w:val="22"/>
                <w:lang w:val="en-AU"/>
              </w:rPr>
              <w:t>Provide 606,800 maternal and child health consultations a year</w:t>
            </w:r>
          </w:p>
          <w:p w:rsidR="00A06B52" w:rsidRDefault="00D733EB">
            <w:pPr>
              <w:numPr>
                <w:ilvl w:val="0"/>
                <w:numId w:val="30"/>
              </w:numPr>
              <w:ind w:left="1077" w:hanging="357"/>
              <w:rPr>
                <w:rFonts w:ascii="Tahoma" w:eastAsia="Times New Roman" w:hAnsi="Tahoma" w:cs="Tahoma"/>
                <w:sz w:val="22"/>
                <w:szCs w:val="22"/>
                <w:lang w:val="en-AU"/>
              </w:rPr>
            </w:pPr>
            <w:r w:rsidRPr="00D733EB">
              <w:rPr>
                <w:rFonts w:ascii="Tahoma" w:eastAsia="Times New Roman" w:hAnsi="Tahoma" w:cs="Tahoma"/>
                <w:sz w:val="22"/>
                <w:szCs w:val="22"/>
                <w:lang w:val="en-AU"/>
              </w:rPr>
              <w:t>Deliver 306,600 immunisations to preschool and secondary school children a year</w:t>
            </w:r>
          </w:p>
          <w:p w:rsidR="00A06B52" w:rsidRDefault="00D733EB">
            <w:pPr>
              <w:numPr>
                <w:ilvl w:val="0"/>
                <w:numId w:val="30"/>
              </w:numPr>
              <w:ind w:left="1077" w:hanging="357"/>
              <w:rPr>
                <w:rFonts w:ascii="Tahoma" w:eastAsia="Times New Roman" w:hAnsi="Tahoma" w:cs="Tahoma"/>
                <w:sz w:val="22"/>
                <w:szCs w:val="22"/>
                <w:lang w:val="en-AU"/>
              </w:rPr>
            </w:pPr>
            <w:r w:rsidRPr="00D733EB">
              <w:rPr>
                <w:rFonts w:ascii="Tahoma" w:eastAsia="Times New Roman" w:hAnsi="Tahoma" w:cs="Tahoma"/>
                <w:sz w:val="22"/>
                <w:szCs w:val="22"/>
                <w:lang w:val="en-AU"/>
              </w:rPr>
              <w:t>Deliver 3.8 million meals a year to home care recipients</w:t>
            </w:r>
          </w:p>
          <w:p w:rsidR="00A06B52" w:rsidRDefault="00D733EB">
            <w:pPr>
              <w:numPr>
                <w:ilvl w:val="0"/>
                <w:numId w:val="30"/>
              </w:numPr>
              <w:ind w:left="1077" w:hanging="357"/>
              <w:rPr>
                <w:rFonts w:ascii="Tahoma" w:eastAsia="Times New Roman" w:hAnsi="Tahoma" w:cs="Tahoma"/>
                <w:sz w:val="22"/>
                <w:szCs w:val="22"/>
                <w:lang w:val="en-AU"/>
              </w:rPr>
            </w:pPr>
            <w:r w:rsidRPr="00D733EB">
              <w:rPr>
                <w:rFonts w:ascii="Tahoma" w:eastAsia="Times New Roman" w:hAnsi="Tahoma" w:cs="Tahoma"/>
                <w:sz w:val="22"/>
                <w:szCs w:val="22"/>
                <w:lang w:val="en-AU"/>
              </w:rPr>
              <w:t>Provide 4 million hours of home assistance, property maintenance, personal and respite care a year</w:t>
            </w:r>
          </w:p>
          <w:p w:rsidR="00A06B52" w:rsidRDefault="00D733EB">
            <w:pPr>
              <w:numPr>
                <w:ilvl w:val="0"/>
                <w:numId w:val="30"/>
              </w:numPr>
              <w:ind w:left="1077" w:hanging="357"/>
              <w:rPr>
                <w:rFonts w:ascii="Tahoma" w:eastAsia="Times New Roman" w:hAnsi="Tahoma" w:cs="Tahoma"/>
                <w:sz w:val="22"/>
                <w:szCs w:val="22"/>
                <w:lang w:val="en-AU"/>
              </w:rPr>
            </w:pPr>
            <w:r w:rsidRPr="00D733EB">
              <w:rPr>
                <w:rFonts w:ascii="Tahoma" w:eastAsia="Times New Roman" w:hAnsi="Tahoma" w:cs="Tahoma"/>
                <w:sz w:val="22"/>
                <w:szCs w:val="22"/>
                <w:lang w:val="en-AU"/>
              </w:rPr>
              <w:t>Spend over $50 million on public street lighting each year</w:t>
            </w:r>
          </w:p>
          <w:p w:rsidR="00A06B52" w:rsidRDefault="00D733EB">
            <w:pPr>
              <w:numPr>
                <w:ilvl w:val="0"/>
                <w:numId w:val="30"/>
              </w:numPr>
              <w:ind w:left="1077" w:hanging="357"/>
              <w:rPr>
                <w:rFonts w:ascii="Tahoma" w:eastAsia="Times New Roman" w:hAnsi="Tahoma" w:cs="Tahoma"/>
                <w:sz w:val="22"/>
                <w:szCs w:val="22"/>
                <w:lang w:val="en-AU"/>
              </w:rPr>
            </w:pPr>
            <w:r w:rsidRPr="00D733EB">
              <w:rPr>
                <w:rFonts w:ascii="Tahoma" w:eastAsia="Times New Roman" w:hAnsi="Tahoma" w:cs="Tahoma"/>
                <w:sz w:val="22"/>
                <w:szCs w:val="22"/>
                <w:lang w:val="en-AU"/>
              </w:rPr>
              <w:t>Loan 52 million items from 316 public and mobile libraries to 2.5 million registered users a year</w:t>
            </w:r>
          </w:p>
          <w:p w:rsidR="00A06B52" w:rsidRDefault="00D733EB">
            <w:pPr>
              <w:numPr>
                <w:ilvl w:val="0"/>
                <w:numId w:val="30"/>
              </w:numPr>
              <w:ind w:left="1077" w:hanging="357"/>
              <w:rPr>
                <w:rFonts w:ascii="Tahoma" w:eastAsia="Times New Roman" w:hAnsi="Tahoma" w:cs="Tahoma"/>
                <w:sz w:val="22"/>
                <w:szCs w:val="22"/>
                <w:lang w:val="en-AU"/>
              </w:rPr>
            </w:pPr>
            <w:r w:rsidRPr="00D733EB">
              <w:rPr>
                <w:rFonts w:ascii="Tahoma" w:eastAsia="Times New Roman" w:hAnsi="Tahoma" w:cs="Tahoma"/>
                <w:sz w:val="22"/>
                <w:szCs w:val="22"/>
                <w:lang w:val="en-AU"/>
              </w:rPr>
              <w:t xml:space="preserve">Provide internet access for more than 3.4 million bookings a year </w:t>
            </w:r>
          </w:p>
          <w:p w:rsidR="00A06B52" w:rsidRDefault="00D733EB">
            <w:pPr>
              <w:numPr>
                <w:ilvl w:val="0"/>
                <w:numId w:val="30"/>
              </w:numPr>
              <w:ind w:left="1077" w:hanging="357"/>
              <w:rPr>
                <w:rFonts w:ascii="Tahoma" w:eastAsia="Times New Roman" w:hAnsi="Tahoma" w:cs="Tahoma"/>
                <w:sz w:val="22"/>
                <w:szCs w:val="22"/>
                <w:lang w:val="en-AU"/>
              </w:rPr>
            </w:pPr>
            <w:r w:rsidRPr="00D733EB">
              <w:rPr>
                <w:rFonts w:ascii="Tahoma" w:eastAsia="Times New Roman" w:hAnsi="Tahoma" w:cs="Tahoma"/>
                <w:sz w:val="22"/>
                <w:szCs w:val="22"/>
                <w:lang w:val="en-AU"/>
              </w:rPr>
              <w:t>Process more than 55 800 planning applications a year</w:t>
            </w:r>
          </w:p>
          <w:p w:rsidR="00A06B52" w:rsidRDefault="00D733EB">
            <w:pPr>
              <w:numPr>
                <w:ilvl w:val="0"/>
                <w:numId w:val="30"/>
              </w:numPr>
              <w:ind w:left="1077" w:hanging="357"/>
              <w:rPr>
                <w:rFonts w:ascii="Tahoma" w:eastAsia="Times New Roman" w:hAnsi="Tahoma" w:cs="Tahoma"/>
                <w:sz w:val="22"/>
                <w:szCs w:val="22"/>
                <w:lang w:val="en-AU"/>
              </w:rPr>
            </w:pPr>
            <w:r w:rsidRPr="00D733EB">
              <w:rPr>
                <w:rFonts w:ascii="Tahoma" w:eastAsia="Times New Roman" w:hAnsi="Tahoma" w:cs="Tahoma"/>
                <w:sz w:val="22"/>
                <w:szCs w:val="22"/>
                <w:lang w:val="en-AU"/>
              </w:rPr>
              <w:t>Maintain more than 1 000 grassed sports surfaces</w:t>
            </w:r>
          </w:p>
          <w:p w:rsidR="00A06B52" w:rsidRDefault="00D733EB">
            <w:pPr>
              <w:numPr>
                <w:ilvl w:val="0"/>
                <w:numId w:val="30"/>
              </w:numPr>
              <w:ind w:left="1077" w:hanging="357"/>
              <w:rPr>
                <w:rFonts w:ascii="Tahoma" w:eastAsia="Times New Roman" w:hAnsi="Tahoma" w:cs="Tahoma"/>
                <w:sz w:val="22"/>
                <w:szCs w:val="22"/>
                <w:lang w:val="en-AU"/>
              </w:rPr>
            </w:pPr>
            <w:r w:rsidRPr="00D733EB">
              <w:rPr>
                <w:rFonts w:ascii="Tahoma" w:eastAsia="Times New Roman" w:hAnsi="Tahoma" w:cs="Tahoma"/>
                <w:sz w:val="22"/>
                <w:szCs w:val="22"/>
                <w:lang w:val="en-AU"/>
              </w:rPr>
              <w:t>Collect 1 million tonnes of kerbside garbage a year</w:t>
            </w:r>
          </w:p>
          <w:p w:rsidR="00A06B52" w:rsidRDefault="00D733EB">
            <w:pPr>
              <w:numPr>
                <w:ilvl w:val="0"/>
                <w:numId w:val="30"/>
              </w:numPr>
              <w:ind w:left="1077" w:hanging="357"/>
              <w:rPr>
                <w:rFonts w:ascii="Tahoma" w:eastAsia="Times New Roman" w:hAnsi="Tahoma" w:cs="Tahoma"/>
                <w:sz w:val="22"/>
                <w:szCs w:val="22"/>
                <w:lang w:val="en-AU"/>
              </w:rPr>
            </w:pPr>
            <w:r w:rsidRPr="00D733EB">
              <w:rPr>
                <w:rFonts w:ascii="Tahoma" w:eastAsia="Times New Roman" w:hAnsi="Tahoma" w:cs="Tahoma"/>
                <w:sz w:val="22"/>
                <w:szCs w:val="22"/>
                <w:lang w:val="en-AU"/>
              </w:rPr>
              <w:t>Collect 608 000 tonnes of recyclable materials a year</w:t>
            </w:r>
          </w:p>
          <w:p w:rsidR="00A06B52" w:rsidRDefault="00D733EB">
            <w:pPr>
              <w:numPr>
                <w:ilvl w:val="0"/>
                <w:numId w:val="30"/>
              </w:numPr>
              <w:ind w:left="1077" w:hanging="357"/>
              <w:rPr>
                <w:rFonts w:ascii="Tahoma" w:eastAsia="Times New Roman" w:hAnsi="Tahoma" w:cs="Tahoma"/>
                <w:sz w:val="22"/>
                <w:szCs w:val="22"/>
                <w:lang w:val="en-AU"/>
              </w:rPr>
            </w:pPr>
            <w:r w:rsidRPr="00D733EB">
              <w:rPr>
                <w:rFonts w:ascii="Tahoma" w:eastAsia="Times New Roman" w:hAnsi="Tahoma" w:cs="Tahoma"/>
                <w:sz w:val="22"/>
                <w:szCs w:val="22"/>
                <w:lang w:val="en-AU"/>
              </w:rPr>
              <w:t>Collect 270 000 tonnes of organic waste a year</w:t>
            </w:r>
          </w:p>
          <w:p w:rsidR="00A06B52" w:rsidRDefault="00D733EB">
            <w:pPr>
              <w:numPr>
                <w:ilvl w:val="0"/>
                <w:numId w:val="30"/>
              </w:numPr>
              <w:ind w:left="1077" w:hanging="357"/>
              <w:rPr>
                <w:rFonts w:ascii="Tahoma" w:eastAsia="Times New Roman" w:hAnsi="Tahoma" w:cs="Tahoma"/>
                <w:sz w:val="22"/>
                <w:szCs w:val="22"/>
                <w:lang w:val="en-AU"/>
              </w:rPr>
            </w:pPr>
            <w:r w:rsidRPr="00D733EB">
              <w:rPr>
                <w:rFonts w:ascii="Tahoma" w:eastAsia="Times New Roman" w:hAnsi="Tahoma" w:cs="Tahoma"/>
                <w:sz w:val="22"/>
                <w:szCs w:val="22"/>
                <w:lang w:val="en-AU"/>
              </w:rPr>
              <w:t>Interact with over 18,500 tobacco retailers, eating establishments and licensed premises a year</w:t>
            </w:r>
          </w:p>
          <w:p w:rsidR="00A06B52" w:rsidRDefault="00D733EB">
            <w:pPr>
              <w:numPr>
                <w:ilvl w:val="0"/>
                <w:numId w:val="30"/>
              </w:numPr>
              <w:ind w:left="1077" w:hanging="357"/>
              <w:rPr>
                <w:rFonts w:ascii="Tahoma" w:eastAsia="Times New Roman" w:hAnsi="Tahoma" w:cs="Tahoma"/>
                <w:sz w:val="22"/>
                <w:szCs w:val="22"/>
                <w:lang w:val="en-AU"/>
              </w:rPr>
            </w:pPr>
            <w:r w:rsidRPr="00D733EB">
              <w:rPr>
                <w:rFonts w:ascii="Tahoma" w:eastAsia="Times New Roman" w:hAnsi="Tahoma" w:cs="Tahoma"/>
                <w:sz w:val="22"/>
                <w:szCs w:val="22"/>
                <w:lang w:val="en-AU"/>
              </w:rPr>
              <w:t>Register nearly 50,000 food premises a year.</w:t>
            </w:r>
          </w:p>
        </w:tc>
      </w:tr>
    </w:tbl>
    <w:p w:rsidR="00604D6B" w:rsidRPr="00E84DC2" w:rsidRDefault="00D733EB" w:rsidP="006F1FDB">
      <w:pPr>
        <w:rPr>
          <w:rFonts w:ascii="Tahoma" w:eastAsia="Times New Roman" w:hAnsi="Tahoma" w:cs="Tahoma"/>
          <w:i/>
          <w:sz w:val="20"/>
          <w:szCs w:val="20"/>
          <w:lang w:val="en-AU"/>
        </w:rPr>
      </w:pPr>
      <w:r w:rsidRPr="00D733EB">
        <w:rPr>
          <w:rFonts w:ascii="Tahoma" w:eastAsia="Times New Roman" w:hAnsi="Tahoma" w:cs="Tahoma"/>
          <w:i/>
          <w:sz w:val="20"/>
          <w:szCs w:val="20"/>
          <w:lang w:val="en-AU"/>
        </w:rPr>
        <w:t>Source: MAV 2012.</w:t>
      </w:r>
    </w:p>
    <w:p w:rsidR="00E1757B" w:rsidRPr="00E84DC2" w:rsidRDefault="00E1757B" w:rsidP="002F7827">
      <w:pPr>
        <w:rPr>
          <w:rFonts w:ascii="Tahoma" w:eastAsia="Times New Roman" w:hAnsi="Tahoma" w:cs="Tahoma"/>
          <w:sz w:val="22"/>
          <w:szCs w:val="22"/>
          <w:lang w:val="en-AU"/>
        </w:rPr>
      </w:pPr>
    </w:p>
    <w:p w:rsidR="00887157" w:rsidRPr="00E84DC2" w:rsidRDefault="00D733EB" w:rsidP="00887157">
      <w:pPr>
        <w:rPr>
          <w:rFonts w:ascii="Tahoma" w:eastAsia="Times New Roman" w:hAnsi="Tahoma" w:cs="Tahoma"/>
          <w:sz w:val="22"/>
          <w:szCs w:val="22"/>
          <w:lang w:val="en-AU"/>
        </w:rPr>
      </w:pPr>
      <w:r w:rsidRPr="00D733EB">
        <w:rPr>
          <w:rFonts w:ascii="Tahoma" w:eastAsia="Times New Roman" w:hAnsi="Tahoma" w:cs="Tahoma"/>
          <w:sz w:val="22"/>
          <w:szCs w:val="22"/>
          <w:lang w:val="en-AU"/>
        </w:rPr>
        <w:t>For the purposes of the proposed Regulations, the ‘problem’ is a residual one. This means that, while the problem described above exists, there are already some measures in place to address the problem, with the proposed Regulations seeking to address any gaps. The Act already sets in place many reporting requirements</w:t>
      </w:r>
      <w:r w:rsidR="002D6369">
        <w:rPr>
          <w:rFonts w:ascii="Tahoma" w:eastAsia="Times New Roman" w:hAnsi="Tahoma" w:cs="Tahoma"/>
          <w:sz w:val="22"/>
          <w:szCs w:val="22"/>
          <w:lang w:val="en-AU"/>
        </w:rPr>
        <w:t>.</w:t>
      </w:r>
      <w:r w:rsidRPr="00D733EB">
        <w:rPr>
          <w:rFonts w:ascii="Tahoma" w:eastAsia="Times New Roman" w:hAnsi="Tahoma" w:cs="Tahoma"/>
          <w:sz w:val="22"/>
          <w:szCs w:val="22"/>
          <w:lang w:val="en-AU"/>
        </w:rPr>
        <w:t xml:space="preserve"> </w:t>
      </w:r>
    </w:p>
    <w:p w:rsidR="00887157" w:rsidRPr="00E84DC2" w:rsidRDefault="00887157" w:rsidP="002F7827">
      <w:pPr>
        <w:rPr>
          <w:rFonts w:ascii="Tahoma" w:eastAsia="Times New Roman" w:hAnsi="Tahoma" w:cs="Tahoma"/>
          <w:sz w:val="22"/>
          <w:szCs w:val="22"/>
          <w:lang w:val="en-AU"/>
        </w:rPr>
      </w:pPr>
    </w:p>
    <w:p w:rsidR="00E1757B" w:rsidRPr="00E84DC2" w:rsidRDefault="00D733EB" w:rsidP="002F7827">
      <w:pPr>
        <w:rPr>
          <w:rFonts w:ascii="Tahoma" w:eastAsia="Times New Roman" w:hAnsi="Tahoma" w:cs="Tahoma"/>
          <w:sz w:val="22"/>
          <w:szCs w:val="22"/>
          <w:lang w:val="en-AU"/>
        </w:rPr>
      </w:pPr>
      <w:r w:rsidRPr="00D733EB">
        <w:rPr>
          <w:rFonts w:ascii="Tahoma" w:eastAsia="Times New Roman" w:hAnsi="Tahoma" w:cs="Tahoma"/>
          <w:sz w:val="22"/>
          <w:szCs w:val="22"/>
          <w:lang w:val="en-AU"/>
        </w:rPr>
        <w:t>The extent of the ‘residual problem’ is affected by changes</w:t>
      </w:r>
      <w:r w:rsidR="002D6369">
        <w:rPr>
          <w:rFonts w:ascii="Tahoma" w:eastAsia="Times New Roman" w:hAnsi="Tahoma" w:cs="Tahoma"/>
          <w:sz w:val="22"/>
          <w:szCs w:val="22"/>
          <w:lang w:val="en-AU"/>
        </w:rPr>
        <w:t xml:space="preserve"> made</w:t>
      </w:r>
      <w:r w:rsidRPr="00D733EB">
        <w:rPr>
          <w:rFonts w:ascii="Tahoma" w:eastAsia="Times New Roman" w:hAnsi="Tahoma" w:cs="Tahoma"/>
          <w:sz w:val="22"/>
          <w:szCs w:val="22"/>
          <w:lang w:val="en-AU"/>
        </w:rPr>
        <w:t xml:space="preserve"> to the Act, which will commence on 18 April 2014, alongside the proposed Regulations.</w:t>
      </w:r>
      <w:r w:rsidR="00203C82" w:rsidRPr="00E84DC2">
        <w:rPr>
          <w:rStyle w:val="FootnoteReference"/>
          <w:rFonts w:ascii="Tahoma" w:eastAsia="Times New Roman" w:hAnsi="Tahoma" w:cs="Tahoma"/>
          <w:sz w:val="22"/>
          <w:szCs w:val="22"/>
          <w:lang w:val="en-AU"/>
        </w:rPr>
        <w:footnoteReference w:id="23"/>
      </w:r>
      <w:r w:rsidR="00A720F8" w:rsidRPr="00E84DC2">
        <w:rPr>
          <w:rFonts w:ascii="Tahoma" w:eastAsia="Times New Roman" w:hAnsi="Tahoma" w:cs="Tahoma"/>
          <w:sz w:val="22"/>
          <w:szCs w:val="22"/>
          <w:lang w:val="en-AU"/>
        </w:rPr>
        <w:t xml:space="preserve"> Relevant changes to the Act include:</w:t>
      </w:r>
    </w:p>
    <w:p w:rsidR="00D36D69" w:rsidRPr="00E84DC2" w:rsidRDefault="00D733EB" w:rsidP="00C3402D">
      <w:pPr>
        <w:pStyle w:val="ListParagraph"/>
        <w:rPr>
          <w:rFonts w:ascii="Tahoma" w:hAnsi="Tahoma" w:cs="Tahoma"/>
          <w:lang w:val="en-AU"/>
        </w:rPr>
      </w:pPr>
      <w:r w:rsidRPr="00D733EB">
        <w:rPr>
          <w:rFonts w:ascii="Tahoma" w:hAnsi="Tahoma" w:cs="Tahoma"/>
          <w:lang w:val="en-AU"/>
        </w:rPr>
        <w:t>replacing the existing use of ‘standard statements’ with financial statements (requirements of which will be defined in the Act itself in relation to Australian Accounting Standards and no longer require regulations) for use in the strategic resource plan, annual budget and annual report</w:t>
      </w:r>
      <w:r w:rsidR="002D6369">
        <w:rPr>
          <w:rFonts w:ascii="Tahoma" w:hAnsi="Tahoma" w:cs="Tahoma"/>
          <w:lang w:val="en-AU"/>
        </w:rPr>
        <w:t>;</w:t>
      </w:r>
    </w:p>
    <w:p w:rsidR="003D4B8A" w:rsidRPr="00E84DC2" w:rsidRDefault="00D733EB" w:rsidP="00C3402D">
      <w:pPr>
        <w:pStyle w:val="ListParagraph"/>
        <w:rPr>
          <w:rFonts w:ascii="Tahoma" w:hAnsi="Tahoma" w:cs="Tahoma"/>
          <w:lang w:val="en-AU"/>
        </w:rPr>
      </w:pPr>
      <w:r w:rsidRPr="00D733EB">
        <w:rPr>
          <w:rFonts w:ascii="Tahoma" w:hAnsi="Tahoma" w:cs="Tahoma"/>
          <w:lang w:val="en-AU"/>
        </w:rPr>
        <w:t>introducing new requirements for the strategic resource plan—largely to take into account services and initiatives contained in other plans adopted by council, and other form and content requirements that may be prescribed related to the non-financial resources</w:t>
      </w:r>
      <w:r w:rsidR="002D6369">
        <w:rPr>
          <w:rFonts w:ascii="Tahoma" w:hAnsi="Tahoma" w:cs="Tahoma"/>
          <w:lang w:val="en-AU"/>
        </w:rPr>
        <w:t>;</w:t>
      </w:r>
    </w:p>
    <w:p w:rsidR="009F6E47" w:rsidRPr="00E84DC2" w:rsidRDefault="00D733EB" w:rsidP="00C3402D">
      <w:pPr>
        <w:pStyle w:val="ListParagraph"/>
        <w:rPr>
          <w:rFonts w:ascii="Tahoma" w:hAnsi="Tahoma" w:cs="Tahoma"/>
          <w:lang w:val="en-AU"/>
        </w:rPr>
      </w:pPr>
      <w:r w:rsidRPr="00D733EB">
        <w:rPr>
          <w:rFonts w:ascii="Tahoma" w:hAnsi="Tahoma" w:cs="Tahoma"/>
          <w:lang w:val="en-AU"/>
        </w:rPr>
        <w:t>requiring annual budgets to contain information on m</w:t>
      </w:r>
      <w:r w:rsidRPr="00D733EB">
        <w:rPr>
          <w:rFonts w:ascii="Tahoma" w:hAnsi="Tahoma" w:cs="Tahoma"/>
        </w:rPr>
        <w:t>ajor initiatives to be funded in their budgets, which replaces the requirement for councils to identify and report ‘key strategic activities’ which are inconsistently interpreted</w:t>
      </w:r>
      <w:r w:rsidR="002D6369">
        <w:rPr>
          <w:rFonts w:ascii="Tahoma" w:hAnsi="Tahoma" w:cs="Tahoma"/>
        </w:rPr>
        <w:t xml:space="preserve"> by councils</w:t>
      </w:r>
      <w:r w:rsidR="002D6369">
        <w:rPr>
          <w:rFonts w:ascii="Tahoma" w:hAnsi="Tahoma" w:cs="Tahoma"/>
          <w:u w:val="single"/>
        </w:rPr>
        <w:t>;</w:t>
      </w:r>
    </w:p>
    <w:p w:rsidR="009F6E47" w:rsidRPr="00E84DC2" w:rsidRDefault="00D733EB" w:rsidP="00C3402D">
      <w:pPr>
        <w:pStyle w:val="ListParagraph"/>
        <w:rPr>
          <w:rFonts w:ascii="Tahoma" w:hAnsi="Tahoma" w:cs="Tahoma"/>
          <w:lang w:val="en-NZ"/>
        </w:rPr>
      </w:pPr>
      <w:r w:rsidRPr="00D733EB">
        <w:rPr>
          <w:rFonts w:ascii="Tahoma" w:hAnsi="Tahoma" w:cs="Tahoma"/>
          <w:lang w:val="en-NZ"/>
        </w:rPr>
        <w:lastRenderedPageBreak/>
        <w:t>ensur</w:t>
      </w:r>
      <w:r w:rsidR="002D6369">
        <w:rPr>
          <w:rFonts w:ascii="Tahoma" w:hAnsi="Tahoma" w:cs="Tahoma"/>
          <w:lang w:val="en-NZ"/>
        </w:rPr>
        <w:t>ing</w:t>
      </w:r>
      <w:r w:rsidRPr="00D733EB">
        <w:rPr>
          <w:rFonts w:ascii="Tahoma" w:hAnsi="Tahoma" w:cs="Tahoma"/>
          <w:lang w:val="en-NZ"/>
        </w:rPr>
        <w:t xml:space="preserve"> consistency between the strategic resource plan and annual budget by requiring councils to adopt their budget by 30 June each year</w:t>
      </w:r>
      <w:r w:rsidR="002D6369">
        <w:rPr>
          <w:rFonts w:ascii="Tahoma" w:hAnsi="Tahoma" w:cs="Tahoma"/>
          <w:lang w:val="en-NZ"/>
        </w:rPr>
        <w:t>;</w:t>
      </w:r>
    </w:p>
    <w:p w:rsidR="00AA2DEF" w:rsidRPr="00E84DC2" w:rsidRDefault="00D733EB" w:rsidP="00C3402D">
      <w:pPr>
        <w:pStyle w:val="ListParagraph"/>
        <w:rPr>
          <w:rFonts w:ascii="Tahoma" w:eastAsia="Times New Roman" w:hAnsi="Tahoma" w:cs="Tahoma"/>
          <w:lang w:val="en-AU"/>
        </w:rPr>
      </w:pPr>
      <w:r w:rsidRPr="00D733EB">
        <w:rPr>
          <w:rFonts w:ascii="Tahoma" w:hAnsi="Tahoma" w:cs="Tahoma"/>
          <w:lang w:val="en-AU"/>
        </w:rPr>
        <w:t>requiring councils’ annual reports to include:</w:t>
      </w:r>
    </w:p>
    <w:p w:rsidR="00370858" w:rsidRPr="00E84DC2" w:rsidRDefault="00D733EB">
      <w:pPr>
        <w:pStyle w:val="ListParagraph"/>
        <w:numPr>
          <w:ilvl w:val="1"/>
          <w:numId w:val="53"/>
        </w:numPr>
        <w:rPr>
          <w:rFonts w:ascii="Tahoma" w:hAnsi="Tahoma" w:cs="Tahoma"/>
        </w:rPr>
      </w:pPr>
      <w:r w:rsidRPr="00D733EB">
        <w:rPr>
          <w:rFonts w:ascii="Tahoma" w:hAnsi="Tahoma" w:cs="Tahoma"/>
        </w:rPr>
        <w:t xml:space="preserve">a statement of progress in relation to the major initiatives identified in the budget </w:t>
      </w:r>
    </w:p>
    <w:p w:rsidR="00370858" w:rsidRPr="00E84DC2" w:rsidRDefault="00D733EB">
      <w:pPr>
        <w:pStyle w:val="ListParagraph"/>
        <w:numPr>
          <w:ilvl w:val="1"/>
          <w:numId w:val="53"/>
        </w:numPr>
        <w:rPr>
          <w:rFonts w:ascii="Tahoma" w:hAnsi="Tahoma" w:cs="Tahoma"/>
        </w:rPr>
      </w:pPr>
      <w:r w:rsidRPr="00D733EB">
        <w:rPr>
          <w:rFonts w:ascii="Tahoma" w:hAnsi="Tahoma" w:cs="Tahoma"/>
        </w:rPr>
        <w:t>the results of council’s assessment against the governance and management checklist set out in the regulations</w:t>
      </w:r>
    </w:p>
    <w:p w:rsidR="00370858" w:rsidRPr="00E84DC2" w:rsidRDefault="00D733EB">
      <w:pPr>
        <w:pStyle w:val="ListParagraph"/>
        <w:numPr>
          <w:ilvl w:val="1"/>
          <w:numId w:val="53"/>
        </w:numPr>
        <w:rPr>
          <w:rFonts w:ascii="Tahoma" w:hAnsi="Tahoma" w:cs="Tahoma"/>
        </w:rPr>
      </w:pPr>
      <w:r w:rsidRPr="00D733EB">
        <w:rPr>
          <w:rFonts w:ascii="Tahoma" w:hAnsi="Tahoma" w:cs="Tahoma"/>
        </w:rPr>
        <w:t>all the prescribed indicators of service performance that relate to services provided by council, and the prescribed measures for those indicators</w:t>
      </w:r>
    </w:p>
    <w:p w:rsidR="00370858" w:rsidRPr="00E84DC2" w:rsidRDefault="00D733EB">
      <w:pPr>
        <w:pStyle w:val="ListParagraph"/>
        <w:numPr>
          <w:ilvl w:val="1"/>
          <w:numId w:val="53"/>
        </w:numPr>
        <w:rPr>
          <w:rFonts w:ascii="Tahoma" w:hAnsi="Tahoma" w:cs="Tahoma"/>
        </w:rPr>
      </w:pPr>
      <w:r w:rsidRPr="00D733EB">
        <w:rPr>
          <w:rFonts w:ascii="Tahoma" w:hAnsi="Tahoma" w:cs="Tahoma"/>
        </w:rPr>
        <w:t>the results achieved in relation to these performance indicators and measures</w:t>
      </w:r>
    </w:p>
    <w:p w:rsidR="00370858" w:rsidRPr="00E84DC2" w:rsidRDefault="00D733EB">
      <w:pPr>
        <w:pStyle w:val="ListParagraph"/>
        <w:numPr>
          <w:ilvl w:val="1"/>
          <w:numId w:val="53"/>
        </w:numPr>
        <w:rPr>
          <w:rFonts w:ascii="Tahoma" w:hAnsi="Tahoma" w:cs="Tahoma"/>
        </w:rPr>
      </w:pPr>
      <w:r w:rsidRPr="00D733EB">
        <w:rPr>
          <w:rFonts w:ascii="Tahoma" w:hAnsi="Tahoma" w:cs="Tahoma"/>
        </w:rPr>
        <w:t>any other information required by the regulations</w:t>
      </w:r>
      <w:r w:rsidR="002D6369">
        <w:rPr>
          <w:rFonts w:ascii="Tahoma" w:hAnsi="Tahoma" w:cs="Tahoma"/>
        </w:rPr>
        <w:t xml:space="preserve">; </w:t>
      </w:r>
    </w:p>
    <w:p w:rsidR="009F6E47" w:rsidRPr="00E84DC2" w:rsidRDefault="00D733EB" w:rsidP="00C3402D">
      <w:pPr>
        <w:pStyle w:val="ListParagraph"/>
        <w:rPr>
          <w:rFonts w:ascii="Tahoma" w:hAnsi="Tahoma" w:cs="Tahoma"/>
        </w:rPr>
      </w:pPr>
      <w:r w:rsidRPr="00D733EB">
        <w:rPr>
          <w:rFonts w:ascii="Tahoma" w:hAnsi="Tahoma" w:cs="Tahoma"/>
        </w:rPr>
        <w:t>providing that the audited performance statement included in the annual report must be prepared in accordance with the regulations, and contain</w:t>
      </w:r>
      <w:r w:rsidRPr="00D733EB">
        <w:rPr>
          <w:rFonts w:ascii="Tahoma" w:hAnsi="Tahoma" w:cs="Tahoma"/>
          <w:lang w:val="en-AU"/>
        </w:rPr>
        <w:t xml:space="preserve"> a standard set of 32 performance indicators measuring</w:t>
      </w:r>
      <w:r w:rsidRPr="00D733EB">
        <w:rPr>
          <w:rFonts w:ascii="Tahoma" w:hAnsi="Tahoma" w:cs="Tahoma"/>
        </w:rPr>
        <w:t xml:space="preserve"> service performance, financial performance and sustainable capacity, as well as:</w:t>
      </w:r>
    </w:p>
    <w:p w:rsidR="00370858" w:rsidRPr="00E84DC2" w:rsidRDefault="00D733EB">
      <w:pPr>
        <w:pStyle w:val="ListParagraph"/>
        <w:numPr>
          <w:ilvl w:val="1"/>
          <w:numId w:val="53"/>
        </w:numPr>
        <w:rPr>
          <w:rFonts w:ascii="Tahoma" w:hAnsi="Tahoma" w:cs="Tahoma"/>
        </w:rPr>
      </w:pPr>
      <w:r w:rsidRPr="00D733EB">
        <w:rPr>
          <w:rFonts w:ascii="Tahoma" w:hAnsi="Tahoma" w:cs="Tahoma"/>
        </w:rPr>
        <w:t>the measures for those indicators</w:t>
      </w:r>
    </w:p>
    <w:p w:rsidR="00370858" w:rsidRPr="00E84DC2" w:rsidRDefault="00D733EB">
      <w:pPr>
        <w:pStyle w:val="ListParagraph"/>
        <w:numPr>
          <w:ilvl w:val="1"/>
          <w:numId w:val="53"/>
        </w:numPr>
        <w:rPr>
          <w:rFonts w:ascii="Tahoma" w:hAnsi="Tahoma" w:cs="Tahoma"/>
        </w:rPr>
      </w:pPr>
      <w:r w:rsidRPr="00D733EB">
        <w:rPr>
          <w:rFonts w:ascii="Tahoma" w:hAnsi="Tahoma" w:cs="Tahoma"/>
        </w:rPr>
        <w:t>the results achieved in relation to these performance indicators and measures</w:t>
      </w:r>
    </w:p>
    <w:p w:rsidR="00370858" w:rsidRPr="00E84DC2" w:rsidRDefault="00D733EB">
      <w:pPr>
        <w:pStyle w:val="ListParagraph"/>
        <w:numPr>
          <w:ilvl w:val="1"/>
          <w:numId w:val="53"/>
        </w:numPr>
        <w:rPr>
          <w:rFonts w:ascii="Tahoma" w:hAnsi="Tahoma" w:cs="Tahoma"/>
        </w:rPr>
      </w:pPr>
      <w:r w:rsidRPr="00D733EB">
        <w:rPr>
          <w:rFonts w:ascii="Tahoma" w:hAnsi="Tahoma" w:cs="Tahoma"/>
        </w:rPr>
        <w:t>any other information required by the regulations</w:t>
      </w:r>
      <w:r w:rsidR="002D6369">
        <w:rPr>
          <w:rFonts w:ascii="Tahoma" w:hAnsi="Tahoma" w:cs="Tahoma"/>
        </w:rPr>
        <w:t>; and</w:t>
      </w:r>
    </w:p>
    <w:p w:rsidR="00370858" w:rsidRPr="00E84DC2" w:rsidRDefault="00D733EB">
      <w:pPr>
        <w:pStyle w:val="ListParagraph"/>
        <w:rPr>
          <w:rFonts w:ascii="Tahoma" w:hAnsi="Tahoma" w:cs="Tahoma"/>
        </w:rPr>
      </w:pPr>
      <w:r w:rsidRPr="00D733EB">
        <w:rPr>
          <w:rFonts w:ascii="Tahoma" w:hAnsi="Tahoma" w:cs="Tahoma"/>
          <w:lang w:val="en-AU"/>
        </w:rPr>
        <w:t>improv</w:t>
      </w:r>
      <w:r w:rsidR="002D6369">
        <w:rPr>
          <w:rFonts w:ascii="Tahoma" w:hAnsi="Tahoma" w:cs="Tahoma"/>
          <w:lang w:val="en-AU"/>
        </w:rPr>
        <w:t>ing</w:t>
      </w:r>
      <w:r w:rsidRPr="00D733EB">
        <w:rPr>
          <w:rFonts w:ascii="Tahoma" w:hAnsi="Tahoma" w:cs="Tahoma"/>
          <w:lang w:val="en-AU"/>
        </w:rPr>
        <w:t xml:space="preserve"> access to council reporting by including requirements to make key reports available on council websites.</w:t>
      </w:r>
    </w:p>
    <w:p w:rsidR="00370858" w:rsidRPr="00E84DC2" w:rsidRDefault="00370858">
      <w:pPr>
        <w:rPr>
          <w:rFonts w:ascii="Tahoma" w:eastAsia="Times New Roman" w:hAnsi="Tahoma" w:cs="Tahoma"/>
          <w:lang w:val="en-AU"/>
        </w:rPr>
      </w:pPr>
    </w:p>
    <w:p w:rsidR="00370858" w:rsidRPr="00E84DC2" w:rsidRDefault="00D733EB">
      <w:pPr>
        <w:rPr>
          <w:rFonts w:ascii="Tahoma" w:eastAsia="Times New Roman" w:hAnsi="Tahoma" w:cs="Tahoma"/>
          <w:lang w:val="en-AU"/>
        </w:rPr>
      </w:pPr>
      <w:r w:rsidRPr="00D733EB">
        <w:rPr>
          <w:rFonts w:ascii="Tahoma" w:eastAsia="Times New Roman" w:hAnsi="Tahoma" w:cs="Tahoma"/>
          <w:sz w:val="22"/>
          <w:szCs w:val="22"/>
          <w:lang w:val="en-AU"/>
        </w:rPr>
        <w:t xml:space="preserve">Overall, the key planning and reporting requirements </w:t>
      </w:r>
      <w:r w:rsidR="002D6369">
        <w:rPr>
          <w:rFonts w:ascii="Tahoma" w:eastAsia="Times New Roman" w:hAnsi="Tahoma" w:cs="Tahoma"/>
          <w:sz w:val="22"/>
          <w:szCs w:val="22"/>
          <w:lang w:val="en-AU"/>
        </w:rPr>
        <w:t>are</w:t>
      </w:r>
      <w:r w:rsidRPr="00D733EB">
        <w:rPr>
          <w:rFonts w:ascii="Tahoma" w:eastAsia="Times New Roman" w:hAnsi="Tahoma" w:cs="Tahoma"/>
          <w:sz w:val="22"/>
          <w:szCs w:val="22"/>
          <w:lang w:val="en-AU"/>
        </w:rPr>
        <w:t xml:space="preserve"> in place </w:t>
      </w:r>
      <w:r w:rsidR="002D6369">
        <w:rPr>
          <w:rFonts w:ascii="Tahoma" w:eastAsia="Times New Roman" w:hAnsi="Tahoma" w:cs="Tahoma"/>
          <w:sz w:val="22"/>
          <w:szCs w:val="22"/>
          <w:lang w:val="en-AU"/>
        </w:rPr>
        <w:t>as a result of the</w:t>
      </w:r>
      <w:r w:rsidRPr="00D733EB">
        <w:rPr>
          <w:rFonts w:ascii="Tahoma" w:eastAsia="Times New Roman" w:hAnsi="Tahoma" w:cs="Tahoma"/>
          <w:sz w:val="22"/>
          <w:szCs w:val="22"/>
          <w:lang w:val="en-AU"/>
        </w:rPr>
        <w:t xml:space="preserve"> amended Act are set out in Figure 2A below.</w:t>
      </w:r>
    </w:p>
    <w:p w:rsidR="00AA2DEF" w:rsidRPr="00E84DC2" w:rsidRDefault="00AA2DEF" w:rsidP="00AA2DEF">
      <w:pPr>
        <w:rPr>
          <w:rFonts w:ascii="Tahoma" w:eastAsia="Times New Roman" w:hAnsi="Tahoma" w:cs="Tahoma"/>
          <w:sz w:val="22"/>
          <w:szCs w:val="22"/>
          <w:lang w:val="en-AU"/>
        </w:rPr>
      </w:pPr>
    </w:p>
    <w:p w:rsidR="00A754EF" w:rsidRPr="00E84DC2" w:rsidRDefault="00D733EB">
      <w:pPr>
        <w:rPr>
          <w:rFonts w:ascii="Tahoma" w:eastAsia="Times New Roman" w:hAnsi="Tahoma" w:cs="Tahoma"/>
          <w:b/>
          <w:sz w:val="22"/>
          <w:szCs w:val="22"/>
          <w:lang w:val="en-AU"/>
        </w:rPr>
      </w:pPr>
      <w:r w:rsidRPr="00D733EB">
        <w:rPr>
          <w:rFonts w:ascii="Tahoma" w:eastAsia="Times New Roman" w:hAnsi="Tahoma" w:cs="Tahoma"/>
          <w:b/>
          <w:sz w:val="22"/>
          <w:szCs w:val="22"/>
          <w:lang w:val="en-AU"/>
        </w:rPr>
        <w:br w:type="page"/>
      </w:r>
    </w:p>
    <w:p w:rsidR="00836770" w:rsidRPr="00E84DC2" w:rsidRDefault="001E6A7E" w:rsidP="00836770">
      <w:pPr>
        <w:jc w:val="center"/>
        <w:rPr>
          <w:rFonts w:ascii="Tahoma" w:eastAsia="Times New Roman" w:hAnsi="Tahoma" w:cs="Tahoma"/>
          <w:b/>
          <w:sz w:val="22"/>
          <w:szCs w:val="22"/>
          <w:lang w:val="en-AU"/>
        </w:rPr>
      </w:pPr>
      <w:r>
        <w:rPr>
          <w:rFonts w:ascii="Tahoma" w:eastAsia="Times New Roman" w:hAnsi="Tahoma" w:cs="Tahoma"/>
          <w:b/>
          <w:noProof/>
          <w:sz w:val="22"/>
          <w:szCs w:val="22"/>
          <w:lang w:val="en-AU" w:eastAsia="en-AU"/>
        </w:rPr>
        <w:lastRenderedPageBreak/>
        <mc:AlternateContent>
          <mc:Choice Requires="wpg">
            <w:drawing>
              <wp:anchor distT="0" distB="0" distL="114300" distR="114300" simplePos="0" relativeHeight="251704832" behindDoc="0" locked="0" layoutInCell="1" allowOverlap="1">
                <wp:simplePos x="0" y="0"/>
                <wp:positionH relativeFrom="column">
                  <wp:posOffset>-800100</wp:posOffset>
                </wp:positionH>
                <wp:positionV relativeFrom="paragraph">
                  <wp:posOffset>228600</wp:posOffset>
                </wp:positionV>
                <wp:extent cx="6738620" cy="9148445"/>
                <wp:effectExtent l="9525" t="9525" r="5080" b="24130"/>
                <wp:wrapTight wrapText="bothSides">
                  <wp:wrapPolygon edited="0">
                    <wp:start x="366" y="-67"/>
                    <wp:lineTo x="183" y="-45"/>
                    <wp:lineTo x="-183" y="180"/>
                    <wp:lineTo x="-214" y="1372"/>
                    <wp:lineTo x="-153" y="2340"/>
                    <wp:lineTo x="1374" y="2430"/>
                    <wp:lineTo x="5652" y="2451"/>
                    <wp:lineTo x="5683" y="2813"/>
                    <wp:lineTo x="977" y="2880"/>
                    <wp:lineTo x="-122" y="2948"/>
                    <wp:lineTo x="-183" y="3352"/>
                    <wp:lineTo x="-183" y="5041"/>
                    <wp:lineTo x="92" y="5310"/>
                    <wp:lineTo x="244" y="5331"/>
                    <wp:lineTo x="92" y="5693"/>
                    <wp:lineTo x="-61" y="5828"/>
                    <wp:lineTo x="-183" y="5963"/>
                    <wp:lineTo x="-214" y="7492"/>
                    <wp:lineTo x="-61" y="8032"/>
                    <wp:lineTo x="2780" y="8191"/>
                    <wp:lineTo x="5652" y="8212"/>
                    <wp:lineTo x="5652" y="11811"/>
                    <wp:lineTo x="611" y="11858"/>
                    <wp:lineTo x="-153" y="11903"/>
                    <wp:lineTo x="-214" y="12892"/>
                    <wp:lineTo x="-183" y="14062"/>
                    <wp:lineTo x="214" y="14311"/>
                    <wp:lineTo x="5652" y="14332"/>
                    <wp:lineTo x="5652" y="21533"/>
                    <wp:lineTo x="5744" y="21757"/>
                    <wp:lineTo x="21753" y="21757"/>
                    <wp:lineTo x="21783" y="21757"/>
                    <wp:lineTo x="21844" y="21533"/>
                    <wp:lineTo x="21844" y="-67"/>
                    <wp:lineTo x="5042" y="-67"/>
                    <wp:lineTo x="366" y="-67"/>
                  </wp:wrapPolygon>
                </wp:wrapTight>
                <wp:docPr id="2"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8620" cy="9148445"/>
                          <a:chOff x="540" y="1980"/>
                          <a:chExt cx="10612" cy="14407"/>
                        </a:xfrm>
                      </wpg:grpSpPr>
                      <wps:wsp>
                        <wps:cNvPr id="4" name="Rounded Rectangle 1"/>
                        <wps:cNvSpPr>
                          <a:spLocks noChangeArrowheads="1"/>
                        </wps:cNvSpPr>
                        <wps:spPr bwMode="auto">
                          <a:xfrm>
                            <a:off x="540" y="1980"/>
                            <a:ext cx="2636" cy="1440"/>
                          </a:xfrm>
                          <a:prstGeom prst="roundRect">
                            <a:avLst>
                              <a:gd name="adj" fmla="val 16667"/>
                            </a:avLst>
                          </a:prstGeom>
                          <a:gradFill rotWithShape="1">
                            <a:gsLst>
                              <a:gs pos="0">
                                <a:schemeClr val="accent1">
                                  <a:lumMod val="50000"/>
                                  <a:lumOff val="50000"/>
                                </a:schemeClr>
                              </a:gs>
                              <a:gs pos="100000">
                                <a:schemeClr val="accent1">
                                  <a:lumMod val="100000"/>
                                  <a:lumOff val="0"/>
                                </a:schemeClr>
                              </a:gs>
                            </a:gsLst>
                            <a:lin ang="5400000"/>
                          </a:gradFill>
                          <a:ln w="9525">
                            <a:solidFill>
                              <a:schemeClr val="accent1">
                                <a:lumMod val="95000"/>
                                <a:lumOff val="0"/>
                              </a:schemeClr>
                            </a:solidFill>
                            <a:round/>
                            <a:headEnd/>
                            <a:tailEnd/>
                          </a:ln>
                          <a:effectLst>
                            <a:outerShdw dist="23000" dir="5400000" rotWithShape="0">
                              <a:srgbClr val="808080">
                                <a:alpha val="34999"/>
                              </a:srgbClr>
                            </a:outerShdw>
                          </a:effectLst>
                        </wps:spPr>
                        <wps:txbx>
                          <w:txbxContent>
                            <w:p w:rsidR="0017213A" w:rsidRPr="00831C18" w:rsidRDefault="0017213A" w:rsidP="00836770">
                              <w:pPr>
                                <w:jc w:val="center"/>
                                <w:rPr>
                                  <w:rFonts w:ascii="Arial" w:hAnsi="Arial" w:cs="Arial"/>
                                </w:rPr>
                              </w:pPr>
                            </w:p>
                            <w:p w:rsidR="0017213A" w:rsidRPr="00831C18" w:rsidRDefault="0017213A" w:rsidP="00836770">
                              <w:pPr>
                                <w:jc w:val="center"/>
                                <w:rPr>
                                  <w:rFonts w:ascii="Arial" w:hAnsi="Arial" w:cs="Arial"/>
                                </w:rPr>
                              </w:pPr>
                              <w:r w:rsidRPr="00831C18">
                                <w:rPr>
                                  <w:rFonts w:ascii="Arial" w:hAnsi="Arial" w:cs="Arial"/>
                                </w:rPr>
                                <w:t>Council Plan</w:t>
                              </w:r>
                            </w:p>
                            <w:p w:rsidR="0017213A" w:rsidRPr="00831C18" w:rsidRDefault="0017213A" w:rsidP="00836770">
                              <w:pPr>
                                <w:jc w:val="center"/>
                                <w:rPr>
                                  <w:rFonts w:ascii="Arial" w:hAnsi="Arial" w:cs="Arial"/>
                                  <w:sz w:val="18"/>
                                  <w:szCs w:val="18"/>
                                </w:rPr>
                              </w:pPr>
                              <w:r w:rsidRPr="00831C18">
                                <w:rPr>
                                  <w:rFonts w:ascii="Arial" w:hAnsi="Arial" w:cs="Arial"/>
                                  <w:sz w:val="18"/>
                                  <w:szCs w:val="18"/>
                                </w:rPr>
                                <w:t>(s. 125)</w:t>
                              </w:r>
                            </w:p>
                          </w:txbxContent>
                        </wps:txbx>
                        <wps:bodyPr rot="0" vert="horz" wrap="square" lIns="91440" tIns="45720" rIns="91440" bIns="45720" anchor="t" anchorCtr="0" upright="1">
                          <a:noAutofit/>
                        </wps:bodyPr>
                      </wps:wsp>
                      <wps:wsp>
                        <wps:cNvPr id="5" name="Rectangle 2"/>
                        <wps:cNvSpPr>
                          <a:spLocks noChangeArrowheads="1"/>
                        </wps:cNvSpPr>
                        <wps:spPr bwMode="auto">
                          <a:xfrm>
                            <a:off x="3420" y="1990"/>
                            <a:ext cx="7732" cy="1800"/>
                          </a:xfrm>
                          <a:prstGeom prst="rect">
                            <a:avLst/>
                          </a:prstGeom>
                          <a:solidFill>
                            <a:schemeClr val="accent1">
                              <a:lumMod val="20000"/>
                              <a:lumOff val="80000"/>
                            </a:schemeClr>
                          </a:solidFill>
                          <a:ln w="9525">
                            <a:solidFill>
                              <a:schemeClr val="accent1">
                                <a:lumMod val="95000"/>
                                <a:lumOff val="0"/>
                              </a:schemeClr>
                            </a:solidFill>
                            <a:miter lim="800000"/>
                            <a:headEnd/>
                            <a:tailEnd/>
                          </a:ln>
                          <a:effectLst>
                            <a:outerShdw dist="23000" dir="5400000" rotWithShape="0">
                              <a:srgbClr val="808080">
                                <a:alpha val="34999"/>
                              </a:srgbClr>
                            </a:outerShdw>
                          </a:effectLst>
                        </wps:spPr>
                        <wps:txbx>
                          <w:txbxContent>
                            <w:p w:rsidR="0017213A" w:rsidRPr="005D1265" w:rsidRDefault="0017213A" w:rsidP="00836770">
                              <w:pPr>
                                <w:rPr>
                                  <w:rFonts w:ascii="Arial" w:hAnsi="Arial" w:cs="Arial"/>
                                  <w:color w:val="1F497D" w:themeColor="text2"/>
                                  <w:sz w:val="20"/>
                                  <w:szCs w:val="20"/>
                                  <w:lang w:val="en-AU" w:eastAsia="en-US"/>
                                </w:rPr>
                              </w:pPr>
                              <w:r w:rsidRPr="005D1265">
                                <w:rPr>
                                  <w:rFonts w:ascii="Arial" w:hAnsi="Arial" w:cs="Arial"/>
                                  <w:color w:val="1F497D" w:themeColor="text2"/>
                                  <w:sz w:val="20"/>
                                  <w:szCs w:val="20"/>
                                  <w:lang w:val="en-AU" w:eastAsia="en-US"/>
                                </w:rPr>
                                <w:t>Must contain:</w:t>
                              </w:r>
                            </w:p>
                            <w:p w:rsidR="0017213A" w:rsidRDefault="0017213A">
                              <w:pPr>
                                <w:pStyle w:val="ListParagraph"/>
                                <w:spacing w:before="40"/>
                                <w:ind w:left="284" w:hanging="284"/>
                                <w:rPr>
                                  <w:rFonts w:ascii="Arial" w:hAnsi="Arial"/>
                                  <w:color w:val="1F497D" w:themeColor="text2"/>
                                  <w:sz w:val="20"/>
                                  <w:szCs w:val="20"/>
                                  <w:lang w:val="en-AU" w:eastAsia="en-US"/>
                                </w:rPr>
                              </w:pPr>
                              <w:r w:rsidRPr="00716E3E">
                                <w:rPr>
                                  <w:rFonts w:ascii="Arial" w:hAnsi="Arial"/>
                                  <w:color w:val="1F497D" w:themeColor="text2"/>
                                  <w:sz w:val="20"/>
                                  <w:szCs w:val="20"/>
                                  <w:lang w:val="en-AU" w:eastAsia="en-US"/>
                                </w:rPr>
                                <w:t>the strategic objectives of the council</w:t>
                              </w:r>
                            </w:p>
                            <w:p w:rsidR="0017213A" w:rsidRDefault="0017213A">
                              <w:pPr>
                                <w:pStyle w:val="ListParagraph"/>
                                <w:spacing w:before="40"/>
                                <w:ind w:left="284" w:hanging="284"/>
                                <w:rPr>
                                  <w:rFonts w:ascii="Arial" w:hAnsi="Arial"/>
                                  <w:color w:val="1F497D" w:themeColor="text2"/>
                                  <w:sz w:val="20"/>
                                  <w:szCs w:val="20"/>
                                  <w:lang w:val="en-AU" w:eastAsia="en-US"/>
                                </w:rPr>
                              </w:pPr>
                              <w:r w:rsidRPr="00716E3E">
                                <w:rPr>
                                  <w:rFonts w:ascii="Arial" w:hAnsi="Arial"/>
                                  <w:color w:val="1F497D" w:themeColor="text2"/>
                                  <w:sz w:val="20"/>
                                  <w:szCs w:val="20"/>
                                  <w:lang w:val="en-AU" w:eastAsia="en-US"/>
                                </w:rPr>
                                <w:t>strategies for achieving objectives for the next 4 years</w:t>
                              </w:r>
                            </w:p>
                            <w:p w:rsidR="0017213A" w:rsidRDefault="0017213A">
                              <w:pPr>
                                <w:pStyle w:val="ListParagraph"/>
                                <w:spacing w:before="40"/>
                                <w:ind w:left="284" w:hanging="284"/>
                                <w:rPr>
                                  <w:rFonts w:ascii="Arial" w:hAnsi="Arial"/>
                                  <w:color w:val="1F497D" w:themeColor="text2"/>
                                  <w:sz w:val="20"/>
                                  <w:szCs w:val="20"/>
                                  <w:lang w:val="en-AU" w:eastAsia="en-US"/>
                                </w:rPr>
                              </w:pPr>
                              <w:r w:rsidRPr="00716E3E">
                                <w:rPr>
                                  <w:rFonts w:ascii="Arial" w:hAnsi="Arial"/>
                                  <w:color w:val="1F497D" w:themeColor="text2"/>
                                  <w:sz w:val="20"/>
                                  <w:szCs w:val="20"/>
                                  <w:lang w:val="en-AU" w:eastAsia="en-US"/>
                                </w:rPr>
                                <w:t>strategic indicators for monitoring the achievement of the objectives</w:t>
                              </w:r>
                            </w:p>
                            <w:p w:rsidR="0017213A" w:rsidRDefault="0017213A">
                              <w:pPr>
                                <w:pStyle w:val="ListParagraph"/>
                                <w:spacing w:before="40"/>
                                <w:ind w:left="284" w:hanging="284"/>
                                <w:rPr>
                                  <w:rFonts w:ascii="Arial" w:hAnsi="Arial"/>
                                  <w:color w:val="1F497D" w:themeColor="text2"/>
                                  <w:sz w:val="20"/>
                                  <w:szCs w:val="20"/>
                                  <w:lang w:val="en-AU" w:eastAsia="en-US"/>
                                </w:rPr>
                              </w:pPr>
                              <w:r w:rsidRPr="00716E3E">
                                <w:rPr>
                                  <w:rFonts w:ascii="Arial" w:hAnsi="Arial"/>
                                  <w:color w:val="1F497D" w:themeColor="text2"/>
                                  <w:sz w:val="20"/>
                                  <w:szCs w:val="20"/>
                                  <w:lang w:val="en-AU" w:eastAsia="en-US"/>
                                </w:rPr>
                                <w:t xml:space="preserve">a strategic resource plan </w:t>
                              </w:r>
                            </w:p>
                            <w:p w:rsidR="0017213A" w:rsidRDefault="0017213A">
                              <w:pPr>
                                <w:pStyle w:val="ListParagraph"/>
                                <w:spacing w:before="40"/>
                                <w:ind w:left="284" w:hanging="284"/>
                                <w:rPr>
                                  <w:rFonts w:ascii="Arial" w:hAnsi="Arial"/>
                                  <w:color w:val="1F497D" w:themeColor="text2"/>
                                  <w:sz w:val="20"/>
                                  <w:szCs w:val="20"/>
                                  <w:lang w:val="en-AU" w:eastAsia="en-US"/>
                                </w:rPr>
                              </w:pPr>
                              <w:r w:rsidRPr="00716E3E">
                                <w:rPr>
                                  <w:rFonts w:ascii="Arial" w:hAnsi="Arial"/>
                                  <w:color w:val="1F497D" w:themeColor="text2"/>
                                  <w:sz w:val="20"/>
                                  <w:szCs w:val="20"/>
                                  <w:lang w:val="en-AU" w:eastAsia="en-US"/>
                                </w:rPr>
                                <w:t xml:space="preserve">any other matters which are prescribed. </w:t>
                              </w:r>
                            </w:p>
                            <w:p w:rsidR="0017213A" w:rsidRPr="00716E3E" w:rsidRDefault="0017213A" w:rsidP="00716E3E">
                              <w:pPr>
                                <w:spacing w:before="40"/>
                                <w:jc w:val="center"/>
                                <w:rPr>
                                  <w:rFonts w:ascii="Arial" w:hAnsi="Arial" w:cs="Arial"/>
                                  <w:color w:val="1F497D" w:themeColor="text2"/>
                                  <w:sz w:val="20"/>
                                  <w:szCs w:val="20"/>
                                </w:rPr>
                              </w:pPr>
                            </w:p>
                          </w:txbxContent>
                        </wps:txbx>
                        <wps:bodyPr rot="0" vert="horz" wrap="square" lIns="91440" tIns="45720" rIns="91440" bIns="45720" anchor="t" anchorCtr="0" upright="1">
                          <a:noAutofit/>
                        </wps:bodyPr>
                      </wps:wsp>
                      <wps:wsp>
                        <wps:cNvPr id="6" name="Rounded Rectangle 3"/>
                        <wps:cNvSpPr>
                          <a:spLocks noChangeArrowheads="1"/>
                        </wps:cNvSpPr>
                        <wps:spPr bwMode="auto">
                          <a:xfrm>
                            <a:off x="540" y="3970"/>
                            <a:ext cx="2636" cy="1440"/>
                          </a:xfrm>
                          <a:prstGeom prst="roundRect">
                            <a:avLst>
                              <a:gd name="adj" fmla="val 16667"/>
                            </a:avLst>
                          </a:prstGeom>
                          <a:gradFill rotWithShape="1">
                            <a:gsLst>
                              <a:gs pos="0">
                                <a:schemeClr val="accent1">
                                  <a:lumMod val="50000"/>
                                  <a:lumOff val="50000"/>
                                </a:schemeClr>
                              </a:gs>
                              <a:gs pos="100000">
                                <a:schemeClr val="accent1">
                                  <a:lumMod val="100000"/>
                                  <a:lumOff val="0"/>
                                </a:schemeClr>
                              </a:gs>
                            </a:gsLst>
                            <a:lin ang="5400000"/>
                          </a:gradFill>
                          <a:ln w="9525">
                            <a:solidFill>
                              <a:schemeClr val="accent1">
                                <a:lumMod val="95000"/>
                                <a:lumOff val="0"/>
                              </a:schemeClr>
                            </a:solidFill>
                            <a:round/>
                            <a:headEnd/>
                            <a:tailEnd/>
                          </a:ln>
                          <a:effectLst>
                            <a:outerShdw dist="23000" dir="5400000" rotWithShape="0">
                              <a:srgbClr val="808080">
                                <a:alpha val="34999"/>
                              </a:srgbClr>
                            </a:outerShdw>
                          </a:effectLst>
                        </wps:spPr>
                        <wps:txbx>
                          <w:txbxContent>
                            <w:p w:rsidR="0017213A" w:rsidRPr="00831C18" w:rsidRDefault="0017213A" w:rsidP="00836770">
                              <w:pPr>
                                <w:jc w:val="center"/>
                                <w:rPr>
                                  <w:rFonts w:ascii="Arial" w:hAnsi="Arial" w:cs="Arial"/>
                                </w:rPr>
                              </w:pPr>
                            </w:p>
                            <w:p w:rsidR="0017213A" w:rsidRPr="00831C18" w:rsidRDefault="0017213A" w:rsidP="00836770">
                              <w:pPr>
                                <w:jc w:val="center"/>
                                <w:rPr>
                                  <w:rFonts w:ascii="Arial" w:hAnsi="Arial" w:cs="Arial"/>
                                </w:rPr>
                              </w:pPr>
                              <w:r>
                                <w:rPr>
                                  <w:rFonts w:ascii="Arial" w:hAnsi="Arial" w:cs="Arial"/>
                                </w:rPr>
                                <w:t>Strategic Resource Plan</w:t>
                              </w:r>
                            </w:p>
                            <w:p w:rsidR="0017213A" w:rsidRPr="00831C18" w:rsidRDefault="0017213A" w:rsidP="00836770">
                              <w:pPr>
                                <w:jc w:val="center"/>
                                <w:rPr>
                                  <w:rFonts w:ascii="Arial" w:hAnsi="Arial" w:cs="Arial"/>
                                  <w:sz w:val="18"/>
                                  <w:szCs w:val="18"/>
                                </w:rPr>
                              </w:pPr>
                              <w:r w:rsidRPr="00831C18">
                                <w:rPr>
                                  <w:rFonts w:ascii="Arial" w:hAnsi="Arial" w:cs="Arial"/>
                                  <w:sz w:val="18"/>
                                  <w:szCs w:val="18"/>
                                </w:rPr>
                                <w:t>(s. 126)</w:t>
                              </w:r>
                            </w:p>
                          </w:txbxContent>
                        </wps:txbx>
                        <wps:bodyPr rot="0" vert="horz" wrap="square" lIns="91440" tIns="45720" rIns="91440" bIns="45720" anchor="t" anchorCtr="0" upright="1">
                          <a:noAutofit/>
                        </wps:bodyPr>
                      </wps:wsp>
                      <wps:wsp>
                        <wps:cNvPr id="7" name="Rectangle 4"/>
                        <wps:cNvSpPr>
                          <a:spLocks noChangeArrowheads="1"/>
                        </wps:cNvSpPr>
                        <wps:spPr bwMode="auto">
                          <a:xfrm>
                            <a:off x="3420" y="3970"/>
                            <a:ext cx="7732" cy="1612"/>
                          </a:xfrm>
                          <a:prstGeom prst="rect">
                            <a:avLst/>
                          </a:prstGeom>
                          <a:solidFill>
                            <a:schemeClr val="accent1">
                              <a:lumMod val="20000"/>
                              <a:lumOff val="80000"/>
                            </a:schemeClr>
                          </a:solidFill>
                          <a:ln w="9525">
                            <a:solidFill>
                              <a:schemeClr val="accent1">
                                <a:lumMod val="95000"/>
                                <a:lumOff val="0"/>
                              </a:schemeClr>
                            </a:solidFill>
                            <a:miter lim="800000"/>
                            <a:headEnd/>
                            <a:tailEnd/>
                          </a:ln>
                          <a:effectLst>
                            <a:outerShdw dist="23000" dir="5400000" rotWithShape="0">
                              <a:srgbClr val="808080">
                                <a:alpha val="34999"/>
                              </a:srgbClr>
                            </a:outerShdw>
                          </a:effectLst>
                        </wps:spPr>
                        <wps:txbx>
                          <w:txbxContent>
                            <w:p w:rsidR="0017213A" w:rsidRPr="00D438D1" w:rsidRDefault="0017213A" w:rsidP="00836770">
                              <w:pPr>
                                <w:rPr>
                                  <w:rFonts w:ascii="Arial" w:hAnsi="Arial" w:cs="Arial"/>
                                  <w:color w:val="1F497D" w:themeColor="text2"/>
                                  <w:sz w:val="20"/>
                                  <w:szCs w:val="20"/>
                                  <w:lang w:val="en-AU" w:eastAsia="en-US"/>
                                </w:rPr>
                              </w:pPr>
                              <w:r w:rsidRPr="00D438D1">
                                <w:rPr>
                                  <w:rFonts w:ascii="Arial" w:hAnsi="Arial" w:cs="Arial"/>
                                  <w:color w:val="1F497D" w:themeColor="text2"/>
                                  <w:sz w:val="20"/>
                                  <w:szCs w:val="20"/>
                                  <w:lang w:val="en-AU" w:eastAsia="en-US"/>
                                </w:rPr>
                                <w:t>Must contain:</w:t>
                              </w:r>
                            </w:p>
                            <w:p w:rsidR="0017213A" w:rsidRDefault="0017213A">
                              <w:pPr>
                                <w:pStyle w:val="ListParagraph"/>
                                <w:spacing w:before="20"/>
                                <w:ind w:left="284" w:hanging="284"/>
                                <w:rPr>
                                  <w:rFonts w:ascii="Arial" w:hAnsi="Arial"/>
                                  <w:color w:val="1F497D" w:themeColor="text2"/>
                                  <w:sz w:val="20"/>
                                  <w:szCs w:val="20"/>
                                  <w:lang w:val="en-AU" w:eastAsia="en-US"/>
                                </w:rPr>
                              </w:pPr>
                              <w:r w:rsidRPr="00716E3E">
                                <w:rPr>
                                  <w:rFonts w:ascii="Arial" w:hAnsi="Arial"/>
                                  <w:color w:val="1F497D" w:themeColor="text2"/>
                                  <w:sz w:val="20"/>
                                  <w:szCs w:val="20"/>
                                  <w:lang w:val="en-AU" w:eastAsia="en-US"/>
                                </w:rPr>
                                <w:t xml:space="preserve">the financial statements describing the required financial resources in the form and containing the information required by the regulations </w:t>
                              </w:r>
                            </w:p>
                            <w:p w:rsidR="0017213A" w:rsidRDefault="0017213A">
                              <w:pPr>
                                <w:pStyle w:val="ListParagraph"/>
                                <w:spacing w:before="20"/>
                                <w:ind w:left="284" w:hanging="284"/>
                                <w:rPr>
                                  <w:rFonts w:ascii="Arial" w:hAnsi="Arial"/>
                                  <w:color w:val="1F497D" w:themeColor="text2"/>
                                  <w:sz w:val="20"/>
                                  <w:szCs w:val="20"/>
                                  <w:lang w:val="en-AU" w:eastAsia="en-US"/>
                                </w:rPr>
                              </w:pPr>
                              <w:r w:rsidRPr="00716E3E">
                                <w:rPr>
                                  <w:rFonts w:ascii="Arial" w:hAnsi="Arial"/>
                                  <w:color w:val="1F497D" w:themeColor="text2"/>
                                  <w:sz w:val="20"/>
                                  <w:szCs w:val="20"/>
                                  <w:lang w:val="en-AU" w:eastAsia="en-US"/>
                                </w:rPr>
                                <w:t>a statement describing the required non-financial resources, including human resources, in the form and containing the information required by the regulations.</w:t>
                              </w:r>
                            </w:p>
                            <w:p w:rsidR="0017213A" w:rsidRPr="00716E3E" w:rsidRDefault="0017213A" w:rsidP="00716E3E">
                              <w:pPr>
                                <w:spacing w:before="20"/>
                                <w:rPr>
                                  <w:rFonts w:ascii="Arial" w:hAnsi="Arial" w:cs="Arial"/>
                                  <w:color w:val="1F497D" w:themeColor="text2"/>
                                  <w:sz w:val="20"/>
                                  <w:szCs w:val="20"/>
                                </w:rPr>
                              </w:pPr>
                            </w:p>
                          </w:txbxContent>
                        </wps:txbx>
                        <wps:bodyPr rot="0" vert="horz" wrap="square" lIns="91440" tIns="45720" rIns="91440" bIns="45720" anchor="t" anchorCtr="0" upright="1">
                          <a:noAutofit/>
                        </wps:bodyPr>
                      </wps:wsp>
                      <wps:wsp>
                        <wps:cNvPr id="8" name="Rounded Rectangle 5"/>
                        <wps:cNvSpPr>
                          <a:spLocks noChangeArrowheads="1"/>
                        </wps:cNvSpPr>
                        <wps:spPr bwMode="auto">
                          <a:xfrm>
                            <a:off x="540" y="5770"/>
                            <a:ext cx="2636" cy="1440"/>
                          </a:xfrm>
                          <a:prstGeom prst="roundRect">
                            <a:avLst>
                              <a:gd name="adj" fmla="val 16667"/>
                            </a:avLst>
                          </a:prstGeom>
                          <a:gradFill rotWithShape="0">
                            <a:gsLst>
                              <a:gs pos="0">
                                <a:schemeClr val="accent1">
                                  <a:lumMod val="50000"/>
                                  <a:lumOff val="50000"/>
                                </a:schemeClr>
                              </a:gs>
                              <a:gs pos="100000">
                                <a:schemeClr val="accent1">
                                  <a:lumMod val="100000"/>
                                  <a:lumOff val="0"/>
                                </a:schemeClr>
                              </a:gs>
                            </a:gsLst>
                            <a:lin ang="5400000"/>
                          </a:gradFill>
                          <a:ln w="9525">
                            <a:solidFill>
                              <a:schemeClr val="accent1">
                                <a:lumMod val="95000"/>
                                <a:lumOff val="0"/>
                              </a:schemeClr>
                            </a:solidFill>
                            <a:round/>
                            <a:headEnd/>
                            <a:tailEnd/>
                          </a:ln>
                          <a:effectLst>
                            <a:outerShdw dist="23000" dir="5400000" rotWithShape="0">
                              <a:srgbClr val="808080">
                                <a:alpha val="34999"/>
                              </a:srgbClr>
                            </a:outerShdw>
                          </a:effectLst>
                        </wps:spPr>
                        <wps:txbx>
                          <w:txbxContent>
                            <w:p w:rsidR="0017213A" w:rsidRPr="00831C18" w:rsidRDefault="0017213A" w:rsidP="00836770">
                              <w:pPr>
                                <w:jc w:val="center"/>
                                <w:rPr>
                                  <w:rFonts w:ascii="Arial" w:hAnsi="Arial" w:cs="Arial"/>
                                </w:rPr>
                              </w:pPr>
                            </w:p>
                            <w:p w:rsidR="0017213A" w:rsidRPr="00831C18" w:rsidRDefault="0017213A" w:rsidP="00836770">
                              <w:pPr>
                                <w:jc w:val="center"/>
                                <w:rPr>
                                  <w:rFonts w:ascii="Arial" w:hAnsi="Arial" w:cs="Arial"/>
                                </w:rPr>
                              </w:pPr>
                              <w:r w:rsidRPr="00831C18">
                                <w:rPr>
                                  <w:rFonts w:ascii="Arial" w:hAnsi="Arial" w:cs="Arial"/>
                                </w:rPr>
                                <w:t>Annual Budget</w:t>
                              </w:r>
                            </w:p>
                            <w:p w:rsidR="0017213A" w:rsidRPr="00831C18" w:rsidRDefault="0017213A" w:rsidP="00836770">
                              <w:pPr>
                                <w:jc w:val="center"/>
                                <w:rPr>
                                  <w:rFonts w:ascii="Arial" w:hAnsi="Arial" w:cs="Arial"/>
                                  <w:sz w:val="18"/>
                                  <w:szCs w:val="18"/>
                                </w:rPr>
                              </w:pPr>
                              <w:r w:rsidRPr="00831C18">
                                <w:rPr>
                                  <w:rFonts w:ascii="Arial" w:hAnsi="Arial" w:cs="Arial"/>
                                  <w:sz w:val="18"/>
                                  <w:szCs w:val="18"/>
                                </w:rPr>
                                <w:t>(s. 127</w:t>
                              </w:r>
                              <w:r>
                                <w:rPr>
                                  <w:rFonts w:ascii="Arial" w:hAnsi="Arial" w:cs="Arial"/>
                                  <w:sz w:val="18"/>
                                  <w:szCs w:val="18"/>
                                </w:rPr>
                                <w:t>- s.129</w:t>
                              </w:r>
                              <w:r w:rsidRPr="00831C18">
                                <w:rPr>
                                  <w:rFonts w:ascii="Arial" w:hAnsi="Arial" w:cs="Arial"/>
                                  <w:sz w:val="18"/>
                                  <w:szCs w:val="18"/>
                                </w:rPr>
                                <w:t>)</w:t>
                              </w:r>
                            </w:p>
                          </w:txbxContent>
                        </wps:txbx>
                        <wps:bodyPr rot="0" vert="horz" wrap="square" lIns="91440" tIns="45720" rIns="91440" bIns="45720" anchor="t" anchorCtr="0" upright="1">
                          <a:noAutofit/>
                        </wps:bodyPr>
                      </wps:wsp>
                      <wps:wsp>
                        <wps:cNvPr id="9" name="Rectangle 6"/>
                        <wps:cNvSpPr>
                          <a:spLocks noChangeArrowheads="1"/>
                        </wps:cNvSpPr>
                        <wps:spPr bwMode="auto">
                          <a:xfrm>
                            <a:off x="3420" y="5770"/>
                            <a:ext cx="7732" cy="4140"/>
                          </a:xfrm>
                          <a:prstGeom prst="rect">
                            <a:avLst/>
                          </a:prstGeom>
                          <a:solidFill>
                            <a:schemeClr val="accent1">
                              <a:lumMod val="20000"/>
                              <a:lumOff val="80000"/>
                            </a:schemeClr>
                          </a:solidFill>
                          <a:ln w="9525">
                            <a:solidFill>
                              <a:schemeClr val="accent1">
                                <a:lumMod val="95000"/>
                                <a:lumOff val="0"/>
                              </a:schemeClr>
                            </a:solidFill>
                            <a:miter lim="800000"/>
                            <a:headEnd/>
                            <a:tailEnd/>
                          </a:ln>
                          <a:effectLst>
                            <a:outerShdw dist="23000" dir="5400000" rotWithShape="0">
                              <a:srgbClr val="808080">
                                <a:alpha val="34999"/>
                              </a:srgbClr>
                            </a:outerShdw>
                          </a:effectLst>
                        </wps:spPr>
                        <wps:txbx>
                          <w:txbxContent>
                            <w:p w:rsidR="0017213A" w:rsidRPr="007E24A7" w:rsidRDefault="0017213A" w:rsidP="00836770">
                              <w:pPr>
                                <w:spacing w:before="20"/>
                                <w:ind w:left="357" w:hanging="357"/>
                                <w:rPr>
                                  <w:rFonts w:ascii="Tahoma" w:hAnsi="Tahoma" w:cs="Tahoma"/>
                                  <w:color w:val="1F497D" w:themeColor="text2"/>
                                  <w:sz w:val="20"/>
                                  <w:szCs w:val="20"/>
                                  <w:lang w:val="en-AU" w:eastAsia="en-US"/>
                                </w:rPr>
                              </w:pPr>
                              <w:r w:rsidRPr="00D438D1">
                                <w:rPr>
                                  <w:rFonts w:ascii="Arial" w:hAnsi="Arial" w:cs="Arial"/>
                                  <w:color w:val="1F497D" w:themeColor="text2"/>
                                  <w:sz w:val="20"/>
                                  <w:szCs w:val="20"/>
                                  <w:lang w:val="en-AU" w:eastAsia="en-US"/>
                                </w:rPr>
                                <w:t>Must contain:</w:t>
                              </w:r>
                            </w:p>
                            <w:p w:rsidR="0017213A" w:rsidRDefault="0017213A">
                              <w:pPr>
                                <w:pStyle w:val="ListParagraph"/>
                                <w:ind w:left="284" w:hanging="284"/>
                                <w:rPr>
                                  <w:rFonts w:ascii="Arial" w:hAnsi="Arial"/>
                                  <w:color w:val="1F497D" w:themeColor="text2"/>
                                  <w:sz w:val="20"/>
                                  <w:szCs w:val="20"/>
                                  <w:lang w:val="en-AU" w:eastAsia="en-US"/>
                                </w:rPr>
                              </w:pPr>
                              <w:r w:rsidRPr="00716E3E">
                                <w:rPr>
                                  <w:rFonts w:ascii="Arial" w:hAnsi="Arial"/>
                                  <w:color w:val="1F497D" w:themeColor="text2"/>
                                  <w:sz w:val="20"/>
                                  <w:szCs w:val="20"/>
                                  <w:lang w:val="en-AU" w:eastAsia="en-US"/>
                                </w:rPr>
                                <w:t>financial statements in the form and containing the information required by the regulations</w:t>
                              </w:r>
                            </w:p>
                            <w:p w:rsidR="0017213A" w:rsidRDefault="0017213A">
                              <w:pPr>
                                <w:pStyle w:val="ListParagraph"/>
                                <w:ind w:left="284" w:hanging="284"/>
                                <w:rPr>
                                  <w:rFonts w:ascii="Arial" w:hAnsi="Arial"/>
                                  <w:color w:val="1F497D" w:themeColor="text2"/>
                                  <w:sz w:val="20"/>
                                  <w:szCs w:val="20"/>
                                  <w:lang w:val="en-AU" w:eastAsia="en-US"/>
                                </w:rPr>
                              </w:pPr>
                              <w:r w:rsidRPr="00716E3E">
                                <w:rPr>
                                  <w:rFonts w:ascii="Arial" w:hAnsi="Arial"/>
                                  <w:color w:val="1F497D" w:themeColor="text2"/>
                                  <w:sz w:val="20"/>
                                  <w:szCs w:val="20"/>
                                  <w:lang w:val="en-AU" w:eastAsia="en-US"/>
                                </w:rPr>
                                <w:t>a description of the services and initiatives to be funded in the budget</w:t>
                              </w:r>
                            </w:p>
                            <w:p w:rsidR="0017213A" w:rsidRDefault="0017213A">
                              <w:pPr>
                                <w:pStyle w:val="ListParagraph"/>
                                <w:ind w:left="284" w:hanging="284"/>
                                <w:rPr>
                                  <w:rFonts w:ascii="Arial" w:hAnsi="Arial"/>
                                  <w:color w:val="1F497D" w:themeColor="text2"/>
                                  <w:sz w:val="20"/>
                                  <w:szCs w:val="20"/>
                                  <w:lang w:val="en-AU" w:eastAsia="en-US"/>
                                </w:rPr>
                              </w:pPr>
                              <w:r w:rsidRPr="00716E3E">
                                <w:rPr>
                                  <w:rFonts w:ascii="Arial" w:hAnsi="Arial"/>
                                  <w:color w:val="1F497D" w:themeColor="text2"/>
                                  <w:sz w:val="20"/>
                                  <w:szCs w:val="20"/>
                                  <w:lang w:val="en-AU" w:eastAsia="en-US"/>
                                </w:rPr>
                                <w:t xml:space="preserve">a statement as to how the services and initiatives will contribute to achieving the strategic objectives specified in the council plan </w:t>
                              </w:r>
                            </w:p>
                            <w:p w:rsidR="0017213A" w:rsidRDefault="0017213A">
                              <w:pPr>
                                <w:pStyle w:val="ListParagraph"/>
                                <w:ind w:left="284" w:hanging="284"/>
                                <w:rPr>
                                  <w:rFonts w:ascii="Arial" w:hAnsi="Arial"/>
                                  <w:color w:val="1F497D" w:themeColor="text2"/>
                                  <w:sz w:val="20"/>
                                  <w:szCs w:val="20"/>
                                  <w:lang w:val="en-AU" w:eastAsia="en-US"/>
                                </w:rPr>
                              </w:pPr>
                              <w:r w:rsidRPr="00716E3E">
                                <w:rPr>
                                  <w:rFonts w:ascii="Arial" w:hAnsi="Arial"/>
                                  <w:color w:val="1F497D" w:themeColor="text2"/>
                                  <w:sz w:val="20"/>
                                  <w:szCs w:val="20"/>
                                  <w:lang w:val="en-AU" w:eastAsia="en-US"/>
                                </w:rPr>
                                <w:t xml:space="preserve">major initiatives, being initiatives identified by the council as priorities, to be undertaken during the financial year </w:t>
                              </w:r>
                            </w:p>
                            <w:p w:rsidR="0017213A" w:rsidRDefault="0017213A">
                              <w:pPr>
                                <w:pStyle w:val="ListParagraph"/>
                                <w:ind w:left="284" w:hanging="284"/>
                                <w:rPr>
                                  <w:rFonts w:ascii="Arial" w:hAnsi="Arial"/>
                                  <w:color w:val="1F497D" w:themeColor="text2"/>
                                  <w:sz w:val="20"/>
                                  <w:szCs w:val="20"/>
                                  <w:lang w:val="en-AU" w:eastAsia="en-US"/>
                                </w:rPr>
                              </w:pPr>
                              <w:r w:rsidRPr="00716E3E">
                                <w:rPr>
                                  <w:rFonts w:ascii="Arial" w:hAnsi="Arial"/>
                                  <w:color w:val="1F497D" w:themeColor="text2"/>
                                  <w:sz w:val="20"/>
                                  <w:szCs w:val="20"/>
                                  <w:lang w:val="en-AU" w:eastAsia="en-US"/>
                                </w:rPr>
                                <w:t>for services to be funded in the budget, the prescribed indicators to monitor performance outcomes that are required to be reported against in the performance statement and the prescribed measures relating to those indicators</w:t>
                              </w:r>
                            </w:p>
                            <w:p w:rsidR="0017213A" w:rsidRDefault="0017213A">
                              <w:pPr>
                                <w:pStyle w:val="ListParagraph"/>
                                <w:ind w:left="284" w:hanging="284"/>
                                <w:rPr>
                                  <w:rFonts w:ascii="Arial" w:hAnsi="Arial"/>
                                  <w:color w:val="1F497D" w:themeColor="text2"/>
                                  <w:sz w:val="20"/>
                                  <w:szCs w:val="20"/>
                                  <w:lang w:val="en-AU" w:eastAsia="en-US"/>
                                </w:rPr>
                              </w:pPr>
                              <w:r w:rsidRPr="00716E3E">
                                <w:rPr>
                                  <w:rFonts w:ascii="Arial" w:hAnsi="Arial"/>
                                  <w:color w:val="1F497D" w:themeColor="text2"/>
                                  <w:sz w:val="20"/>
                                  <w:szCs w:val="20"/>
                                  <w:lang w:val="en-AU" w:eastAsia="en-US"/>
                                </w:rPr>
                                <w:t>any other information required by the regulations.</w:t>
                              </w:r>
                            </w:p>
                            <w:p w:rsidR="0017213A" w:rsidRPr="00716E3E" w:rsidRDefault="0017213A" w:rsidP="00836770">
                              <w:pPr>
                                <w:spacing w:before="60"/>
                                <w:rPr>
                                  <w:rFonts w:ascii="Helvetica" w:hAnsi="Helvetica" w:cs="Arial"/>
                                  <w:color w:val="1F497D" w:themeColor="text2"/>
                                  <w:sz w:val="20"/>
                                  <w:szCs w:val="20"/>
                                  <w:lang w:val="en-AU" w:eastAsia="en-US"/>
                                </w:rPr>
                              </w:pPr>
                              <w:r w:rsidRPr="00716E3E">
                                <w:rPr>
                                  <w:rFonts w:ascii="Helvetica" w:hAnsi="Helvetica" w:cs="Arial"/>
                                  <w:color w:val="1F497D" w:themeColor="text2"/>
                                  <w:sz w:val="20"/>
                                  <w:szCs w:val="20"/>
                                  <w:lang w:val="en-AU" w:eastAsia="en-US"/>
                                </w:rPr>
                                <w:t>A public notice must also be published advising that copies of the budget or revised budget are available for inspection for at least 28 days, and any other information required by the regulations.</w:t>
                              </w:r>
                            </w:p>
                            <w:p w:rsidR="0017213A" w:rsidRPr="00716E3E" w:rsidRDefault="0017213A" w:rsidP="00836770">
                              <w:pPr>
                                <w:spacing w:before="20"/>
                                <w:ind w:left="357" w:hanging="357"/>
                                <w:rPr>
                                  <w:rFonts w:ascii="Helvetica" w:hAnsi="Helvetica" w:cs="Arial"/>
                                  <w:color w:val="1F497D" w:themeColor="text2"/>
                                  <w:sz w:val="20"/>
                                  <w:szCs w:val="20"/>
                                </w:rPr>
                              </w:pPr>
                            </w:p>
                          </w:txbxContent>
                        </wps:txbx>
                        <wps:bodyPr rot="0" vert="horz" wrap="square" lIns="91440" tIns="45720" rIns="91440" bIns="45720" anchor="t" anchorCtr="0" upright="1">
                          <a:noAutofit/>
                        </wps:bodyPr>
                      </wps:wsp>
                      <wps:wsp>
                        <wps:cNvPr id="10" name="Rounded Rectangle 9"/>
                        <wps:cNvSpPr>
                          <a:spLocks noChangeArrowheads="1"/>
                        </wps:cNvSpPr>
                        <wps:spPr bwMode="auto">
                          <a:xfrm>
                            <a:off x="540" y="9943"/>
                            <a:ext cx="2636" cy="1440"/>
                          </a:xfrm>
                          <a:prstGeom prst="roundRect">
                            <a:avLst>
                              <a:gd name="adj" fmla="val 16667"/>
                            </a:avLst>
                          </a:prstGeom>
                          <a:gradFill rotWithShape="0">
                            <a:gsLst>
                              <a:gs pos="0">
                                <a:schemeClr val="accent1">
                                  <a:lumMod val="50000"/>
                                  <a:lumOff val="50000"/>
                                </a:schemeClr>
                              </a:gs>
                              <a:gs pos="100000">
                                <a:schemeClr val="accent1">
                                  <a:lumMod val="100000"/>
                                  <a:lumOff val="0"/>
                                </a:schemeClr>
                              </a:gs>
                            </a:gsLst>
                            <a:lin ang="5400000"/>
                          </a:gradFill>
                          <a:ln w="9525">
                            <a:solidFill>
                              <a:schemeClr val="accent1">
                                <a:lumMod val="95000"/>
                                <a:lumOff val="0"/>
                              </a:schemeClr>
                            </a:solidFill>
                            <a:round/>
                            <a:headEnd/>
                            <a:tailEnd/>
                          </a:ln>
                          <a:effectLst>
                            <a:outerShdw dist="23000" dir="5400000" rotWithShape="0">
                              <a:srgbClr val="808080">
                                <a:alpha val="34999"/>
                              </a:srgbClr>
                            </a:outerShdw>
                          </a:effectLst>
                        </wps:spPr>
                        <wps:txbx>
                          <w:txbxContent>
                            <w:p w:rsidR="0017213A" w:rsidRPr="00831C18" w:rsidRDefault="0017213A" w:rsidP="00836770">
                              <w:pPr>
                                <w:jc w:val="center"/>
                                <w:rPr>
                                  <w:rFonts w:ascii="Arial" w:hAnsi="Arial" w:cs="Arial"/>
                                </w:rPr>
                              </w:pPr>
                            </w:p>
                            <w:p w:rsidR="0017213A" w:rsidRPr="00831C18" w:rsidRDefault="0017213A" w:rsidP="00836770">
                              <w:pPr>
                                <w:jc w:val="center"/>
                                <w:rPr>
                                  <w:rFonts w:ascii="Arial" w:hAnsi="Arial" w:cs="Arial"/>
                                </w:rPr>
                              </w:pPr>
                              <w:r w:rsidRPr="00831C18">
                                <w:rPr>
                                  <w:rFonts w:ascii="Arial" w:hAnsi="Arial" w:cs="Arial"/>
                                </w:rPr>
                                <w:t>Annual Report</w:t>
                              </w:r>
                            </w:p>
                            <w:p w:rsidR="0017213A" w:rsidRPr="00831C18" w:rsidRDefault="0017213A" w:rsidP="00836770">
                              <w:pPr>
                                <w:jc w:val="center"/>
                                <w:rPr>
                                  <w:rFonts w:ascii="Arial" w:hAnsi="Arial" w:cs="Arial"/>
                                  <w:sz w:val="18"/>
                                  <w:szCs w:val="18"/>
                                </w:rPr>
                              </w:pPr>
                              <w:r w:rsidRPr="00831C18">
                                <w:rPr>
                                  <w:rFonts w:ascii="Arial" w:hAnsi="Arial" w:cs="Arial"/>
                                  <w:sz w:val="18"/>
                                  <w:szCs w:val="18"/>
                                </w:rPr>
                                <w:t>(s. 131</w:t>
                              </w:r>
                              <w:r>
                                <w:rPr>
                                  <w:rFonts w:ascii="Arial" w:hAnsi="Arial" w:cs="Arial"/>
                                  <w:sz w:val="18"/>
                                  <w:szCs w:val="18"/>
                                </w:rPr>
                                <w:t xml:space="preserve"> – s.133</w:t>
                              </w:r>
                              <w:r w:rsidRPr="00831C18">
                                <w:rPr>
                                  <w:rFonts w:ascii="Arial" w:hAnsi="Arial" w:cs="Arial"/>
                                  <w:sz w:val="18"/>
                                  <w:szCs w:val="18"/>
                                </w:rPr>
                                <w:t>)</w:t>
                              </w:r>
                            </w:p>
                          </w:txbxContent>
                        </wps:txbx>
                        <wps:bodyPr rot="0" vert="horz" wrap="square" lIns="91440" tIns="45720" rIns="91440" bIns="45720" anchor="t" anchorCtr="0" upright="1">
                          <a:noAutofit/>
                        </wps:bodyPr>
                      </wps:wsp>
                      <wps:wsp>
                        <wps:cNvPr id="11" name="Rectangle 10"/>
                        <wps:cNvSpPr>
                          <a:spLocks noChangeArrowheads="1"/>
                        </wps:cNvSpPr>
                        <wps:spPr bwMode="auto">
                          <a:xfrm>
                            <a:off x="3420" y="10095"/>
                            <a:ext cx="7732" cy="6292"/>
                          </a:xfrm>
                          <a:prstGeom prst="rect">
                            <a:avLst/>
                          </a:prstGeom>
                          <a:solidFill>
                            <a:schemeClr val="accent1">
                              <a:lumMod val="20000"/>
                              <a:lumOff val="80000"/>
                            </a:schemeClr>
                          </a:solidFill>
                          <a:ln w="9525">
                            <a:solidFill>
                              <a:schemeClr val="accent1">
                                <a:lumMod val="95000"/>
                                <a:lumOff val="0"/>
                              </a:schemeClr>
                            </a:solidFill>
                            <a:miter lim="800000"/>
                            <a:headEnd/>
                            <a:tailEnd/>
                          </a:ln>
                          <a:effectLst>
                            <a:outerShdw dist="23000" dir="5400000" rotWithShape="0">
                              <a:srgbClr val="808080">
                                <a:alpha val="34999"/>
                              </a:srgbClr>
                            </a:outerShdw>
                          </a:effectLst>
                        </wps:spPr>
                        <wps:txbx>
                          <w:txbxContent>
                            <w:p w:rsidR="0017213A" w:rsidRPr="00D438D1" w:rsidRDefault="0017213A" w:rsidP="00836770">
                              <w:pPr>
                                <w:rPr>
                                  <w:rFonts w:ascii="Arial" w:hAnsi="Arial" w:cs="Arial"/>
                                  <w:color w:val="1F497D" w:themeColor="text2"/>
                                  <w:sz w:val="20"/>
                                  <w:szCs w:val="20"/>
                                  <w:lang w:val="en-AU" w:eastAsia="en-US"/>
                                </w:rPr>
                              </w:pPr>
                              <w:r w:rsidRPr="00D438D1">
                                <w:rPr>
                                  <w:rFonts w:ascii="Arial" w:hAnsi="Arial" w:cs="Arial"/>
                                  <w:color w:val="1F497D" w:themeColor="text2"/>
                                  <w:sz w:val="20"/>
                                  <w:szCs w:val="20"/>
                                  <w:lang w:val="en-AU" w:eastAsia="en-US"/>
                                </w:rPr>
                                <w:t>Must contain:</w:t>
                              </w:r>
                            </w:p>
                            <w:p w:rsidR="0017213A" w:rsidRDefault="0017213A" w:rsidP="00836770">
                              <w:pPr>
                                <w:pStyle w:val="NormalWeb"/>
                                <w:numPr>
                                  <w:ilvl w:val="0"/>
                                  <w:numId w:val="6"/>
                                </w:numPr>
                                <w:spacing w:before="20" w:beforeAutospacing="0" w:after="20" w:afterAutospacing="0"/>
                                <w:ind w:left="357" w:hanging="357"/>
                                <w:rPr>
                                  <w:rFonts w:ascii="Arial" w:hAnsi="Arial" w:cs="Arial"/>
                                  <w:color w:val="1F497D" w:themeColor="text2"/>
                                  <w:sz w:val="20"/>
                                  <w:szCs w:val="20"/>
                                  <w:lang w:eastAsia="en-US"/>
                                </w:rPr>
                              </w:pPr>
                              <w:r w:rsidRPr="00D438D1">
                                <w:rPr>
                                  <w:rFonts w:ascii="Arial" w:hAnsi="Arial" w:cs="Arial"/>
                                  <w:color w:val="1F497D" w:themeColor="text2"/>
                                  <w:sz w:val="20"/>
                                  <w:szCs w:val="20"/>
                                  <w:lang w:eastAsia="en-US"/>
                                </w:rPr>
                                <w:t xml:space="preserve">a report of operations </w:t>
                              </w:r>
                              <w:r>
                                <w:rPr>
                                  <w:rFonts w:ascii="Arial" w:hAnsi="Arial" w:cs="Arial"/>
                                  <w:color w:val="1F497D" w:themeColor="text2"/>
                                  <w:sz w:val="20"/>
                                  <w:szCs w:val="20"/>
                                  <w:lang w:eastAsia="en-US"/>
                                </w:rPr>
                                <w:t>for</w:t>
                              </w:r>
                              <w:r w:rsidRPr="00D438D1">
                                <w:rPr>
                                  <w:rFonts w:ascii="Arial" w:hAnsi="Arial" w:cs="Arial"/>
                                  <w:color w:val="1F497D" w:themeColor="text2"/>
                                  <w:sz w:val="20"/>
                                  <w:szCs w:val="20"/>
                                  <w:lang w:eastAsia="en-US"/>
                                </w:rPr>
                                <w:t xml:space="preserve"> the financial year</w:t>
                              </w:r>
                              <w:r>
                                <w:rPr>
                                  <w:rFonts w:ascii="Arial" w:hAnsi="Arial" w:cs="Arial"/>
                                  <w:color w:val="1F497D" w:themeColor="text2"/>
                                  <w:sz w:val="20"/>
                                  <w:szCs w:val="20"/>
                                  <w:lang w:eastAsia="en-US"/>
                                </w:rPr>
                                <w:t>, which must contain:</w:t>
                              </w:r>
                            </w:p>
                            <w:p w:rsidR="0017213A" w:rsidRDefault="0017213A">
                              <w:pPr>
                                <w:pStyle w:val="NormalWeb"/>
                                <w:numPr>
                                  <w:ilvl w:val="1"/>
                                  <w:numId w:val="6"/>
                                </w:numPr>
                                <w:spacing w:before="20" w:beforeAutospacing="0" w:after="20" w:afterAutospacing="0"/>
                                <w:rPr>
                                  <w:rFonts w:ascii="Arial" w:hAnsi="Arial" w:cs="Arial"/>
                                  <w:color w:val="1F497D" w:themeColor="text2"/>
                                  <w:sz w:val="20"/>
                                  <w:szCs w:val="20"/>
                                  <w:lang w:eastAsia="en-US"/>
                                </w:rPr>
                              </w:pPr>
                              <w:r w:rsidRPr="00716E3E">
                                <w:rPr>
                                  <w:rFonts w:ascii="Arial" w:hAnsi="Arial" w:cs="Arial"/>
                                  <w:color w:val="1F497D" w:themeColor="text2"/>
                                  <w:sz w:val="20"/>
                                  <w:szCs w:val="20"/>
                                  <w:lang w:eastAsia="en-US"/>
                                </w:rPr>
                                <w:t>a statement of progress in relation to the major initiatives identified in the budget</w:t>
                              </w:r>
                            </w:p>
                            <w:p w:rsidR="0017213A" w:rsidRDefault="0017213A">
                              <w:pPr>
                                <w:pStyle w:val="NormalWeb"/>
                                <w:numPr>
                                  <w:ilvl w:val="1"/>
                                  <w:numId w:val="6"/>
                                </w:numPr>
                                <w:spacing w:before="20" w:beforeAutospacing="0" w:after="20" w:afterAutospacing="0"/>
                                <w:rPr>
                                  <w:rFonts w:ascii="Arial" w:hAnsi="Arial" w:cs="Arial"/>
                                  <w:color w:val="1F497D" w:themeColor="text2"/>
                                  <w:sz w:val="20"/>
                                  <w:szCs w:val="20"/>
                                  <w:lang w:eastAsia="en-US"/>
                                </w:rPr>
                              </w:pPr>
                              <w:r w:rsidRPr="00716E3E">
                                <w:rPr>
                                  <w:rFonts w:ascii="Arial" w:hAnsi="Arial" w:cs="Arial"/>
                                  <w:color w:val="1F497D" w:themeColor="text2"/>
                                  <w:sz w:val="20"/>
                                  <w:szCs w:val="20"/>
                                  <w:lang w:eastAsia="en-US"/>
                                </w:rPr>
                                <w:t>the results, in the prescribed form, of the council’s assessment against the prescribed governance and management checklist</w:t>
                              </w:r>
                            </w:p>
                            <w:p w:rsidR="0017213A" w:rsidRDefault="0017213A">
                              <w:pPr>
                                <w:pStyle w:val="NormalWeb"/>
                                <w:numPr>
                                  <w:ilvl w:val="1"/>
                                  <w:numId w:val="6"/>
                                </w:numPr>
                                <w:spacing w:before="20" w:beforeAutospacing="0" w:after="20" w:afterAutospacing="0"/>
                                <w:rPr>
                                  <w:rFonts w:ascii="Arial" w:hAnsi="Arial" w:cs="Arial"/>
                                  <w:color w:val="1F497D" w:themeColor="text2"/>
                                  <w:sz w:val="20"/>
                                  <w:szCs w:val="20"/>
                                  <w:lang w:eastAsia="en-US"/>
                                </w:rPr>
                              </w:pPr>
                              <w:r w:rsidRPr="00716E3E">
                                <w:rPr>
                                  <w:rFonts w:ascii="Arial" w:hAnsi="Arial" w:cs="Arial"/>
                                  <w:color w:val="1F497D" w:themeColor="text2"/>
                                  <w:sz w:val="20"/>
                                  <w:szCs w:val="20"/>
                                  <w:lang w:eastAsia="en-US"/>
                                </w:rPr>
                                <w:t xml:space="preserve">all prescribed </w:t>
                              </w:r>
                              <w:r w:rsidRPr="00E64444">
                                <w:rPr>
                                  <w:rFonts w:ascii="Arial" w:hAnsi="Arial" w:cs="Arial"/>
                                  <w:color w:val="1F497D" w:themeColor="text2"/>
                                  <w:sz w:val="20"/>
                                  <w:szCs w:val="20"/>
                                  <w:lang w:eastAsia="en-US"/>
                                </w:rPr>
                                <w:t>indicators</w:t>
                              </w:r>
                              <w:r w:rsidRPr="000944D9">
                                <w:rPr>
                                  <w:rFonts w:ascii="Arial" w:hAnsi="Arial" w:cs="Arial"/>
                                  <w:color w:val="1F497D" w:themeColor="text2"/>
                                  <w:sz w:val="20"/>
                                  <w:szCs w:val="20"/>
                                  <w:lang w:eastAsia="en-US"/>
                                </w:rPr>
                                <w:t xml:space="preserve"> o</w:t>
                              </w:r>
                              <w:r>
                                <w:rPr>
                                  <w:rFonts w:ascii="Arial" w:hAnsi="Arial" w:cs="Arial"/>
                                  <w:color w:val="1F497D" w:themeColor="text2"/>
                                  <w:sz w:val="20"/>
                                  <w:szCs w:val="20"/>
                                  <w:lang w:eastAsia="en-US"/>
                                </w:rPr>
                                <w:t>f</w:t>
                              </w:r>
                              <w:r w:rsidRPr="000944D9">
                                <w:rPr>
                                  <w:rFonts w:ascii="Arial" w:hAnsi="Arial" w:cs="Arial"/>
                                  <w:color w:val="1F497D" w:themeColor="text2"/>
                                  <w:sz w:val="20"/>
                                  <w:szCs w:val="20"/>
                                  <w:lang w:eastAsia="en-US"/>
                                </w:rPr>
                                <w:t xml:space="preserve"> service performance and the prescribed measures, and the results achieved for that financial year</w:t>
                              </w:r>
                            </w:p>
                            <w:p w:rsidR="0017213A" w:rsidRDefault="0017213A">
                              <w:pPr>
                                <w:pStyle w:val="NormalWeb"/>
                                <w:numPr>
                                  <w:ilvl w:val="1"/>
                                  <w:numId w:val="6"/>
                                </w:numPr>
                                <w:spacing w:before="20" w:beforeAutospacing="0" w:after="20" w:afterAutospacing="0"/>
                                <w:rPr>
                                  <w:rFonts w:ascii="Arial" w:hAnsi="Arial" w:cs="Arial"/>
                                  <w:color w:val="1F497D" w:themeColor="text2"/>
                                  <w:sz w:val="20"/>
                                  <w:szCs w:val="20"/>
                                  <w:lang w:eastAsia="en-US"/>
                                </w:rPr>
                              </w:pPr>
                              <w:r w:rsidRPr="00716E3E">
                                <w:rPr>
                                  <w:rFonts w:ascii="Arial" w:hAnsi="Arial" w:cs="Arial"/>
                                  <w:color w:val="1F497D" w:themeColor="text2"/>
                                  <w:sz w:val="20"/>
                                  <w:szCs w:val="20"/>
                                  <w:lang w:eastAsia="en-US"/>
                                </w:rPr>
                                <w:t>any other information required by the regulations</w:t>
                              </w:r>
                            </w:p>
                            <w:p w:rsidR="0017213A" w:rsidRDefault="0017213A">
                              <w:pPr>
                                <w:pStyle w:val="NormalWeb"/>
                                <w:numPr>
                                  <w:ilvl w:val="1"/>
                                  <w:numId w:val="6"/>
                                </w:numPr>
                                <w:spacing w:before="20" w:beforeAutospacing="0" w:after="20" w:afterAutospacing="0"/>
                                <w:rPr>
                                  <w:rFonts w:ascii="Arial" w:hAnsi="Arial" w:cs="Arial"/>
                                  <w:color w:val="1F497D" w:themeColor="text2"/>
                                  <w:sz w:val="20"/>
                                  <w:szCs w:val="20"/>
                                  <w:lang w:eastAsia="en-US"/>
                                </w:rPr>
                              </w:pPr>
                              <w:r w:rsidRPr="00716E3E">
                                <w:rPr>
                                  <w:rFonts w:ascii="Arial" w:hAnsi="Arial" w:cs="Arial"/>
                                  <w:color w:val="1F497D" w:themeColor="text2"/>
                                  <w:sz w:val="20"/>
                                  <w:szCs w:val="20"/>
                                  <w:lang w:eastAsia="en-US"/>
                                </w:rPr>
                                <w:t xml:space="preserve">any other information determined by the </w:t>
                              </w:r>
                              <w:r>
                                <w:rPr>
                                  <w:rFonts w:ascii="Arial" w:hAnsi="Arial" w:cs="Arial"/>
                                  <w:color w:val="1F497D" w:themeColor="text2"/>
                                  <w:sz w:val="20"/>
                                  <w:szCs w:val="20"/>
                                  <w:lang w:eastAsia="en-US"/>
                                </w:rPr>
                                <w:t>c</w:t>
                              </w:r>
                              <w:r w:rsidRPr="00716E3E">
                                <w:rPr>
                                  <w:rFonts w:ascii="Arial" w:hAnsi="Arial" w:cs="Arial"/>
                                  <w:color w:val="1F497D" w:themeColor="text2"/>
                                  <w:sz w:val="20"/>
                                  <w:szCs w:val="20"/>
                                  <w:lang w:eastAsia="en-US"/>
                                </w:rPr>
                                <w:t>ouncil as appropriate.</w:t>
                              </w:r>
                            </w:p>
                            <w:p w:rsidR="0017213A" w:rsidRDefault="0017213A">
                              <w:pPr>
                                <w:pStyle w:val="NormalWeb"/>
                                <w:numPr>
                                  <w:ilvl w:val="0"/>
                                  <w:numId w:val="6"/>
                                </w:numPr>
                                <w:spacing w:before="20" w:beforeAutospacing="0" w:after="20" w:afterAutospacing="0"/>
                                <w:ind w:left="357" w:hanging="357"/>
                                <w:rPr>
                                  <w:rFonts w:ascii="Arial" w:hAnsi="Arial" w:cs="Arial"/>
                                  <w:color w:val="1F497D" w:themeColor="text2"/>
                                  <w:sz w:val="20"/>
                                  <w:szCs w:val="20"/>
                                  <w:lang w:eastAsia="en-US"/>
                                </w:rPr>
                              </w:pPr>
                              <w:r w:rsidRPr="00716E3E">
                                <w:rPr>
                                  <w:rFonts w:ascii="Arial" w:hAnsi="Arial" w:cs="Arial"/>
                                  <w:color w:val="1F497D" w:themeColor="text2"/>
                                  <w:sz w:val="20"/>
                                  <w:szCs w:val="20"/>
                                  <w:lang w:eastAsia="en-US"/>
                                </w:rPr>
                                <w:t>an audited performance statement, prepared in accordance with the regulations, which must contain:</w:t>
                              </w:r>
                            </w:p>
                            <w:p w:rsidR="0017213A" w:rsidRDefault="0017213A">
                              <w:pPr>
                                <w:pStyle w:val="NormalWeb"/>
                                <w:numPr>
                                  <w:ilvl w:val="1"/>
                                  <w:numId w:val="6"/>
                                </w:numPr>
                                <w:spacing w:before="20" w:beforeAutospacing="0" w:after="20" w:afterAutospacing="0"/>
                                <w:rPr>
                                  <w:rFonts w:ascii="Arial" w:hAnsi="Arial" w:cs="Arial"/>
                                  <w:color w:val="1F497D" w:themeColor="text2"/>
                                  <w:sz w:val="20"/>
                                  <w:szCs w:val="20"/>
                                  <w:lang w:eastAsia="en-US"/>
                                </w:rPr>
                              </w:pPr>
                              <w:r w:rsidRPr="00716E3E">
                                <w:rPr>
                                  <w:rFonts w:ascii="Arial" w:hAnsi="Arial" w:cs="Arial"/>
                                  <w:color w:val="1F497D" w:themeColor="text2"/>
                                  <w:sz w:val="20"/>
                                  <w:szCs w:val="20"/>
                                  <w:lang w:eastAsia="en-US"/>
                                </w:rPr>
                                <w:t xml:space="preserve">the prescribed indicators, </w:t>
                              </w:r>
                              <w:r w:rsidRPr="00E64444">
                                <w:rPr>
                                  <w:rFonts w:ascii="Arial" w:hAnsi="Arial" w:cs="Arial"/>
                                  <w:color w:val="1F497D" w:themeColor="text2"/>
                                  <w:sz w:val="20"/>
                                  <w:szCs w:val="20"/>
                                  <w:lang w:eastAsia="en-US"/>
                                </w:rPr>
                                <w:t xml:space="preserve">measures </w:t>
                              </w:r>
                              <w:r w:rsidRPr="000944D9">
                                <w:rPr>
                                  <w:rFonts w:ascii="Arial" w:hAnsi="Arial" w:cs="Arial"/>
                                  <w:color w:val="1F497D" w:themeColor="text2"/>
                                  <w:sz w:val="20"/>
                                  <w:szCs w:val="20"/>
                                  <w:lang w:eastAsia="en-US"/>
                                </w:rPr>
                                <w:t>and results of service performance required by the regulations to be reported against</w:t>
                              </w:r>
                            </w:p>
                            <w:p w:rsidR="0017213A" w:rsidRDefault="0017213A">
                              <w:pPr>
                                <w:pStyle w:val="NormalWeb"/>
                                <w:numPr>
                                  <w:ilvl w:val="1"/>
                                  <w:numId w:val="6"/>
                                </w:numPr>
                                <w:spacing w:before="20" w:beforeAutospacing="0" w:after="20" w:afterAutospacing="0"/>
                                <w:rPr>
                                  <w:rFonts w:ascii="Arial" w:hAnsi="Arial" w:cs="Arial"/>
                                  <w:color w:val="1F497D" w:themeColor="text2"/>
                                  <w:sz w:val="20"/>
                                  <w:szCs w:val="20"/>
                                  <w:lang w:eastAsia="en-US"/>
                                </w:rPr>
                              </w:pPr>
                              <w:r w:rsidRPr="00716E3E">
                                <w:rPr>
                                  <w:rFonts w:ascii="Arial" w:hAnsi="Arial" w:cs="Arial"/>
                                  <w:color w:val="1F497D" w:themeColor="text2"/>
                                  <w:sz w:val="20"/>
                                  <w:szCs w:val="20"/>
                                  <w:lang w:eastAsia="en-US"/>
                                </w:rPr>
                                <w:t xml:space="preserve">the prescribed indicators, measures </w:t>
                              </w:r>
                              <w:r w:rsidRPr="00E64444">
                                <w:rPr>
                                  <w:rFonts w:ascii="Arial" w:hAnsi="Arial" w:cs="Arial"/>
                                  <w:color w:val="1F497D" w:themeColor="text2"/>
                                  <w:sz w:val="20"/>
                                  <w:szCs w:val="20"/>
                                  <w:lang w:eastAsia="en-US"/>
                                </w:rPr>
                                <w:t xml:space="preserve">and results </w:t>
                              </w:r>
                              <w:r w:rsidRPr="000944D9">
                                <w:rPr>
                                  <w:rFonts w:ascii="Arial" w:hAnsi="Arial" w:cs="Arial"/>
                                  <w:color w:val="1F497D" w:themeColor="text2"/>
                                  <w:sz w:val="20"/>
                                  <w:szCs w:val="20"/>
                                  <w:lang w:eastAsia="en-US"/>
                                </w:rPr>
                                <w:t xml:space="preserve">of financial </w:t>
                              </w:r>
                              <w:r w:rsidRPr="00716E3E">
                                <w:rPr>
                                  <w:rFonts w:ascii="Arial" w:hAnsi="Arial" w:cs="Arial"/>
                                  <w:color w:val="1F497D" w:themeColor="text2"/>
                                  <w:sz w:val="20"/>
                                  <w:szCs w:val="20"/>
                                  <w:lang w:eastAsia="en-US"/>
                                </w:rPr>
                                <w:t>performance</w:t>
                              </w:r>
                            </w:p>
                            <w:p w:rsidR="0017213A" w:rsidRDefault="0017213A">
                              <w:pPr>
                                <w:pStyle w:val="NormalWeb"/>
                                <w:numPr>
                                  <w:ilvl w:val="1"/>
                                  <w:numId w:val="6"/>
                                </w:numPr>
                                <w:spacing w:before="20" w:beforeAutospacing="0" w:after="20" w:afterAutospacing="0"/>
                                <w:rPr>
                                  <w:rFonts w:ascii="Arial" w:hAnsi="Arial" w:cs="Arial"/>
                                  <w:color w:val="1F497D" w:themeColor="text2"/>
                                  <w:sz w:val="20"/>
                                  <w:szCs w:val="20"/>
                                  <w:lang w:eastAsia="en-US"/>
                                </w:rPr>
                              </w:pPr>
                              <w:r w:rsidRPr="00716E3E">
                                <w:rPr>
                                  <w:rFonts w:ascii="Arial" w:hAnsi="Arial" w:cs="Arial"/>
                                  <w:color w:val="1F497D" w:themeColor="text2"/>
                                  <w:sz w:val="20"/>
                                  <w:szCs w:val="20"/>
                                  <w:lang w:eastAsia="en-US"/>
                                </w:rPr>
                                <w:t xml:space="preserve">the prescribed indicators, measures </w:t>
                              </w:r>
                              <w:r w:rsidRPr="00E64444">
                                <w:rPr>
                                  <w:rFonts w:ascii="Arial" w:hAnsi="Arial" w:cs="Arial"/>
                                  <w:color w:val="1F497D" w:themeColor="text2"/>
                                  <w:sz w:val="20"/>
                                  <w:szCs w:val="20"/>
                                  <w:lang w:eastAsia="en-US"/>
                                </w:rPr>
                                <w:t>and results</w:t>
                              </w:r>
                              <w:r w:rsidRPr="00716E3E">
                                <w:rPr>
                                  <w:rFonts w:ascii="Arial" w:hAnsi="Arial" w:cs="Arial"/>
                                  <w:color w:val="1F497D" w:themeColor="text2"/>
                                  <w:sz w:val="20"/>
                                  <w:szCs w:val="20"/>
                                  <w:lang w:eastAsia="en-US"/>
                                </w:rPr>
                                <w:t xml:space="preserve"> of sustainable capacity performance</w:t>
                              </w:r>
                            </w:p>
                            <w:p w:rsidR="0017213A" w:rsidRDefault="0017213A">
                              <w:pPr>
                                <w:pStyle w:val="NormalWeb"/>
                                <w:numPr>
                                  <w:ilvl w:val="1"/>
                                  <w:numId w:val="6"/>
                                </w:numPr>
                                <w:spacing w:before="20" w:beforeAutospacing="0" w:after="20" w:afterAutospacing="0"/>
                                <w:rPr>
                                  <w:rFonts w:ascii="Arial" w:hAnsi="Arial" w:cs="Arial"/>
                                  <w:color w:val="1F497D" w:themeColor="text2"/>
                                  <w:sz w:val="20"/>
                                  <w:szCs w:val="20"/>
                                  <w:lang w:eastAsia="en-US"/>
                                </w:rPr>
                              </w:pPr>
                              <w:r w:rsidRPr="00716E3E">
                                <w:rPr>
                                  <w:rFonts w:ascii="Arial" w:hAnsi="Arial" w:cs="Arial"/>
                                  <w:color w:val="1F497D" w:themeColor="text2"/>
                                  <w:sz w:val="20"/>
                                  <w:szCs w:val="20"/>
                                  <w:lang w:eastAsia="en-US"/>
                                </w:rPr>
                                <w:t>any other information required by the regulations.</w:t>
                              </w:r>
                            </w:p>
                            <w:p w:rsidR="0017213A" w:rsidRDefault="0017213A">
                              <w:pPr>
                                <w:pStyle w:val="NormalWeb"/>
                                <w:numPr>
                                  <w:ilvl w:val="0"/>
                                  <w:numId w:val="6"/>
                                </w:numPr>
                                <w:spacing w:before="20" w:beforeAutospacing="0" w:after="20" w:afterAutospacing="0"/>
                                <w:ind w:left="357" w:hanging="357"/>
                                <w:rPr>
                                  <w:rFonts w:ascii="Arial" w:hAnsi="Arial" w:cs="Arial"/>
                                  <w:color w:val="1F497D" w:themeColor="text2"/>
                                  <w:sz w:val="20"/>
                                  <w:szCs w:val="20"/>
                                  <w:lang w:eastAsia="en-US"/>
                                </w:rPr>
                              </w:pPr>
                              <w:r w:rsidRPr="00716E3E">
                                <w:rPr>
                                  <w:rFonts w:ascii="Arial" w:hAnsi="Arial" w:cs="Arial"/>
                                  <w:color w:val="1F497D" w:themeColor="text2"/>
                                  <w:sz w:val="20"/>
                                  <w:szCs w:val="20"/>
                                  <w:lang w:eastAsia="en-US"/>
                                </w:rPr>
                                <w:t xml:space="preserve">audited financial statements and notes for the financial year, which must be prepared in accordance with </w:t>
                              </w:r>
                              <w:r>
                                <w:rPr>
                                  <w:rFonts w:ascii="Arial" w:hAnsi="Arial" w:cs="Arial"/>
                                  <w:color w:val="1F497D" w:themeColor="text2"/>
                                  <w:sz w:val="20"/>
                                  <w:szCs w:val="20"/>
                                  <w:lang w:eastAsia="en-US"/>
                                </w:rPr>
                                <w:t xml:space="preserve">Australian Accounting Standards and </w:t>
                              </w:r>
                              <w:r w:rsidRPr="00716E3E">
                                <w:rPr>
                                  <w:rFonts w:ascii="Arial" w:hAnsi="Arial" w:cs="Arial"/>
                                  <w:color w:val="1F497D" w:themeColor="text2"/>
                                  <w:sz w:val="20"/>
                                  <w:szCs w:val="20"/>
                                  <w:lang w:eastAsia="en-US"/>
                                </w:rPr>
                                <w:t xml:space="preserve">the regulations and include any other information required by the regulations.  </w:t>
                              </w:r>
                            </w:p>
                            <w:p w:rsidR="0017213A" w:rsidRDefault="0017213A">
                              <w:pPr>
                                <w:pStyle w:val="NormalWeb"/>
                                <w:numPr>
                                  <w:ilvl w:val="0"/>
                                  <w:numId w:val="6"/>
                                </w:numPr>
                                <w:spacing w:before="20" w:beforeAutospacing="0" w:after="20" w:afterAutospacing="0"/>
                                <w:ind w:left="357" w:hanging="357"/>
                                <w:rPr>
                                  <w:rFonts w:ascii="Arial" w:hAnsi="Arial" w:cs="Arial"/>
                                  <w:color w:val="1F497D" w:themeColor="text2"/>
                                  <w:sz w:val="20"/>
                                  <w:szCs w:val="20"/>
                                  <w:lang w:eastAsia="en-US"/>
                                </w:rPr>
                              </w:pPr>
                              <w:r w:rsidRPr="00716E3E">
                                <w:rPr>
                                  <w:rFonts w:ascii="Arial" w:hAnsi="Arial" w:cs="Arial"/>
                                  <w:color w:val="1F497D" w:themeColor="text2"/>
                                  <w:sz w:val="20"/>
                                  <w:szCs w:val="20"/>
                                  <w:lang w:eastAsia="en-US"/>
                                </w:rPr>
                                <w:t>a copy of the auditor’s report on the performance statement and the financial statements</w:t>
                              </w:r>
                            </w:p>
                            <w:p w:rsidR="0017213A" w:rsidRDefault="0017213A">
                              <w:pPr>
                                <w:pStyle w:val="NormalWeb"/>
                                <w:numPr>
                                  <w:ilvl w:val="0"/>
                                  <w:numId w:val="6"/>
                                </w:numPr>
                                <w:spacing w:before="20" w:beforeAutospacing="0" w:after="20" w:afterAutospacing="0"/>
                                <w:ind w:left="357" w:hanging="357"/>
                                <w:rPr>
                                  <w:rFonts w:ascii="Arial" w:hAnsi="Arial" w:cs="Arial"/>
                                  <w:color w:val="1F497D" w:themeColor="text2"/>
                                  <w:sz w:val="20"/>
                                  <w:szCs w:val="20"/>
                                  <w:lang w:eastAsia="en-US"/>
                                </w:rPr>
                              </w:pPr>
                              <w:r w:rsidRPr="00716E3E">
                                <w:rPr>
                                  <w:rFonts w:ascii="Arial" w:hAnsi="Arial" w:cs="Arial"/>
                                  <w:color w:val="1F497D" w:themeColor="text2"/>
                                  <w:sz w:val="20"/>
                                  <w:szCs w:val="20"/>
                                  <w:lang w:eastAsia="en-US"/>
                                </w:rPr>
                                <w:t>any other matter required by the regulations.</w:t>
                              </w:r>
                            </w:p>
                            <w:p w:rsidR="0017213A" w:rsidRPr="00D438D1" w:rsidRDefault="0017213A" w:rsidP="00836770">
                              <w:pPr>
                                <w:rPr>
                                  <w:rFonts w:ascii="Arial" w:eastAsia="Times New Roman" w:hAnsi="Arial" w:cs="Arial"/>
                                  <w:color w:val="1F497D" w:themeColor="text2"/>
                                  <w:sz w:val="20"/>
                                  <w:szCs w:val="20"/>
                                  <w:lang w:val="en-AU" w:eastAsia="en-US"/>
                                </w:rPr>
                              </w:pPr>
                            </w:p>
                            <w:p w:rsidR="0017213A" w:rsidRPr="00D438D1" w:rsidRDefault="0017213A" w:rsidP="00836770">
                              <w:pPr>
                                <w:rPr>
                                  <w:rFonts w:ascii="Arial" w:hAnsi="Arial" w:cs="Arial"/>
                                  <w:color w:val="1F497D" w:themeColor="text2"/>
                                  <w:sz w:val="20"/>
                                  <w:szCs w:val="20"/>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7" o:spid="_x0000_s1026" style="position:absolute;left:0;text-align:left;margin-left:-63pt;margin-top:18pt;width:530.6pt;height:720.35pt;z-index:251704832" coordorigin="540,1980" coordsize="10612,14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">
                <v:roundrect id="Rounded Rectangle 1" o:spid="_x0000_s1027" style="position:absolute;left:540;top:1980;width:2636;height:144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18VMMA&#10;AADaAAAADwAAAGRycy9kb3ducmV2LnhtbESPQWvCQBSE70L/w/IKvYjZWERKdJVSKnrwUNNSPD6y&#10;zyQ2+zZknzH++26h4HGYmW+Y5XpwjeqpC7VnA9MkBUVceFtzaeDrczN5ARUE2WLjmQzcKMB69TBa&#10;Ymb9lQ/U51KqCOGQoYFKpM20DkVFDkPiW+LonXznUKLsSm07vEa4a/Rzms61w5rjQoUtvVVU/OQX&#10;Z6AWHL9/5MTbY0/t/ntqz+eNGPP0OLwuQAkNcg//t3fWwAz+rsQbo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18VMMAAADaAAAADwAAAAAAAAAAAAAAAACYAgAAZHJzL2Rv&#10;d25yZXYueG1sUEsFBgAAAAAEAAQA9QAAAIgDAAAAAA==&#10;" fillcolor="#a7bfde [1620]" strokecolor="#4579b8 [3044]">
                  <v:fill color2="#4f81bd [3204]" rotate="t" focus="100%" type="gradient">
                    <o:fill v:ext="view" type="gradientUnscaled"/>
                  </v:fill>
                  <v:shadow on="t" opacity="22936f" origin=",.5" offset="0,.63889mm"/>
                  <v:textbox>
                    <w:txbxContent>
                      <w:p w:rsidR="0017213A" w:rsidRPr="00831C18" w:rsidRDefault="0017213A" w:rsidP="00836770">
                        <w:pPr>
                          <w:jc w:val="center"/>
                          <w:rPr>
                            <w:rFonts w:ascii="Arial" w:hAnsi="Arial" w:cs="Arial"/>
                          </w:rPr>
                        </w:pPr>
                      </w:p>
                      <w:p w:rsidR="0017213A" w:rsidRPr="00831C18" w:rsidRDefault="0017213A" w:rsidP="00836770">
                        <w:pPr>
                          <w:jc w:val="center"/>
                          <w:rPr>
                            <w:rFonts w:ascii="Arial" w:hAnsi="Arial" w:cs="Arial"/>
                          </w:rPr>
                        </w:pPr>
                        <w:r w:rsidRPr="00831C18">
                          <w:rPr>
                            <w:rFonts w:ascii="Arial" w:hAnsi="Arial" w:cs="Arial"/>
                          </w:rPr>
                          <w:t>Council Plan</w:t>
                        </w:r>
                      </w:p>
                      <w:p w:rsidR="0017213A" w:rsidRPr="00831C18" w:rsidRDefault="0017213A" w:rsidP="00836770">
                        <w:pPr>
                          <w:jc w:val="center"/>
                          <w:rPr>
                            <w:rFonts w:ascii="Arial" w:hAnsi="Arial" w:cs="Arial"/>
                            <w:sz w:val="18"/>
                            <w:szCs w:val="18"/>
                          </w:rPr>
                        </w:pPr>
                        <w:r w:rsidRPr="00831C18">
                          <w:rPr>
                            <w:rFonts w:ascii="Arial" w:hAnsi="Arial" w:cs="Arial"/>
                            <w:sz w:val="18"/>
                            <w:szCs w:val="18"/>
                          </w:rPr>
                          <w:t>(s. 125)</w:t>
                        </w:r>
                      </w:p>
                    </w:txbxContent>
                  </v:textbox>
                </v:roundrect>
                <v:rect id="Rectangle 2" o:spid="_x0000_s1028" style="position:absolute;left:3420;top:1990;width:7732;height:1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bUvMUA&#10;AADaAAAADwAAAGRycy9kb3ducmV2LnhtbESPT0vDQBTE74LfYXmCN/tiwVJiN8E/tOrBQ6sUentk&#10;n9nQ7Ns0u23Sb+8KBY/DzPyGWZSja9WJ+9B40XA/yUCxVN40Umv4/lrezUGFSGKo9cIazhygLK6v&#10;FpQbP8iaT5tYqwSRkJMGG2OXI4bKsqMw8R1L8n587ygm2ddoehoS3LU4zbIZOmokLVjq+MVytd8c&#10;nYbPYbX8oDd0uDvs0R7nz9vX6Vrr25vx6RFU5DH+hy/td6PhAf6upBuA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dtS8xQAAANoAAAAPAAAAAAAAAAAAAAAAAJgCAABkcnMv&#10;ZG93bnJldi54bWxQSwUGAAAAAAQABAD1AAAAigMAAAAA&#10;" fillcolor="#dbe5f1 [660]" strokecolor="#4579b8 [3044]">
                  <v:shadow on="t" opacity="22936f" origin=",.5" offset="0,.63889mm"/>
                  <v:textbox>
                    <w:txbxContent>
                      <w:p w:rsidR="0017213A" w:rsidRPr="005D1265" w:rsidRDefault="0017213A" w:rsidP="00836770">
                        <w:pPr>
                          <w:rPr>
                            <w:rFonts w:ascii="Arial" w:hAnsi="Arial" w:cs="Arial"/>
                            <w:color w:val="1F497D" w:themeColor="text2"/>
                            <w:sz w:val="20"/>
                            <w:szCs w:val="20"/>
                            <w:lang w:val="en-AU" w:eastAsia="en-US"/>
                          </w:rPr>
                        </w:pPr>
                        <w:r w:rsidRPr="005D1265">
                          <w:rPr>
                            <w:rFonts w:ascii="Arial" w:hAnsi="Arial" w:cs="Arial"/>
                            <w:color w:val="1F497D" w:themeColor="text2"/>
                            <w:sz w:val="20"/>
                            <w:szCs w:val="20"/>
                            <w:lang w:val="en-AU" w:eastAsia="en-US"/>
                          </w:rPr>
                          <w:t>Must contain:</w:t>
                        </w:r>
                      </w:p>
                      <w:p w:rsidR="0017213A" w:rsidRDefault="0017213A">
                        <w:pPr>
                          <w:pStyle w:val="ListParagraph"/>
                          <w:spacing w:before="40"/>
                          <w:ind w:left="284" w:hanging="284"/>
                          <w:rPr>
                            <w:rFonts w:ascii="Arial" w:hAnsi="Arial"/>
                            <w:color w:val="1F497D" w:themeColor="text2"/>
                            <w:sz w:val="20"/>
                            <w:szCs w:val="20"/>
                            <w:lang w:val="en-AU" w:eastAsia="en-US"/>
                          </w:rPr>
                        </w:pPr>
                        <w:r w:rsidRPr="00716E3E">
                          <w:rPr>
                            <w:rFonts w:ascii="Arial" w:hAnsi="Arial"/>
                            <w:color w:val="1F497D" w:themeColor="text2"/>
                            <w:sz w:val="20"/>
                            <w:szCs w:val="20"/>
                            <w:lang w:val="en-AU" w:eastAsia="en-US"/>
                          </w:rPr>
                          <w:t>the strategic objectives of the council</w:t>
                        </w:r>
                      </w:p>
                      <w:p w:rsidR="0017213A" w:rsidRDefault="0017213A">
                        <w:pPr>
                          <w:pStyle w:val="ListParagraph"/>
                          <w:spacing w:before="40"/>
                          <w:ind w:left="284" w:hanging="284"/>
                          <w:rPr>
                            <w:rFonts w:ascii="Arial" w:hAnsi="Arial"/>
                            <w:color w:val="1F497D" w:themeColor="text2"/>
                            <w:sz w:val="20"/>
                            <w:szCs w:val="20"/>
                            <w:lang w:val="en-AU" w:eastAsia="en-US"/>
                          </w:rPr>
                        </w:pPr>
                        <w:r w:rsidRPr="00716E3E">
                          <w:rPr>
                            <w:rFonts w:ascii="Arial" w:hAnsi="Arial"/>
                            <w:color w:val="1F497D" w:themeColor="text2"/>
                            <w:sz w:val="20"/>
                            <w:szCs w:val="20"/>
                            <w:lang w:val="en-AU" w:eastAsia="en-US"/>
                          </w:rPr>
                          <w:t>strategies for achieving objectives for the next 4 years</w:t>
                        </w:r>
                      </w:p>
                      <w:p w:rsidR="0017213A" w:rsidRDefault="0017213A">
                        <w:pPr>
                          <w:pStyle w:val="ListParagraph"/>
                          <w:spacing w:before="40"/>
                          <w:ind w:left="284" w:hanging="284"/>
                          <w:rPr>
                            <w:rFonts w:ascii="Arial" w:hAnsi="Arial"/>
                            <w:color w:val="1F497D" w:themeColor="text2"/>
                            <w:sz w:val="20"/>
                            <w:szCs w:val="20"/>
                            <w:lang w:val="en-AU" w:eastAsia="en-US"/>
                          </w:rPr>
                        </w:pPr>
                        <w:r w:rsidRPr="00716E3E">
                          <w:rPr>
                            <w:rFonts w:ascii="Arial" w:hAnsi="Arial"/>
                            <w:color w:val="1F497D" w:themeColor="text2"/>
                            <w:sz w:val="20"/>
                            <w:szCs w:val="20"/>
                            <w:lang w:val="en-AU" w:eastAsia="en-US"/>
                          </w:rPr>
                          <w:t>strategic indicators for monitoring the achievement of the objectives</w:t>
                        </w:r>
                      </w:p>
                      <w:p w:rsidR="0017213A" w:rsidRDefault="0017213A">
                        <w:pPr>
                          <w:pStyle w:val="ListParagraph"/>
                          <w:spacing w:before="40"/>
                          <w:ind w:left="284" w:hanging="284"/>
                          <w:rPr>
                            <w:rFonts w:ascii="Arial" w:hAnsi="Arial"/>
                            <w:color w:val="1F497D" w:themeColor="text2"/>
                            <w:sz w:val="20"/>
                            <w:szCs w:val="20"/>
                            <w:lang w:val="en-AU" w:eastAsia="en-US"/>
                          </w:rPr>
                        </w:pPr>
                        <w:r w:rsidRPr="00716E3E">
                          <w:rPr>
                            <w:rFonts w:ascii="Arial" w:hAnsi="Arial"/>
                            <w:color w:val="1F497D" w:themeColor="text2"/>
                            <w:sz w:val="20"/>
                            <w:szCs w:val="20"/>
                            <w:lang w:val="en-AU" w:eastAsia="en-US"/>
                          </w:rPr>
                          <w:t xml:space="preserve">a strategic resource plan </w:t>
                        </w:r>
                      </w:p>
                      <w:p w:rsidR="0017213A" w:rsidRDefault="0017213A">
                        <w:pPr>
                          <w:pStyle w:val="ListParagraph"/>
                          <w:spacing w:before="40"/>
                          <w:ind w:left="284" w:hanging="284"/>
                          <w:rPr>
                            <w:rFonts w:ascii="Arial" w:hAnsi="Arial"/>
                            <w:color w:val="1F497D" w:themeColor="text2"/>
                            <w:sz w:val="20"/>
                            <w:szCs w:val="20"/>
                            <w:lang w:val="en-AU" w:eastAsia="en-US"/>
                          </w:rPr>
                        </w:pPr>
                        <w:r w:rsidRPr="00716E3E">
                          <w:rPr>
                            <w:rFonts w:ascii="Arial" w:hAnsi="Arial"/>
                            <w:color w:val="1F497D" w:themeColor="text2"/>
                            <w:sz w:val="20"/>
                            <w:szCs w:val="20"/>
                            <w:lang w:val="en-AU" w:eastAsia="en-US"/>
                          </w:rPr>
                          <w:t xml:space="preserve">any other matters which are prescribed. </w:t>
                        </w:r>
                      </w:p>
                      <w:p w:rsidR="0017213A" w:rsidRPr="00716E3E" w:rsidRDefault="0017213A" w:rsidP="00716E3E">
                        <w:pPr>
                          <w:spacing w:before="40"/>
                          <w:jc w:val="center"/>
                          <w:rPr>
                            <w:rFonts w:ascii="Arial" w:hAnsi="Arial" w:cs="Arial"/>
                            <w:color w:val="1F497D" w:themeColor="text2"/>
                            <w:sz w:val="20"/>
                            <w:szCs w:val="20"/>
                          </w:rPr>
                        </w:pPr>
                      </w:p>
                    </w:txbxContent>
                  </v:textbox>
                </v:rect>
                <v:roundrect id="Rounded Rectangle 3" o:spid="_x0000_s1029" style="position:absolute;left:540;top:3970;width:2636;height:144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HuMMA&#10;AADaAAAADwAAAGRycy9kb3ducmV2LnhtbESPQWvCQBSE74L/YXmCF6kbPYikbkIRpR48tLGUHh/Z&#10;1yQ2+zZkX2P677uFgsdhZr5hdvnoWjVQHxrPBlbLBBRx6W3DlYG3y/FhCyoIssXWMxn4oQB5Np3s&#10;MLX+xq80FFKpCOGQooFapEu1DmVNDsPSd8TR+/S9Q4myr7Tt8RbhrtXrJNlohw3HhRo72tdUfhXf&#10;zkAjuDi8FMTPHwN15/eVvV6PYsx8Nj49ghIa5R7+b5+sgQ38XYk3QG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HuMMAAADaAAAADwAAAAAAAAAAAAAAAACYAgAAZHJzL2Rv&#10;d25yZXYueG1sUEsFBgAAAAAEAAQA9QAAAIgDAAAAAA==&#10;" fillcolor="#a7bfde [1620]" strokecolor="#4579b8 [3044]">
                  <v:fill color2="#4f81bd [3204]" rotate="t" focus="100%" type="gradient">
                    <o:fill v:ext="view" type="gradientUnscaled"/>
                  </v:fill>
                  <v:shadow on="t" opacity="22936f" origin=",.5" offset="0,.63889mm"/>
                  <v:textbox>
                    <w:txbxContent>
                      <w:p w:rsidR="0017213A" w:rsidRPr="00831C18" w:rsidRDefault="0017213A" w:rsidP="00836770">
                        <w:pPr>
                          <w:jc w:val="center"/>
                          <w:rPr>
                            <w:rFonts w:ascii="Arial" w:hAnsi="Arial" w:cs="Arial"/>
                          </w:rPr>
                        </w:pPr>
                      </w:p>
                      <w:p w:rsidR="0017213A" w:rsidRPr="00831C18" w:rsidRDefault="0017213A" w:rsidP="00836770">
                        <w:pPr>
                          <w:jc w:val="center"/>
                          <w:rPr>
                            <w:rFonts w:ascii="Arial" w:hAnsi="Arial" w:cs="Arial"/>
                          </w:rPr>
                        </w:pPr>
                        <w:r>
                          <w:rPr>
                            <w:rFonts w:ascii="Arial" w:hAnsi="Arial" w:cs="Arial"/>
                          </w:rPr>
                          <w:t>Strategic Resource Plan</w:t>
                        </w:r>
                      </w:p>
                      <w:p w:rsidR="0017213A" w:rsidRPr="00831C18" w:rsidRDefault="0017213A" w:rsidP="00836770">
                        <w:pPr>
                          <w:jc w:val="center"/>
                          <w:rPr>
                            <w:rFonts w:ascii="Arial" w:hAnsi="Arial" w:cs="Arial"/>
                            <w:sz w:val="18"/>
                            <w:szCs w:val="18"/>
                          </w:rPr>
                        </w:pPr>
                        <w:r w:rsidRPr="00831C18">
                          <w:rPr>
                            <w:rFonts w:ascii="Arial" w:hAnsi="Arial" w:cs="Arial"/>
                            <w:sz w:val="18"/>
                            <w:szCs w:val="18"/>
                          </w:rPr>
                          <w:t>(s. 126)</w:t>
                        </w:r>
                      </w:p>
                    </w:txbxContent>
                  </v:textbox>
                </v:roundrect>
                <v:rect id="Rectangle 4" o:spid="_x0000_s1030" style="position:absolute;left:3420;top:3970;width:7732;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jvUMUA&#10;AADaAAAADwAAAGRycy9kb3ducmV2LnhtbESPT0vDQBTE74LfYXmCN/tiD7bEboJ/aNWDh1Yp9PbI&#10;PrOh2bdpdtuk394VCh6HmfkNsyhH16oT96HxouF+koFiqbxppNbw/bW8m4MKkcRQ64U1nDlAWVxf&#10;LSg3fpA1nzaxVgkiIScNNsYuRwyVZUdh4juW5P343lFMsq/R9DQkuGtxmmUP6KiRtGCp4xfL1X5z&#10;dBo+h9Xyg97Q4e6wR3ucP29fp2utb2/Gp0dQkcf4H760342GGfxdSTcA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6O9QxQAAANoAAAAPAAAAAAAAAAAAAAAAAJgCAABkcnMv&#10;ZG93bnJldi54bWxQSwUGAAAAAAQABAD1AAAAigMAAAAA&#10;" fillcolor="#dbe5f1 [660]" strokecolor="#4579b8 [3044]">
                  <v:shadow on="t" opacity="22936f" origin=",.5" offset="0,.63889mm"/>
                  <v:textbox>
                    <w:txbxContent>
                      <w:p w:rsidR="0017213A" w:rsidRPr="00D438D1" w:rsidRDefault="0017213A" w:rsidP="00836770">
                        <w:pPr>
                          <w:rPr>
                            <w:rFonts w:ascii="Arial" w:hAnsi="Arial" w:cs="Arial"/>
                            <w:color w:val="1F497D" w:themeColor="text2"/>
                            <w:sz w:val="20"/>
                            <w:szCs w:val="20"/>
                            <w:lang w:val="en-AU" w:eastAsia="en-US"/>
                          </w:rPr>
                        </w:pPr>
                        <w:r w:rsidRPr="00D438D1">
                          <w:rPr>
                            <w:rFonts w:ascii="Arial" w:hAnsi="Arial" w:cs="Arial"/>
                            <w:color w:val="1F497D" w:themeColor="text2"/>
                            <w:sz w:val="20"/>
                            <w:szCs w:val="20"/>
                            <w:lang w:val="en-AU" w:eastAsia="en-US"/>
                          </w:rPr>
                          <w:t>Must contain:</w:t>
                        </w:r>
                      </w:p>
                      <w:p w:rsidR="0017213A" w:rsidRDefault="0017213A">
                        <w:pPr>
                          <w:pStyle w:val="ListParagraph"/>
                          <w:spacing w:before="20"/>
                          <w:ind w:left="284" w:hanging="284"/>
                          <w:rPr>
                            <w:rFonts w:ascii="Arial" w:hAnsi="Arial"/>
                            <w:color w:val="1F497D" w:themeColor="text2"/>
                            <w:sz w:val="20"/>
                            <w:szCs w:val="20"/>
                            <w:lang w:val="en-AU" w:eastAsia="en-US"/>
                          </w:rPr>
                        </w:pPr>
                        <w:r w:rsidRPr="00716E3E">
                          <w:rPr>
                            <w:rFonts w:ascii="Arial" w:hAnsi="Arial"/>
                            <w:color w:val="1F497D" w:themeColor="text2"/>
                            <w:sz w:val="20"/>
                            <w:szCs w:val="20"/>
                            <w:lang w:val="en-AU" w:eastAsia="en-US"/>
                          </w:rPr>
                          <w:t xml:space="preserve">the financial statements describing the required financial resources in the form and containing the information required by the regulations </w:t>
                        </w:r>
                      </w:p>
                      <w:p w:rsidR="0017213A" w:rsidRDefault="0017213A">
                        <w:pPr>
                          <w:pStyle w:val="ListParagraph"/>
                          <w:spacing w:before="20"/>
                          <w:ind w:left="284" w:hanging="284"/>
                          <w:rPr>
                            <w:rFonts w:ascii="Arial" w:hAnsi="Arial"/>
                            <w:color w:val="1F497D" w:themeColor="text2"/>
                            <w:sz w:val="20"/>
                            <w:szCs w:val="20"/>
                            <w:lang w:val="en-AU" w:eastAsia="en-US"/>
                          </w:rPr>
                        </w:pPr>
                        <w:r w:rsidRPr="00716E3E">
                          <w:rPr>
                            <w:rFonts w:ascii="Arial" w:hAnsi="Arial"/>
                            <w:color w:val="1F497D" w:themeColor="text2"/>
                            <w:sz w:val="20"/>
                            <w:szCs w:val="20"/>
                            <w:lang w:val="en-AU" w:eastAsia="en-US"/>
                          </w:rPr>
                          <w:t>a statement describing the required non-financial resources, including human resources, in the form and containing the information required by the regulations.</w:t>
                        </w:r>
                      </w:p>
                      <w:p w:rsidR="0017213A" w:rsidRPr="00716E3E" w:rsidRDefault="0017213A" w:rsidP="00716E3E">
                        <w:pPr>
                          <w:spacing w:before="20"/>
                          <w:rPr>
                            <w:rFonts w:ascii="Arial" w:hAnsi="Arial" w:cs="Arial"/>
                            <w:color w:val="1F497D" w:themeColor="text2"/>
                            <w:sz w:val="20"/>
                            <w:szCs w:val="20"/>
                          </w:rPr>
                        </w:pPr>
                      </w:p>
                    </w:txbxContent>
                  </v:textbox>
                </v:rect>
                <v:roundrect id="Rounded Rectangle 5" o:spid="_x0000_s1031" style="position:absolute;left:540;top:5770;width:2636;height:144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T9CcIA&#10;AADaAAAADwAAAGRycy9kb3ducmV2LnhtbERPy2rCQBTdC/2H4RbclDqphZKmGaUVQ92INNWFu0vm&#10;5oGZOyEzJunfdxaCy8N5p+vJtGKg3jWWFbwsIhDEhdUNVwqOv9lzDMJ5ZI2tZVLwRw7Wq4dZiom2&#10;I//QkPtKhBB2CSqove8SKV1Rk0G3sB1x4ErbG/QB9pXUPY4h3LRyGUVv0mDDoaHGjjY1FZf8ahQs&#10;v0z2ft6X3/vT03C+xLh9pUOk1Pxx+vwA4Wnyd/HNvdMKwtZwJdwA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NP0JwgAAANoAAAAPAAAAAAAAAAAAAAAAAJgCAABkcnMvZG93&#10;bnJldi54bWxQSwUGAAAAAAQABAD1AAAAhwMAAAAA&#10;" fillcolor="#a7bfde [1620]" strokecolor="#4579b8 [3044]">
                  <v:fill color2="#4f81bd [3204]" focus="100%" type="gradient">
                    <o:fill v:ext="view" type="gradientUnscaled"/>
                  </v:fill>
                  <v:shadow on="t" opacity="22936f" origin=",.5" offset="0,.63889mm"/>
                  <v:textbox>
                    <w:txbxContent>
                      <w:p w:rsidR="0017213A" w:rsidRPr="00831C18" w:rsidRDefault="0017213A" w:rsidP="00836770">
                        <w:pPr>
                          <w:jc w:val="center"/>
                          <w:rPr>
                            <w:rFonts w:ascii="Arial" w:hAnsi="Arial" w:cs="Arial"/>
                          </w:rPr>
                        </w:pPr>
                      </w:p>
                      <w:p w:rsidR="0017213A" w:rsidRPr="00831C18" w:rsidRDefault="0017213A" w:rsidP="00836770">
                        <w:pPr>
                          <w:jc w:val="center"/>
                          <w:rPr>
                            <w:rFonts w:ascii="Arial" w:hAnsi="Arial" w:cs="Arial"/>
                          </w:rPr>
                        </w:pPr>
                        <w:r w:rsidRPr="00831C18">
                          <w:rPr>
                            <w:rFonts w:ascii="Arial" w:hAnsi="Arial" w:cs="Arial"/>
                          </w:rPr>
                          <w:t>Annual Budget</w:t>
                        </w:r>
                      </w:p>
                      <w:p w:rsidR="0017213A" w:rsidRPr="00831C18" w:rsidRDefault="0017213A" w:rsidP="00836770">
                        <w:pPr>
                          <w:jc w:val="center"/>
                          <w:rPr>
                            <w:rFonts w:ascii="Arial" w:hAnsi="Arial" w:cs="Arial"/>
                            <w:sz w:val="18"/>
                            <w:szCs w:val="18"/>
                          </w:rPr>
                        </w:pPr>
                        <w:r w:rsidRPr="00831C18">
                          <w:rPr>
                            <w:rFonts w:ascii="Arial" w:hAnsi="Arial" w:cs="Arial"/>
                            <w:sz w:val="18"/>
                            <w:szCs w:val="18"/>
                          </w:rPr>
                          <w:t>(s. 127</w:t>
                        </w:r>
                        <w:r>
                          <w:rPr>
                            <w:rFonts w:ascii="Arial" w:hAnsi="Arial" w:cs="Arial"/>
                            <w:sz w:val="18"/>
                            <w:szCs w:val="18"/>
                          </w:rPr>
                          <w:t>- s.129</w:t>
                        </w:r>
                        <w:r w:rsidRPr="00831C18">
                          <w:rPr>
                            <w:rFonts w:ascii="Arial" w:hAnsi="Arial" w:cs="Arial"/>
                            <w:sz w:val="18"/>
                            <w:szCs w:val="18"/>
                          </w:rPr>
                          <w:t>)</w:t>
                        </w:r>
                      </w:p>
                    </w:txbxContent>
                  </v:textbox>
                </v:roundrect>
                <v:rect id="Rectangle 6" o:spid="_x0000_s1032" style="position:absolute;left:3420;top:5770;width:7732;height:4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veucQA&#10;AADaAAAADwAAAGRycy9kb3ducmV2LnhtbESPT2vCQBTE7wW/w/IEb/VFD2JTV6mK/XPoQVsEb4/s&#10;azaYfZtmV5N++25B6HGYmd8wi1XvanXlNlReNEzGGSiWwptKSg2fH7v7OagQSQzVXljDDwdYLQd3&#10;C8qN72TP10MsVYJIyEmDjbHJEUNh2VEY+4YleV++dRSTbEs0LXUJ7mqcZtkMHVWSFiw1vLFcnA8X&#10;p+G9e9690Qs6PH2f0V7m6+N2utd6NOyfHkFF7uN/+NZ+NRoe4O9KugG4/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73rnEAAAA2gAAAA8AAAAAAAAAAAAAAAAAmAIAAGRycy9k&#10;b3ducmV2LnhtbFBLBQYAAAAABAAEAPUAAACJAwAAAAA=&#10;" fillcolor="#dbe5f1 [660]" strokecolor="#4579b8 [3044]">
                  <v:shadow on="t" opacity="22936f" origin=",.5" offset="0,.63889mm"/>
                  <v:textbox>
                    <w:txbxContent>
                      <w:p w:rsidR="0017213A" w:rsidRPr="007E24A7" w:rsidRDefault="0017213A" w:rsidP="00836770">
                        <w:pPr>
                          <w:spacing w:before="20"/>
                          <w:ind w:left="357" w:hanging="357"/>
                          <w:rPr>
                            <w:rFonts w:ascii="Tahoma" w:hAnsi="Tahoma" w:cs="Tahoma"/>
                            <w:color w:val="1F497D" w:themeColor="text2"/>
                            <w:sz w:val="20"/>
                            <w:szCs w:val="20"/>
                            <w:lang w:val="en-AU" w:eastAsia="en-US"/>
                          </w:rPr>
                        </w:pPr>
                        <w:r w:rsidRPr="00D438D1">
                          <w:rPr>
                            <w:rFonts w:ascii="Arial" w:hAnsi="Arial" w:cs="Arial"/>
                            <w:color w:val="1F497D" w:themeColor="text2"/>
                            <w:sz w:val="20"/>
                            <w:szCs w:val="20"/>
                            <w:lang w:val="en-AU" w:eastAsia="en-US"/>
                          </w:rPr>
                          <w:t>Must contain:</w:t>
                        </w:r>
                      </w:p>
                      <w:p w:rsidR="0017213A" w:rsidRDefault="0017213A">
                        <w:pPr>
                          <w:pStyle w:val="ListParagraph"/>
                          <w:ind w:left="284" w:hanging="284"/>
                          <w:rPr>
                            <w:rFonts w:ascii="Arial" w:hAnsi="Arial"/>
                            <w:color w:val="1F497D" w:themeColor="text2"/>
                            <w:sz w:val="20"/>
                            <w:szCs w:val="20"/>
                            <w:lang w:val="en-AU" w:eastAsia="en-US"/>
                          </w:rPr>
                        </w:pPr>
                        <w:r w:rsidRPr="00716E3E">
                          <w:rPr>
                            <w:rFonts w:ascii="Arial" w:hAnsi="Arial"/>
                            <w:color w:val="1F497D" w:themeColor="text2"/>
                            <w:sz w:val="20"/>
                            <w:szCs w:val="20"/>
                            <w:lang w:val="en-AU" w:eastAsia="en-US"/>
                          </w:rPr>
                          <w:t>financial statements in the form and containing the information required by the regulations</w:t>
                        </w:r>
                      </w:p>
                      <w:p w:rsidR="0017213A" w:rsidRDefault="0017213A">
                        <w:pPr>
                          <w:pStyle w:val="ListParagraph"/>
                          <w:ind w:left="284" w:hanging="284"/>
                          <w:rPr>
                            <w:rFonts w:ascii="Arial" w:hAnsi="Arial"/>
                            <w:color w:val="1F497D" w:themeColor="text2"/>
                            <w:sz w:val="20"/>
                            <w:szCs w:val="20"/>
                            <w:lang w:val="en-AU" w:eastAsia="en-US"/>
                          </w:rPr>
                        </w:pPr>
                        <w:r w:rsidRPr="00716E3E">
                          <w:rPr>
                            <w:rFonts w:ascii="Arial" w:hAnsi="Arial"/>
                            <w:color w:val="1F497D" w:themeColor="text2"/>
                            <w:sz w:val="20"/>
                            <w:szCs w:val="20"/>
                            <w:lang w:val="en-AU" w:eastAsia="en-US"/>
                          </w:rPr>
                          <w:t>a description of the services and initiatives to be funded in the budget</w:t>
                        </w:r>
                      </w:p>
                      <w:p w:rsidR="0017213A" w:rsidRDefault="0017213A">
                        <w:pPr>
                          <w:pStyle w:val="ListParagraph"/>
                          <w:ind w:left="284" w:hanging="284"/>
                          <w:rPr>
                            <w:rFonts w:ascii="Arial" w:hAnsi="Arial"/>
                            <w:color w:val="1F497D" w:themeColor="text2"/>
                            <w:sz w:val="20"/>
                            <w:szCs w:val="20"/>
                            <w:lang w:val="en-AU" w:eastAsia="en-US"/>
                          </w:rPr>
                        </w:pPr>
                        <w:r w:rsidRPr="00716E3E">
                          <w:rPr>
                            <w:rFonts w:ascii="Arial" w:hAnsi="Arial"/>
                            <w:color w:val="1F497D" w:themeColor="text2"/>
                            <w:sz w:val="20"/>
                            <w:szCs w:val="20"/>
                            <w:lang w:val="en-AU" w:eastAsia="en-US"/>
                          </w:rPr>
                          <w:t xml:space="preserve">a statement as to how the services and initiatives will contribute to achieving the strategic objectives specified in the council plan </w:t>
                        </w:r>
                      </w:p>
                      <w:p w:rsidR="0017213A" w:rsidRDefault="0017213A">
                        <w:pPr>
                          <w:pStyle w:val="ListParagraph"/>
                          <w:ind w:left="284" w:hanging="284"/>
                          <w:rPr>
                            <w:rFonts w:ascii="Arial" w:hAnsi="Arial"/>
                            <w:color w:val="1F497D" w:themeColor="text2"/>
                            <w:sz w:val="20"/>
                            <w:szCs w:val="20"/>
                            <w:lang w:val="en-AU" w:eastAsia="en-US"/>
                          </w:rPr>
                        </w:pPr>
                        <w:r w:rsidRPr="00716E3E">
                          <w:rPr>
                            <w:rFonts w:ascii="Arial" w:hAnsi="Arial"/>
                            <w:color w:val="1F497D" w:themeColor="text2"/>
                            <w:sz w:val="20"/>
                            <w:szCs w:val="20"/>
                            <w:lang w:val="en-AU" w:eastAsia="en-US"/>
                          </w:rPr>
                          <w:t xml:space="preserve">major initiatives, being initiatives identified by the council as priorities, to be undertaken during the financial year </w:t>
                        </w:r>
                      </w:p>
                      <w:p w:rsidR="0017213A" w:rsidRDefault="0017213A">
                        <w:pPr>
                          <w:pStyle w:val="ListParagraph"/>
                          <w:ind w:left="284" w:hanging="284"/>
                          <w:rPr>
                            <w:rFonts w:ascii="Arial" w:hAnsi="Arial"/>
                            <w:color w:val="1F497D" w:themeColor="text2"/>
                            <w:sz w:val="20"/>
                            <w:szCs w:val="20"/>
                            <w:lang w:val="en-AU" w:eastAsia="en-US"/>
                          </w:rPr>
                        </w:pPr>
                        <w:r w:rsidRPr="00716E3E">
                          <w:rPr>
                            <w:rFonts w:ascii="Arial" w:hAnsi="Arial"/>
                            <w:color w:val="1F497D" w:themeColor="text2"/>
                            <w:sz w:val="20"/>
                            <w:szCs w:val="20"/>
                            <w:lang w:val="en-AU" w:eastAsia="en-US"/>
                          </w:rPr>
                          <w:t>for services to be funded in the budget, the prescribed indicators to monitor performance outcomes that are required to be reported against in the performance statement and the prescribed measures relating to those indicators</w:t>
                        </w:r>
                      </w:p>
                      <w:p w:rsidR="0017213A" w:rsidRDefault="0017213A">
                        <w:pPr>
                          <w:pStyle w:val="ListParagraph"/>
                          <w:ind w:left="284" w:hanging="284"/>
                          <w:rPr>
                            <w:rFonts w:ascii="Arial" w:hAnsi="Arial"/>
                            <w:color w:val="1F497D" w:themeColor="text2"/>
                            <w:sz w:val="20"/>
                            <w:szCs w:val="20"/>
                            <w:lang w:val="en-AU" w:eastAsia="en-US"/>
                          </w:rPr>
                        </w:pPr>
                        <w:r w:rsidRPr="00716E3E">
                          <w:rPr>
                            <w:rFonts w:ascii="Arial" w:hAnsi="Arial"/>
                            <w:color w:val="1F497D" w:themeColor="text2"/>
                            <w:sz w:val="20"/>
                            <w:szCs w:val="20"/>
                            <w:lang w:val="en-AU" w:eastAsia="en-US"/>
                          </w:rPr>
                          <w:t>any other information required by the regulations.</w:t>
                        </w:r>
                      </w:p>
                      <w:p w:rsidR="0017213A" w:rsidRPr="00716E3E" w:rsidRDefault="0017213A" w:rsidP="00836770">
                        <w:pPr>
                          <w:spacing w:before="60"/>
                          <w:rPr>
                            <w:rFonts w:ascii="Helvetica" w:hAnsi="Helvetica" w:cs="Arial"/>
                            <w:color w:val="1F497D" w:themeColor="text2"/>
                            <w:sz w:val="20"/>
                            <w:szCs w:val="20"/>
                            <w:lang w:val="en-AU" w:eastAsia="en-US"/>
                          </w:rPr>
                        </w:pPr>
                        <w:r w:rsidRPr="00716E3E">
                          <w:rPr>
                            <w:rFonts w:ascii="Helvetica" w:hAnsi="Helvetica" w:cs="Arial"/>
                            <w:color w:val="1F497D" w:themeColor="text2"/>
                            <w:sz w:val="20"/>
                            <w:szCs w:val="20"/>
                            <w:lang w:val="en-AU" w:eastAsia="en-US"/>
                          </w:rPr>
                          <w:t>A public notice must also be published advising that copies of the budget or revised budget are available for inspection for at least 28 days, and any other information required by the regulations.</w:t>
                        </w:r>
                      </w:p>
                      <w:p w:rsidR="0017213A" w:rsidRPr="00716E3E" w:rsidRDefault="0017213A" w:rsidP="00836770">
                        <w:pPr>
                          <w:spacing w:before="20"/>
                          <w:ind w:left="357" w:hanging="357"/>
                          <w:rPr>
                            <w:rFonts w:ascii="Helvetica" w:hAnsi="Helvetica" w:cs="Arial"/>
                            <w:color w:val="1F497D" w:themeColor="text2"/>
                            <w:sz w:val="20"/>
                            <w:szCs w:val="20"/>
                          </w:rPr>
                        </w:pPr>
                      </w:p>
                    </w:txbxContent>
                  </v:textbox>
                </v:rect>
                <v:roundrect id="Rounded Rectangle 9" o:spid="_x0000_s1033" style="position:absolute;left:540;top:9943;width:2636;height:144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1/PcUA&#10;AADbAAAADwAAAGRycy9kb3ducmV2LnhtbESPQWvCQBCF70L/wzKFXqRuVBCbukotFb2I1OrB25Ad&#10;k2B2NmS3Mf575yB4m+G9ee+b2aJzlWqpCaVnA8NBAoo487bk3MDhb/U+BRUissXKMxm4UYDF/KU3&#10;w9T6K/9Su4+5khAOKRooYqxTrUNWkMMw8DWxaGffOIyyNrm2DV4l3FV6lCQT7bBkaSiwpu+Cssv+&#10;3xkYLd3q47Q9r7fHfnu6TPFnTLvEmLfX7usTVKQuPs2P640VfKGXX2QAP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rX89xQAAANsAAAAPAAAAAAAAAAAAAAAAAJgCAABkcnMv&#10;ZG93bnJldi54bWxQSwUGAAAAAAQABAD1AAAAigMAAAAA&#10;" fillcolor="#a7bfde [1620]" strokecolor="#4579b8 [3044]">
                  <v:fill color2="#4f81bd [3204]" focus="100%" type="gradient">
                    <o:fill v:ext="view" type="gradientUnscaled"/>
                  </v:fill>
                  <v:shadow on="t" opacity="22936f" origin=",.5" offset="0,.63889mm"/>
                  <v:textbox>
                    <w:txbxContent>
                      <w:p w:rsidR="0017213A" w:rsidRPr="00831C18" w:rsidRDefault="0017213A" w:rsidP="00836770">
                        <w:pPr>
                          <w:jc w:val="center"/>
                          <w:rPr>
                            <w:rFonts w:ascii="Arial" w:hAnsi="Arial" w:cs="Arial"/>
                          </w:rPr>
                        </w:pPr>
                      </w:p>
                      <w:p w:rsidR="0017213A" w:rsidRPr="00831C18" w:rsidRDefault="0017213A" w:rsidP="00836770">
                        <w:pPr>
                          <w:jc w:val="center"/>
                          <w:rPr>
                            <w:rFonts w:ascii="Arial" w:hAnsi="Arial" w:cs="Arial"/>
                          </w:rPr>
                        </w:pPr>
                        <w:r w:rsidRPr="00831C18">
                          <w:rPr>
                            <w:rFonts w:ascii="Arial" w:hAnsi="Arial" w:cs="Arial"/>
                          </w:rPr>
                          <w:t>Annual Report</w:t>
                        </w:r>
                      </w:p>
                      <w:p w:rsidR="0017213A" w:rsidRPr="00831C18" w:rsidRDefault="0017213A" w:rsidP="00836770">
                        <w:pPr>
                          <w:jc w:val="center"/>
                          <w:rPr>
                            <w:rFonts w:ascii="Arial" w:hAnsi="Arial" w:cs="Arial"/>
                            <w:sz w:val="18"/>
                            <w:szCs w:val="18"/>
                          </w:rPr>
                        </w:pPr>
                        <w:r w:rsidRPr="00831C18">
                          <w:rPr>
                            <w:rFonts w:ascii="Arial" w:hAnsi="Arial" w:cs="Arial"/>
                            <w:sz w:val="18"/>
                            <w:szCs w:val="18"/>
                          </w:rPr>
                          <w:t>(s. 131</w:t>
                        </w:r>
                        <w:r>
                          <w:rPr>
                            <w:rFonts w:ascii="Arial" w:hAnsi="Arial" w:cs="Arial"/>
                            <w:sz w:val="18"/>
                            <w:szCs w:val="18"/>
                          </w:rPr>
                          <w:t xml:space="preserve"> – s.133</w:t>
                        </w:r>
                        <w:r w:rsidRPr="00831C18">
                          <w:rPr>
                            <w:rFonts w:ascii="Arial" w:hAnsi="Arial" w:cs="Arial"/>
                            <w:sz w:val="18"/>
                            <w:szCs w:val="18"/>
                          </w:rPr>
                          <w:t>)</w:t>
                        </w:r>
                      </w:p>
                    </w:txbxContent>
                  </v:textbox>
                </v:roundrect>
                <v:rect id="Rectangle 10" o:spid="_x0000_s1034" style="position:absolute;left:3420;top:10095;width:7732;height:6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gB8IA&#10;AADbAAAADwAAAGRycy9kb3ducmV2LnhtbERPS2vCQBC+F/oflin0Vid6EImu0gfW9uBBLQVvQ3bM&#10;BrOzaXY16b93BcHbfHzPmS16V6szt6HyomE4yECxFN5UUmr42S1fJqBCJDFUe2EN/xxgMX98mFFu&#10;fCcbPm9jqVKIhJw02BibHDEUlh2FgW9YEnfwraOYYFuiaalL4a7GUZaN0VElqcFSw++Wi+P25DSs&#10;u8/lN63Q4f7viPY0efv9GG20fn7qX6egIvfxLr65v0yaP4TrL+kAn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9CAHwgAAANsAAAAPAAAAAAAAAAAAAAAAAJgCAABkcnMvZG93&#10;bnJldi54bWxQSwUGAAAAAAQABAD1AAAAhwMAAAAA&#10;" fillcolor="#dbe5f1 [660]" strokecolor="#4579b8 [3044]">
                  <v:shadow on="t" opacity="22936f" origin=",.5" offset="0,.63889mm"/>
                  <v:textbox>
                    <w:txbxContent>
                      <w:p w:rsidR="0017213A" w:rsidRPr="00D438D1" w:rsidRDefault="0017213A" w:rsidP="00836770">
                        <w:pPr>
                          <w:rPr>
                            <w:rFonts w:ascii="Arial" w:hAnsi="Arial" w:cs="Arial"/>
                            <w:color w:val="1F497D" w:themeColor="text2"/>
                            <w:sz w:val="20"/>
                            <w:szCs w:val="20"/>
                            <w:lang w:val="en-AU" w:eastAsia="en-US"/>
                          </w:rPr>
                        </w:pPr>
                        <w:r w:rsidRPr="00D438D1">
                          <w:rPr>
                            <w:rFonts w:ascii="Arial" w:hAnsi="Arial" w:cs="Arial"/>
                            <w:color w:val="1F497D" w:themeColor="text2"/>
                            <w:sz w:val="20"/>
                            <w:szCs w:val="20"/>
                            <w:lang w:val="en-AU" w:eastAsia="en-US"/>
                          </w:rPr>
                          <w:t>Must contain:</w:t>
                        </w:r>
                      </w:p>
                      <w:p w:rsidR="0017213A" w:rsidRDefault="0017213A" w:rsidP="00836770">
                        <w:pPr>
                          <w:pStyle w:val="NormalWeb"/>
                          <w:numPr>
                            <w:ilvl w:val="0"/>
                            <w:numId w:val="6"/>
                          </w:numPr>
                          <w:spacing w:before="20" w:beforeAutospacing="0" w:after="20" w:afterAutospacing="0"/>
                          <w:ind w:left="357" w:hanging="357"/>
                          <w:rPr>
                            <w:rFonts w:ascii="Arial" w:hAnsi="Arial" w:cs="Arial"/>
                            <w:color w:val="1F497D" w:themeColor="text2"/>
                            <w:sz w:val="20"/>
                            <w:szCs w:val="20"/>
                            <w:lang w:eastAsia="en-US"/>
                          </w:rPr>
                        </w:pPr>
                        <w:r w:rsidRPr="00D438D1">
                          <w:rPr>
                            <w:rFonts w:ascii="Arial" w:hAnsi="Arial" w:cs="Arial"/>
                            <w:color w:val="1F497D" w:themeColor="text2"/>
                            <w:sz w:val="20"/>
                            <w:szCs w:val="20"/>
                            <w:lang w:eastAsia="en-US"/>
                          </w:rPr>
                          <w:t xml:space="preserve">a report of operations </w:t>
                        </w:r>
                        <w:r>
                          <w:rPr>
                            <w:rFonts w:ascii="Arial" w:hAnsi="Arial" w:cs="Arial"/>
                            <w:color w:val="1F497D" w:themeColor="text2"/>
                            <w:sz w:val="20"/>
                            <w:szCs w:val="20"/>
                            <w:lang w:eastAsia="en-US"/>
                          </w:rPr>
                          <w:t>for</w:t>
                        </w:r>
                        <w:r w:rsidRPr="00D438D1">
                          <w:rPr>
                            <w:rFonts w:ascii="Arial" w:hAnsi="Arial" w:cs="Arial"/>
                            <w:color w:val="1F497D" w:themeColor="text2"/>
                            <w:sz w:val="20"/>
                            <w:szCs w:val="20"/>
                            <w:lang w:eastAsia="en-US"/>
                          </w:rPr>
                          <w:t xml:space="preserve"> the financial year</w:t>
                        </w:r>
                        <w:r>
                          <w:rPr>
                            <w:rFonts w:ascii="Arial" w:hAnsi="Arial" w:cs="Arial"/>
                            <w:color w:val="1F497D" w:themeColor="text2"/>
                            <w:sz w:val="20"/>
                            <w:szCs w:val="20"/>
                            <w:lang w:eastAsia="en-US"/>
                          </w:rPr>
                          <w:t>, which must contain:</w:t>
                        </w:r>
                      </w:p>
                      <w:p w:rsidR="0017213A" w:rsidRDefault="0017213A">
                        <w:pPr>
                          <w:pStyle w:val="NormalWeb"/>
                          <w:numPr>
                            <w:ilvl w:val="1"/>
                            <w:numId w:val="6"/>
                          </w:numPr>
                          <w:spacing w:before="20" w:beforeAutospacing="0" w:after="20" w:afterAutospacing="0"/>
                          <w:rPr>
                            <w:rFonts w:ascii="Arial" w:hAnsi="Arial" w:cs="Arial"/>
                            <w:color w:val="1F497D" w:themeColor="text2"/>
                            <w:sz w:val="20"/>
                            <w:szCs w:val="20"/>
                            <w:lang w:eastAsia="en-US"/>
                          </w:rPr>
                        </w:pPr>
                        <w:r w:rsidRPr="00716E3E">
                          <w:rPr>
                            <w:rFonts w:ascii="Arial" w:hAnsi="Arial" w:cs="Arial"/>
                            <w:color w:val="1F497D" w:themeColor="text2"/>
                            <w:sz w:val="20"/>
                            <w:szCs w:val="20"/>
                            <w:lang w:eastAsia="en-US"/>
                          </w:rPr>
                          <w:t>a statement of progress in relation to the major initiatives identified in the budget</w:t>
                        </w:r>
                      </w:p>
                      <w:p w:rsidR="0017213A" w:rsidRDefault="0017213A">
                        <w:pPr>
                          <w:pStyle w:val="NormalWeb"/>
                          <w:numPr>
                            <w:ilvl w:val="1"/>
                            <w:numId w:val="6"/>
                          </w:numPr>
                          <w:spacing w:before="20" w:beforeAutospacing="0" w:after="20" w:afterAutospacing="0"/>
                          <w:rPr>
                            <w:rFonts w:ascii="Arial" w:hAnsi="Arial" w:cs="Arial"/>
                            <w:color w:val="1F497D" w:themeColor="text2"/>
                            <w:sz w:val="20"/>
                            <w:szCs w:val="20"/>
                            <w:lang w:eastAsia="en-US"/>
                          </w:rPr>
                        </w:pPr>
                        <w:r w:rsidRPr="00716E3E">
                          <w:rPr>
                            <w:rFonts w:ascii="Arial" w:hAnsi="Arial" w:cs="Arial"/>
                            <w:color w:val="1F497D" w:themeColor="text2"/>
                            <w:sz w:val="20"/>
                            <w:szCs w:val="20"/>
                            <w:lang w:eastAsia="en-US"/>
                          </w:rPr>
                          <w:t>the results, in the prescribed form, of the council’s assessment against the prescribed governance and management checklist</w:t>
                        </w:r>
                      </w:p>
                      <w:p w:rsidR="0017213A" w:rsidRDefault="0017213A">
                        <w:pPr>
                          <w:pStyle w:val="NormalWeb"/>
                          <w:numPr>
                            <w:ilvl w:val="1"/>
                            <w:numId w:val="6"/>
                          </w:numPr>
                          <w:spacing w:before="20" w:beforeAutospacing="0" w:after="20" w:afterAutospacing="0"/>
                          <w:rPr>
                            <w:rFonts w:ascii="Arial" w:hAnsi="Arial" w:cs="Arial"/>
                            <w:color w:val="1F497D" w:themeColor="text2"/>
                            <w:sz w:val="20"/>
                            <w:szCs w:val="20"/>
                            <w:lang w:eastAsia="en-US"/>
                          </w:rPr>
                        </w:pPr>
                        <w:r w:rsidRPr="00716E3E">
                          <w:rPr>
                            <w:rFonts w:ascii="Arial" w:hAnsi="Arial" w:cs="Arial"/>
                            <w:color w:val="1F497D" w:themeColor="text2"/>
                            <w:sz w:val="20"/>
                            <w:szCs w:val="20"/>
                            <w:lang w:eastAsia="en-US"/>
                          </w:rPr>
                          <w:t xml:space="preserve">all prescribed </w:t>
                        </w:r>
                        <w:r w:rsidRPr="00E64444">
                          <w:rPr>
                            <w:rFonts w:ascii="Arial" w:hAnsi="Arial" w:cs="Arial"/>
                            <w:color w:val="1F497D" w:themeColor="text2"/>
                            <w:sz w:val="20"/>
                            <w:szCs w:val="20"/>
                            <w:lang w:eastAsia="en-US"/>
                          </w:rPr>
                          <w:t>indicators</w:t>
                        </w:r>
                        <w:r w:rsidRPr="000944D9">
                          <w:rPr>
                            <w:rFonts w:ascii="Arial" w:hAnsi="Arial" w:cs="Arial"/>
                            <w:color w:val="1F497D" w:themeColor="text2"/>
                            <w:sz w:val="20"/>
                            <w:szCs w:val="20"/>
                            <w:lang w:eastAsia="en-US"/>
                          </w:rPr>
                          <w:t xml:space="preserve"> o</w:t>
                        </w:r>
                        <w:r>
                          <w:rPr>
                            <w:rFonts w:ascii="Arial" w:hAnsi="Arial" w:cs="Arial"/>
                            <w:color w:val="1F497D" w:themeColor="text2"/>
                            <w:sz w:val="20"/>
                            <w:szCs w:val="20"/>
                            <w:lang w:eastAsia="en-US"/>
                          </w:rPr>
                          <w:t>f</w:t>
                        </w:r>
                        <w:r w:rsidRPr="000944D9">
                          <w:rPr>
                            <w:rFonts w:ascii="Arial" w:hAnsi="Arial" w:cs="Arial"/>
                            <w:color w:val="1F497D" w:themeColor="text2"/>
                            <w:sz w:val="20"/>
                            <w:szCs w:val="20"/>
                            <w:lang w:eastAsia="en-US"/>
                          </w:rPr>
                          <w:t xml:space="preserve"> service performance and the prescribed measures, and the results achieved for that financial year</w:t>
                        </w:r>
                      </w:p>
                      <w:p w:rsidR="0017213A" w:rsidRDefault="0017213A">
                        <w:pPr>
                          <w:pStyle w:val="NormalWeb"/>
                          <w:numPr>
                            <w:ilvl w:val="1"/>
                            <w:numId w:val="6"/>
                          </w:numPr>
                          <w:spacing w:before="20" w:beforeAutospacing="0" w:after="20" w:afterAutospacing="0"/>
                          <w:rPr>
                            <w:rFonts w:ascii="Arial" w:hAnsi="Arial" w:cs="Arial"/>
                            <w:color w:val="1F497D" w:themeColor="text2"/>
                            <w:sz w:val="20"/>
                            <w:szCs w:val="20"/>
                            <w:lang w:eastAsia="en-US"/>
                          </w:rPr>
                        </w:pPr>
                        <w:r w:rsidRPr="00716E3E">
                          <w:rPr>
                            <w:rFonts w:ascii="Arial" w:hAnsi="Arial" w:cs="Arial"/>
                            <w:color w:val="1F497D" w:themeColor="text2"/>
                            <w:sz w:val="20"/>
                            <w:szCs w:val="20"/>
                            <w:lang w:eastAsia="en-US"/>
                          </w:rPr>
                          <w:t>any other information required by the regulations</w:t>
                        </w:r>
                      </w:p>
                      <w:p w:rsidR="0017213A" w:rsidRDefault="0017213A">
                        <w:pPr>
                          <w:pStyle w:val="NormalWeb"/>
                          <w:numPr>
                            <w:ilvl w:val="1"/>
                            <w:numId w:val="6"/>
                          </w:numPr>
                          <w:spacing w:before="20" w:beforeAutospacing="0" w:after="20" w:afterAutospacing="0"/>
                          <w:rPr>
                            <w:rFonts w:ascii="Arial" w:hAnsi="Arial" w:cs="Arial"/>
                            <w:color w:val="1F497D" w:themeColor="text2"/>
                            <w:sz w:val="20"/>
                            <w:szCs w:val="20"/>
                            <w:lang w:eastAsia="en-US"/>
                          </w:rPr>
                        </w:pPr>
                        <w:r w:rsidRPr="00716E3E">
                          <w:rPr>
                            <w:rFonts w:ascii="Arial" w:hAnsi="Arial" w:cs="Arial"/>
                            <w:color w:val="1F497D" w:themeColor="text2"/>
                            <w:sz w:val="20"/>
                            <w:szCs w:val="20"/>
                            <w:lang w:eastAsia="en-US"/>
                          </w:rPr>
                          <w:t xml:space="preserve">any other information determined by the </w:t>
                        </w:r>
                        <w:r>
                          <w:rPr>
                            <w:rFonts w:ascii="Arial" w:hAnsi="Arial" w:cs="Arial"/>
                            <w:color w:val="1F497D" w:themeColor="text2"/>
                            <w:sz w:val="20"/>
                            <w:szCs w:val="20"/>
                            <w:lang w:eastAsia="en-US"/>
                          </w:rPr>
                          <w:t>c</w:t>
                        </w:r>
                        <w:r w:rsidRPr="00716E3E">
                          <w:rPr>
                            <w:rFonts w:ascii="Arial" w:hAnsi="Arial" w:cs="Arial"/>
                            <w:color w:val="1F497D" w:themeColor="text2"/>
                            <w:sz w:val="20"/>
                            <w:szCs w:val="20"/>
                            <w:lang w:eastAsia="en-US"/>
                          </w:rPr>
                          <w:t>ouncil as appropriate.</w:t>
                        </w:r>
                      </w:p>
                      <w:p w:rsidR="0017213A" w:rsidRDefault="0017213A">
                        <w:pPr>
                          <w:pStyle w:val="NormalWeb"/>
                          <w:numPr>
                            <w:ilvl w:val="0"/>
                            <w:numId w:val="6"/>
                          </w:numPr>
                          <w:spacing w:before="20" w:beforeAutospacing="0" w:after="20" w:afterAutospacing="0"/>
                          <w:ind w:left="357" w:hanging="357"/>
                          <w:rPr>
                            <w:rFonts w:ascii="Arial" w:hAnsi="Arial" w:cs="Arial"/>
                            <w:color w:val="1F497D" w:themeColor="text2"/>
                            <w:sz w:val="20"/>
                            <w:szCs w:val="20"/>
                            <w:lang w:eastAsia="en-US"/>
                          </w:rPr>
                        </w:pPr>
                        <w:r w:rsidRPr="00716E3E">
                          <w:rPr>
                            <w:rFonts w:ascii="Arial" w:hAnsi="Arial" w:cs="Arial"/>
                            <w:color w:val="1F497D" w:themeColor="text2"/>
                            <w:sz w:val="20"/>
                            <w:szCs w:val="20"/>
                            <w:lang w:eastAsia="en-US"/>
                          </w:rPr>
                          <w:t>an audited performance statement, prepared in accordance with the regulations, which must contain:</w:t>
                        </w:r>
                      </w:p>
                      <w:p w:rsidR="0017213A" w:rsidRDefault="0017213A">
                        <w:pPr>
                          <w:pStyle w:val="NormalWeb"/>
                          <w:numPr>
                            <w:ilvl w:val="1"/>
                            <w:numId w:val="6"/>
                          </w:numPr>
                          <w:spacing w:before="20" w:beforeAutospacing="0" w:after="20" w:afterAutospacing="0"/>
                          <w:rPr>
                            <w:rFonts w:ascii="Arial" w:hAnsi="Arial" w:cs="Arial"/>
                            <w:color w:val="1F497D" w:themeColor="text2"/>
                            <w:sz w:val="20"/>
                            <w:szCs w:val="20"/>
                            <w:lang w:eastAsia="en-US"/>
                          </w:rPr>
                        </w:pPr>
                        <w:r w:rsidRPr="00716E3E">
                          <w:rPr>
                            <w:rFonts w:ascii="Arial" w:hAnsi="Arial" w:cs="Arial"/>
                            <w:color w:val="1F497D" w:themeColor="text2"/>
                            <w:sz w:val="20"/>
                            <w:szCs w:val="20"/>
                            <w:lang w:eastAsia="en-US"/>
                          </w:rPr>
                          <w:t xml:space="preserve">the prescribed indicators, </w:t>
                        </w:r>
                        <w:r w:rsidRPr="00E64444">
                          <w:rPr>
                            <w:rFonts w:ascii="Arial" w:hAnsi="Arial" w:cs="Arial"/>
                            <w:color w:val="1F497D" w:themeColor="text2"/>
                            <w:sz w:val="20"/>
                            <w:szCs w:val="20"/>
                            <w:lang w:eastAsia="en-US"/>
                          </w:rPr>
                          <w:t xml:space="preserve">measures </w:t>
                        </w:r>
                        <w:r w:rsidRPr="000944D9">
                          <w:rPr>
                            <w:rFonts w:ascii="Arial" w:hAnsi="Arial" w:cs="Arial"/>
                            <w:color w:val="1F497D" w:themeColor="text2"/>
                            <w:sz w:val="20"/>
                            <w:szCs w:val="20"/>
                            <w:lang w:eastAsia="en-US"/>
                          </w:rPr>
                          <w:t>and results of service performance required by the regulations to be reported against</w:t>
                        </w:r>
                      </w:p>
                      <w:p w:rsidR="0017213A" w:rsidRDefault="0017213A">
                        <w:pPr>
                          <w:pStyle w:val="NormalWeb"/>
                          <w:numPr>
                            <w:ilvl w:val="1"/>
                            <w:numId w:val="6"/>
                          </w:numPr>
                          <w:spacing w:before="20" w:beforeAutospacing="0" w:after="20" w:afterAutospacing="0"/>
                          <w:rPr>
                            <w:rFonts w:ascii="Arial" w:hAnsi="Arial" w:cs="Arial"/>
                            <w:color w:val="1F497D" w:themeColor="text2"/>
                            <w:sz w:val="20"/>
                            <w:szCs w:val="20"/>
                            <w:lang w:eastAsia="en-US"/>
                          </w:rPr>
                        </w:pPr>
                        <w:r w:rsidRPr="00716E3E">
                          <w:rPr>
                            <w:rFonts w:ascii="Arial" w:hAnsi="Arial" w:cs="Arial"/>
                            <w:color w:val="1F497D" w:themeColor="text2"/>
                            <w:sz w:val="20"/>
                            <w:szCs w:val="20"/>
                            <w:lang w:eastAsia="en-US"/>
                          </w:rPr>
                          <w:t xml:space="preserve">the prescribed indicators, measures </w:t>
                        </w:r>
                        <w:r w:rsidRPr="00E64444">
                          <w:rPr>
                            <w:rFonts w:ascii="Arial" w:hAnsi="Arial" w:cs="Arial"/>
                            <w:color w:val="1F497D" w:themeColor="text2"/>
                            <w:sz w:val="20"/>
                            <w:szCs w:val="20"/>
                            <w:lang w:eastAsia="en-US"/>
                          </w:rPr>
                          <w:t xml:space="preserve">and results </w:t>
                        </w:r>
                        <w:r w:rsidRPr="000944D9">
                          <w:rPr>
                            <w:rFonts w:ascii="Arial" w:hAnsi="Arial" w:cs="Arial"/>
                            <w:color w:val="1F497D" w:themeColor="text2"/>
                            <w:sz w:val="20"/>
                            <w:szCs w:val="20"/>
                            <w:lang w:eastAsia="en-US"/>
                          </w:rPr>
                          <w:t xml:space="preserve">of financial </w:t>
                        </w:r>
                        <w:r w:rsidRPr="00716E3E">
                          <w:rPr>
                            <w:rFonts w:ascii="Arial" w:hAnsi="Arial" w:cs="Arial"/>
                            <w:color w:val="1F497D" w:themeColor="text2"/>
                            <w:sz w:val="20"/>
                            <w:szCs w:val="20"/>
                            <w:lang w:eastAsia="en-US"/>
                          </w:rPr>
                          <w:t>performance</w:t>
                        </w:r>
                      </w:p>
                      <w:p w:rsidR="0017213A" w:rsidRDefault="0017213A">
                        <w:pPr>
                          <w:pStyle w:val="NormalWeb"/>
                          <w:numPr>
                            <w:ilvl w:val="1"/>
                            <w:numId w:val="6"/>
                          </w:numPr>
                          <w:spacing w:before="20" w:beforeAutospacing="0" w:after="20" w:afterAutospacing="0"/>
                          <w:rPr>
                            <w:rFonts w:ascii="Arial" w:hAnsi="Arial" w:cs="Arial"/>
                            <w:color w:val="1F497D" w:themeColor="text2"/>
                            <w:sz w:val="20"/>
                            <w:szCs w:val="20"/>
                            <w:lang w:eastAsia="en-US"/>
                          </w:rPr>
                        </w:pPr>
                        <w:r w:rsidRPr="00716E3E">
                          <w:rPr>
                            <w:rFonts w:ascii="Arial" w:hAnsi="Arial" w:cs="Arial"/>
                            <w:color w:val="1F497D" w:themeColor="text2"/>
                            <w:sz w:val="20"/>
                            <w:szCs w:val="20"/>
                            <w:lang w:eastAsia="en-US"/>
                          </w:rPr>
                          <w:t xml:space="preserve">the prescribed indicators, measures </w:t>
                        </w:r>
                        <w:r w:rsidRPr="00E64444">
                          <w:rPr>
                            <w:rFonts w:ascii="Arial" w:hAnsi="Arial" w:cs="Arial"/>
                            <w:color w:val="1F497D" w:themeColor="text2"/>
                            <w:sz w:val="20"/>
                            <w:szCs w:val="20"/>
                            <w:lang w:eastAsia="en-US"/>
                          </w:rPr>
                          <w:t>and results</w:t>
                        </w:r>
                        <w:r w:rsidRPr="00716E3E">
                          <w:rPr>
                            <w:rFonts w:ascii="Arial" w:hAnsi="Arial" w:cs="Arial"/>
                            <w:color w:val="1F497D" w:themeColor="text2"/>
                            <w:sz w:val="20"/>
                            <w:szCs w:val="20"/>
                            <w:lang w:eastAsia="en-US"/>
                          </w:rPr>
                          <w:t xml:space="preserve"> of sustainable capacity performance</w:t>
                        </w:r>
                      </w:p>
                      <w:p w:rsidR="0017213A" w:rsidRDefault="0017213A">
                        <w:pPr>
                          <w:pStyle w:val="NormalWeb"/>
                          <w:numPr>
                            <w:ilvl w:val="1"/>
                            <w:numId w:val="6"/>
                          </w:numPr>
                          <w:spacing w:before="20" w:beforeAutospacing="0" w:after="20" w:afterAutospacing="0"/>
                          <w:rPr>
                            <w:rFonts w:ascii="Arial" w:hAnsi="Arial" w:cs="Arial"/>
                            <w:color w:val="1F497D" w:themeColor="text2"/>
                            <w:sz w:val="20"/>
                            <w:szCs w:val="20"/>
                            <w:lang w:eastAsia="en-US"/>
                          </w:rPr>
                        </w:pPr>
                        <w:r w:rsidRPr="00716E3E">
                          <w:rPr>
                            <w:rFonts w:ascii="Arial" w:hAnsi="Arial" w:cs="Arial"/>
                            <w:color w:val="1F497D" w:themeColor="text2"/>
                            <w:sz w:val="20"/>
                            <w:szCs w:val="20"/>
                            <w:lang w:eastAsia="en-US"/>
                          </w:rPr>
                          <w:t>any other information required by the regulations.</w:t>
                        </w:r>
                      </w:p>
                      <w:p w:rsidR="0017213A" w:rsidRDefault="0017213A">
                        <w:pPr>
                          <w:pStyle w:val="NormalWeb"/>
                          <w:numPr>
                            <w:ilvl w:val="0"/>
                            <w:numId w:val="6"/>
                          </w:numPr>
                          <w:spacing w:before="20" w:beforeAutospacing="0" w:after="20" w:afterAutospacing="0"/>
                          <w:ind w:left="357" w:hanging="357"/>
                          <w:rPr>
                            <w:rFonts w:ascii="Arial" w:hAnsi="Arial" w:cs="Arial"/>
                            <w:color w:val="1F497D" w:themeColor="text2"/>
                            <w:sz w:val="20"/>
                            <w:szCs w:val="20"/>
                            <w:lang w:eastAsia="en-US"/>
                          </w:rPr>
                        </w:pPr>
                        <w:r w:rsidRPr="00716E3E">
                          <w:rPr>
                            <w:rFonts w:ascii="Arial" w:hAnsi="Arial" w:cs="Arial"/>
                            <w:color w:val="1F497D" w:themeColor="text2"/>
                            <w:sz w:val="20"/>
                            <w:szCs w:val="20"/>
                            <w:lang w:eastAsia="en-US"/>
                          </w:rPr>
                          <w:t xml:space="preserve">audited financial statements and notes for the financial year, which must be prepared in accordance with </w:t>
                        </w:r>
                        <w:r>
                          <w:rPr>
                            <w:rFonts w:ascii="Arial" w:hAnsi="Arial" w:cs="Arial"/>
                            <w:color w:val="1F497D" w:themeColor="text2"/>
                            <w:sz w:val="20"/>
                            <w:szCs w:val="20"/>
                            <w:lang w:eastAsia="en-US"/>
                          </w:rPr>
                          <w:t xml:space="preserve">Australian Accounting Standards and </w:t>
                        </w:r>
                        <w:r w:rsidRPr="00716E3E">
                          <w:rPr>
                            <w:rFonts w:ascii="Arial" w:hAnsi="Arial" w:cs="Arial"/>
                            <w:color w:val="1F497D" w:themeColor="text2"/>
                            <w:sz w:val="20"/>
                            <w:szCs w:val="20"/>
                            <w:lang w:eastAsia="en-US"/>
                          </w:rPr>
                          <w:t xml:space="preserve">the regulations and include any other information required by the regulations.  </w:t>
                        </w:r>
                      </w:p>
                      <w:p w:rsidR="0017213A" w:rsidRDefault="0017213A">
                        <w:pPr>
                          <w:pStyle w:val="NormalWeb"/>
                          <w:numPr>
                            <w:ilvl w:val="0"/>
                            <w:numId w:val="6"/>
                          </w:numPr>
                          <w:spacing w:before="20" w:beforeAutospacing="0" w:after="20" w:afterAutospacing="0"/>
                          <w:ind w:left="357" w:hanging="357"/>
                          <w:rPr>
                            <w:rFonts w:ascii="Arial" w:hAnsi="Arial" w:cs="Arial"/>
                            <w:color w:val="1F497D" w:themeColor="text2"/>
                            <w:sz w:val="20"/>
                            <w:szCs w:val="20"/>
                            <w:lang w:eastAsia="en-US"/>
                          </w:rPr>
                        </w:pPr>
                        <w:r w:rsidRPr="00716E3E">
                          <w:rPr>
                            <w:rFonts w:ascii="Arial" w:hAnsi="Arial" w:cs="Arial"/>
                            <w:color w:val="1F497D" w:themeColor="text2"/>
                            <w:sz w:val="20"/>
                            <w:szCs w:val="20"/>
                            <w:lang w:eastAsia="en-US"/>
                          </w:rPr>
                          <w:t>a copy of the auditor’s report on the performance statement and the financial statements</w:t>
                        </w:r>
                      </w:p>
                      <w:p w:rsidR="0017213A" w:rsidRDefault="0017213A">
                        <w:pPr>
                          <w:pStyle w:val="NormalWeb"/>
                          <w:numPr>
                            <w:ilvl w:val="0"/>
                            <w:numId w:val="6"/>
                          </w:numPr>
                          <w:spacing w:before="20" w:beforeAutospacing="0" w:after="20" w:afterAutospacing="0"/>
                          <w:ind w:left="357" w:hanging="357"/>
                          <w:rPr>
                            <w:rFonts w:ascii="Arial" w:hAnsi="Arial" w:cs="Arial"/>
                            <w:color w:val="1F497D" w:themeColor="text2"/>
                            <w:sz w:val="20"/>
                            <w:szCs w:val="20"/>
                            <w:lang w:eastAsia="en-US"/>
                          </w:rPr>
                        </w:pPr>
                        <w:r w:rsidRPr="00716E3E">
                          <w:rPr>
                            <w:rFonts w:ascii="Arial" w:hAnsi="Arial" w:cs="Arial"/>
                            <w:color w:val="1F497D" w:themeColor="text2"/>
                            <w:sz w:val="20"/>
                            <w:szCs w:val="20"/>
                            <w:lang w:eastAsia="en-US"/>
                          </w:rPr>
                          <w:t>any other matter required by the regulations.</w:t>
                        </w:r>
                      </w:p>
                      <w:p w:rsidR="0017213A" w:rsidRPr="00D438D1" w:rsidRDefault="0017213A" w:rsidP="00836770">
                        <w:pPr>
                          <w:rPr>
                            <w:rFonts w:ascii="Arial" w:eastAsia="Times New Roman" w:hAnsi="Arial" w:cs="Arial"/>
                            <w:color w:val="1F497D" w:themeColor="text2"/>
                            <w:sz w:val="20"/>
                            <w:szCs w:val="20"/>
                            <w:lang w:val="en-AU" w:eastAsia="en-US"/>
                          </w:rPr>
                        </w:pPr>
                      </w:p>
                      <w:p w:rsidR="0017213A" w:rsidRPr="00D438D1" w:rsidRDefault="0017213A" w:rsidP="00836770">
                        <w:pPr>
                          <w:rPr>
                            <w:rFonts w:ascii="Arial" w:hAnsi="Arial" w:cs="Arial"/>
                            <w:color w:val="1F497D" w:themeColor="text2"/>
                            <w:sz w:val="20"/>
                            <w:szCs w:val="20"/>
                          </w:rPr>
                        </w:pPr>
                      </w:p>
                    </w:txbxContent>
                  </v:textbox>
                </v:rect>
                <w10:wrap type="tight"/>
              </v:group>
            </w:pict>
          </mc:Fallback>
        </mc:AlternateContent>
      </w:r>
      <w:r w:rsidR="00DC14B1" w:rsidRPr="00E84DC2">
        <w:rPr>
          <w:rFonts w:ascii="Tahoma" w:eastAsia="Times New Roman" w:hAnsi="Tahoma" w:cs="Tahoma"/>
          <w:b/>
          <w:sz w:val="22"/>
          <w:szCs w:val="22"/>
          <w:lang w:val="en-AU"/>
        </w:rPr>
        <w:t>Figure 2A – Key reports required under the Local Government Act</w:t>
      </w:r>
    </w:p>
    <w:p w:rsidR="00836770" w:rsidRPr="00E84DC2" w:rsidRDefault="00836770" w:rsidP="00836770">
      <w:pPr>
        <w:rPr>
          <w:rFonts w:ascii="Tahoma" w:eastAsia="Times New Roman" w:hAnsi="Tahoma" w:cs="Tahoma"/>
          <w:sz w:val="22"/>
          <w:szCs w:val="22"/>
          <w:lang w:val="en-AU"/>
        </w:rPr>
      </w:pPr>
    </w:p>
    <w:p w:rsidR="00836770" w:rsidRPr="00E84DC2" w:rsidRDefault="00836770" w:rsidP="00836770">
      <w:pPr>
        <w:rPr>
          <w:rFonts w:ascii="Tahoma" w:eastAsia="Times New Roman" w:hAnsi="Tahoma" w:cs="Tahoma"/>
          <w:sz w:val="22"/>
          <w:szCs w:val="22"/>
          <w:lang w:val="en-AU"/>
        </w:rPr>
      </w:pPr>
    </w:p>
    <w:p w:rsidR="00836770" w:rsidRPr="00E84DC2" w:rsidRDefault="00836770" w:rsidP="00836770">
      <w:pPr>
        <w:rPr>
          <w:rFonts w:ascii="Tahoma" w:eastAsia="Times New Roman" w:hAnsi="Tahoma" w:cs="Tahoma"/>
          <w:sz w:val="22"/>
          <w:szCs w:val="22"/>
          <w:lang w:val="en-AU"/>
        </w:rPr>
      </w:pPr>
    </w:p>
    <w:p w:rsidR="00836770" w:rsidRPr="00E84DC2" w:rsidRDefault="00836770" w:rsidP="00836770">
      <w:pPr>
        <w:rPr>
          <w:rFonts w:ascii="Tahoma" w:eastAsia="Times New Roman" w:hAnsi="Tahoma" w:cs="Tahoma"/>
          <w:sz w:val="22"/>
          <w:szCs w:val="22"/>
          <w:lang w:val="en-AU"/>
        </w:rPr>
      </w:pPr>
    </w:p>
    <w:p w:rsidR="00836770" w:rsidRPr="00E84DC2" w:rsidRDefault="00836770" w:rsidP="00836770">
      <w:pPr>
        <w:rPr>
          <w:rFonts w:ascii="Tahoma" w:eastAsia="Times New Roman" w:hAnsi="Tahoma" w:cs="Tahoma"/>
          <w:sz w:val="22"/>
          <w:szCs w:val="22"/>
          <w:lang w:val="en-AU"/>
        </w:rPr>
      </w:pPr>
    </w:p>
    <w:p w:rsidR="00836770" w:rsidRPr="00E84DC2" w:rsidRDefault="00836770" w:rsidP="00836770">
      <w:pPr>
        <w:rPr>
          <w:rFonts w:ascii="Tahoma" w:eastAsia="Times New Roman" w:hAnsi="Tahoma" w:cs="Tahoma"/>
          <w:sz w:val="22"/>
          <w:szCs w:val="22"/>
          <w:lang w:val="en-AU"/>
        </w:rPr>
      </w:pPr>
    </w:p>
    <w:p w:rsidR="00836770" w:rsidRPr="00E84DC2" w:rsidRDefault="00836770" w:rsidP="00836770">
      <w:pPr>
        <w:rPr>
          <w:rFonts w:ascii="Tahoma" w:eastAsia="Times New Roman" w:hAnsi="Tahoma" w:cs="Tahoma"/>
          <w:sz w:val="22"/>
          <w:szCs w:val="22"/>
          <w:lang w:val="en-AU"/>
        </w:rPr>
      </w:pPr>
    </w:p>
    <w:p w:rsidR="00192119" w:rsidRPr="00E84DC2" w:rsidRDefault="00D733EB" w:rsidP="00836770">
      <w:pPr>
        <w:rPr>
          <w:rFonts w:ascii="Tahoma" w:eastAsia="Times New Roman" w:hAnsi="Tahoma" w:cs="Tahoma"/>
          <w:sz w:val="22"/>
          <w:szCs w:val="22"/>
          <w:lang w:val="en-AU"/>
        </w:rPr>
      </w:pPr>
      <w:r w:rsidRPr="00D733EB">
        <w:rPr>
          <w:rFonts w:ascii="Tahoma" w:eastAsia="Times New Roman" w:hAnsi="Tahoma" w:cs="Tahoma"/>
          <w:sz w:val="22"/>
          <w:szCs w:val="22"/>
          <w:lang w:val="en-AU"/>
        </w:rPr>
        <w:br w:type="page"/>
      </w:r>
      <w:r w:rsidRPr="00D733EB">
        <w:rPr>
          <w:rFonts w:ascii="Tahoma" w:eastAsia="Times New Roman" w:hAnsi="Tahoma" w:cs="Tahoma"/>
          <w:sz w:val="22"/>
          <w:szCs w:val="22"/>
          <w:lang w:val="en-AU"/>
        </w:rPr>
        <w:lastRenderedPageBreak/>
        <w:t xml:space="preserve">While </w:t>
      </w:r>
      <w:r w:rsidR="002D6369">
        <w:rPr>
          <w:rFonts w:ascii="Tahoma" w:eastAsia="Times New Roman" w:hAnsi="Tahoma" w:cs="Tahoma"/>
          <w:sz w:val="22"/>
          <w:szCs w:val="22"/>
          <w:lang w:val="en-AU"/>
        </w:rPr>
        <w:t>the</w:t>
      </w:r>
      <w:r w:rsidR="002D6369" w:rsidRPr="00D733EB">
        <w:rPr>
          <w:rFonts w:ascii="Tahoma" w:eastAsia="Times New Roman" w:hAnsi="Tahoma" w:cs="Tahoma"/>
          <w:sz w:val="22"/>
          <w:szCs w:val="22"/>
          <w:lang w:val="en-AU"/>
        </w:rPr>
        <w:t xml:space="preserve"> </w:t>
      </w:r>
      <w:r w:rsidRPr="00D733EB">
        <w:rPr>
          <w:rFonts w:ascii="Tahoma" w:eastAsia="Times New Roman" w:hAnsi="Tahoma" w:cs="Tahoma"/>
          <w:sz w:val="22"/>
          <w:szCs w:val="22"/>
          <w:lang w:val="en-AU"/>
        </w:rPr>
        <w:t xml:space="preserve">provisions in the amended Act will allow regulations to specify additional information that should be included in key planning and reporting documents, for some reports the proposed </w:t>
      </w:r>
      <w:r w:rsidR="00DC14B1" w:rsidRPr="00E84DC2">
        <w:rPr>
          <w:rFonts w:ascii="Tahoma" w:eastAsia="Times New Roman" w:hAnsi="Tahoma" w:cs="Tahoma"/>
          <w:sz w:val="22"/>
          <w:szCs w:val="22"/>
          <w:lang w:val="en-AU"/>
        </w:rPr>
        <w:t>Regulations are necessary to give operational effect to the Act.</w:t>
      </w:r>
    </w:p>
    <w:p w:rsidR="00092596" w:rsidRPr="00E84DC2" w:rsidRDefault="00092596" w:rsidP="00836770">
      <w:pPr>
        <w:rPr>
          <w:rFonts w:ascii="Tahoma" w:eastAsia="Times New Roman" w:hAnsi="Tahoma" w:cs="Tahoma"/>
          <w:sz w:val="22"/>
          <w:szCs w:val="22"/>
          <w:lang w:val="en-AU"/>
        </w:rPr>
      </w:pPr>
    </w:p>
    <w:p w:rsidR="00092596" w:rsidRPr="00E84DC2" w:rsidRDefault="00D733EB" w:rsidP="00092596">
      <w:pPr>
        <w:rPr>
          <w:rFonts w:ascii="Tahoma" w:eastAsia="Times New Roman" w:hAnsi="Tahoma" w:cs="Tahoma"/>
          <w:sz w:val="22"/>
          <w:szCs w:val="22"/>
          <w:lang w:val="en-AU"/>
        </w:rPr>
      </w:pPr>
      <w:r w:rsidRPr="00D733EB">
        <w:rPr>
          <w:rFonts w:ascii="Tahoma" w:eastAsia="Times New Roman" w:hAnsi="Tahoma" w:cs="Tahoma"/>
          <w:sz w:val="22"/>
          <w:szCs w:val="22"/>
          <w:lang w:val="en-AU"/>
        </w:rPr>
        <w:t>For example, regulations are necessary to require councils to report against the governance and management checklist, and to prescribe the indic</w:t>
      </w:r>
      <w:r w:rsidR="002D6369">
        <w:rPr>
          <w:rFonts w:ascii="Tahoma" w:eastAsia="Times New Roman" w:hAnsi="Tahoma" w:cs="Tahoma"/>
          <w:sz w:val="22"/>
          <w:szCs w:val="22"/>
          <w:lang w:val="en-AU"/>
        </w:rPr>
        <w:t>a</w:t>
      </w:r>
      <w:r w:rsidRPr="00D733EB">
        <w:rPr>
          <w:rFonts w:ascii="Tahoma" w:eastAsia="Times New Roman" w:hAnsi="Tahoma" w:cs="Tahoma"/>
          <w:sz w:val="22"/>
          <w:szCs w:val="22"/>
          <w:lang w:val="en-AU"/>
        </w:rPr>
        <w:t>tors and measures that must be reported against in the performance statement. Without regulations to set these requirements, the performance statement and governance and management checklist required by the Act would become largely meaningless.</w:t>
      </w:r>
    </w:p>
    <w:p w:rsidR="00092596" w:rsidRPr="00E84DC2" w:rsidRDefault="00092596" w:rsidP="00836770">
      <w:pPr>
        <w:rPr>
          <w:rFonts w:ascii="Tahoma" w:eastAsia="Times New Roman" w:hAnsi="Tahoma" w:cs="Tahoma"/>
          <w:sz w:val="22"/>
          <w:szCs w:val="22"/>
          <w:lang w:val="en-AU"/>
        </w:rPr>
      </w:pPr>
    </w:p>
    <w:p w:rsidR="00083923" w:rsidRPr="00E84DC2" w:rsidRDefault="00D733EB" w:rsidP="002F7827">
      <w:pPr>
        <w:rPr>
          <w:rFonts w:ascii="Tahoma" w:eastAsia="Times New Roman" w:hAnsi="Tahoma" w:cs="Tahoma"/>
          <w:sz w:val="22"/>
          <w:szCs w:val="22"/>
          <w:lang w:val="en-AU"/>
        </w:rPr>
      </w:pPr>
      <w:r w:rsidRPr="00D733EB">
        <w:rPr>
          <w:rFonts w:ascii="Tahoma" w:eastAsia="Times New Roman" w:hAnsi="Tahoma" w:cs="Tahoma"/>
          <w:sz w:val="22"/>
          <w:szCs w:val="22"/>
          <w:lang w:val="en-AU"/>
        </w:rPr>
        <w:t xml:space="preserve">While some of the changes to the Act are largely of an administrative or machinery nature, the introduction of a new framework for reporting on performance indicators, which are set out in the proposed </w:t>
      </w:r>
      <w:r w:rsidR="00DC14B1" w:rsidRPr="00E84DC2">
        <w:rPr>
          <w:rFonts w:ascii="Tahoma" w:eastAsia="Times New Roman" w:hAnsi="Tahoma" w:cs="Tahoma"/>
          <w:sz w:val="22"/>
          <w:szCs w:val="22"/>
          <w:lang w:val="en-AU"/>
        </w:rPr>
        <w:t>Regulations, marks a significant change in the overall reporting requirements.</w:t>
      </w:r>
    </w:p>
    <w:p w:rsidR="00BA6EA1" w:rsidRPr="00E84DC2" w:rsidRDefault="00BA6EA1" w:rsidP="00BA6EA1">
      <w:pPr>
        <w:rPr>
          <w:rFonts w:ascii="Tahoma" w:eastAsia="Times New Roman" w:hAnsi="Tahoma" w:cs="Tahoma"/>
          <w:sz w:val="22"/>
          <w:szCs w:val="22"/>
          <w:lang w:val="en-AU"/>
        </w:rPr>
      </w:pPr>
    </w:p>
    <w:p w:rsidR="000839A3" w:rsidRPr="00E84DC2" w:rsidRDefault="00D733EB" w:rsidP="000839A3">
      <w:pPr>
        <w:rPr>
          <w:rFonts w:ascii="Tahoma" w:eastAsia="Times New Roman" w:hAnsi="Tahoma" w:cs="Tahoma"/>
          <w:sz w:val="22"/>
          <w:szCs w:val="22"/>
          <w:lang w:val="en-AU"/>
        </w:rPr>
      </w:pPr>
      <w:r w:rsidRPr="00D733EB">
        <w:rPr>
          <w:rFonts w:ascii="Tahoma" w:eastAsia="Times New Roman" w:hAnsi="Tahoma" w:cs="Tahoma"/>
          <w:sz w:val="22"/>
          <w:szCs w:val="22"/>
          <w:lang w:val="en-AU"/>
        </w:rPr>
        <w:t xml:space="preserve">The changes to the Act follow on from an extensive program of work involving review of the current approach and consultation with stakeholders. This is discussed further below. The consequences of the changes are that there will now be different matters that must be included in proposed </w:t>
      </w:r>
      <w:r w:rsidR="00DC14B1" w:rsidRPr="00E84DC2">
        <w:rPr>
          <w:rFonts w:ascii="Tahoma" w:eastAsia="Times New Roman" w:hAnsi="Tahoma" w:cs="Tahoma"/>
          <w:sz w:val="22"/>
          <w:szCs w:val="22"/>
          <w:lang w:val="en-AU"/>
        </w:rPr>
        <w:t>Regulations to enable the reporting framework established in the Act to</w:t>
      </w:r>
      <w:r w:rsidRPr="00D733EB">
        <w:rPr>
          <w:rFonts w:ascii="Tahoma" w:eastAsia="Times New Roman" w:hAnsi="Tahoma" w:cs="Tahoma"/>
          <w:sz w:val="22"/>
          <w:szCs w:val="22"/>
          <w:lang w:val="en-AU"/>
        </w:rPr>
        <w:t xml:space="preserve"> operate. Of most significance for this RIS, the Act requires regulations to set out the governance and management checklist and complete set of service performance indicators to be included in the report of operations, and indicators and measures to be included in the performance statement.</w:t>
      </w:r>
    </w:p>
    <w:p w:rsidR="00D45E33" w:rsidRPr="00E84DC2" w:rsidRDefault="00D733EB" w:rsidP="00D45580">
      <w:pPr>
        <w:pStyle w:val="Heading3"/>
        <w:rPr>
          <w:rFonts w:ascii="Tahoma" w:hAnsi="Tahoma" w:cs="Tahoma"/>
          <w:color w:val="auto"/>
        </w:rPr>
      </w:pPr>
      <w:r w:rsidRPr="00D733EB">
        <w:rPr>
          <w:rFonts w:ascii="Tahoma" w:hAnsi="Tahoma" w:cs="Tahoma"/>
          <w:color w:val="auto"/>
        </w:rPr>
        <w:t>Recent trends and the case for future government action</w:t>
      </w:r>
    </w:p>
    <w:p w:rsidR="00D45E33" w:rsidRPr="00E84DC2" w:rsidRDefault="00D45E33" w:rsidP="00D45E33">
      <w:pPr>
        <w:rPr>
          <w:rFonts w:ascii="Tahoma" w:hAnsi="Tahoma" w:cs="Tahoma"/>
          <w:lang w:val="en-AU"/>
        </w:rPr>
      </w:pPr>
    </w:p>
    <w:p w:rsidR="001A66C3" w:rsidRPr="00E84DC2" w:rsidRDefault="00D733EB" w:rsidP="001A66C3">
      <w:pPr>
        <w:pStyle w:val="EPANormal"/>
        <w:rPr>
          <w:rFonts w:ascii="Tahoma" w:eastAsia="Calibri" w:hAnsi="Tahoma" w:cs="Tahoma"/>
          <w:sz w:val="22"/>
          <w:szCs w:val="22"/>
        </w:rPr>
      </w:pPr>
      <w:r w:rsidRPr="00D733EB">
        <w:rPr>
          <w:rFonts w:ascii="Tahoma" w:eastAsia="Calibri" w:hAnsi="Tahoma" w:cs="Tahoma"/>
          <w:sz w:val="22"/>
          <w:szCs w:val="22"/>
        </w:rPr>
        <w:t xml:space="preserve">An audit by the Auditor-General in 2008, </w:t>
      </w:r>
      <w:r w:rsidRPr="00D733EB">
        <w:rPr>
          <w:rFonts w:ascii="Tahoma" w:eastAsia="Calibri" w:hAnsi="Tahoma" w:cs="Tahoma"/>
          <w:i/>
          <w:iCs/>
          <w:sz w:val="22"/>
          <w:szCs w:val="22"/>
        </w:rPr>
        <w:t>Performance Reporting in Local Government,</w:t>
      </w:r>
      <w:r w:rsidRPr="00D733EB">
        <w:rPr>
          <w:rFonts w:ascii="Tahoma" w:eastAsia="Calibri" w:hAnsi="Tahoma" w:cs="Tahoma"/>
          <w:sz w:val="22"/>
          <w:szCs w:val="22"/>
        </w:rPr>
        <w:t xml:space="preserve"> assessed whether councils’ publicly reported performance information in their annual reports was useful, and underpinned by a comprehensive and cohesive reporting framework such as policies, guidelines and training.</w:t>
      </w:r>
    </w:p>
    <w:p w:rsidR="00D12144" w:rsidRPr="00E84DC2" w:rsidRDefault="00D12144" w:rsidP="001A66C3">
      <w:pPr>
        <w:pStyle w:val="EPANormal"/>
        <w:rPr>
          <w:rFonts w:ascii="Tahoma" w:eastAsia="Calibri" w:hAnsi="Tahoma" w:cs="Tahoma"/>
          <w:sz w:val="22"/>
          <w:szCs w:val="22"/>
        </w:rPr>
      </w:pPr>
    </w:p>
    <w:p w:rsidR="001A66C3" w:rsidRPr="00E84DC2" w:rsidRDefault="00D733EB" w:rsidP="001A66C3">
      <w:pPr>
        <w:pStyle w:val="EPANormal"/>
        <w:rPr>
          <w:rFonts w:ascii="Tahoma" w:eastAsia="Calibri" w:hAnsi="Tahoma" w:cs="Tahoma"/>
          <w:sz w:val="22"/>
          <w:szCs w:val="22"/>
        </w:rPr>
      </w:pPr>
      <w:r w:rsidRPr="00D733EB">
        <w:rPr>
          <w:rFonts w:ascii="Tahoma" w:eastAsia="Calibri" w:hAnsi="Tahoma" w:cs="Tahoma"/>
          <w:sz w:val="22"/>
          <w:szCs w:val="22"/>
        </w:rPr>
        <w:t xml:space="preserve">The audit reviewed the performance statements of all 79 councils and assessed whether the information they contained was relevant, appropriate and fairly presented. It concluded that for most councils reporting had limited relevance to ratepayers, and lacked information about the quality of council services, the outcomes being achieved, and how these related to councils’ strategic objectives. </w:t>
      </w:r>
    </w:p>
    <w:p w:rsidR="007325EC" w:rsidRPr="00E84DC2" w:rsidRDefault="007325EC" w:rsidP="001A66C3">
      <w:pPr>
        <w:pStyle w:val="EPANormal"/>
        <w:rPr>
          <w:rFonts w:ascii="Tahoma" w:eastAsia="Calibri" w:hAnsi="Tahoma" w:cs="Tahoma"/>
          <w:sz w:val="22"/>
          <w:szCs w:val="22"/>
        </w:rPr>
      </w:pPr>
    </w:p>
    <w:p w:rsidR="007325EC" w:rsidRPr="00E84DC2" w:rsidRDefault="00D733EB" w:rsidP="001A66C3">
      <w:pPr>
        <w:pStyle w:val="EPANormal"/>
        <w:rPr>
          <w:rFonts w:ascii="Tahoma" w:eastAsia="Calibri" w:hAnsi="Tahoma" w:cs="Tahoma"/>
          <w:sz w:val="22"/>
          <w:szCs w:val="22"/>
        </w:rPr>
      </w:pPr>
      <w:r w:rsidRPr="00D733EB">
        <w:rPr>
          <w:rFonts w:ascii="Tahoma" w:eastAsia="Calibri" w:hAnsi="Tahoma" w:cs="Tahoma"/>
          <w:sz w:val="22"/>
          <w:szCs w:val="22"/>
        </w:rPr>
        <w:t>The audit canvasses a number of reasons as to why councils were not reporting adequately on performance. Key factors identified were:</w:t>
      </w:r>
    </w:p>
    <w:p w:rsidR="00370858" w:rsidRPr="00E84DC2" w:rsidRDefault="00D733EB">
      <w:pPr>
        <w:pStyle w:val="ListParagraph"/>
        <w:rPr>
          <w:rFonts w:ascii="Tahoma" w:hAnsi="Tahoma" w:cs="Tahoma"/>
          <w:lang w:val="en-AU"/>
        </w:rPr>
      </w:pPr>
      <w:r w:rsidRPr="00D733EB">
        <w:rPr>
          <w:rFonts w:ascii="Tahoma" w:eastAsia="Calibri" w:hAnsi="Tahoma" w:cs="Tahoma"/>
          <w:lang w:val="en-AU"/>
        </w:rPr>
        <w:t xml:space="preserve">resource </w:t>
      </w:r>
      <w:r w:rsidRPr="00D733EB">
        <w:rPr>
          <w:rFonts w:ascii="Tahoma" w:hAnsi="Tahoma" w:cs="Tahoma"/>
          <w:lang w:val="en-AU"/>
        </w:rPr>
        <w:t>constraints as a major challenge to developing more comprehensive, balanced and appropriate performance indicators, although there was a view in some councils that better reporting would draw resources away from more important (urgent) areas</w:t>
      </w:r>
      <w:r w:rsidR="002D6369">
        <w:rPr>
          <w:rFonts w:ascii="Tahoma" w:hAnsi="Tahoma" w:cs="Tahoma"/>
          <w:lang w:val="en-AU"/>
        </w:rPr>
        <w:t>;</w:t>
      </w:r>
    </w:p>
    <w:p w:rsidR="00370858" w:rsidRPr="00E84DC2" w:rsidRDefault="00D733EB">
      <w:pPr>
        <w:pStyle w:val="ListParagraph"/>
        <w:rPr>
          <w:rFonts w:ascii="Tahoma" w:hAnsi="Tahoma" w:cs="Tahoma"/>
          <w:lang w:val="en-AU"/>
        </w:rPr>
      </w:pPr>
      <w:r w:rsidRPr="00D733EB">
        <w:rPr>
          <w:rFonts w:ascii="Tahoma" w:hAnsi="Tahoma" w:cs="Tahoma"/>
          <w:lang w:val="en-AU"/>
        </w:rPr>
        <w:t xml:space="preserve">some councils advised that improvements to performance reporting have not been prioritised because councillors are focused on delivering key projects, and on meeting the immediate needs of their communities. As a result, the administrative arrangements for measuring council’s performance tend to be afforded lower priority. They also advised that a further related challenge is that residents usually seek information about activities that directly impact </w:t>
      </w:r>
      <w:r w:rsidRPr="00D733EB">
        <w:rPr>
          <w:rFonts w:ascii="Tahoma" w:hAnsi="Tahoma" w:cs="Tahoma"/>
          <w:lang w:val="en-AU"/>
        </w:rPr>
        <w:lastRenderedPageBreak/>
        <w:t>upon them, and are less interested in wider performance information that conforms to better practice principles</w:t>
      </w:r>
      <w:r w:rsidR="002D6369">
        <w:rPr>
          <w:rFonts w:ascii="Tahoma" w:hAnsi="Tahoma" w:cs="Tahoma"/>
          <w:lang w:val="en-AU"/>
        </w:rPr>
        <w:t>; and</w:t>
      </w:r>
    </w:p>
    <w:p w:rsidR="00370858" w:rsidRPr="00E84DC2" w:rsidRDefault="00D733EB">
      <w:pPr>
        <w:pStyle w:val="ListParagraph"/>
        <w:rPr>
          <w:rFonts w:ascii="Tahoma" w:eastAsia="Calibri" w:hAnsi="Tahoma" w:cs="Tahoma"/>
          <w:lang w:val="en-AU"/>
        </w:rPr>
      </w:pPr>
      <w:r w:rsidRPr="00D733EB">
        <w:rPr>
          <w:rFonts w:ascii="Tahoma" w:hAnsi="Tahoma" w:cs="Tahoma"/>
          <w:lang w:val="en-AU"/>
        </w:rPr>
        <w:t>the absence of</w:t>
      </w:r>
      <w:r w:rsidRPr="00D733EB">
        <w:rPr>
          <w:rFonts w:ascii="Tahoma" w:eastAsia="Calibri" w:hAnsi="Tahoma" w:cs="Tahoma"/>
          <w:lang w:val="en-AU"/>
        </w:rPr>
        <w:t xml:space="preserve"> an agreed standard was a factor contributing to ongoing variation in the quality of performance information reported by councils.</w:t>
      </w:r>
    </w:p>
    <w:p w:rsidR="00370858" w:rsidRPr="00E84DC2" w:rsidRDefault="00370858">
      <w:pPr>
        <w:pStyle w:val="EPANormal"/>
        <w:rPr>
          <w:rFonts w:ascii="Tahoma" w:eastAsia="Calibri" w:hAnsi="Tahoma" w:cs="Tahoma"/>
          <w:sz w:val="22"/>
          <w:szCs w:val="22"/>
        </w:rPr>
      </w:pPr>
    </w:p>
    <w:p w:rsidR="001A66C3" w:rsidRPr="00E84DC2" w:rsidRDefault="00D733EB" w:rsidP="001A66C3">
      <w:pPr>
        <w:pStyle w:val="EPANormal"/>
        <w:rPr>
          <w:rFonts w:ascii="Tahoma" w:eastAsia="Calibri" w:hAnsi="Tahoma" w:cs="Tahoma"/>
          <w:sz w:val="22"/>
          <w:szCs w:val="22"/>
        </w:rPr>
      </w:pPr>
      <w:r w:rsidRPr="00D733EB">
        <w:rPr>
          <w:rFonts w:ascii="Tahoma" w:eastAsia="Calibri" w:hAnsi="Tahoma" w:cs="Tahoma"/>
          <w:sz w:val="22"/>
          <w:szCs w:val="22"/>
        </w:rPr>
        <w:t>The audit recommended that all councils critically review and improve their publicly reported performance information and that they document and approve performance reporting policies and standards. It also recommended that regulations be issued establishing the minimum standards for the form and content of performance statements.</w:t>
      </w:r>
    </w:p>
    <w:p w:rsidR="001A66C3" w:rsidRPr="00E84DC2" w:rsidRDefault="001A66C3" w:rsidP="0069509D">
      <w:pPr>
        <w:pStyle w:val="EPANormal"/>
        <w:rPr>
          <w:rFonts w:ascii="Tahoma" w:eastAsia="Calibri" w:hAnsi="Tahoma" w:cs="Tahoma"/>
          <w:sz w:val="22"/>
          <w:szCs w:val="22"/>
        </w:rPr>
      </w:pPr>
    </w:p>
    <w:p w:rsidR="00C03307" w:rsidRPr="00E84DC2" w:rsidRDefault="00D733EB" w:rsidP="0069509D">
      <w:pPr>
        <w:pStyle w:val="EPANormal"/>
        <w:rPr>
          <w:rFonts w:ascii="Tahoma" w:eastAsia="Calibri" w:hAnsi="Tahoma" w:cs="Tahoma"/>
          <w:sz w:val="22"/>
          <w:szCs w:val="22"/>
        </w:rPr>
      </w:pPr>
      <w:r w:rsidRPr="00D733EB">
        <w:rPr>
          <w:rFonts w:ascii="Tahoma" w:eastAsia="Calibri" w:hAnsi="Tahoma" w:cs="Tahoma"/>
          <w:sz w:val="22"/>
          <w:szCs w:val="22"/>
        </w:rPr>
        <w:t xml:space="preserve">In 2009, </w:t>
      </w:r>
      <w:r w:rsidR="002D6369" w:rsidRPr="00D733EB">
        <w:rPr>
          <w:rFonts w:ascii="Tahoma" w:eastAsia="Calibri" w:hAnsi="Tahoma" w:cs="Tahoma"/>
          <w:sz w:val="22"/>
          <w:szCs w:val="22"/>
        </w:rPr>
        <w:t>the</w:t>
      </w:r>
      <w:r w:rsidR="002D6369">
        <w:rPr>
          <w:rFonts w:ascii="Tahoma" w:eastAsia="Calibri" w:hAnsi="Tahoma" w:cs="Tahoma"/>
          <w:sz w:val="22"/>
          <w:szCs w:val="22"/>
        </w:rPr>
        <w:t xml:space="preserve"> then </w:t>
      </w:r>
      <w:r w:rsidRPr="00D733EB">
        <w:rPr>
          <w:rFonts w:ascii="Tahoma" w:eastAsia="Calibri" w:hAnsi="Tahoma" w:cs="Tahoma"/>
          <w:sz w:val="22"/>
          <w:szCs w:val="22"/>
        </w:rPr>
        <w:t xml:space="preserve">Minister for Finance and Minister for Local Government requested the ESC to provide advice regarding the development and implementation of a state-wide performance monitoring framework for local government service delivery. This advice culminated in a final report with recommendations on the indicators and processes to implement </w:t>
      </w:r>
      <w:r w:rsidR="002D6369">
        <w:rPr>
          <w:rFonts w:ascii="Tahoma" w:eastAsia="Calibri" w:hAnsi="Tahoma" w:cs="Tahoma"/>
          <w:sz w:val="22"/>
          <w:szCs w:val="22"/>
        </w:rPr>
        <w:t>a state-wide</w:t>
      </w:r>
      <w:r w:rsidR="002D6369" w:rsidRPr="00D733EB">
        <w:rPr>
          <w:rFonts w:ascii="Tahoma" w:eastAsia="Calibri" w:hAnsi="Tahoma" w:cs="Tahoma"/>
          <w:sz w:val="22"/>
          <w:szCs w:val="22"/>
        </w:rPr>
        <w:t xml:space="preserve"> </w:t>
      </w:r>
      <w:r w:rsidRPr="00D733EB">
        <w:rPr>
          <w:rFonts w:ascii="Tahoma" w:eastAsia="Calibri" w:hAnsi="Tahoma" w:cs="Tahoma"/>
          <w:sz w:val="22"/>
          <w:szCs w:val="22"/>
        </w:rPr>
        <w:t>framework.</w:t>
      </w:r>
      <w:r>
        <w:rPr>
          <w:rStyle w:val="FootnoteReference"/>
          <w:rFonts w:ascii="Tahoma" w:eastAsia="Calibri" w:hAnsi="Tahoma" w:cs="Tahoma"/>
          <w:sz w:val="22"/>
          <w:szCs w:val="22"/>
        </w:rPr>
        <w:footnoteReference w:id="24"/>
      </w:r>
    </w:p>
    <w:p w:rsidR="00893D59" w:rsidRPr="00E84DC2" w:rsidRDefault="00893D59" w:rsidP="0069509D">
      <w:pPr>
        <w:pStyle w:val="EPANormal"/>
        <w:rPr>
          <w:rFonts w:ascii="Tahoma" w:eastAsia="Calibri" w:hAnsi="Tahoma" w:cs="Tahoma"/>
          <w:sz w:val="22"/>
          <w:szCs w:val="22"/>
        </w:rPr>
      </w:pPr>
    </w:p>
    <w:p w:rsidR="00893D59" w:rsidRPr="00E84DC2" w:rsidRDefault="00D733EB" w:rsidP="0069509D">
      <w:pPr>
        <w:pStyle w:val="EPANormal"/>
        <w:rPr>
          <w:rFonts w:ascii="Tahoma" w:eastAsia="Calibri" w:hAnsi="Tahoma" w:cs="Tahoma"/>
          <w:sz w:val="22"/>
          <w:szCs w:val="22"/>
        </w:rPr>
      </w:pPr>
      <w:r w:rsidRPr="00D733EB">
        <w:rPr>
          <w:rFonts w:ascii="Tahoma" w:eastAsia="Calibri" w:hAnsi="Tahoma" w:cs="Tahoma"/>
          <w:sz w:val="22"/>
          <w:szCs w:val="22"/>
        </w:rPr>
        <w:t>The final report recommended councils report each year on a set of service indicators and supporting indicators</w:t>
      </w:r>
      <w:r w:rsidR="002D6369">
        <w:rPr>
          <w:rFonts w:ascii="Tahoma" w:eastAsia="Calibri" w:hAnsi="Tahoma" w:cs="Tahoma"/>
          <w:sz w:val="22"/>
          <w:szCs w:val="22"/>
        </w:rPr>
        <w:t xml:space="preserve"> to the ESC </w:t>
      </w:r>
      <w:r w:rsidRPr="00D733EB">
        <w:rPr>
          <w:rFonts w:ascii="Tahoma" w:eastAsia="Calibri" w:hAnsi="Tahoma" w:cs="Tahoma"/>
          <w:sz w:val="22"/>
          <w:szCs w:val="22"/>
        </w:rPr>
        <w:t xml:space="preserve">to allow a comparative report to be prepared. </w:t>
      </w:r>
      <w:r w:rsidR="002D6369">
        <w:rPr>
          <w:rFonts w:ascii="Tahoma" w:eastAsia="Calibri" w:hAnsi="Tahoma" w:cs="Tahoma"/>
          <w:sz w:val="22"/>
          <w:szCs w:val="22"/>
        </w:rPr>
        <w:t>A</w:t>
      </w:r>
      <w:r w:rsidRPr="00D733EB">
        <w:rPr>
          <w:rFonts w:ascii="Tahoma" w:eastAsia="Calibri" w:hAnsi="Tahoma" w:cs="Tahoma"/>
          <w:sz w:val="22"/>
          <w:szCs w:val="22"/>
        </w:rPr>
        <w:t xml:space="preserve"> staged implementation was recommended </w:t>
      </w:r>
      <w:r w:rsidR="002D6369">
        <w:rPr>
          <w:rFonts w:ascii="Tahoma" w:eastAsia="Calibri" w:hAnsi="Tahoma" w:cs="Tahoma"/>
          <w:sz w:val="22"/>
          <w:szCs w:val="22"/>
        </w:rPr>
        <w:t>involving</w:t>
      </w:r>
      <w:r w:rsidR="002D6369" w:rsidRPr="00D733EB">
        <w:rPr>
          <w:rFonts w:ascii="Tahoma" w:eastAsia="Calibri" w:hAnsi="Tahoma" w:cs="Tahoma"/>
          <w:sz w:val="22"/>
          <w:szCs w:val="22"/>
        </w:rPr>
        <w:t xml:space="preserve"> </w:t>
      </w:r>
      <w:r w:rsidRPr="00D733EB">
        <w:rPr>
          <w:rFonts w:ascii="Tahoma" w:eastAsia="Calibri" w:hAnsi="Tahoma" w:cs="Tahoma"/>
          <w:sz w:val="22"/>
          <w:szCs w:val="22"/>
        </w:rPr>
        <w:t>a pilot report covering a smaller number of councils</w:t>
      </w:r>
      <w:r w:rsidR="002D6369">
        <w:rPr>
          <w:rFonts w:ascii="Tahoma" w:eastAsia="Calibri" w:hAnsi="Tahoma" w:cs="Tahoma"/>
          <w:sz w:val="22"/>
          <w:szCs w:val="22"/>
        </w:rPr>
        <w:t xml:space="preserve"> which </w:t>
      </w:r>
      <w:r w:rsidRPr="00D733EB">
        <w:rPr>
          <w:rFonts w:ascii="Tahoma" w:eastAsia="Calibri" w:hAnsi="Tahoma" w:cs="Tahoma"/>
          <w:sz w:val="22"/>
          <w:szCs w:val="22"/>
        </w:rPr>
        <w:t>provide</w:t>
      </w:r>
      <w:r w:rsidR="002D6369">
        <w:rPr>
          <w:rFonts w:ascii="Tahoma" w:eastAsia="Calibri" w:hAnsi="Tahoma" w:cs="Tahoma"/>
          <w:sz w:val="22"/>
          <w:szCs w:val="22"/>
        </w:rPr>
        <w:t>d</w:t>
      </w:r>
      <w:r w:rsidRPr="00D733EB">
        <w:rPr>
          <w:rFonts w:ascii="Tahoma" w:eastAsia="Calibri" w:hAnsi="Tahoma" w:cs="Tahoma"/>
          <w:sz w:val="22"/>
          <w:szCs w:val="22"/>
        </w:rPr>
        <w:t xml:space="preserve"> an opportunity to refine and improve the proposed framework.</w:t>
      </w:r>
    </w:p>
    <w:p w:rsidR="009520BF" w:rsidRPr="00E84DC2" w:rsidRDefault="009520BF" w:rsidP="00EA4DAC">
      <w:pPr>
        <w:pStyle w:val="EPANormal"/>
        <w:rPr>
          <w:rFonts w:ascii="Tahoma" w:eastAsia="Calibri" w:hAnsi="Tahoma" w:cs="Tahoma"/>
          <w:sz w:val="22"/>
          <w:szCs w:val="22"/>
        </w:rPr>
      </w:pPr>
    </w:p>
    <w:p w:rsidR="00EA4DAC" w:rsidRPr="00E84DC2" w:rsidRDefault="00D733EB" w:rsidP="00EA4DAC">
      <w:pPr>
        <w:pStyle w:val="EPANormal"/>
        <w:rPr>
          <w:rFonts w:ascii="Tahoma" w:eastAsia="Calibri" w:hAnsi="Tahoma" w:cs="Tahoma"/>
          <w:sz w:val="22"/>
          <w:szCs w:val="22"/>
        </w:rPr>
      </w:pPr>
      <w:r w:rsidRPr="00D733EB">
        <w:rPr>
          <w:rFonts w:ascii="Tahoma" w:eastAsia="Calibri" w:hAnsi="Tahoma" w:cs="Tahoma"/>
          <w:sz w:val="22"/>
          <w:szCs w:val="22"/>
        </w:rPr>
        <w:t xml:space="preserve">In January 2011, consistent with the terms of reference and as part of the phased implementation process, the ESC released a prototype report. Prepared with the support of 33 councils who volunteered to participate in the pilot, the </w:t>
      </w:r>
      <w:r w:rsidRPr="00D733EB">
        <w:rPr>
          <w:rFonts w:ascii="Tahoma" w:eastAsia="Calibri" w:hAnsi="Tahoma" w:cs="Tahoma"/>
          <w:i/>
          <w:iCs/>
          <w:sz w:val="22"/>
          <w:szCs w:val="22"/>
        </w:rPr>
        <w:t>Victorian local government pilot services report 2009</w:t>
      </w:r>
      <w:r w:rsidR="002D6369">
        <w:rPr>
          <w:rFonts w:ascii="Tahoma" w:eastAsia="Calibri" w:hAnsi="Tahoma" w:cs="Tahoma"/>
          <w:i/>
          <w:iCs/>
          <w:sz w:val="22"/>
          <w:szCs w:val="22"/>
        </w:rPr>
        <w:t>-</w:t>
      </w:r>
      <w:r w:rsidRPr="00D733EB">
        <w:rPr>
          <w:rFonts w:ascii="Tahoma" w:eastAsia="Calibri" w:hAnsi="Tahoma" w:cs="Tahoma"/>
          <w:i/>
          <w:iCs/>
          <w:sz w:val="22"/>
          <w:szCs w:val="22"/>
        </w:rPr>
        <w:t>10: Report to the Minister for Finance and Minister for Local Government</w:t>
      </w:r>
      <w:r w:rsidRPr="00D733EB">
        <w:rPr>
          <w:rFonts w:ascii="Tahoma" w:eastAsia="Calibri" w:hAnsi="Tahoma" w:cs="Tahoma"/>
          <w:sz w:val="22"/>
          <w:szCs w:val="22"/>
        </w:rPr>
        <w:t xml:space="preserve"> presented an opportunity to refine the services report and the underlying reporting processes. </w:t>
      </w:r>
    </w:p>
    <w:p w:rsidR="00EA4DAC" w:rsidRPr="00E84DC2" w:rsidRDefault="00EA4DAC" w:rsidP="0069509D">
      <w:pPr>
        <w:pStyle w:val="EPANormal"/>
        <w:rPr>
          <w:rFonts w:ascii="Tahoma" w:eastAsia="Calibri" w:hAnsi="Tahoma" w:cs="Tahoma"/>
          <w:sz w:val="22"/>
          <w:szCs w:val="22"/>
        </w:rPr>
      </w:pPr>
    </w:p>
    <w:p w:rsidR="009520BF" w:rsidRPr="00E84DC2" w:rsidRDefault="00D733EB" w:rsidP="009520BF">
      <w:pPr>
        <w:pStyle w:val="EPANormal"/>
        <w:rPr>
          <w:rFonts w:ascii="Tahoma" w:eastAsia="Calibri" w:hAnsi="Tahoma" w:cs="Tahoma"/>
          <w:sz w:val="22"/>
          <w:szCs w:val="22"/>
        </w:rPr>
      </w:pPr>
      <w:r w:rsidRPr="00D733EB">
        <w:rPr>
          <w:rFonts w:ascii="Tahoma" w:eastAsia="Calibri" w:hAnsi="Tahoma" w:cs="Tahoma"/>
          <w:sz w:val="22"/>
          <w:szCs w:val="22"/>
        </w:rPr>
        <w:t xml:space="preserve">As part of the preparation of the </w:t>
      </w:r>
      <w:r w:rsidRPr="00D733EB">
        <w:rPr>
          <w:rFonts w:ascii="Tahoma" w:eastAsia="Calibri" w:hAnsi="Tahoma" w:cs="Tahoma"/>
          <w:i/>
          <w:iCs/>
          <w:sz w:val="22"/>
          <w:szCs w:val="22"/>
        </w:rPr>
        <w:t xml:space="preserve">Local Government: Results of the 2010–11 Audits, </w:t>
      </w:r>
      <w:r w:rsidRPr="00D733EB">
        <w:rPr>
          <w:rFonts w:ascii="Tahoma" w:eastAsia="Calibri" w:hAnsi="Tahoma" w:cs="Tahoma"/>
          <w:iCs/>
          <w:sz w:val="22"/>
          <w:szCs w:val="22"/>
        </w:rPr>
        <w:t>VAGO</w:t>
      </w:r>
      <w:r w:rsidRPr="00D733EB">
        <w:rPr>
          <w:rFonts w:ascii="Tahoma" w:eastAsia="Calibri" w:hAnsi="Tahoma" w:cs="Tahoma"/>
          <w:sz w:val="22"/>
          <w:szCs w:val="22"/>
        </w:rPr>
        <w:t xml:space="preserve"> performed a high</w:t>
      </w:r>
      <w:r w:rsidRPr="00D733EB">
        <w:rPr>
          <w:rFonts w:ascii="Tahoma" w:eastAsia="Calibri" w:hAnsi="Tahoma" w:cs="Tahoma"/>
          <w:sz w:val="22"/>
          <w:szCs w:val="22"/>
        </w:rPr>
        <w:noBreakHyphen/>
        <w:t>level review of 10 council performance statements. It concluded that limited improvement was evident in the quality of the performance statements produced by councils, and that non-financial performance indicators were of limited relevance to ratepayers and residents. The report further noted that councils continued to adopt a ‘compliance-centric’ approach to performance information, and that they were not producing performance reports that drive council outcomes and accountability by being relevant and appropriate to stakeholder needs.</w:t>
      </w:r>
    </w:p>
    <w:p w:rsidR="00DD14F3" w:rsidRPr="00E84DC2" w:rsidRDefault="00D733EB" w:rsidP="00E10388">
      <w:pPr>
        <w:pStyle w:val="EPANormal"/>
        <w:rPr>
          <w:rFonts w:ascii="Tahoma" w:eastAsia="Calibri" w:hAnsi="Tahoma" w:cs="Tahoma"/>
          <w:sz w:val="22"/>
          <w:szCs w:val="22"/>
          <w:lang w:val="en-US"/>
        </w:rPr>
      </w:pPr>
      <w:r w:rsidRPr="00D733EB">
        <w:rPr>
          <w:rFonts w:ascii="Tahoma" w:eastAsia="Calibri" w:hAnsi="Tahoma" w:cs="Tahoma"/>
          <w:sz w:val="22"/>
          <w:szCs w:val="22"/>
        </w:rPr>
        <w:br/>
        <w:t xml:space="preserve">A follow up performance audit in 2012, </w:t>
      </w:r>
      <w:r w:rsidRPr="00D733EB">
        <w:rPr>
          <w:rFonts w:ascii="Tahoma" w:eastAsia="Calibri" w:hAnsi="Tahoma" w:cs="Tahoma"/>
          <w:i/>
          <w:sz w:val="22"/>
          <w:szCs w:val="22"/>
        </w:rPr>
        <w:t>Performance Reporting by Local Government</w:t>
      </w:r>
      <w:r w:rsidRPr="00D733EB">
        <w:rPr>
          <w:rFonts w:ascii="Tahoma" w:eastAsia="Calibri" w:hAnsi="Tahoma" w:cs="Tahoma"/>
          <w:sz w:val="22"/>
          <w:szCs w:val="22"/>
        </w:rPr>
        <w:t>, found</w:t>
      </w:r>
      <w:r w:rsidRPr="00D733EB">
        <w:rPr>
          <w:rFonts w:ascii="Tahoma" w:eastAsia="Calibri" w:hAnsi="Tahoma" w:cs="Tahoma"/>
          <w:sz w:val="22"/>
          <w:szCs w:val="22"/>
          <w:lang w:val="en-US"/>
        </w:rPr>
        <w:t xml:space="preserve"> that although councils produce large volumes of information for internal and external audiences, this reporting often lacked information about the timeliness, cost, quantity or quality of council services, and therefore did not adequately position councils to overcome performance challenges.</w:t>
      </w:r>
    </w:p>
    <w:p w:rsidR="006F2E16" w:rsidRPr="00E84DC2" w:rsidRDefault="006F2E16" w:rsidP="0069509D">
      <w:pPr>
        <w:pStyle w:val="EPANormal"/>
        <w:rPr>
          <w:rFonts w:ascii="Tahoma" w:eastAsia="Calibri" w:hAnsi="Tahoma" w:cs="Tahoma"/>
          <w:sz w:val="22"/>
          <w:szCs w:val="22"/>
        </w:rPr>
      </w:pPr>
    </w:p>
    <w:p w:rsidR="00AC1BF9" w:rsidRPr="00E84DC2" w:rsidRDefault="00D733EB" w:rsidP="0069509D">
      <w:pPr>
        <w:pStyle w:val="EPANormal"/>
        <w:rPr>
          <w:rFonts w:ascii="Tahoma" w:eastAsia="Calibri" w:hAnsi="Tahoma" w:cs="Tahoma"/>
          <w:sz w:val="22"/>
          <w:szCs w:val="22"/>
          <w:lang w:val="en-US"/>
        </w:rPr>
      </w:pPr>
      <w:r w:rsidRPr="00D733EB">
        <w:rPr>
          <w:rFonts w:ascii="Tahoma" w:eastAsia="Calibri" w:hAnsi="Tahoma" w:cs="Tahoma"/>
          <w:sz w:val="22"/>
          <w:szCs w:val="22"/>
        </w:rPr>
        <w:t xml:space="preserve">VAGO provided a summary of other audits that had identified shortcomings in local government performance (see Figure 2B). </w:t>
      </w:r>
      <w:r w:rsidRPr="00D733EB">
        <w:rPr>
          <w:rFonts w:ascii="Tahoma" w:eastAsia="Calibri" w:hAnsi="Tahoma" w:cs="Tahoma"/>
          <w:sz w:val="22"/>
          <w:szCs w:val="22"/>
          <w:lang w:val="en-US"/>
        </w:rPr>
        <w:t xml:space="preserve">The recurring nature of the performance issues identified shows there are an ongoing impediment to councils’ ability to fulfill </w:t>
      </w:r>
      <w:r w:rsidRPr="00D733EB">
        <w:rPr>
          <w:rFonts w:ascii="Tahoma" w:eastAsia="Calibri" w:hAnsi="Tahoma" w:cs="Tahoma"/>
          <w:sz w:val="22"/>
          <w:szCs w:val="22"/>
          <w:lang w:val="en-US"/>
        </w:rPr>
        <w:lastRenderedPageBreak/>
        <w:t>their statutory obligations. VAGO found that overcoming these challenges is therefore an urgent priority for the local government sector.</w:t>
      </w:r>
    </w:p>
    <w:p w:rsidR="00A06B52" w:rsidRDefault="00D733EB">
      <w:pPr>
        <w:jc w:val="center"/>
        <w:rPr>
          <w:rFonts w:ascii="Tahoma" w:eastAsia="Calibri" w:hAnsi="Tahoma" w:cs="Tahoma"/>
          <w:b/>
          <w:sz w:val="22"/>
          <w:szCs w:val="22"/>
        </w:rPr>
      </w:pPr>
      <w:r w:rsidRPr="00D733EB">
        <w:rPr>
          <w:rFonts w:ascii="Tahoma" w:eastAsia="Calibri" w:hAnsi="Tahoma" w:cs="Tahoma"/>
          <w:b/>
          <w:sz w:val="22"/>
          <w:szCs w:val="22"/>
        </w:rPr>
        <w:t xml:space="preserve">Figure 2B </w:t>
      </w:r>
      <w:r w:rsidRPr="00D733EB">
        <w:rPr>
          <w:rFonts w:ascii="Tahoma" w:eastAsia="Calibri" w:hAnsi="Tahoma" w:cs="Tahoma"/>
          <w:b/>
          <w:sz w:val="22"/>
          <w:szCs w:val="22"/>
        </w:rPr>
        <w:br/>
      </w:r>
      <w:r w:rsidRPr="00D733EB">
        <w:rPr>
          <w:rFonts w:ascii="Tahoma" w:eastAsia="Calibri" w:hAnsi="Tahoma" w:cs="Tahoma"/>
          <w:b/>
          <w:bCs/>
          <w:sz w:val="22"/>
          <w:szCs w:val="22"/>
        </w:rPr>
        <w:t>Recurring performance issues for councils</w:t>
      </w:r>
    </w:p>
    <w:tbl>
      <w:tblPr>
        <w:tblStyle w:val="LightList-Accent11"/>
        <w:tblW w:w="0" w:type="auto"/>
        <w:tblLayout w:type="fixed"/>
        <w:tblLook w:val="04A0" w:firstRow="1" w:lastRow="0" w:firstColumn="1" w:lastColumn="0" w:noHBand="0" w:noVBand="1"/>
      </w:tblPr>
      <w:tblGrid>
        <w:gridCol w:w="1809"/>
        <w:gridCol w:w="3828"/>
        <w:gridCol w:w="2879"/>
      </w:tblGrid>
      <w:tr w:rsidR="007277BA" w:rsidRPr="00E84DC2" w:rsidTr="00DC6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7277BA" w:rsidRPr="00E84DC2" w:rsidRDefault="00D733EB" w:rsidP="007277BA">
            <w:pPr>
              <w:pStyle w:val="EPANormal"/>
              <w:rPr>
                <w:rFonts w:ascii="Tahoma" w:eastAsia="Calibri" w:hAnsi="Tahoma" w:cs="Tahoma"/>
                <w:b w:val="0"/>
                <w:bCs w:val="0"/>
                <w:color w:val="auto"/>
                <w:sz w:val="20"/>
              </w:rPr>
            </w:pPr>
            <w:r w:rsidRPr="00D733EB">
              <w:rPr>
                <w:rFonts w:ascii="Tahoma" w:eastAsia="Calibri" w:hAnsi="Tahoma" w:cs="Tahoma"/>
                <w:sz w:val="20"/>
              </w:rPr>
              <w:t>Theme</w:t>
            </w:r>
          </w:p>
        </w:tc>
        <w:tc>
          <w:tcPr>
            <w:tcW w:w="3828" w:type="dxa"/>
            <w:hideMark/>
          </w:tcPr>
          <w:p w:rsidR="007277BA" w:rsidRPr="00E84DC2" w:rsidRDefault="00D733EB" w:rsidP="00F267B4">
            <w:pPr>
              <w:pStyle w:val="EPANormal"/>
              <w:ind w:firstLine="318"/>
              <w:cnfStyle w:val="100000000000" w:firstRow="1" w:lastRow="0" w:firstColumn="0" w:lastColumn="0" w:oddVBand="0" w:evenVBand="0" w:oddHBand="0" w:evenHBand="0" w:firstRowFirstColumn="0" w:firstRowLastColumn="0" w:lastRowFirstColumn="0" w:lastRowLastColumn="0"/>
              <w:rPr>
                <w:rFonts w:ascii="Tahoma" w:eastAsia="Calibri" w:hAnsi="Tahoma" w:cs="Tahoma"/>
                <w:b w:val="0"/>
                <w:bCs w:val="0"/>
                <w:color w:val="auto"/>
                <w:sz w:val="20"/>
              </w:rPr>
            </w:pPr>
            <w:r w:rsidRPr="00D733EB">
              <w:rPr>
                <w:rFonts w:ascii="Tahoma" w:eastAsia="Calibri" w:hAnsi="Tahoma" w:cs="Tahoma"/>
                <w:sz w:val="20"/>
              </w:rPr>
              <w:t>Summary</w:t>
            </w:r>
          </w:p>
        </w:tc>
        <w:tc>
          <w:tcPr>
            <w:tcW w:w="2879" w:type="dxa"/>
            <w:hideMark/>
          </w:tcPr>
          <w:p w:rsidR="007277BA" w:rsidRPr="00E84DC2" w:rsidRDefault="00D733EB" w:rsidP="007277BA">
            <w:pPr>
              <w:pStyle w:val="EPANormal"/>
              <w:cnfStyle w:val="100000000000" w:firstRow="1" w:lastRow="0" w:firstColumn="0" w:lastColumn="0" w:oddVBand="0" w:evenVBand="0" w:oddHBand="0" w:evenHBand="0" w:firstRowFirstColumn="0" w:firstRowLastColumn="0" w:lastRowFirstColumn="0" w:lastRowLastColumn="0"/>
              <w:rPr>
                <w:rFonts w:ascii="Tahoma" w:eastAsia="Calibri" w:hAnsi="Tahoma" w:cs="Tahoma"/>
                <w:b w:val="0"/>
                <w:bCs w:val="0"/>
                <w:color w:val="auto"/>
                <w:sz w:val="20"/>
              </w:rPr>
            </w:pPr>
            <w:r w:rsidRPr="00D733EB">
              <w:rPr>
                <w:rFonts w:ascii="Tahoma" w:eastAsia="Calibri" w:hAnsi="Tahoma" w:cs="Tahoma"/>
                <w:sz w:val="20"/>
              </w:rPr>
              <w:t>VAGO Audits</w:t>
            </w:r>
          </w:p>
        </w:tc>
      </w:tr>
      <w:tr w:rsidR="007277BA" w:rsidRPr="00E84DC2" w:rsidTr="00DC6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vMerge w:val="restart"/>
            <w:hideMark/>
          </w:tcPr>
          <w:p w:rsidR="007277BA" w:rsidRPr="00E84DC2" w:rsidRDefault="00D733EB" w:rsidP="007277BA">
            <w:pPr>
              <w:pStyle w:val="EPANormal"/>
              <w:rPr>
                <w:rFonts w:ascii="Tahoma" w:eastAsia="Calibri" w:hAnsi="Tahoma" w:cs="Tahoma"/>
                <w:sz w:val="20"/>
              </w:rPr>
            </w:pPr>
            <w:r w:rsidRPr="00D733EB">
              <w:rPr>
                <w:rFonts w:ascii="Tahoma" w:eastAsia="Calibri" w:hAnsi="Tahoma" w:cs="Tahoma"/>
                <w:sz w:val="20"/>
              </w:rPr>
              <w:t>Ineffective planning and budgeting</w:t>
            </w:r>
          </w:p>
        </w:tc>
        <w:tc>
          <w:tcPr>
            <w:tcW w:w="3828" w:type="dxa"/>
            <w:hideMark/>
          </w:tcPr>
          <w:p w:rsidR="007277BA" w:rsidRPr="00E84DC2" w:rsidRDefault="00D733EB" w:rsidP="00D755D9">
            <w:pPr>
              <w:pStyle w:val="EPANormal"/>
              <w:numPr>
                <w:ilvl w:val="0"/>
                <w:numId w:val="16"/>
              </w:numPr>
              <w:cnfStyle w:val="000000100000" w:firstRow="0" w:lastRow="0" w:firstColumn="0" w:lastColumn="0" w:oddVBand="0" w:evenVBand="0" w:oddHBand="1" w:evenHBand="0" w:firstRowFirstColumn="0" w:firstRowLastColumn="0" w:lastRowFirstColumn="0" w:lastRowLastColumn="0"/>
              <w:rPr>
                <w:rFonts w:ascii="Tahoma" w:eastAsia="Calibri" w:hAnsi="Tahoma" w:cs="Tahoma"/>
                <w:sz w:val="20"/>
              </w:rPr>
            </w:pPr>
            <w:r w:rsidRPr="00D733EB">
              <w:rPr>
                <w:rFonts w:ascii="Tahoma" w:eastAsia="Calibri" w:hAnsi="Tahoma" w:cs="Tahoma"/>
                <w:sz w:val="20"/>
              </w:rPr>
              <w:t>Inadequate links between corporate plans, asset management plans and budget processes</w:t>
            </w:r>
          </w:p>
          <w:p w:rsidR="007277BA" w:rsidRPr="00E84DC2" w:rsidRDefault="00D733EB" w:rsidP="00D755D9">
            <w:pPr>
              <w:pStyle w:val="EPANormal"/>
              <w:numPr>
                <w:ilvl w:val="0"/>
                <w:numId w:val="16"/>
              </w:numPr>
              <w:cnfStyle w:val="000000100000" w:firstRow="0" w:lastRow="0" w:firstColumn="0" w:lastColumn="0" w:oddVBand="0" w:evenVBand="0" w:oddHBand="1" w:evenHBand="0" w:firstRowFirstColumn="0" w:firstRowLastColumn="0" w:lastRowFirstColumn="0" w:lastRowLastColumn="0"/>
              <w:rPr>
                <w:rFonts w:ascii="Tahoma" w:eastAsia="Calibri" w:hAnsi="Tahoma" w:cs="Tahoma"/>
                <w:sz w:val="20"/>
              </w:rPr>
            </w:pPr>
            <w:r w:rsidRPr="00D733EB">
              <w:rPr>
                <w:rFonts w:ascii="Tahoma" w:eastAsia="Calibri" w:hAnsi="Tahoma" w:cs="Tahoma"/>
                <w:sz w:val="20"/>
              </w:rPr>
              <w:t xml:space="preserve">Inadequate funding models resulting from poor forward planning </w:t>
            </w:r>
          </w:p>
        </w:tc>
        <w:tc>
          <w:tcPr>
            <w:tcW w:w="2879" w:type="dxa"/>
            <w:hideMark/>
          </w:tcPr>
          <w:p w:rsidR="007277BA" w:rsidRPr="00E84DC2" w:rsidRDefault="00D733EB" w:rsidP="007277BA">
            <w:pPr>
              <w:pStyle w:val="EPANormal"/>
              <w:cnfStyle w:val="000000100000" w:firstRow="0" w:lastRow="0" w:firstColumn="0" w:lastColumn="0" w:oddVBand="0" w:evenVBand="0" w:oddHBand="1" w:evenHBand="0" w:firstRowFirstColumn="0" w:firstRowLastColumn="0" w:lastRowFirstColumn="0" w:lastRowLastColumn="0"/>
              <w:rPr>
                <w:rFonts w:ascii="Tahoma" w:eastAsia="Calibri" w:hAnsi="Tahoma" w:cs="Tahoma"/>
                <w:sz w:val="20"/>
              </w:rPr>
            </w:pPr>
            <w:r w:rsidRPr="00D733EB">
              <w:rPr>
                <w:rFonts w:ascii="Tahoma" w:eastAsia="Calibri" w:hAnsi="Tahoma" w:cs="Tahoma"/>
                <w:i/>
                <w:iCs/>
                <w:sz w:val="20"/>
              </w:rPr>
              <w:t xml:space="preserve">Management of Roads by Local Councils </w:t>
            </w:r>
            <w:r w:rsidRPr="00D733EB">
              <w:rPr>
                <w:rFonts w:ascii="Tahoma" w:eastAsia="Calibri" w:hAnsi="Tahoma" w:cs="Tahoma"/>
                <w:sz w:val="20"/>
              </w:rPr>
              <w:t>(2002)</w:t>
            </w:r>
          </w:p>
        </w:tc>
      </w:tr>
      <w:tr w:rsidR="007277BA" w:rsidRPr="00E84DC2" w:rsidTr="00DC6BA4">
        <w:tc>
          <w:tcPr>
            <w:cnfStyle w:val="001000000000" w:firstRow="0" w:lastRow="0" w:firstColumn="1" w:lastColumn="0" w:oddVBand="0" w:evenVBand="0" w:oddHBand="0" w:evenHBand="0" w:firstRowFirstColumn="0" w:firstRowLastColumn="0" w:lastRowFirstColumn="0" w:lastRowLastColumn="0"/>
            <w:tcW w:w="1809" w:type="dxa"/>
            <w:vMerge/>
            <w:hideMark/>
          </w:tcPr>
          <w:p w:rsidR="007277BA" w:rsidRPr="00E84DC2" w:rsidRDefault="007277BA" w:rsidP="007277BA">
            <w:pPr>
              <w:pStyle w:val="EPANormal"/>
              <w:rPr>
                <w:rFonts w:ascii="Tahoma" w:eastAsia="Calibri" w:hAnsi="Tahoma" w:cs="Tahoma"/>
                <w:sz w:val="20"/>
              </w:rPr>
            </w:pPr>
          </w:p>
        </w:tc>
        <w:tc>
          <w:tcPr>
            <w:tcW w:w="3828" w:type="dxa"/>
            <w:hideMark/>
          </w:tcPr>
          <w:p w:rsidR="007277BA" w:rsidRPr="00E84DC2" w:rsidRDefault="00D733EB" w:rsidP="00D755D9">
            <w:pPr>
              <w:pStyle w:val="EPANormal"/>
              <w:numPr>
                <w:ilvl w:val="0"/>
                <w:numId w:val="17"/>
              </w:numPr>
              <w:cnfStyle w:val="000000000000" w:firstRow="0" w:lastRow="0" w:firstColumn="0" w:lastColumn="0" w:oddVBand="0" w:evenVBand="0" w:oddHBand="0" w:evenHBand="0" w:firstRowFirstColumn="0" w:firstRowLastColumn="0" w:lastRowFirstColumn="0" w:lastRowLastColumn="0"/>
              <w:rPr>
                <w:rFonts w:ascii="Tahoma" w:eastAsia="Calibri" w:hAnsi="Tahoma" w:cs="Tahoma"/>
                <w:sz w:val="20"/>
              </w:rPr>
            </w:pPr>
            <w:r w:rsidRPr="00D733EB">
              <w:rPr>
                <w:rFonts w:ascii="Tahoma" w:eastAsia="Calibri" w:hAnsi="Tahoma" w:cs="Tahoma"/>
                <w:sz w:val="20"/>
              </w:rPr>
              <w:t>Lack of rigour in developing business continuity plans</w:t>
            </w:r>
          </w:p>
        </w:tc>
        <w:tc>
          <w:tcPr>
            <w:tcW w:w="2879" w:type="dxa"/>
            <w:hideMark/>
          </w:tcPr>
          <w:p w:rsidR="007277BA" w:rsidRPr="00E84DC2" w:rsidRDefault="00D733EB" w:rsidP="007277BA">
            <w:pPr>
              <w:pStyle w:val="EPANormal"/>
              <w:cnfStyle w:val="000000000000" w:firstRow="0" w:lastRow="0" w:firstColumn="0" w:lastColumn="0" w:oddVBand="0" w:evenVBand="0" w:oddHBand="0" w:evenHBand="0" w:firstRowFirstColumn="0" w:firstRowLastColumn="0" w:lastRowFirstColumn="0" w:lastRowLastColumn="0"/>
              <w:rPr>
                <w:rFonts w:ascii="Tahoma" w:eastAsia="Calibri" w:hAnsi="Tahoma" w:cs="Tahoma"/>
                <w:sz w:val="20"/>
              </w:rPr>
            </w:pPr>
            <w:r w:rsidRPr="00D733EB">
              <w:rPr>
                <w:rFonts w:ascii="Tahoma" w:eastAsia="Calibri" w:hAnsi="Tahoma" w:cs="Tahoma"/>
                <w:i/>
                <w:iCs/>
                <w:sz w:val="20"/>
              </w:rPr>
              <w:t xml:space="preserve">Business Continuity Management in Local Government </w:t>
            </w:r>
            <w:r w:rsidRPr="00D733EB">
              <w:rPr>
                <w:rFonts w:ascii="Tahoma" w:eastAsia="Calibri" w:hAnsi="Tahoma" w:cs="Tahoma"/>
                <w:sz w:val="20"/>
              </w:rPr>
              <w:t>(2010)</w:t>
            </w:r>
          </w:p>
        </w:tc>
      </w:tr>
      <w:tr w:rsidR="007277BA" w:rsidRPr="00E84DC2" w:rsidTr="00DC6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vMerge/>
            <w:hideMark/>
          </w:tcPr>
          <w:p w:rsidR="007277BA" w:rsidRPr="00E84DC2" w:rsidRDefault="007277BA" w:rsidP="007277BA">
            <w:pPr>
              <w:pStyle w:val="EPANormal"/>
              <w:rPr>
                <w:rFonts w:ascii="Tahoma" w:eastAsia="Calibri" w:hAnsi="Tahoma" w:cs="Tahoma"/>
                <w:sz w:val="20"/>
              </w:rPr>
            </w:pPr>
          </w:p>
        </w:tc>
        <w:tc>
          <w:tcPr>
            <w:tcW w:w="3828" w:type="dxa"/>
            <w:hideMark/>
          </w:tcPr>
          <w:p w:rsidR="007277BA" w:rsidRPr="00E84DC2" w:rsidRDefault="00D733EB" w:rsidP="00D755D9">
            <w:pPr>
              <w:pStyle w:val="EPANormal"/>
              <w:numPr>
                <w:ilvl w:val="0"/>
                <w:numId w:val="18"/>
              </w:numPr>
              <w:cnfStyle w:val="000000100000" w:firstRow="0" w:lastRow="0" w:firstColumn="0" w:lastColumn="0" w:oddVBand="0" w:evenVBand="0" w:oddHBand="1" w:evenHBand="0" w:firstRowFirstColumn="0" w:firstRowLastColumn="0" w:lastRowFirstColumn="0" w:lastRowLastColumn="0"/>
              <w:rPr>
                <w:rFonts w:ascii="Tahoma" w:eastAsia="Calibri" w:hAnsi="Tahoma" w:cs="Tahoma"/>
                <w:sz w:val="20"/>
              </w:rPr>
            </w:pPr>
            <w:r w:rsidRPr="00D733EB">
              <w:rPr>
                <w:rFonts w:ascii="Tahoma" w:eastAsia="Calibri" w:hAnsi="Tahoma" w:cs="Tahoma"/>
                <w:sz w:val="20"/>
              </w:rPr>
              <w:t>Inability to demonstrate that fees and charges reflect best value principles</w:t>
            </w:r>
          </w:p>
        </w:tc>
        <w:tc>
          <w:tcPr>
            <w:tcW w:w="2879" w:type="dxa"/>
            <w:hideMark/>
          </w:tcPr>
          <w:p w:rsidR="007277BA" w:rsidRPr="00E84DC2" w:rsidRDefault="00D733EB" w:rsidP="007277BA">
            <w:pPr>
              <w:pStyle w:val="EPANormal"/>
              <w:cnfStyle w:val="000000100000" w:firstRow="0" w:lastRow="0" w:firstColumn="0" w:lastColumn="0" w:oddVBand="0" w:evenVBand="0" w:oddHBand="1" w:evenHBand="0" w:firstRowFirstColumn="0" w:firstRowLastColumn="0" w:lastRowFirstColumn="0" w:lastRowLastColumn="0"/>
              <w:rPr>
                <w:rFonts w:ascii="Tahoma" w:eastAsia="Calibri" w:hAnsi="Tahoma" w:cs="Tahoma"/>
                <w:sz w:val="20"/>
              </w:rPr>
            </w:pPr>
            <w:r w:rsidRPr="00D733EB">
              <w:rPr>
                <w:rFonts w:ascii="Tahoma" w:eastAsia="Calibri" w:hAnsi="Tahoma" w:cs="Tahoma"/>
                <w:i/>
                <w:iCs/>
                <w:sz w:val="20"/>
              </w:rPr>
              <w:t xml:space="preserve">Fees and Charges: Cost Recovery by Local Government </w:t>
            </w:r>
            <w:r w:rsidRPr="00D733EB">
              <w:rPr>
                <w:rFonts w:ascii="Tahoma" w:eastAsia="Calibri" w:hAnsi="Tahoma" w:cs="Tahoma"/>
                <w:sz w:val="20"/>
              </w:rPr>
              <w:t>(2010)</w:t>
            </w:r>
          </w:p>
        </w:tc>
      </w:tr>
      <w:tr w:rsidR="007277BA" w:rsidRPr="00E84DC2" w:rsidTr="00DC6BA4">
        <w:tc>
          <w:tcPr>
            <w:cnfStyle w:val="001000000000" w:firstRow="0" w:lastRow="0" w:firstColumn="1" w:lastColumn="0" w:oddVBand="0" w:evenVBand="0" w:oddHBand="0" w:evenHBand="0" w:firstRowFirstColumn="0" w:firstRowLastColumn="0" w:lastRowFirstColumn="0" w:lastRowLastColumn="0"/>
            <w:tcW w:w="1809" w:type="dxa"/>
            <w:vMerge/>
            <w:hideMark/>
          </w:tcPr>
          <w:p w:rsidR="007277BA" w:rsidRPr="00E84DC2" w:rsidRDefault="007277BA" w:rsidP="007277BA">
            <w:pPr>
              <w:pStyle w:val="EPANormal"/>
              <w:rPr>
                <w:rFonts w:ascii="Tahoma" w:eastAsia="Calibri" w:hAnsi="Tahoma" w:cs="Tahoma"/>
                <w:sz w:val="20"/>
              </w:rPr>
            </w:pPr>
          </w:p>
        </w:tc>
        <w:tc>
          <w:tcPr>
            <w:tcW w:w="3828" w:type="dxa"/>
            <w:hideMark/>
          </w:tcPr>
          <w:p w:rsidR="007277BA" w:rsidRPr="00E84DC2" w:rsidRDefault="00D733EB" w:rsidP="00D755D9">
            <w:pPr>
              <w:pStyle w:val="EPANormal"/>
              <w:numPr>
                <w:ilvl w:val="0"/>
                <w:numId w:val="19"/>
              </w:numPr>
              <w:cnfStyle w:val="000000000000" w:firstRow="0" w:lastRow="0" w:firstColumn="0" w:lastColumn="0" w:oddVBand="0" w:evenVBand="0" w:oddHBand="0" w:evenHBand="0" w:firstRowFirstColumn="0" w:firstRowLastColumn="0" w:lastRowFirstColumn="0" w:lastRowLastColumn="0"/>
              <w:rPr>
                <w:rFonts w:ascii="Tahoma" w:eastAsia="Calibri" w:hAnsi="Tahoma" w:cs="Tahoma"/>
                <w:sz w:val="20"/>
              </w:rPr>
            </w:pPr>
            <w:r w:rsidRPr="00D733EB">
              <w:rPr>
                <w:rFonts w:ascii="Tahoma" w:eastAsia="Calibri" w:hAnsi="Tahoma" w:cs="Tahoma"/>
                <w:sz w:val="20"/>
              </w:rPr>
              <w:t>Inadequate asset management plans, compromising effective management of $1.6 billion in assets</w:t>
            </w:r>
          </w:p>
          <w:p w:rsidR="007277BA" w:rsidRPr="00E84DC2" w:rsidRDefault="00D733EB" w:rsidP="00D755D9">
            <w:pPr>
              <w:pStyle w:val="EPANormal"/>
              <w:numPr>
                <w:ilvl w:val="0"/>
                <w:numId w:val="19"/>
              </w:numPr>
              <w:cnfStyle w:val="000000000000" w:firstRow="0" w:lastRow="0" w:firstColumn="0" w:lastColumn="0" w:oddVBand="0" w:evenVBand="0" w:oddHBand="0" w:evenHBand="0" w:firstRowFirstColumn="0" w:firstRowLastColumn="0" w:lastRowFirstColumn="0" w:lastRowLastColumn="0"/>
              <w:rPr>
                <w:rFonts w:ascii="Tahoma" w:eastAsia="Calibri" w:hAnsi="Tahoma" w:cs="Tahoma"/>
                <w:sz w:val="20"/>
              </w:rPr>
            </w:pPr>
            <w:r w:rsidRPr="00D733EB">
              <w:rPr>
                <w:rFonts w:ascii="Tahoma" w:eastAsia="Calibri" w:hAnsi="Tahoma" w:cs="Tahoma"/>
                <w:sz w:val="20"/>
              </w:rPr>
              <w:t>Lack of long-term strategic plans underpinning financial plans</w:t>
            </w:r>
          </w:p>
        </w:tc>
        <w:tc>
          <w:tcPr>
            <w:tcW w:w="2879" w:type="dxa"/>
            <w:hideMark/>
          </w:tcPr>
          <w:p w:rsidR="007277BA" w:rsidRPr="00E84DC2" w:rsidRDefault="00D733EB" w:rsidP="007277BA">
            <w:pPr>
              <w:pStyle w:val="EPANormal"/>
              <w:cnfStyle w:val="000000000000" w:firstRow="0" w:lastRow="0" w:firstColumn="0" w:lastColumn="0" w:oddVBand="0" w:evenVBand="0" w:oddHBand="0" w:evenHBand="0" w:firstRowFirstColumn="0" w:firstRowLastColumn="0" w:lastRowFirstColumn="0" w:lastRowLastColumn="0"/>
              <w:rPr>
                <w:rFonts w:ascii="Tahoma" w:eastAsia="Calibri" w:hAnsi="Tahoma" w:cs="Tahoma"/>
                <w:sz w:val="20"/>
              </w:rPr>
            </w:pPr>
            <w:r w:rsidRPr="00D733EB">
              <w:rPr>
                <w:rFonts w:ascii="Tahoma" w:eastAsia="Calibri" w:hAnsi="Tahoma" w:cs="Tahoma"/>
                <w:i/>
                <w:iCs/>
                <w:sz w:val="20"/>
              </w:rPr>
              <w:t xml:space="preserve">Business Planning for Major Capital Works and Recurrent Services in Local Government </w:t>
            </w:r>
            <w:r w:rsidRPr="00D733EB">
              <w:rPr>
                <w:rFonts w:ascii="Tahoma" w:eastAsia="Calibri" w:hAnsi="Tahoma" w:cs="Tahoma"/>
                <w:sz w:val="20"/>
              </w:rPr>
              <w:t>(2011)</w:t>
            </w:r>
          </w:p>
        </w:tc>
      </w:tr>
      <w:tr w:rsidR="007277BA" w:rsidRPr="00E84DC2" w:rsidTr="00DC6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vMerge w:val="restart"/>
            <w:hideMark/>
          </w:tcPr>
          <w:p w:rsidR="007277BA" w:rsidRPr="00E84DC2" w:rsidRDefault="00D733EB" w:rsidP="007277BA">
            <w:pPr>
              <w:pStyle w:val="EPANormal"/>
              <w:rPr>
                <w:rFonts w:ascii="Tahoma" w:eastAsia="Calibri" w:hAnsi="Tahoma" w:cs="Tahoma"/>
                <w:sz w:val="20"/>
              </w:rPr>
            </w:pPr>
            <w:r w:rsidRPr="00D733EB">
              <w:rPr>
                <w:rFonts w:ascii="Tahoma" w:eastAsia="Calibri" w:hAnsi="Tahoma" w:cs="Tahoma"/>
                <w:sz w:val="20"/>
              </w:rPr>
              <w:t>Inadequate adherence to policies and procedures</w:t>
            </w:r>
          </w:p>
        </w:tc>
        <w:tc>
          <w:tcPr>
            <w:tcW w:w="3828" w:type="dxa"/>
            <w:hideMark/>
          </w:tcPr>
          <w:p w:rsidR="007277BA" w:rsidRPr="00E84DC2" w:rsidRDefault="00D733EB" w:rsidP="00D755D9">
            <w:pPr>
              <w:pStyle w:val="EPANormal"/>
              <w:numPr>
                <w:ilvl w:val="0"/>
                <w:numId w:val="20"/>
              </w:numPr>
              <w:cnfStyle w:val="000000100000" w:firstRow="0" w:lastRow="0" w:firstColumn="0" w:lastColumn="0" w:oddVBand="0" w:evenVBand="0" w:oddHBand="1" w:evenHBand="0" w:firstRowFirstColumn="0" w:firstRowLastColumn="0" w:lastRowFirstColumn="0" w:lastRowLastColumn="0"/>
              <w:rPr>
                <w:rFonts w:ascii="Tahoma" w:eastAsia="Calibri" w:hAnsi="Tahoma" w:cs="Tahoma"/>
                <w:sz w:val="20"/>
              </w:rPr>
            </w:pPr>
            <w:r w:rsidRPr="00D733EB">
              <w:rPr>
                <w:rFonts w:ascii="Tahoma" w:eastAsia="Calibri" w:hAnsi="Tahoma" w:cs="Tahoma"/>
                <w:sz w:val="20"/>
              </w:rPr>
              <w:t xml:space="preserve">Inadequate policies for the management of road assets </w:t>
            </w:r>
          </w:p>
        </w:tc>
        <w:tc>
          <w:tcPr>
            <w:tcW w:w="2879" w:type="dxa"/>
            <w:hideMark/>
          </w:tcPr>
          <w:p w:rsidR="007277BA" w:rsidRPr="00E84DC2" w:rsidRDefault="00D733EB" w:rsidP="007277BA">
            <w:pPr>
              <w:pStyle w:val="EPANormal"/>
              <w:cnfStyle w:val="000000100000" w:firstRow="0" w:lastRow="0" w:firstColumn="0" w:lastColumn="0" w:oddVBand="0" w:evenVBand="0" w:oddHBand="1" w:evenHBand="0" w:firstRowFirstColumn="0" w:firstRowLastColumn="0" w:lastRowFirstColumn="0" w:lastRowLastColumn="0"/>
              <w:rPr>
                <w:rFonts w:ascii="Tahoma" w:eastAsia="Calibri" w:hAnsi="Tahoma" w:cs="Tahoma"/>
                <w:sz w:val="20"/>
              </w:rPr>
            </w:pPr>
            <w:r w:rsidRPr="00D733EB">
              <w:rPr>
                <w:rFonts w:ascii="Tahoma" w:eastAsia="Calibri" w:hAnsi="Tahoma" w:cs="Tahoma"/>
                <w:i/>
                <w:iCs/>
                <w:sz w:val="20"/>
              </w:rPr>
              <w:t xml:space="preserve">Management of Roads by Local Government </w:t>
            </w:r>
            <w:r w:rsidRPr="00D733EB">
              <w:rPr>
                <w:rFonts w:ascii="Tahoma" w:eastAsia="Calibri" w:hAnsi="Tahoma" w:cs="Tahoma"/>
                <w:sz w:val="20"/>
              </w:rPr>
              <w:t>(2002)</w:t>
            </w:r>
          </w:p>
        </w:tc>
      </w:tr>
      <w:tr w:rsidR="007277BA" w:rsidRPr="00E84DC2" w:rsidTr="00DC6BA4">
        <w:tc>
          <w:tcPr>
            <w:cnfStyle w:val="001000000000" w:firstRow="0" w:lastRow="0" w:firstColumn="1" w:lastColumn="0" w:oddVBand="0" w:evenVBand="0" w:oddHBand="0" w:evenHBand="0" w:firstRowFirstColumn="0" w:firstRowLastColumn="0" w:lastRowFirstColumn="0" w:lastRowLastColumn="0"/>
            <w:tcW w:w="1809" w:type="dxa"/>
            <w:vMerge/>
            <w:hideMark/>
          </w:tcPr>
          <w:p w:rsidR="007277BA" w:rsidRPr="00E84DC2" w:rsidRDefault="007277BA" w:rsidP="007277BA">
            <w:pPr>
              <w:pStyle w:val="EPANormal"/>
              <w:rPr>
                <w:rFonts w:ascii="Tahoma" w:eastAsia="Calibri" w:hAnsi="Tahoma" w:cs="Tahoma"/>
                <w:sz w:val="20"/>
              </w:rPr>
            </w:pPr>
          </w:p>
        </w:tc>
        <w:tc>
          <w:tcPr>
            <w:tcW w:w="3828" w:type="dxa"/>
            <w:hideMark/>
          </w:tcPr>
          <w:p w:rsidR="007277BA" w:rsidRPr="00E84DC2" w:rsidRDefault="00D733EB" w:rsidP="00D755D9">
            <w:pPr>
              <w:pStyle w:val="EPANormal"/>
              <w:numPr>
                <w:ilvl w:val="0"/>
                <w:numId w:val="21"/>
              </w:numPr>
              <w:cnfStyle w:val="000000000000" w:firstRow="0" w:lastRow="0" w:firstColumn="0" w:lastColumn="0" w:oddVBand="0" w:evenVBand="0" w:oddHBand="0" w:evenHBand="0" w:firstRowFirstColumn="0" w:firstRowLastColumn="0" w:lastRowFirstColumn="0" w:lastRowLastColumn="0"/>
              <w:rPr>
                <w:rFonts w:ascii="Tahoma" w:eastAsia="Calibri" w:hAnsi="Tahoma" w:cs="Tahoma"/>
                <w:sz w:val="20"/>
              </w:rPr>
            </w:pPr>
            <w:r w:rsidRPr="00D733EB">
              <w:rPr>
                <w:rFonts w:ascii="Tahoma" w:eastAsia="Calibri" w:hAnsi="Tahoma" w:cs="Tahoma"/>
                <w:sz w:val="20"/>
              </w:rPr>
              <w:t>A lack of policies governing the enforcement of planning permits, leading to a lack of assurance that permits are compliant</w:t>
            </w:r>
          </w:p>
        </w:tc>
        <w:tc>
          <w:tcPr>
            <w:tcW w:w="2879" w:type="dxa"/>
            <w:hideMark/>
          </w:tcPr>
          <w:p w:rsidR="007277BA" w:rsidRPr="00E84DC2" w:rsidRDefault="00D733EB" w:rsidP="007277BA">
            <w:pPr>
              <w:pStyle w:val="EPANormal"/>
              <w:cnfStyle w:val="000000000000" w:firstRow="0" w:lastRow="0" w:firstColumn="0" w:lastColumn="0" w:oddVBand="0" w:evenVBand="0" w:oddHBand="0" w:evenHBand="0" w:firstRowFirstColumn="0" w:firstRowLastColumn="0" w:lastRowFirstColumn="0" w:lastRowLastColumn="0"/>
              <w:rPr>
                <w:rFonts w:ascii="Tahoma" w:eastAsia="Calibri" w:hAnsi="Tahoma" w:cs="Tahoma"/>
                <w:sz w:val="20"/>
              </w:rPr>
            </w:pPr>
            <w:r w:rsidRPr="00D733EB">
              <w:rPr>
                <w:rFonts w:ascii="Tahoma" w:eastAsia="Calibri" w:hAnsi="Tahoma" w:cs="Tahoma"/>
                <w:i/>
                <w:iCs/>
                <w:sz w:val="20"/>
              </w:rPr>
              <w:t xml:space="preserve">Enforcement of Planning Permits </w:t>
            </w:r>
            <w:r w:rsidRPr="00D733EB">
              <w:rPr>
                <w:rFonts w:ascii="Tahoma" w:eastAsia="Calibri" w:hAnsi="Tahoma" w:cs="Tahoma"/>
                <w:sz w:val="20"/>
              </w:rPr>
              <w:t>(2008)</w:t>
            </w:r>
          </w:p>
        </w:tc>
      </w:tr>
      <w:tr w:rsidR="007277BA" w:rsidRPr="00E84DC2" w:rsidTr="00DC6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vMerge/>
            <w:hideMark/>
          </w:tcPr>
          <w:p w:rsidR="007277BA" w:rsidRPr="00E84DC2" w:rsidRDefault="007277BA" w:rsidP="007277BA">
            <w:pPr>
              <w:pStyle w:val="EPANormal"/>
              <w:rPr>
                <w:rFonts w:ascii="Tahoma" w:eastAsia="Calibri" w:hAnsi="Tahoma" w:cs="Tahoma"/>
                <w:sz w:val="20"/>
              </w:rPr>
            </w:pPr>
          </w:p>
        </w:tc>
        <w:tc>
          <w:tcPr>
            <w:tcW w:w="3828" w:type="dxa"/>
            <w:hideMark/>
          </w:tcPr>
          <w:p w:rsidR="007277BA" w:rsidRPr="00E84DC2" w:rsidRDefault="00D733EB" w:rsidP="00D755D9">
            <w:pPr>
              <w:pStyle w:val="EPANormal"/>
              <w:numPr>
                <w:ilvl w:val="0"/>
                <w:numId w:val="22"/>
              </w:numPr>
              <w:cnfStyle w:val="000000100000" w:firstRow="0" w:lastRow="0" w:firstColumn="0" w:lastColumn="0" w:oddVBand="0" w:evenVBand="0" w:oddHBand="1" w:evenHBand="0" w:firstRowFirstColumn="0" w:firstRowLastColumn="0" w:lastRowFirstColumn="0" w:lastRowLastColumn="0"/>
              <w:rPr>
                <w:rFonts w:ascii="Tahoma" w:eastAsia="Calibri" w:hAnsi="Tahoma" w:cs="Tahoma"/>
                <w:sz w:val="20"/>
              </w:rPr>
            </w:pPr>
            <w:r w:rsidRPr="00D733EB">
              <w:rPr>
                <w:rFonts w:ascii="Tahoma" w:eastAsia="Calibri" w:hAnsi="Tahoma" w:cs="Tahoma"/>
                <w:sz w:val="20"/>
              </w:rPr>
              <w:t>Inadequate assurance probity standards had been applied and that conflict of interests were avoided</w:t>
            </w:r>
          </w:p>
        </w:tc>
        <w:tc>
          <w:tcPr>
            <w:tcW w:w="2879" w:type="dxa"/>
            <w:hideMark/>
          </w:tcPr>
          <w:p w:rsidR="007277BA" w:rsidRPr="00E84DC2" w:rsidRDefault="00D733EB" w:rsidP="007277BA">
            <w:pPr>
              <w:pStyle w:val="EPANormal"/>
              <w:cnfStyle w:val="000000100000" w:firstRow="0" w:lastRow="0" w:firstColumn="0" w:lastColumn="0" w:oddVBand="0" w:evenVBand="0" w:oddHBand="1" w:evenHBand="0" w:firstRowFirstColumn="0" w:firstRowLastColumn="0" w:lastRowFirstColumn="0" w:lastRowLastColumn="0"/>
              <w:rPr>
                <w:rFonts w:ascii="Tahoma" w:eastAsia="Calibri" w:hAnsi="Tahoma" w:cs="Tahoma"/>
                <w:sz w:val="20"/>
              </w:rPr>
            </w:pPr>
            <w:r w:rsidRPr="00D733EB">
              <w:rPr>
                <w:rFonts w:ascii="Tahoma" w:eastAsia="Calibri" w:hAnsi="Tahoma" w:cs="Tahoma"/>
                <w:i/>
                <w:iCs/>
                <w:sz w:val="20"/>
              </w:rPr>
              <w:t xml:space="preserve">Tendering and Contracting in Local Government </w:t>
            </w:r>
            <w:r w:rsidRPr="00D733EB">
              <w:rPr>
                <w:rFonts w:ascii="Tahoma" w:eastAsia="Calibri" w:hAnsi="Tahoma" w:cs="Tahoma"/>
                <w:sz w:val="20"/>
              </w:rPr>
              <w:t>(2010)</w:t>
            </w:r>
          </w:p>
        </w:tc>
      </w:tr>
      <w:tr w:rsidR="007277BA" w:rsidRPr="00E84DC2" w:rsidTr="00DC6BA4">
        <w:tc>
          <w:tcPr>
            <w:cnfStyle w:val="001000000000" w:firstRow="0" w:lastRow="0" w:firstColumn="1" w:lastColumn="0" w:oddVBand="0" w:evenVBand="0" w:oddHBand="0" w:evenHBand="0" w:firstRowFirstColumn="0" w:firstRowLastColumn="0" w:lastRowFirstColumn="0" w:lastRowLastColumn="0"/>
            <w:tcW w:w="1809" w:type="dxa"/>
            <w:vMerge/>
            <w:hideMark/>
          </w:tcPr>
          <w:p w:rsidR="007277BA" w:rsidRPr="00E84DC2" w:rsidRDefault="007277BA" w:rsidP="007277BA">
            <w:pPr>
              <w:pStyle w:val="EPANormal"/>
              <w:rPr>
                <w:rFonts w:ascii="Tahoma" w:eastAsia="Calibri" w:hAnsi="Tahoma" w:cs="Tahoma"/>
                <w:sz w:val="20"/>
              </w:rPr>
            </w:pPr>
          </w:p>
        </w:tc>
        <w:tc>
          <w:tcPr>
            <w:tcW w:w="3828" w:type="dxa"/>
            <w:hideMark/>
          </w:tcPr>
          <w:p w:rsidR="007277BA" w:rsidRPr="00E84DC2" w:rsidRDefault="00D733EB" w:rsidP="00D755D9">
            <w:pPr>
              <w:pStyle w:val="EPANormal"/>
              <w:numPr>
                <w:ilvl w:val="0"/>
                <w:numId w:val="23"/>
              </w:numPr>
              <w:cnfStyle w:val="000000000000" w:firstRow="0" w:lastRow="0" w:firstColumn="0" w:lastColumn="0" w:oddVBand="0" w:evenVBand="0" w:oddHBand="0" w:evenHBand="0" w:firstRowFirstColumn="0" w:firstRowLastColumn="0" w:lastRowFirstColumn="0" w:lastRowLastColumn="0"/>
              <w:rPr>
                <w:rFonts w:ascii="Tahoma" w:eastAsia="Calibri" w:hAnsi="Tahoma" w:cs="Tahoma"/>
                <w:sz w:val="20"/>
              </w:rPr>
            </w:pPr>
            <w:r w:rsidRPr="00D733EB">
              <w:rPr>
                <w:rFonts w:ascii="Tahoma" w:eastAsia="Calibri" w:hAnsi="Tahoma" w:cs="Tahoma"/>
                <w:sz w:val="20"/>
              </w:rPr>
              <w:t>Limited and reactive practices for monitoring and reporting on compliance with building permits</w:t>
            </w:r>
          </w:p>
        </w:tc>
        <w:tc>
          <w:tcPr>
            <w:tcW w:w="2879" w:type="dxa"/>
            <w:hideMark/>
          </w:tcPr>
          <w:p w:rsidR="007277BA" w:rsidRPr="00E84DC2" w:rsidRDefault="00D733EB" w:rsidP="007277BA">
            <w:pPr>
              <w:pStyle w:val="EPANormal"/>
              <w:cnfStyle w:val="000000000000" w:firstRow="0" w:lastRow="0" w:firstColumn="0" w:lastColumn="0" w:oddVBand="0" w:evenVBand="0" w:oddHBand="0" w:evenHBand="0" w:firstRowFirstColumn="0" w:firstRowLastColumn="0" w:lastRowFirstColumn="0" w:lastRowLastColumn="0"/>
              <w:rPr>
                <w:rFonts w:ascii="Tahoma" w:eastAsia="Calibri" w:hAnsi="Tahoma" w:cs="Tahoma"/>
                <w:sz w:val="20"/>
              </w:rPr>
            </w:pPr>
            <w:r w:rsidRPr="00D733EB">
              <w:rPr>
                <w:rFonts w:ascii="Tahoma" w:eastAsia="Calibri" w:hAnsi="Tahoma" w:cs="Tahoma"/>
                <w:i/>
                <w:iCs/>
                <w:sz w:val="20"/>
              </w:rPr>
              <w:t xml:space="preserve">Compliance With Building Permits </w:t>
            </w:r>
            <w:r w:rsidRPr="00D733EB">
              <w:rPr>
                <w:rFonts w:ascii="Tahoma" w:eastAsia="Calibri" w:hAnsi="Tahoma" w:cs="Tahoma"/>
                <w:sz w:val="20"/>
              </w:rPr>
              <w:t>(2011)</w:t>
            </w:r>
          </w:p>
        </w:tc>
      </w:tr>
      <w:tr w:rsidR="007277BA" w:rsidRPr="00E84DC2" w:rsidTr="00DC6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vMerge w:val="restart"/>
            <w:hideMark/>
          </w:tcPr>
          <w:p w:rsidR="007277BA" w:rsidRPr="00E84DC2" w:rsidRDefault="00D733EB" w:rsidP="007277BA">
            <w:pPr>
              <w:pStyle w:val="EPANormal"/>
              <w:rPr>
                <w:rFonts w:ascii="Tahoma" w:eastAsia="Calibri" w:hAnsi="Tahoma" w:cs="Tahoma"/>
                <w:sz w:val="20"/>
              </w:rPr>
            </w:pPr>
            <w:r w:rsidRPr="00D733EB">
              <w:rPr>
                <w:rFonts w:ascii="Tahoma" w:eastAsia="Calibri" w:hAnsi="Tahoma" w:cs="Tahoma"/>
                <w:sz w:val="20"/>
              </w:rPr>
              <w:t>Weaknesses in accountability, oversight and monitoring</w:t>
            </w:r>
          </w:p>
        </w:tc>
        <w:tc>
          <w:tcPr>
            <w:tcW w:w="3828" w:type="dxa"/>
            <w:hideMark/>
          </w:tcPr>
          <w:p w:rsidR="007277BA" w:rsidRPr="00E84DC2" w:rsidRDefault="00D733EB" w:rsidP="00D755D9">
            <w:pPr>
              <w:pStyle w:val="EPANormal"/>
              <w:numPr>
                <w:ilvl w:val="0"/>
                <w:numId w:val="24"/>
              </w:numPr>
              <w:cnfStyle w:val="000000100000" w:firstRow="0" w:lastRow="0" w:firstColumn="0" w:lastColumn="0" w:oddVBand="0" w:evenVBand="0" w:oddHBand="1" w:evenHBand="0" w:firstRowFirstColumn="0" w:firstRowLastColumn="0" w:lastRowFirstColumn="0" w:lastRowLastColumn="0"/>
              <w:rPr>
                <w:rFonts w:ascii="Tahoma" w:eastAsia="Calibri" w:hAnsi="Tahoma" w:cs="Tahoma"/>
                <w:sz w:val="20"/>
              </w:rPr>
            </w:pPr>
            <w:r w:rsidRPr="00D733EB">
              <w:rPr>
                <w:rFonts w:ascii="Tahoma" w:eastAsia="Calibri" w:hAnsi="Tahoma" w:cs="Tahoma"/>
                <w:sz w:val="20"/>
              </w:rPr>
              <w:t>Inadequate reporting preventing ratepayers from understanding whether road management is efficient and effective</w:t>
            </w:r>
          </w:p>
        </w:tc>
        <w:tc>
          <w:tcPr>
            <w:tcW w:w="2879" w:type="dxa"/>
            <w:hideMark/>
          </w:tcPr>
          <w:p w:rsidR="007277BA" w:rsidRPr="00E84DC2" w:rsidRDefault="00D733EB" w:rsidP="007277BA">
            <w:pPr>
              <w:pStyle w:val="EPANormal"/>
              <w:cnfStyle w:val="000000100000" w:firstRow="0" w:lastRow="0" w:firstColumn="0" w:lastColumn="0" w:oddVBand="0" w:evenVBand="0" w:oddHBand="1" w:evenHBand="0" w:firstRowFirstColumn="0" w:firstRowLastColumn="0" w:lastRowFirstColumn="0" w:lastRowLastColumn="0"/>
              <w:rPr>
                <w:rFonts w:ascii="Tahoma" w:eastAsia="Calibri" w:hAnsi="Tahoma" w:cs="Tahoma"/>
                <w:sz w:val="20"/>
              </w:rPr>
            </w:pPr>
            <w:r w:rsidRPr="00D733EB">
              <w:rPr>
                <w:rFonts w:ascii="Tahoma" w:eastAsia="Calibri" w:hAnsi="Tahoma" w:cs="Tahoma"/>
                <w:i/>
                <w:iCs/>
                <w:sz w:val="20"/>
              </w:rPr>
              <w:t xml:space="preserve">Management of Roads by Local Government </w:t>
            </w:r>
            <w:r w:rsidRPr="00D733EB">
              <w:rPr>
                <w:rFonts w:ascii="Tahoma" w:eastAsia="Calibri" w:hAnsi="Tahoma" w:cs="Tahoma"/>
                <w:sz w:val="20"/>
              </w:rPr>
              <w:t>(2002)</w:t>
            </w:r>
          </w:p>
        </w:tc>
      </w:tr>
      <w:tr w:rsidR="007277BA" w:rsidRPr="00E84DC2" w:rsidTr="00DC6BA4">
        <w:tc>
          <w:tcPr>
            <w:cnfStyle w:val="001000000000" w:firstRow="0" w:lastRow="0" w:firstColumn="1" w:lastColumn="0" w:oddVBand="0" w:evenVBand="0" w:oddHBand="0" w:evenHBand="0" w:firstRowFirstColumn="0" w:firstRowLastColumn="0" w:lastRowFirstColumn="0" w:lastRowLastColumn="0"/>
            <w:tcW w:w="1809" w:type="dxa"/>
            <w:vMerge/>
            <w:hideMark/>
          </w:tcPr>
          <w:p w:rsidR="007277BA" w:rsidRPr="00E84DC2" w:rsidRDefault="007277BA" w:rsidP="007277BA">
            <w:pPr>
              <w:pStyle w:val="EPANormal"/>
              <w:rPr>
                <w:rFonts w:ascii="Tahoma" w:eastAsia="Calibri" w:hAnsi="Tahoma" w:cs="Tahoma"/>
                <w:sz w:val="20"/>
              </w:rPr>
            </w:pPr>
          </w:p>
        </w:tc>
        <w:tc>
          <w:tcPr>
            <w:tcW w:w="3828" w:type="dxa"/>
            <w:hideMark/>
          </w:tcPr>
          <w:p w:rsidR="007277BA" w:rsidRPr="00E84DC2" w:rsidRDefault="00D733EB" w:rsidP="00D755D9">
            <w:pPr>
              <w:pStyle w:val="EPANormal"/>
              <w:numPr>
                <w:ilvl w:val="0"/>
                <w:numId w:val="25"/>
              </w:numPr>
              <w:cnfStyle w:val="000000000000" w:firstRow="0" w:lastRow="0" w:firstColumn="0" w:lastColumn="0" w:oddVBand="0" w:evenVBand="0" w:oddHBand="0" w:evenHBand="0" w:firstRowFirstColumn="0" w:firstRowLastColumn="0" w:lastRowFirstColumn="0" w:lastRowLastColumn="0"/>
              <w:rPr>
                <w:rFonts w:ascii="Tahoma" w:eastAsia="Calibri" w:hAnsi="Tahoma" w:cs="Tahoma"/>
                <w:sz w:val="20"/>
              </w:rPr>
            </w:pPr>
            <w:r w:rsidRPr="00D733EB">
              <w:rPr>
                <w:rFonts w:ascii="Tahoma" w:eastAsia="Calibri" w:hAnsi="Tahoma" w:cs="Tahoma"/>
                <w:sz w:val="20"/>
              </w:rPr>
              <w:t>Inadequate internal reporting preventing clear understanding of whether all development contributions are being collected</w:t>
            </w:r>
          </w:p>
        </w:tc>
        <w:tc>
          <w:tcPr>
            <w:tcW w:w="2879" w:type="dxa"/>
            <w:hideMark/>
          </w:tcPr>
          <w:p w:rsidR="007277BA" w:rsidRPr="00E84DC2" w:rsidRDefault="00D733EB" w:rsidP="007277BA">
            <w:pPr>
              <w:pStyle w:val="EPANormal"/>
              <w:cnfStyle w:val="000000000000" w:firstRow="0" w:lastRow="0" w:firstColumn="0" w:lastColumn="0" w:oddVBand="0" w:evenVBand="0" w:oddHBand="0" w:evenHBand="0" w:firstRowFirstColumn="0" w:firstRowLastColumn="0" w:lastRowFirstColumn="0" w:lastRowLastColumn="0"/>
              <w:rPr>
                <w:rFonts w:ascii="Tahoma" w:eastAsia="Calibri" w:hAnsi="Tahoma" w:cs="Tahoma"/>
                <w:sz w:val="20"/>
              </w:rPr>
            </w:pPr>
            <w:r w:rsidRPr="00D733EB">
              <w:rPr>
                <w:rFonts w:ascii="Tahoma" w:eastAsia="Calibri" w:hAnsi="Tahoma" w:cs="Tahoma"/>
                <w:i/>
                <w:iCs/>
                <w:sz w:val="20"/>
              </w:rPr>
              <w:t xml:space="preserve">Use of Development Contributions by Local Government </w:t>
            </w:r>
            <w:r w:rsidRPr="00D733EB">
              <w:rPr>
                <w:rFonts w:ascii="Tahoma" w:eastAsia="Calibri" w:hAnsi="Tahoma" w:cs="Tahoma"/>
                <w:sz w:val="20"/>
              </w:rPr>
              <w:t>(2009)</w:t>
            </w:r>
          </w:p>
        </w:tc>
      </w:tr>
      <w:tr w:rsidR="007277BA" w:rsidRPr="00E84DC2" w:rsidTr="00DC6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vMerge/>
            <w:hideMark/>
          </w:tcPr>
          <w:p w:rsidR="007277BA" w:rsidRPr="00E84DC2" w:rsidRDefault="007277BA" w:rsidP="007277BA">
            <w:pPr>
              <w:pStyle w:val="EPANormal"/>
              <w:rPr>
                <w:rFonts w:ascii="Tahoma" w:eastAsia="Calibri" w:hAnsi="Tahoma" w:cs="Tahoma"/>
                <w:sz w:val="20"/>
              </w:rPr>
            </w:pPr>
          </w:p>
        </w:tc>
        <w:tc>
          <w:tcPr>
            <w:tcW w:w="3828" w:type="dxa"/>
            <w:hideMark/>
          </w:tcPr>
          <w:p w:rsidR="007277BA" w:rsidRPr="00E84DC2" w:rsidRDefault="00D733EB" w:rsidP="00D755D9">
            <w:pPr>
              <w:pStyle w:val="EPANormal"/>
              <w:numPr>
                <w:ilvl w:val="0"/>
                <w:numId w:val="26"/>
              </w:numPr>
              <w:cnfStyle w:val="000000100000" w:firstRow="0" w:lastRow="0" w:firstColumn="0" w:lastColumn="0" w:oddVBand="0" w:evenVBand="0" w:oddHBand="1" w:evenHBand="0" w:firstRowFirstColumn="0" w:firstRowLastColumn="0" w:lastRowFirstColumn="0" w:lastRowLastColumn="0"/>
              <w:rPr>
                <w:rFonts w:ascii="Tahoma" w:eastAsia="Calibri" w:hAnsi="Tahoma" w:cs="Tahoma"/>
                <w:sz w:val="20"/>
              </w:rPr>
            </w:pPr>
            <w:r w:rsidRPr="00D733EB">
              <w:rPr>
                <w:rFonts w:ascii="Tahoma" w:eastAsia="Calibri" w:hAnsi="Tahoma" w:cs="Tahoma"/>
                <w:sz w:val="20"/>
              </w:rPr>
              <w:t>Insufficient oversight over staff’s application of probity standards, and inadequate systems for monitoring aggregate payments</w:t>
            </w:r>
          </w:p>
        </w:tc>
        <w:tc>
          <w:tcPr>
            <w:tcW w:w="2879" w:type="dxa"/>
            <w:hideMark/>
          </w:tcPr>
          <w:p w:rsidR="007277BA" w:rsidRPr="00E84DC2" w:rsidRDefault="00D733EB" w:rsidP="007277BA">
            <w:pPr>
              <w:pStyle w:val="EPANormal"/>
              <w:cnfStyle w:val="000000100000" w:firstRow="0" w:lastRow="0" w:firstColumn="0" w:lastColumn="0" w:oddVBand="0" w:evenVBand="0" w:oddHBand="1" w:evenHBand="0" w:firstRowFirstColumn="0" w:firstRowLastColumn="0" w:lastRowFirstColumn="0" w:lastRowLastColumn="0"/>
              <w:rPr>
                <w:rFonts w:ascii="Tahoma" w:eastAsia="Calibri" w:hAnsi="Tahoma" w:cs="Tahoma"/>
                <w:sz w:val="20"/>
              </w:rPr>
            </w:pPr>
            <w:r w:rsidRPr="00D733EB">
              <w:rPr>
                <w:rFonts w:ascii="Tahoma" w:eastAsia="Calibri" w:hAnsi="Tahoma" w:cs="Tahoma"/>
                <w:i/>
                <w:iCs/>
                <w:sz w:val="20"/>
              </w:rPr>
              <w:t xml:space="preserve">Tendering and Contracting in Local Government </w:t>
            </w:r>
            <w:r w:rsidRPr="00D733EB">
              <w:rPr>
                <w:rFonts w:ascii="Tahoma" w:eastAsia="Calibri" w:hAnsi="Tahoma" w:cs="Tahoma"/>
                <w:sz w:val="20"/>
              </w:rPr>
              <w:t>(2010)</w:t>
            </w:r>
          </w:p>
        </w:tc>
      </w:tr>
      <w:tr w:rsidR="007277BA" w:rsidRPr="00E84DC2" w:rsidTr="00DC6BA4">
        <w:tc>
          <w:tcPr>
            <w:cnfStyle w:val="001000000000" w:firstRow="0" w:lastRow="0" w:firstColumn="1" w:lastColumn="0" w:oddVBand="0" w:evenVBand="0" w:oddHBand="0" w:evenHBand="0" w:firstRowFirstColumn="0" w:firstRowLastColumn="0" w:lastRowFirstColumn="0" w:lastRowLastColumn="0"/>
            <w:tcW w:w="1809" w:type="dxa"/>
            <w:vMerge/>
            <w:hideMark/>
          </w:tcPr>
          <w:p w:rsidR="007277BA" w:rsidRPr="00E84DC2" w:rsidRDefault="007277BA" w:rsidP="007277BA">
            <w:pPr>
              <w:pStyle w:val="EPANormal"/>
              <w:rPr>
                <w:rFonts w:ascii="Tahoma" w:eastAsia="Calibri" w:hAnsi="Tahoma" w:cs="Tahoma"/>
                <w:sz w:val="20"/>
              </w:rPr>
            </w:pPr>
          </w:p>
        </w:tc>
        <w:tc>
          <w:tcPr>
            <w:tcW w:w="3828" w:type="dxa"/>
            <w:hideMark/>
          </w:tcPr>
          <w:p w:rsidR="007277BA" w:rsidRPr="00E84DC2" w:rsidRDefault="00D733EB" w:rsidP="00D755D9">
            <w:pPr>
              <w:pStyle w:val="EPANormal"/>
              <w:numPr>
                <w:ilvl w:val="0"/>
                <w:numId w:val="27"/>
              </w:numPr>
              <w:cnfStyle w:val="000000000000" w:firstRow="0" w:lastRow="0" w:firstColumn="0" w:lastColumn="0" w:oddVBand="0" w:evenVBand="0" w:oddHBand="0" w:evenHBand="0" w:firstRowFirstColumn="0" w:firstRowLastColumn="0" w:lastRowFirstColumn="0" w:lastRowLastColumn="0"/>
              <w:rPr>
                <w:rFonts w:ascii="Tahoma" w:eastAsia="Calibri" w:hAnsi="Tahoma" w:cs="Tahoma"/>
                <w:sz w:val="20"/>
              </w:rPr>
            </w:pPr>
            <w:r w:rsidRPr="00D733EB">
              <w:rPr>
                <w:rFonts w:ascii="Tahoma" w:eastAsia="Calibri" w:hAnsi="Tahoma" w:cs="Tahoma"/>
                <w:sz w:val="20"/>
              </w:rPr>
              <w:t>Inadequate management reporting on fees and charges, compromising oversight of service efficiency, subsidy levels and cost recovery</w:t>
            </w:r>
          </w:p>
        </w:tc>
        <w:tc>
          <w:tcPr>
            <w:tcW w:w="2879" w:type="dxa"/>
            <w:hideMark/>
          </w:tcPr>
          <w:p w:rsidR="007277BA" w:rsidRPr="00E84DC2" w:rsidRDefault="00D733EB" w:rsidP="007277BA">
            <w:pPr>
              <w:pStyle w:val="EPANormal"/>
              <w:cnfStyle w:val="000000000000" w:firstRow="0" w:lastRow="0" w:firstColumn="0" w:lastColumn="0" w:oddVBand="0" w:evenVBand="0" w:oddHBand="0" w:evenHBand="0" w:firstRowFirstColumn="0" w:firstRowLastColumn="0" w:lastRowFirstColumn="0" w:lastRowLastColumn="0"/>
              <w:rPr>
                <w:rFonts w:ascii="Tahoma" w:eastAsia="Calibri" w:hAnsi="Tahoma" w:cs="Tahoma"/>
                <w:sz w:val="20"/>
              </w:rPr>
            </w:pPr>
            <w:r w:rsidRPr="00D733EB">
              <w:rPr>
                <w:rFonts w:ascii="Tahoma" w:eastAsia="Calibri" w:hAnsi="Tahoma" w:cs="Tahoma"/>
                <w:i/>
                <w:iCs/>
                <w:sz w:val="20"/>
              </w:rPr>
              <w:t>Fees and Charges: Cost Recovery by Local Government</w:t>
            </w:r>
            <w:r w:rsidRPr="00D733EB">
              <w:rPr>
                <w:rFonts w:ascii="Tahoma" w:eastAsia="Calibri" w:hAnsi="Tahoma" w:cs="Tahoma"/>
                <w:sz w:val="20"/>
              </w:rPr>
              <w:t xml:space="preserve"> (2010)</w:t>
            </w:r>
          </w:p>
        </w:tc>
      </w:tr>
      <w:tr w:rsidR="007277BA" w:rsidRPr="00E84DC2" w:rsidTr="00DC6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vMerge/>
            <w:hideMark/>
          </w:tcPr>
          <w:p w:rsidR="007277BA" w:rsidRPr="00E84DC2" w:rsidRDefault="007277BA" w:rsidP="007277BA">
            <w:pPr>
              <w:pStyle w:val="EPANormal"/>
              <w:rPr>
                <w:rFonts w:ascii="Tahoma" w:eastAsia="Calibri" w:hAnsi="Tahoma" w:cs="Tahoma"/>
                <w:sz w:val="20"/>
              </w:rPr>
            </w:pPr>
          </w:p>
        </w:tc>
        <w:tc>
          <w:tcPr>
            <w:tcW w:w="3828" w:type="dxa"/>
            <w:hideMark/>
          </w:tcPr>
          <w:p w:rsidR="007277BA" w:rsidRPr="00E84DC2" w:rsidRDefault="00D733EB" w:rsidP="00D755D9">
            <w:pPr>
              <w:pStyle w:val="EPANormal"/>
              <w:numPr>
                <w:ilvl w:val="0"/>
                <w:numId w:val="28"/>
              </w:numPr>
              <w:cnfStyle w:val="000000100000" w:firstRow="0" w:lastRow="0" w:firstColumn="0" w:lastColumn="0" w:oddVBand="0" w:evenVBand="0" w:oddHBand="1" w:evenHBand="0" w:firstRowFirstColumn="0" w:firstRowLastColumn="0" w:lastRowFirstColumn="0" w:lastRowLastColumn="0"/>
              <w:rPr>
                <w:rFonts w:ascii="Tahoma" w:eastAsia="Calibri" w:hAnsi="Tahoma" w:cs="Tahoma"/>
                <w:sz w:val="20"/>
              </w:rPr>
            </w:pPr>
            <w:r w:rsidRPr="00D733EB">
              <w:rPr>
                <w:rFonts w:ascii="Tahoma" w:eastAsia="Calibri" w:hAnsi="Tahoma" w:cs="Tahoma"/>
                <w:sz w:val="20"/>
              </w:rPr>
              <w:t>Little assurance that councils regularly reviewed services in accordance with best value principles</w:t>
            </w:r>
          </w:p>
        </w:tc>
        <w:tc>
          <w:tcPr>
            <w:tcW w:w="2879" w:type="dxa"/>
            <w:hideMark/>
          </w:tcPr>
          <w:p w:rsidR="007277BA" w:rsidRPr="00E84DC2" w:rsidRDefault="00D733EB" w:rsidP="007277BA">
            <w:pPr>
              <w:pStyle w:val="EPANormal"/>
              <w:cnfStyle w:val="000000100000" w:firstRow="0" w:lastRow="0" w:firstColumn="0" w:lastColumn="0" w:oddVBand="0" w:evenVBand="0" w:oddHBand="1" w:evenHBand="0" w:firstRowFirstColumn="0" w:firstRowLastColumn="0" w:lastRowFirstColumn="0" w:lastRowLastColumn="0"/>
              <w:rPr>
                <w:rFonts w:ascii="Tahoma" w:eastAsia="Calibri" w:hAnsi="Tahoma" w:cs="Tahoma"/>
                <w:sz w:val="20"/>
              </w:rPr>
            </w:pPr>
            <w:r w:rsidRPr="00D733EB">
              <w:rPr>
                <w:rFonts w:ascii="Tahoma" w:eastAsia="Calibri" w:hAnsi="Tahoma" w:cs="Tahoma"/>
                <w:i/>
                <w:iCs/>
                <w:sz w:val="20"/>
              </w:rPr>
              <w:t xml:space="preserve">Business Planning for Major Capital Works and Recurrent Services in Local Government </w:t>
            </w:r>
            <w:r w:rsidRPr="00D733EB">
              <w:rPr>
                <w:rFonts w:ascii="Tahoma" w:eastAsia="Calibri" w:hAnsi="Tahoma" w:cs="Tahoma"/>
                <w:sz w:val="20"/>
              </w:rPr>
              <w:t>(2011)</w:t>
            </w:r>
          </w:p>
        </w:tc>
      </w:tr>
    </w:tbl>
    <w:p w:rsidR="007277BA" w:rsidRPr="00E84DC2" w:rsidRDefault="00D733EB" w:rsidP="007277BA">
      <w:pPr>
        <w:pStyle w:val="EPANormal"/>
        <w:rPr>
          <w:rFonts w:ascii="Tahoma" w:eastAsia="Calibri" w:hAnsi="Tahoma" w:cs="Tahoma"/>
          <w:sz w:val="20"/>
        </w:rPr>
      </w:pPr>
      <w:r w:rsidRPr="00D733EB">
        <w:rPr>
          <w:rFonts w:ascii="Tahoma" w:eastAsia="Calibri" w:hAnsi="Tahoma" w:cs="Tahoma"/>
          <w:i/>
          <w:iCs/>
          <w:sz w:val="20"/>
        </w:rPr>
        <w:t>Source: Victorian Auditor-General’s Office</w:t>
      </w:r>
    </w:p>
    <w:p w:rsidR="00AC1BF9" w:rsidRPr="00E84DC2" w:rsidRDefault="00AC1BF9" w:rsidP="0069509D">
      <w:pPr>
        <w:pStyle w:val="EPANormal"/>
        <w:rPr>
          <w:rFonts w:ascii="Tahoma" w:eastAsia="Calibri" w:hAnsi="Tahoma" w:cs="Tahoma"/>
          <w:sz w:val="22"/>
          <w:szCs w:val="22"/>
        </w:rPr>
      </w:pPr>
    </w:p>
    <w:p w:rsidR="009016E8" w:rsidRPr="00E84DC2" w:rsidRDefault="00D733EB" w:rsidP="0069509D">
      <w:pPr>
        <w:pStyle w:val="EPANormal"/>
        <w:rPr>
          <w:rFonts w:ascii="Tahoma" w:eastAsia="Calibri" w:hAnsi="Tahoma" w:cs="Tahoma"/>
          <w:sz w:val="22"/>
          <w:szCs w:val="22"/>
        </w:rPr>
      </w:pPr>
      <w:r w:rsidRPr="00D733EB">
        <w:rPr>
          <w:rFonts w:ascii="Tahoma" w:eastAsia="Calibri" w:hAnsi="Tahoma" w:cs="Tahoma"/>
          <w:sz w:val="22"/>
          <w:szCs w:val="22"/>
        </w:rPr>
        <w:lastRenderedPageBreak/>
        <w:t xml:space="preserve">Further detail on these audits is included in Attachment </w:t>
      </w:r>
      <w:r w:rsidR="002D6369">
        <w:rPr>
          <w:rFonts w:ascii="Tahoma" w:eastAsia="Calibri" w:hAnsi="Tahoma" w:cs="Tahoma"/>
          <w:sz w:val="22"/>
          <w:szCs w:val="22"/>
        </w:rPr>
        <w:t>A</w:t>
      </w:r>
      <w:r w:rsidRPr="00D733EB">
        <w:rPr>
          <w:rFonts w:ascii="Tahoma" w:eastAsia="Calibri" w:hAnsi="Tahoma" w:cs="Tahoma"/>
          <w:sz w:val="22"/>
          <w:szCs w:val="22"/>
        </w:rPr>
        <w:t>.</w:t>
      </w:r>
    </w:p>
    <w:p w:rsidR="009016E8" w:rsidRPr="00E84DC2" w:rsidRDefault="009016E8" w:rsidP="0069509D">
      <w:pPr>
        <w:pStyle w:val="EPANormal"/>
        <w:rPr>
          <w:rFonts w:ascii="Tahoma" w:eastAsia="Calibri" w:hAnsi="Tahoma" w:cs="Tahoma"/>
          <w:sz w:val="22"/>
          <w:szCs w:val="22"/>
        </w:rPr>
      </w:pPr>
    </w:p>
    <w:p w:rsidR="00764119" w:rsidRPr="00E84DC2" w:rsidRDefault="00D733EB" w:rsidP="00764119">
      <w:pPr>
        <w:pStyle w:val="EPANormal"/>
        <w:rPr>
          <w:rFonts w:ascii="Tahoma" w:eastAsia="Calibri" w:hAnsi="Tahoma" w:cs="Tahoma"/>
          <w:sz w:val="22"/>
          <w:szCs w:val="22"/>
        </w:rPr>
      </w:pPr>
      <w:r w:rsidRPr="00D733EB">
        <w:rPr>
          <w:rFonts w:ascii="Tahoma" w:eastAsia="Calibri" w:hAnsi="Tahoma" w:cs="Tahoma"/>
          <w:sz w:val="22"/>
          <w:szCs w:val="22"/>
          <w:lang w:val="en-US"/>
        </w:rPr>
        <w:t xml:space="preserve">Rate increases are an issue of considerable concern to communities as illustrated in </w:t>
      </w:r>
      <w:r w:rsidR="002D6369" w:rsidRPr="00D733EB">
        <w:rPr>
          <w:rFonts w:ascii="Tahoma" w:eastAsia="Calibri" w:hAnsi="Tahoma" w:cs="Tahoma"/>
          <w:sz w:val="22"/>
          <w:szCs w:val="22"/>
          <w:lang w:val="en-US"/>
        </w:rPr>
        <w:t>the 2013</w:t>
      </w:r>
      <w:r w:rsidRPr="00D733EB">
        <w:rPr>
          <w:rFonts w:ascii="Tahoma" w:eastAsia="Calibri" w:hAnsi="Tahoma" w:cs="Tahoma"/>
          <w:sz w:val="22"/>
          <w:szCs w:val="22"/>
          <w:lang w:val="en-US"/>
        </w:rPr>
        <w:t xml:space="preserve"> VAGO performance audit </w:t>
      </w:r>
      <w:r w:rsidRPr="00D733EB">
        <w:rPr>
          <w:rFonts w:ascii="Tahoma" w:hAnsi="Tahoma" w:cs="Tahoma"/>
          <w:i/>
          <w:sz w:val="22"/>
        </w:rPr>
        <w:t>Rating Practices in Local Government</w:t>
      </w:r>
      <w:r w:rsidRPr="00D733EB">
        <w:rPr>
          <w:rFonts w:ascii="Tahoma" w:eastAsia="Calibri" w:hAnsi="Tahoma" w:cs="Tahoma"/>
          <w:szCs w:val="22"/>
          <w:lang w:val="en-US"/>
        </w:rPr>
        <w:t xml:space="preserve"> </w:t>
      </w:r>
      <w:r w:rsidRPr="00D733EB">
        <w:rPr>
          <w:rFonts w:ascii="Tahoma" w:eastAsia="Calibri" w:hAnsi="Tahoma" w:cs="Tahoma"/>
          <w:sz w:val="22"/>
          <w:szCs w:val="22"/>
          <w:lang w:val="en-US"/>
        </w:rPr>
        <w:t xml:space="preserve">which found the average percentage annual increase in rates exceeded both the Local Government Cost Index (LGCI) and the Consumer Price Index (CPI) across all councils between 2000 and 2010. </w:t>
      </w:r>
    </w:p>
    <w:p w:rsidR="00764119" w:rsidRPr="00E84DC2" w:rsidRDefault="00764119" w:rsidP="00764119">
      <w:pPr>
        <w:rPr>
          <w:rFonts w:ascii="Tahoma" w:eastAsia="Calibri" w:hAnsi="Tahoma" w:cs="Tahoma"/>
          <w:sz w:val="22"/>
          <w:szCs w:val="22"/>
          <w:lang w:val="en-AU"/>
        </w:rPr>
      </w:pPr>
    </w:p>
    <w:p w:rsidR="008E696B" w:rsidRPr="00E84DC2" w:rsidRDefault="00D733EB" w:rsidP="00764119">
      <w:pPr>
        <w:pStyle w:val="EPANormal"/>
        <w:rPr>
          <w:rFonts w:ascii="Tahoma" w:eastAsia="Calibri" w:hAnsi="Tahoma" w:cs="Tahoma"/>
          <w:sz w:val="22"/>
          <w:szCs w:val="22"/>
          <w:lang w:val="en-US"/>
        </w:rPr>
      </w:pPr>
      <w:r w:rsidRPr="00D733EB">
        <w:rPr>
          <w:rFonts w:ascii="Tahoma" w:eastAsia="Calibri" w:hAnsi="Tahoma" w:cs="Tahoma"/>
          <w:sz w:val="22"/>
          <w:szCs w:val="22"/>
        </w:rPr>
        <w:t xml:space="preserve">Rate increases above CPI may be necessary to renew assets or complete essential works. </w:t>
      </w:r>
      <w:r w:rsidRPr="00D733EB">
        <w:rPr>
          <w:rFonts w:ascii="Tahoma" w:eastAsia="Calibri" w:hAnsi="Tahoma" w:cs="Tahoma"/>
          <w:sz w:val="22"/>
          <w:szCs w:val="22"/>
          <w:lang w:val="en-US"/>
        </w:rPr>
        <w:t>Each council and its community need specific diagnostic performance data to understand its rating circumstances and where opportunities for improvements lie.</w:t>
      </w:r>
    </w:p>
    <w:p w:rsidR="003F40C1" w:rsidRPr="00E84DC2" w:rsidRDefault="003F40C1" w:rsidP="00764119">
      <w:pPr>
        <w:pStyle w:val="EPANormal"/>
        <w:rPr>
          <w:rFonts w:ascii="Tahoma" w:eastAsia="Calibri" w:hAnsi="Tahoma" w:cs="Tahoma"/>
          <w:sz w:val="22"/>
          <w:szCs w:val="22"/>
        </w:rPr>
      </w:pPr>
    </w:p>
    <w:p w:rsidR="003F40C1" w:rsidRPr="00E84DC2" w:rsidRDefault="00D733EB" w:rsidP="00764119">
      <w:pPr>
        <w:pStyle w:val="EPANormal"/>
        <w:rPr>
          <w:rFonts w:ascii="Tahoma" w:eastAsia="Calibri" w:hAnsi="Tahoma" w:cs="Tahoma"/>
          <w:sz w:val="22"/>
          <w:szCs w:val="22"/>
        </w:rPr>
      </w:pPr>
      <w:r w:rsidRPr="00D733EB">
        <w:rPr>
          <w:rFonts w:ascii="Tahoma" w:eastAsia="Calibri" w:hAnsi="Tahoma" w:cs="Tahoma"/>
          <w:sz w:val="22"/>
          <w:szCs w:val="22"/>
        </w:rPr>
        <w:t xml:space="preserve">VAGO found that gaps in performance information mean that councils may not be able to adequately pursue internal efficiency improvements that can alleviate the need for significant rate increases. </w:t>
      </w:r>
    </w:p>
    <w:p w:rsidR="003F40C1" w:rsidRPr="00E84DC2" w:rsidRDefault="003F40C1" w:rsidP="00764119">
      <w:pPr>
        <w:pStyle w:val="EPANormal"/>
        <w:rPr>
          <w:rFonts w:ascii="Tahoma" w:eastAsia="Calibri" w:hAnsi="Tahoma" w:cs="Tahoma"/>
          <w:sz w:val="22"/>
          <w:szCs w:val="22"/>
        </w:rPr>
      </w:pPr>
    </w:p>
    <w:p w:rsidR="00266BB9" w:rsidRPr="00E84DC2" w:rsidRDefault="00D733EB" w:rsidP="00266BB9">
      <w:pPr>
        <w:pStyle w:val="EPANormal"/>
        <w:rPr>
          <w:rFonts w:ascii="Tahoma" w:eastAsia="Calibri" w:hAnsi="Tahoma" w:cs="Tahoma"/>
          <w:sz w:val="22"/>
          <w:szCs w:val="22"/>
        </w:rPr>
      </w:pPr>
      <w:r w:rsidRPr="00D733EB">
        <w:rPr>
          <w:rFonts w:ascii="Tahoma" w:eastAsia="Calibri" w:hAnsi="Tahoma" w:cs="Tahoma"/>
          <w:sz w:val="22"/>
          <w:szCs w:val="22"/>
        </w:rPr>
        <w:t>Better performance reporting will also assist councils to justify and explain their decisions on council rates to their communities. The Auditor-General recently found that local councils do not consistently and transparently report key rates and charges data in a manner that allows scrutiny of decisions, and comparability between councils. The performance audit found that councils primarily rely on their annual budget process to engage ratepayers about rating decisions, but do not always adequately explain how they have considered community issues in rate setting.</w:t>
      </w:r>
      <w:r>
        <w:rPr>
          <w:rStyle w:val="FootnoteReference"/>
          <w:rFonts w:ascii="Tahoma" w:eastAsia="Calibri" w:hAnsi="Tahoma" w:cs="Tahoma"/>
          <w:sz w:val="22"/>
          <w:szCs w:val="22"/>
        </w:rPr>
        <w:footnoteReference w:id="25"/>
      </w:r>
    </w:p>
    <w:p w:rsidR="004126E2" w:rsidRPr="00E84DC2" w:rsidRDefault="004126E2" w:rsidP="00266BB9">
      <w:pPr>
        <w:pStyle w:val="EPANormal"/>
        <w:rPr>
          <w:rFonts w:ascii="Tahoma" w:eastAsia="Calibri" w:hAnsi="Tahoma" w:cs="Tahoma"/>
          <w:sz w:val="22"/>
          <w:szCs w:val="22"/>
        </w:rPr>
      </w:pPr>
    </w:p>
    <w:p w:rsidR="00266BB9" w:rsidRPr="00E84DC2" w:rsidRDefault="00D733EB" w:rsidP="00266BB9">
      <w:pPr>
        <w:pStyle w:val="EPANormal"/>
        <w:rPr>
          <w:rFonts w:ascii="Tahoma" w:eastAsia="Calibri" w:hAnsi="Tahoma" w:cs="Tahoma"/>
          <w:sz w:val="22"/>
          <w:szCs w:val="22"/>
        </w:rPr>
      </w:pPr>
      <w:r w:rsidRPr="00D733EB">
        <w:rPr>
          <w:rFonts w:ascii="Tahoma" w:eastAsia="Calibri" w:hAnsi="Tahoma" w:cs="Tahoma"/>
          <w:sz w:val="22"/>
          <w:szCs w:val="22"/>
        </w:rPr>
        <w:t xml:space="preserve">The audit recommended that the reporting of rates and charges data should be improved and standardised so that it is used consistently across all municipalities, and ratepayers and the general community can readily interpret the data. </w:t>
      </w:r>
    </w:p>
    <w:p w:rsidR="004126E2" w:rsidRPr="00E84DC2" w:rsidRDefault="004126E2" w:rsidP="00266BB9">
      <w:pPr>
        <w:pStyle w:val="EPANormal"/>
        <w:rPr>
          <w:rFonts w:ascii="Tahoma" w:eastAsia="Calibri" w:hAnsi="Tahoma" w:cs="Tahoma"/>
          <w:sz w:val="22"/>
          <w:szCs w:val="22"/>
        </w:rPr>
      </w:pPr>
    </w:p>
    <w:p w:rsidR="00764119" w:rsidRPr="00E84DC2" w:rsidRDefault="00D733EB" w:rsidP="00764119">
      <w:pPr>
        <w:pStyle w:val="EPANormal"/>
        <w:rPr>
          <w:rFonts w:ascii="Tahoma" w:eastAsia="Calibri" w:hAnsi="Tahoma" w:cs="Tahoma"/>
          <w:sz w:val="22"/>
          <w:szCs w:val="22"/>
        </w:rPr>
      </w:pPr>
      <w:r w:rsidRPr="00D733EB">
        <w:rPr>
          <w:rFonts w:ascii="Tahoma" w:eastAsia="Calibri" w:hAnsi="Tahoma" w:cs="Tahoma"/>
          <w:sz w:val="22"/>
          <w:szCs w:val="22"/>
          <w:lang w:val="en-US"/>
        </w:rPr>
        <w:t xml:space="preserve">Understanding the efficiency and effectiveness of operations is essential for councils to make prudent resourcing decisions, for assuring the equitable distribution of rates, and for justifying these decisions to the community. </w:t>
      </w:r>
    </w:p>
    <w:p w:rsidR="003F1808" w:rsidRPr="00E84DC2" w:rsidRDefault="003F1808" w:rsidP="003F1808">
      <w:pPr>
        <w:rPr>
          <w:rFonts w:ascii="Tahoma" w:eastAsia="Calibri" w:hAnsi="Tahoma" w:cs="Tahoma"/>
          <w:sz w:val="22"/>
          <w:szCs w:val="22"/>
          <w:lang w:val="en-AU"/>
        </w:rPr>
      </w:pPr>
    </w:p>
    <w:p w:rsidR="003F1808" w:rsidRPr="00E84DC2" w:rsidRDefault="00D733EB" w:rsidP="003F1808">
      <w:pPr>
        <w:rPr>
          <w:rFonts w:ascii="Tahoma" w:eastAsia="Calibri" w:hAnsi="Tahoma" w:cs="Tahoma"/>
          <w:sz w:val="22"/>
          <w:szCs w:val="22"/>
          <w:lang w:val="en-AU"/>
        </w:rPr>
      </w:pPr>
      <w:r w:rsidRPr="00D733EB">
        <w:rPr>
          <w:rFonts w:ascii="Tahoma" w:eastAsia="Calibri" w:hAnsi="Tahoma" w:cs="Tahoma"/>
          <w:sz w:val="22"/>
          <w:szCs w:val="22"/>
          <w:lang w:val="en-AU"/>
        </w:rPr>
        <w:t xml:space="preserve">Furthermore, performance information that is comprehensive and underpinned by rigorous short, medium and long term planning can help councils justify resourcing decisions, including rate increases, to communities. </w:t>
      </w:r>
    </w:p>
    <w:p w:rsidR="00C51491" w:rsidRPr="00E84DC2" w:rsidRDefault="00C51491" w:rsidP="003F1808">
      <w:pPr>
        <w:rPr>
          <w:rFonts w:ascii="Tahoma" w:eastAsia="Calibri" w:hAnsi="Tahoma" w:cs="Tahoma"/>
          <w:sz w:val="22"/>
          <w:szCs w:val="22"/>
          <w:lang w:val="en-AU"/>
        </w:rPr>
      </w:pPr>
    </w:p>
    <w:p w:rsidR="008901B1" w:rsidRPr="00E84DC2" w:rsidRDefault="00D733EB" w:rsidP="003F1808">
      <w:pPr>
        <w:rPr>
          <w:rFonts w:ascii="Tahoma" w:eastAsia="Calibri" w:hAnsi="Tahoma" w:cs="Tahoma"/>
          <w:sz w:val="22"/>
          <w:szCs w:val="22"/>
          <w:lang w:val="en-AU"/>
        </w:rPr>
      </w:pPr>
      <w:r w:rsidRPr="00D733EB">
        <w:rPr>
          <w:rFonts w:ascii="Tahoma" w:eastAsia="Calibri" w:hAnsi="Tahoma" w:cs="Tahoma"/>
          <w:sz w:val="22"/>
          <w:szCs w:val="22"/>
          <w:lang w:val="en-AU"/>
        </w:rPr>
        <w:t>A relevant condition to using performance information in this way is consistency between councils. The Auditor-General therefore recommended that the government develop regulations establishing minimum standards for the form and content of performance statements used by councils.</w:t>
      </w:r>
    </w:p>
    <w:p w:rsidR="008901B1" w:rsidRPr="00E84DC2" w:rsidRDefault="00D733EB" w:rsidP="00E84CE8">
      <w:pPr>
        <w:pStyle w:val="Heading2"/>
      </w:pPr>
      <w:bookmarkStart w:id="9" w:name="_Toc379878655"/>
      <w:r w:rsidRPr="00D733EB">
        <w:t>Timing of changes</w:t>
      </w:r>
      <w:bookmarkEnd w:id="9"/>
    </w:p>
    <w:p w:rsidR="008901B1" w:rsidRPr="00E84DC2" w:rsidRDefault="008901B1" w:rsidP="003F1808">
      <w:pPr>
        <w:rPr>
          <w:rFonts w:ascii="Tahoma" w:eastAsia="Calibri" w:hAnsi="Tahoma" w:cs="Tahoma"/>
          <w:sz w:val="22"/>
          <w:szCs w:val="22"/>
          <w:lang w:val="en-AU"/>
        </w:rPr>
      </w:pPr>
    </w:p>
    <w:p w:rsidR="008901B1" w:rsidRPr="00E84DC2" w:rsidRDefault="00D733EB" w:rsidP="003F1808">
      <w:pPr>
        <w:rPr>
          <w:rFonts w:ascii="Tahoma" w:eastAsia="Calibri" w:hAnsi="Tahoma" w:cs="Tahoma"/>
          <w:sz w:val="22"/>
          <w:szCs w:val="22"/>
          <w:lang w:val="en-AU"/>
        </w:rPr>
      </w:pPr>
      <w:r w:rsidRPr="00D733EB">
        <w:rPr>
          <w:rFonts w:ascii="Tahoma" w:eastAsia="Calibri" w:hAnsi="Tahoma" w:cs="Tahoma"/>
          <w:sz w:val="22"/>
          <w:szCs w:val="22"/>
          <w:lang w:val="en-AU"/>
        </w:rPr>
        <w:t>The current Regulations sunset on 20 April 2014. However, as this falls on a Sunday, it is proposed that the new Regulations will take effect from 18 April 2014, the same date as the changes to the Act will commence. In any event, the new planning and reporting arrangements will be applicable from the 2014-15 financial year onwards.</w:t>
      </w:r>
    </w:p>
    <w:p w:rsidR="000F3991" w:rsidRPr="00E84DC2" w:rsidRDefault="000F3991" w:rsidP="003F1808">
      <w:pPr>
        <w:rPr>
          <w:rFonts w:ascii="Tahoma" w:eastAsia="Calibri" w:hAnsi="Tahoma" w:cs="Tahoma"/>
          <w:sz w:val="22"/>
          <w:szCs w:val="22"/>
          <w:lang w:val="en-AU"/>
        </w:rPr>
      </w:pPr>
    </w:p>
    <w:p w:rsidR="000F3991" w:rsidRPr="00E84DC2" w:rsidRDefault="00D733EB" w:rsidP="003F1808">
      <w:pPr>
        <w:rPr>
          <w:rFonts w:ascii="Tahoma" w:eastAsia="Calibri" w:hAnsi="Tahoma" w:cs="Tahoma"/>
          <w:sz w:val="22"/>
          <w:szCs w:val="22"/>
          <w:lang w:val="en-AU"/>
        </w:rPr>
      </w:pPr>
      <w:r w:rsidRPr="00D733EB">
        <w:rPr>
          <w:rFonts w:ascii="Tahoma" w:eastAsia="Calibri" w:hAnsi="Tahoma" w:cs="Tahoma"/>
          <w:sz w:val="22"/>
          <w:szCs w:val="22"/>
          <w:lang w:val="en-AU"/>
        </w:rPr>
        <w:lastRenderedPageBreak/>
        <w:t>A further change included in the proposed Regulations is to bring forward the budget adoption date from 30 August to 30 June from 2015-16 budget year onwards. The reason for this change is to ensure greater consistency and alignment between the annual budget and the four-year strategic resource plan which is currently required to be adopted by 30 June.</w:t>
      </w:r>
    </w:p>
    <w:p w:rsidR="007948D9" w:rsidRPr="00E84DC2" w:rsidRDefault="007948D9">
      <w:pPr>
        <w:rPr>
          <w:rFonts w:ascii="Tahoma" w:eastAsia="Calibri" w:hAnsi="Tahoma" w:cs="Tahoma"/>
          <w:sz w:val="22"/>
          <w:szCs w:val="22"/>
          <w:lang w:val="en-AU"/>
        </w:rPr>
        <w:sectPr w:rsidR="007948D9" w:rsidRPr="00E84DC2" w:rsidSect="00BB4E63">
          <w:headerReference w:type="default" r:id="rId25"/>
          <w:footerReference w:type="default" r:id="rId26"/>
          <w:footerReference w:type="first" r:id="rId27"/>
          <w:pgSz w:w="11900" w:h="16840"/>
          <w:pgMar w:top="1440" w:right="1800" w:bottom="1440" w:left="1800" w:header="708" w:footer="708" w:gutter="0"/>
          <w:cols w:space="708"/>
          <w:titlePg/>
          <w:docGrid w:linePitch="360"/>
        </w:sectPr>
      </w:pPr>
    </w:p>
    <w:p w:rsidR="0007119C" w:rsidRPr="00E84DC2" w:rsidRDefault="00D733EB" w:rsidP="00E84CE8">
      <w:pPr>
        <w:pStyle w:val="Heading1"/>
      </w:pPr>
      <w:bookmarkStart w:id="10" w:name="_Toc379878656"/>
      <w:r w:rsidRPr="00D733EB">
        <w:lastRenderedPageBreak/>
        <w:t>THE PROPOSED REGULATIONS</w:t>
      </w:r>
      <w:bookmarkEnd w:id="10"/>
    </w:p>
    <w:p w:rsidR="00BE37E6" w:rsidRPr="00E84DC2" w:rsidRDefault="00BE37E6" w:rsidP="00BE37E6">
      <w:pPr>
        <w:rPr>
          <w:rFonts w:ascii="Tahoma" w:hAnsi="Tahoma" w:cs="Tahoma"/>
          <w:lang w:val="en-AU"/>
        </w:rPr>
      </w:pPr>
    </w:p>
    <w:p w:rsidR="004B1530" w:rsidRPr="00E84DC2" w:rsidRDefault="00D733EB" w:rsidP="00BE37E6">
      <w:pPr>
        <w:pBdr>
          <w:top w:val="single" w:sz="4" w:space="1" w:color="auto"/>
          <w:left w:val="single" w:sz="4" w:space="4" w:color="auto"/>
          <w:bottom w:val="single" w:sz="4" w:space="1" w:color="auto"/>
          <w:right w:val="single" w:sz="4" w:space="4" w:color="auto"/>
        </w:pBdr>
        <w:shd w:val="clear" w:color="auto" w:fill="C6D9F1"/>
        <w:spacing w:after="100"/>
        <w:rPr>
          <w:rFonts w:ascii="Tahoma" w:eastAsia="Calibri" w:hAnsi="Tahoma" w:cs="Tahoma"/>
          <w:b/>
          <w:i/>
          <w:sz w:val="22"/>
          <w:szCs w:val="22"/>
          <w:lang w:val="en-AU"/>
        </w:rPr>
      </w:pPr>
      <w:r w:rsidRPr="00D733EB">
        <w:rPr>
          <w:rFonts w:ascii="Tahoma" w:eastAsia="Calibri" w:hAnsi="Tahoma" w:cs="Tahoma"/>
          <w:b/>
          <w:i/>
          <w:sz w:val="22"/>
          <w:szCs w:val="22"/>
          <w:lang w:val="en-AU"/>
        </w:rPr>
        <w:t>Key points</w:t>
      </w:r>
    </w:p>
    <w:p w:rsidR="004B1530" w:rsidRPr="00E84DC2" w:rsidRDefault="00D733EB" w:rsidP="006459DD">
      <w:pPr>
        <w:pStyle w:val="ListParagraph"/>
        <w:numPr>
          <w:ilvl w:val="0"/>
          <w:numId w:val="29"/>
        </w:numPr>
        <w:pBdr>
          <w:top w:val="single" w:sz="4" w:space="1" w:color="auto"/>
          <w:left w:val="single" w:sz="4" w:space="4" w:color="auto"/>
          <w:bottom w:val="single" w:sz="4" w:space="1" w:color="auto"/>
          <w:right w:val="single" w:sz="4" w:space="4" w:color="auto"/>
        </w:pBdr>
        <w:shd w:val="clear" w:color="auto" w:fill="C6D9F1"/>
        <w:spacing w:after="100"/>
        <w:rPr>
          <w:rFonts w:ascii="Tahoma" w:hAnsi="Tahoma" w:cs="Tahoma"/>
          <w:lang w:val="en-AU"/>
        </w:rPr>
      </w:pPr>
      <w:r w:rsidRPr="00D733EB">
        <w:rPr>
          <w:rFonts w:ascii="Tahoma" w:hAnsi="Tahoma" w:cs="Tahoma"/>
          <w:lang w:val="en-AU"/>
        </w:rPr>
        <w:t xml:space="preserve">The proposed Regulations give operational effect to the reporting framework established in the </w:t>
      </w:r>
      <w:r w:rsidRPr="00D733EB">
        <w:rPr>
          <w:rFonts w:ascii="Tahoma" w:hAnsi="Tahoma" w:cs="Tahoma"/>
          <w:i/>
          <w:lang w:val="en-AU"/>
        </w:rPr>
        <w:t>Local Government Act</w:t>
      </w:r>
      <w:r w:rsidRPr="00D733EB">
        <w:rPr>
          <w:rFonts w:ascii="Tahoma" w:hAnsi="Tahoma" w:cs="Tahoma"/>
          <w:lang w:val="en-AU"/>
        </w:rPr>
        <w:t>, enhance transparency and facilitate improvements in service delivery.</w:t>
      </w:r>
    </w:p>
    <w:p w:rsidR="004B1530" w:rsidRPr="00E84DC2" w:rsidRDefault="00D733EB" w:rsidP="006459DD">
      <w:pPr>
        <w:pStyle w:val="ListParagraph"/>
        <w:numPr>
          <w:ilvl w:val="0"/>
          <w:numId w:val="29"/>
        </w:numPr>
        <w:pBdr>
          <w:top w:val="single" w:sz="4" w:space="1" w:color="auto"/>
          <w:left w:val="single" w:sz="4" w:space="4" w:color="auto"/>
          <w:bottom w:val="single" w:sz="4" w:space="1" w:color="auto"/>
          <w:right w:val="single" w:sz="4" w:space="4" w:color="auto"/>
        </w:pBdr>
        <w:shd w:val="clear" w:color="auto" w:fill="C6D9F1"/>
        <w:spacing w:after="100"/>
        <w:rPr>
          <w:rFonts w:ascii="Tahoma" w:hAnsi="Tahoma" w:cs="Tahoma"/>
          <w:lang w:val="en-AU"/>
        </w:rPr>
      </w:pPr>
      <w:r w:rsidRPr="00D733EB">
        <w:rPr>
          <w:rFonts w:ascii="Tahoma" w:hAnsi="Tahoma" w:cs="Tahoma"/>
          <w:lang w:val="en-AU"/>
        </w:rPr>
        <w:t>The proposed Regulations involve a reporting burden on local councils. This is estimated to be, in total across all councils, $276,3</w:t>
      </w:r>
      <w:r w:rsidR="00A830FF">
        <w:rPr>
          <w:rFonts w:ascii="Tahoma" w:hAnsi="Tahoma" w:cs="Tahoma"/>
          <w:lang w:val="en-AU"/>
        </w:rPr>
        <w:t>42</w:t>
      </w:r>
      <w:r w:rsidRPr="00D733EB">
        <w:rPr>
          <w:rFonts w:ascii="Tahoma" w:hAnsi="Tahoma" w:cs="Tahoma"/>
          <w:lang w:val="en-AU"/>
        </w:rPr>
        <w:t xml:space="preserve"> in 2014-15, and around $2.3 million over ten years (in present value terms). The quantifiable cost per council per year is less than</w:t>
      </w:r>
      <w:r w:rsidRPr="00D733EB">
        <w:rPr>
          <w:rFonts w:ascii="Tahoma" w:hAnsi="Tahoma" w:cs="Tahoma"/>
          <w:lang w:val="en-AU" w:eastAsia="en-US"/>
        </w:rPr>
        <w:t xml:space="preserve"> $3,500 per year. However, there are also unquantified costs that will be significant.</w:t>
      </w:r>
    </w:p>
    <w:p w:rsidR="008B5343" w:rsidRPr="00E84DC2" w:rsidRDefault="00D733EB" w:rsidP="006459DD">
      <w:pPr>
        <w:pStyle w:val="ListParagraph"/>
        <w:numPr>
          <w:ilvl w:val="0"/>
          <w:numId w:val="29"/>
        </w:numPr>
        <w:pBdr>
          <w:top w:val="single" w:sz="4" w:space="1" w:color="auto"/>
          <w:left w:val="single" w:sz="4" w:space="4" w:color="auto"/>
          <w:bottom w:val="single" w:sz="4" w:space="1" w:color="auto"/>
          <w:right w:val="single" w:sz="4" w:space="4" w:color="auto"/>
        </w:pBdr>
        <w:shd w:val="clear" w:color="auto" w:fill="C6D9F1"/>
        <w:spacing w:after="100"/>
        <w:rPr>
          <w:rFonts w:ascii="Tahoma" w:hAnsi="Tahoma" w:cs="Tahoma"/>
          <w:lang w:val="en-AU"/>
        </w:rPr>
      </w:pPr>
      <w:r w:rsidRPr="00D733EB">
        <w:rPr>
          <w:rFonts w:ascii="Tahoma" w:hAnsi="Tahoma" w:cs="Tahoma"/>
          <w:lang w:val="en-AU" w:eastAsia="en-US"/>
        </w:rPr>
        <w:t>This is the direct incremental cost of the proposed Regulations compared to the ‘base case’ of having no regulations, and does not reflect any savings from the changes to the Act, or the streamlining of other reporting requirements occurring in parallel.</w:t>
      </w:r>
    </w:p>
    <w:p w:rsidR="000110E4" w:rsidRPr="00E84DC2" w:rsidRDefault="00D733EB" w:rsidP="006459DD">
      <w:pPr>
        <w:pStyle w:val="ListParagraph"/>
        <w:numPr>
          <w:ilvl w:val="0"/>
          <w:numId w:val="29"/>
        </w:numPr>
        <w:pBdr>
          <w:top w:val="single" w:sz="4" w:space="1" w:color="auto"/>
          <w:left w:val="single" w:sz="4" w:space="4" w:color="auto"/>
          <w:bottom w:val="single" w:sz="4" w:space="1" w:color="auto"/>
          <w:right w:val="single" w:sz="4" w:space="4" w:color="auto"/>
        </w:pBdr>
        <w:shd w:val="clear" w:color="auto" w:fill="C6D9F1"/>
        <w:spacing w:after="100"/>
        <w:rPr>
          <w:rFonts w:ascii="Tahoma" w:hAnsi="Tahoma" w:cs="Tahoma"/>
          <w:lang w:val="en-AU"/>
        </w:rPr>
      </w:pPr>
      <w:r w:rsidRPr="00D733EB">
        <w:rPr>
          <w:rFonts w:ascii="Tahoma" w:hAnsi="Tahoma" w:cs="Tahoma"/>
          <w:lang w:val="en-AU"/>
        </w:rPr>
        <w:t>The proposed Regulations will affect all local councils in Victoria, and indirectly affect all residents and ratepayers through improved reporting and scope for more effective and efficient council performance.</w:t>
      </w:r>
    </w:p>
    <w:p w:rsidR="00BE37E6" w:rsidRPr="00E84DC2" w:rsidRDefault="00D733EB" w:rsidP="006459DD">
      <w:pPr>
        <w:pStyle w:val="ListParagraph"/>
        <w:numPr>
          <w:ilvl w:val="0"/>
          <w:numId w:val="29"/>
        </w:numPr>
        <w:pBdr>
          <w:top w:val="single" w:sz="4" w:space="1" w:color="auto"/>
          <w:left w:val="single" w:sz="4" w:space="4" w:color="auto"/>
          <w:bottom w:val="single" w:sz="4" w:space="1" w:color="auto"/>
          <w:right w:val="single" w:sz="4" w:space="4" w:color="auto"/>
        </w:pBdr>
        <w:shd w:val="clear" w:color="auto" w:fill="C6D9F1"/>
        <w:spacing w:after="100"/>
        <w:rPr>
          <w:rFonts w:ascii="Tahoma" w:hAnsi="Tahoma" w:cs="Tahoma"/>
          <w:lang w:val="en-AU"/>
        </w:rPr>
      </w:pPr>
      <w:r w:rsidRPr="00D733EB">
        <w:rPr>
          <w:rFonts w:ascii="Tahoma" w:hAnsi="Tahoma" w:cs="Tahoma"/>
          <w:lang w:val="en-AU"/>
        </w:rPr>
        <w:t>On balance, the Victorian Government considers that the benefits of the proposed Regulations outweigh the costs.</w:t>
      </w:r>
    </w:p>
    <w:p w:rsidR="00BE37E6" w:rsidRPr="00E84DC2" w:rsidRDefault="00BE37E6" w:rsidP="00BE37E6">
      <w:pPr>
        <w:pBdr>
          <w:top w:val="single" w:sz="4" w:space="1" w:color="auto"/>
          <w:left w:val="single" w:sz="4" w:space="4" w:color="auto"/>
          <w:bottom w:val="single" w:sz="4" w:space="1" w:color="auto"/>
          <w:right w:val="single" w:sz="4" w:space="4" w:color="auto"/>
        </w:pBdr>
        <w:shd w:val="clear" w:color="auto" w:fill="C6D9F1"/>
        <w:spacing w:after="100"/>
        <w:rPr>
          <w:rFonts w:ascii="Tahoma" w:eastAsia="Calibri" w:hAnsi="Tahoma" w:cs="Tahoma"/>
          <w:sz w:val="10"/>
          <w:szCs w:val="10"/>
          <w:lang w:val="en-AU"/>
        </w:rPr>
      </w:pPr>
    </w:p>
    <w:p w:rsidR="0007119C" w:rsidRPr="00E84DC2" w:rsidRDefault="00D733EB" w:rsidP="00E84CE8">
      <w:pPr>
        <w:pStyle w:val="Heading2"/>
      </w:pPr>
      <w:bookmarkStart w:id="11" w:name="_Toc379878657"/>
      <w:r w:rsidRPr="00D733EB">
        <w:t>Objective</w:t>
      </w:r>
      <w:bookmarkEnd w:id="11"/>
    </w:p>
    <w:p w:rsidR="001A6276" w:rsidRPr="00E84DC2" w:rsidRDefault="001A6276">
      <w:pPr>
        <w:rPr>
          <w:rFonts w:ascii="Tahoma" w:eastAsia="Times New Roman" w:hAnsi="Tahoma" w:cs="Tahoma"/>
          <w:sz w:val="22"/>
          <w:szCs w:val="22"/>
          <w:lang w:val="en-AU"/>
        </w:rPr>
      </w:pPr>
    </w:p>
    <w:p w:rsidR="00E03AB6" w:rsidRPr="00E84DC2" w:rsidRDefault="00D733EB">
      <w:pPr>
        <w:rPr>
          <w:rFonts w:ascii="Tahoma" w:eastAsia="Times New Roman" w:hAnsi="Tahoma" w:cs="Tahoma"/>
          <w:sz w:val="22"/>
          <w:szCs w:val="22"/>
          <w:lang w:val="en-AU"/>
        </w:rPr>
      </w:pPr>
      <w:r w:rsidRPr="00D733EB">
        <w:rPr>
          <w:rFonts w:ascii="Tahoma" w:eastAsia="Times New Roman" w:hAnsi="Tahoma" w:cs="Tahoma"/>
          <w:sz w:val="22"/>
          <w:szCs w:val="22"/>
          <w:lang w:val="en-AU"/>
        </w:rPr>
        <w:t xml:space="preserve">There are no explicit ‘objectives’ in the </w:t>
      </w:r>
      <w:r w:rsidRPr="00D733EB">
        <w:rPr>
          <w:rFonts w:ascii="Tahoma" w:eastAsia="Times New Roman" w:hAnsi="Tahoma" w:cs="Tahoma"/>
          <w:i/>
          <w:sz w:val="22"/>
          <w:szCs w:val="22"/>
          <w:lang w:val="en-AU"/>
        </w:rPr>
        <w:t>Local Government Act</w:t>
      </w:r>
      <w:r w:rsidRPr="00D733EB">
        <w:rPr>
          <w:rFonts w:ascii="Tahoma" w:eastAsia="Times New Roman" w:hAnsi="Tahoma" w:cs="Tahoma"/>
          <w:sz w:val="22"/>
          <w:szCs w:val="22"/>
          <w:lang w:val="en-AU"/>
        </w:rPr>
        <w:t>, however the Preamble in the Act states that:</w:t>
      </w:r>
    </w:p>
    <w:p w:rsidR="00EC55D5" w:rsidRPr="00E84DC2" w:rsidRDefault="00EC55D5" w:rsidP="00E03AB6">
      <w:pPr>
        <w:ind w:left="284" w:right="362"/>
        <w:rPr>
          <w:rFonts w:ascii="Tahoma" w:eastAsia="Calibri" w:hAnsi="Tahoma" w:cs="Tahoma"/>
          <w:sz w:val="20"/>
          <w:szCs w:val="20"/>
          <w:lang w:val="en-AU"/>
        </w:rPr>
      </w:pPr>
    </w:p>
    <w:p w:rsidR="0007119C" w:rsidRPr="00E84DC2" w:rsidRDefault="00D733EB" w:rsidP="00E03AB6">
      <w:pPr>
        <w:ind w:left="284" w:right="362"/>
        <w:rPr>
          <w:rFonts w:ascii="Tahoma" w:eastAsia="Times New Roman" w:hAnsi="Tahoma" w:cs="Tahoma"/>
          <w:sz w:val="22"/>
          <w:szCs w:val="22"/>
          <w:lang w:val="en-AU"/>
        </w:rPr>
      </w:pPr>
      <w:r w:rsidRPr="00D733EB">
        <w:rPr>
          <w:rFonts w:ascii="Tahoma" w:eastAsia="Calibri" w:hAnsi="Tahoma" w:cs="Tahoma"/>
          <w:sz w:val="20"/>
          <w:szCs w:val="20"/>
          <w:lang w:val="en-AU"/>
        </w:rPr>
        <w:t>It is essential that there is a legislative framework that provides for councils to be accountable to their local communities in the performance of functions and the exercise of powers and the use of resources.</w:t>
      </w:r>
    </w:p>
    <w:p w:rsidR="00E03AB6" w:rsidRPr="00E84DC2" w:rsidRDefault="00E03AB6">
      <w:pPr>
        <w:rPr>
          <w:rFonts w:ascii="Tahoma" w:eastAsia="Times New Roman" w:hAnsi="Tahoma" w:cs="Tahoma"/>
          <w:sz w:val="22"/>
          <w:szCs w:val="22"/>
          <w:lang w:val="en-AU"/>
        </w:rPr>
      </w:pPr>
    </w:p>
    <w:p w:rsidR="002072EC" w:rsidRPr="00E84DC2" w:rsidRDefault="00D733EB">
      <w:pPr>
        <w:rPr>
          <w:rFonts w:ascii="Tahoma" w:eastAsia="Times New Roman" w:hAnsi="Tahoma" w:cs="Tahoma"/>
          <w:sz w:val="22"/>
          <w:szCs w:val="22"/>
          <w:lang w:val="en-AU"/>
        </w:rPr>
      </w:pPr>
      <w:r w:rsidRPr="00D733EB">
        <w:rPr>
          <w:rFonts w:ascii="Tahoma" w:eastAsia="Times New Roman" w:hAnsi="Tahoma" w:cs="Tahoma"/>
          <w:sz w:val="22"/>
          <w:szCs w:val="22"/>
          <w:lang w:val="en-AU"/>
        </w:rPr>
        <w:t>The objectives of the proposed Regulations are therefore to:</w:t>
      </w:r>
    </w:p>
    <w:p w:rsidR="00CD0960" w:rsidRPr="00E84DC2" w:rsidRDefault="00D733EB" w:rsidP="002F21F6">
      <w:pPr>
        <w:pStyle w:val="ListParagraph"/>
        <w:tabs>
          <w:tab w:val="num" w:pos="0"/>
        </w:tabs>
        <w:rPr>
          <w:rFonts w:ascii="Tahoma" w:hAnsi="Tahoma" w:cs="Tahoma"/>
          <w:lang w:val="en-AU"/>
        </w:rPr>
      </w:pPr>
      <w:r w:rsidRPr="00D733EB">
        <w:rPr>
          <w:rFonts w:ascii="Tahoma" w:hAnsi="Tahoma" w:cs="Tahoma"/>
        </w:rPr>
        <w:t>enhance</w:t>
      </w:r>
      <w:r w:rsidRPr="00D733EB">
        <w:rPr>
          <w:rFonts w:ascii="Tahoma" w:hAnsi="Tahoma" w:cs="Tahoma"/>
          <w:lang w:val="en-AU"/>
        </w:rPr>
        <w:t xml:space="preserve"> transparency and accountability through the reporting on councils’ performance</w:t>
      </w:r>
      <w:r w:rsidR="00A830FF">
        <w:rPr>
          <w:rFonts w:ascii="Tahoma" w:hAnsi="Tahoma" w:cs="Tahoma"/>
          <w:lang w:val="en-AU"/>
        </w:rPr>
        <w:t>;</w:t>
      </w:r>
    </w:p>
    <w:p w:rsidR="00CD0960" w:rsidRPr="00E84DC2" w:rsidRDefault="00D733EB" w:rsidP="002F21F6">
      <w:pPr>
        <w:pStyle w:val="ListParagraph"/>
        <w:tabs>
          <w:tab w:val="num" w:pos="0"/>
        </w:tabs>
        <w:rPr>
          <w:rFonts w:ascii="Tahoma" w:hAnsi="Tahoma" w:cs="Tahoma"/>
          <w:lang w:val="en-AU"/>
        </w:rPr>
      </w:pPr>
      <w:r w:rsidRPr="00D733EB">
        <w:rPr>
          <w:rFonts w:ascii="Tahoma" w:hAnsi="Tahoma" w:cs="Tahoma"/>
          <w:lang w:val="en-AU"/>
        </w:rPr>
        <w:t>facilitate improvements in service delivery through improving access to robust and consistent data to better scrutinise and compare councils’ performance</w:t>
      </w:r>
      <w:r w:rsidR="00A830FF">
        <w:rPr>
          <w:rFonts w:ascii="Tahoma" w:hAnsi="Tahoma" w:cs="Tahoma"/>
          <w:lang w:val="en-AU"/>
        </w:rPr>
        <w:t>; and</w:t>
      </w:r>
    </w:p>
    <w:p w:rsidR="00CD0960" w:rsidRPr="00E84DC2" w:rsidRDefault="00D733EB" w:rsidP="002F21F6">
      <w:pPr>
        <w:pStyle w:val="ListParagraph"/>
        <w:tabs>
          <w:tab w:val="num" w:pos="0"/>
        </w:tabs>
        <w:rPr>
          <w:rFonts w:ascii="Tahoma" w:hAnsi="Tahoma" w:cs="Tahoma"/>
          <w:lang w:val="en-AU"/>
        </w:rPr>
      </w:pPr>
      <w:r w:rsidRPr="00D733EB">
        <w:rPr>
          <w:rFonts w:ascii="Tahoma" w:hAnsi="Tahoma" w:cs="Tahoma"/>
          <w:lang w:val="en-AU"/>
        </w:rPr>
        <w:t>minimise the burden on local councils and other costs.</w:t>
      </w:r>
    </w:p>
    <w:p w:rsidR="0007119C" w:rsidRPr="00E84DC2" w:rsidRDefault="00D733EB" w:rsidP="00E84CE8">
      <w:pPr>
        <w:pStyle w:val="Heading2"/>
      </w:pPr>
      <w:bookmarkStart w:id="12" w:name="_Toc379878658"/>
      <w:r w:rsidRPr="00D733EB">
        <w:t>Base case</w:t>
      </w:r>
      <w:bookmarkEnd w:id="12"/>
    </w:p>
    <w:p w:rsidR="0007119C" w:rsidRPr="00E84DC2" w:rsidRDefault="0007119C">
      <w:pPr>
        <w:rPr>
          <w:rFonts w:ascii="Tahoma" w:hAnsi="Tahoma" w:cs="Tahoma"/>
          <w:lang w:val="en-AU"/>
        </w:rPr>
      </w:pPr>
    </w:p>
    <w:p w:rsidR="00814896" w:rsidRPr="00E84DC2" w:rsidRDefault="00D733EB">
      <w:pPr>
        <w:rPr>
          <w:rFonts w:ascii="Tahoma" w:eastAsia="Times New Roman" w:hAnsi="Tahoma" w:cs="Tahoma"/>
          <w:sz w:val="22"/>
          <w:szCs w:val="22"/>
          <w:lang w:val="en-AU"/>
        </w:rPr>
      </w:pPr>
      <w:r w:rsidRPr="00D733EB">
        <w:rPr>
          <w:rFonts w:ascii="Tahoma" w:eastAsia="Times New Roman" w:hAnsi="Tahoma" w:cs="Tahoma"/>
          <w:sz w:val="22"/>
          <w:szCs w:val="22"/>
          <w:lang w:val="en-AU"/>
        </w:rPr>
        <w:t>The base case is a “do nothing” scenario, against which options for action can be assessed. It reflects the likely outcomes over the next ten years if the current Regulations are allowed to lapse and are not replaced, and all other activities continue on a business-as-usual basis.</w:t>
      </w:r>
    </w:p>
    <w:p w:rsidR="00737971" w:rsidRPr="00E84DC2" w:rsidRDefault="00737971">
      <w:pPr>
        <w:rPr>
          <w:rFonts w:ascii="Tahoma" w:eastAsia="Times New Roman" w:hAnsi="Tahoma" w:cs="Tahoma"/>
          <w:sz w:val="22"/>
          <w:szCs w:val="22"/>
          <w:lang w:val="en-AU"/>
        </w:rPr>
      </w:pPr>
    </w:p>
    <w:p w:rsidR="008214F2" w:rsidRPr="00E84DC2" w:rsidRDefault="008214F2">
      <w:pPr>
        <w:rPr>
          <w:rFonts w:ascii="Tahoma" w:eastAsia="Times New Roman" w:hAnsi="Tahoma" w:cs="Tahoma"/>
          <w:sz w:val="22"/>
          <w:szCs w:val="22"/>
          <w:lang w:val="en-AU"/>
        </w:rPr>
      </w:pPr>
    </w:p>
    <w:p w:rsidR="008214F2" w:rsidRPr="00E84DC2" w:rsidRDefault="008214F2">
      <w:pPr>
        <w:rPr>
          <w:rFonts w:ascii="Tahoma" w:eastAsia="Times New Roman" w:hAnsi="Tahoma" w:cs="Tahoma"/>
          <w:sz w:val="22"/>
          <w:szCs w:val="22"/>
          <w:lang w:val="en-AU"/>
        </w:rPr>
      </w:pPr>
    </w:p>
    <w:p w:rsidR="00737971" w:rsidRPr="00E84DC2" w:rsidRDefault="00D733EB">
      <w:pPr>
        <w:rPr>
          <w:rFonts w:ascii="Tahoma" w:eastAsia="Times New Roman" w:hAnsi="Tahoma" w:cs="Tahoma"/>
          <w:sz w:val="22"/>
          <w:szCs w:val="22"/>
          <w:lang w:val="en-AU"/>
        </w:rPr>
      </w:pPr>
      <w:r w:rsidRPr="00D733EB">
        <w:rPr>
          <w:rFonts w:ascii="Tahoma" w:eastAsia="Times New Roman" w:hAnsi="Tahoma" w:cs="Tahoma"/>
          <w:sz w:val="22"/>
          <w:szCs w:val="22"/>
          <w:lang w:val="en-AU"/>
        </w:rPr>
        <w:t>If the current Regulations are allowed to lapse in April 2014 without replacement, and noting that the new amendments to the Act commence in April 2014, the following outcomes will arise:</w:t>
      </w:r>
    </w:p>
    <w:p w:rsidR="00370858" w:rsidRPr="00E84DC2" w:rsidRDefault="00D733EB">
      <w:pPr>
        <w:pStyle w:val="ListParagraph"/>
        <w:rPr>
          <w:rFonts w:ascii="Tahoma" w:hAnsi="Tahoma" w:cs="Tahoma"/>
        </w:rPr>
      </w:pPr>
      <w:r w:rsidRPr="00D733EB">
        <w:rPr>
          <w:rFonts w:ascii="Tahoma" w:hAnsi="Tahoma" w:cs="Tahoma"/>
          <w:lang w:val="en-AU"/>
        </w:rPr>
        <w:t>the</w:t>
      </w:r>
      <w:r w:rsidRPr="00D733EB">
        <w:rPr>
          <w:rFonts w:ascii="Tahoma" w:hAnsi="Tahoma" w:cs="Tahoma"/>
        </w:rPr>
        <w:t xml:space="preserve"> information required to be included in council budgets will only be high-level information and not specific to direct the disclosure of information, particularly on changes to council borrowings, rates and charges</w:t>
      </w:r>
      <w:r w:rsidR="00A830FF">
        <w:rPr>
          <w:rFonts w:ascii="Tahoma" w:hAnsi="Tahoma" w:cs="Tahoma"/>
        </w:rPr>
        <w:t>;</w:t>
      </w:r>
    </w:p>
    <w:p w:rsidR="00370858" w:rsidRPr="00E84DC2" w:rsidRDefault="00D733EB">
      <w:pPr>
        <w:pStyle w:val="ListParagraph"/>
        <w:rPr>
          <w:rFonts w:ascii="Tahoma" w:hAnsi="Tahoma" w:cs="Tahoma"/>
          <w:lang w:val="en-AU"/>
        </w:rPr>
      </w:pPr>
      <w:r w:rsidRPr="00D733EB">
        <w:rPr>
          <w:rFonts w:ascii="Tahoma" w:hAnsi="Tahoma" w:cs="Tahoma"/>
          <w:lang w:val="en-AU"/>
        </w:rPr>
        <w:t>the requirement for councils to include in their annual report the results of Council’s assessment against the governance and management checklist will not be able to occur—new regulations are needed to set what is in the checklist</w:t>
      </w:r>
      <w:r w:rsidR="00A830FF">
        <w:rPr>
          <w:rFonts w:ascii="Tahoma" w:hAnsi="Tahoma" w:cs="Tahoma"/>
          <w:lang w:val="en-AU"/>
        </w:rPr>
        <w:t>; and</w:t>
      </w:r>
    </w:p>
    <w:p w:rsidR="00370858" w:rsidRPr="00E84DC2" w:rsidRDefault="00D733EB">
      <w:pPr>
        <w:pStyle w:val="ListParagraph"/>
        <w:rPr>
          <w:rFonts w:ascii="Tahoma" w:hAnsi="Tahoma" w:cs="Tahoma"/>
        </w:rPr>
      </w:pPr>
      <w:r w:rsidRPr="00D733EB">
        <w:rPr>
          <w:rFonts w:ascii="Tahoma" w:hAnsi="Tahoma" w:cs="Tahoma"/>
          <w:lang w:val="en-AU"/>
        </w:rPr>
        <w:t>the requirement for councils to report against the indicators and measures of service performance, financial performance and sustainable capacity</w:t>
      </w:r>
      <w:r w:rsidRPr="00D733EB">
        <w:rPr>
          <w:rFonts w:ascii="Tahoma" w:hAnsi="Tahoma" w:cs="Tahoma"/>
        </w:rPr>
        <w:t xml:space="preserve"> in their performance statement or report of operations</w:t>
      </w:r>
      <w:r w:rsidRPr="00D733EB">
        <w:rPr>
          <w:rFonts w:ascii="Tahoma" w:hAnsi="Tahoma" w:cs="Tahoma"/>
          <w:lang w:val="en-AU"/>
        </w:rPr>
        <w:t xml:space="preserve"> </w:t>
      </w:r>
      <w:r w:rsidRPr="00D733EB">
        <w:rPr>
          <w:rFonts w:ascii="Tahoma" w:hAnsi="Tahoma" w:cs="Tahoma"/>
        </w:rPr>
        <w:t>will not be able to occur.</w:t>
      </w:r>
    </w:p>
    <w:p w:rsidR="00D975B5" w:rsidRPr="00E84DC2" w:rsidRDefault="00D975B5">
      <w:pPr>
        <w:rPr>
          <w:rFonts w:ascii="Tahoma" w:eastAsia="Times New Roman" w:hAnsi="Tahoma" w:cs="Tahoma"/>
          <w:sz w:val="22"/>
          <w:szCs w:val="22"/>
          <w:lang w:val="en-AU"/>
        </w:rPr>
      </w:pPr>
    </w:p>
    <w:p w:rsidR="00AB7BD3" w:rsidRPr="00E84DC2" w:rsidRDefault="00D733EB">
      <w:pPr>
        <w:rPr>
          <w:rFonts w:ascii="Tahoma" w:eastAsia="Times New Roman" w:hAnsi="Tahoma" w:cs="Tahoma"/>
          <w:sz w:val="22"/>
          <w:szCs w:val="22"/>
          <w:lang w:val="en-AU"/>
        </w:rPr>
      </w:pPr>
      <w:r w:rsidRPr="00D733EB">
        <w:rPr>
          <w:rFonts w:ascii="Tahoma" w:eastAsia="Times New Roman" w:hAnsi="Tahoma" w:cs="Tahoma"/>
          <w:sz w:val="22"/>
          <w:szCs w:val="22"/>
          <w:lang w:val="en-AU"/>
        </w:rPr>
        <w:t>Of course, in the absence of regulations, councils may still voluntarily provide this information. A key risk of councils determining their own performance reporting indicators and measures is lack of consistency and completeness, which impedes meaningful use of data. Both VAGO and the ESC have pointed to the importance of having a common set of indictors and a consistent approach to measurement.</w:t>
      </w:r>
    </w:p>
    <w:p w:rsidR="00814A1D" w:rsidRPr="00E84DC2" w:rsidRDefault="00D733EB" w:rsidP="00E84CE8">
      <w:pPr>
        <w:pStyle w:val="Heading2"/>
      </w:pPr>
      <w:bookmarkStart w:id="13" w:name="_Toc379878659"/>
      <w:r w:rsidRPr="00D733EB">
        <w:t>Good regulatory design and minimising the reporting burden</w:t>
      </w:r>
      <w:bookmarkEnd w:id="13"/>
    </w:p>
    <w:p w:rsidR="002B7383" w:rsidRPr="00E84DC2" w:rsidRDefault="002B7383" w:rsidP="002B7383">
      <w:pPr>
        <w:rPr>
          <w:rFonts w:ascii="Tahoma" w:eastAsia="Times New Roman" w:hAnsi="Tahoma" w:cs="Tahoma"/>
          <w:sz w:val="22"/>
          <w:szCs w:val="22"/>
          <w:lang w:val="en-AU"/>
        </w:rPr>
      </w:pPr>
    </w:p>
    <w:p w:rsidR="00061182" w:rsidRPr="00E84DC2" w:rsidRDefault="00D733EB" w:rsidP="0083746E">
      <w:pPr>
        <w:rPr>
          <w:rFonts w:ascii="Tahoma" w:eastAsia="Times New Roman" w:hAnsi="Tahoma" w:cs="Tahoma"/>
          <w:sz w:val="22"/>
          <w:szCs w:val="22"/>
          <w:lang w:val="en-AU"/>
        </w:rPr>
      </w:pPr>
      <w:r w:rsidRPr="00D733EB">
        <w:rPr>
          <w:rFonts w:ascii="Tahoma" w:eastAsia="Times New Roman" w:hAnsi="Tahoma" w:cs="Tahoma"/>
          <w:sz w:val="22"/>
          <w:szCs w:val="22"/>
          <w:lang w:val="en-AU"/>
        </w:rPr>
        <w:t xml:space="preserve">Recommended principles and content of a local government planning and reporting framework have been the subject of numerous studies and reports over many years. Some of the key recommended features in terms of regulatory design are set out in Attachment </w:t>
      </w:r>
      <w:r w:rsidR="00A830FF">
        <w:rPr>
          <w:rFonts w:ascii="Tahoma" w:eastAsia="Times New Roman" w:hAnsi="Tahoma" w:cs="Tahoma"/>
          <w:sz w:val="22"/>
          <w:szCs w:val="22"/>
          <w:lang w:val="en-AU"/>
        </w:rPr>
        <w:t>B</w:t>
      </w:r>
      <w:r w:rsidRPr="00D733EB">
        <w:rPr>
          <w:rFonts w:ascii="Tahoma" w:eastAsia="Times New Roman" w:hAnsi="Tahoma" w:cs="Tahoma"/>
          <w:sz w:val="22"/>
          <w:szCs w:val="22"/>
          <w:lang w:val="en-AU"/>
        </w:rPr>
        <w:t xml:space="preserve">. The Victorian Government has had particular regard to the 2012 VAGO performance audit </w:t>
      </w:r>
      <w:r w:rsidRPr="00D733EB">
        <w:rPr>
          <w:rFonts w:ascii="Tahoma" w:eastAsia="Times New Roman" w:hAnsi="Tahoma" w:cs="Tahoma"/>
          <w:i/>
          <w:sz w:val="22"/>
          <w:szCs w:val="22"/>
          <w:lang w:val="en-AU"/>
        </w:rPr>
        <w:t>Performance Reporting by Local Councils</w:t>
      </w:r>
      <w:r w:rsidRPr="00D733EB">
        <w:rPr>
          <w:rFonts w:ascii="Tahoma" w:eastAsia="Times New Roman" w:hAnsi="Tahoma" w:cs="Tahoma"/>
          <w:sz w:val="22"/>
          <w:szCs w:val="22"/>
          <w:lang w:val="en-AU"/>
        </w:rPr>
        <w:t xml:space="preserve"> to inform development of the new framework.</w:t>
      </w:r>
    </w:p>
    <w:p w:rsidR="00692913" w:rsidRPr="00E84DC2" w:rsidRDefault="00692913" w:rsidP="0083746E">
      <w:pPr>
        <w:rPr>
          <w:rFonts w:ascii="Tahoma" w:eastAsia="Times New Roman" w:hAnsi="Tahoma" w:cs="Tahoma"/>
          <w:sz w:val="22"/>
          <w:szCs w:val="22"/>
          <w:lang w:val="en-AU"/>
        </w:rPr>
      </w:pPr>
    </w:p>
    <w:p w:rsidR="0083746E" w:rsidRPr="00E84DC2" w:rsidRDefault="00D733EB" w:rsidP="0083746E">
      <w:pPr>
        <w:rPr>
          <w:rFonts w:ascii="Tahoma" w:eastAsia="Times New Roman" w:hAnsi="Tahoma" w:cs="Tahoma"/>
          <w:sz w:val="22"/>
          <w:szCs w:val="22"/>
          <w:lang w:val="en-AU"/>
        </w:rPr>
      </w:pPr>
      <w:r w:rsidRPr="00D733EB">
        <w:rPr>
          <w:rFonts w:ascii="Tahoma" w:eastAsia="Times New Roman" w:hAnsi="Tahoma" w:cs="Tahoma"/>
          <w:sz w:val="22"/>
          <w:szCs w:val="22"/>
          <w:lang w:val="en-AU"/>
        </w:rPr>
        <w:t xml:space="preserve">An important feature of any new performance reporting framework is that it should not add unnecessarily to the reporting burden faced by councils. </w:t>
      </w:r>
    </w:p>
    <w:p w:rsidR="0083746E" w:rsidRPr="00E84DC2" w:rsidRDefault="0083746E" w:rsidP="0083746E">
      <w:pPr>
        <w:rPr>
          <w:rFonts w:ascii="Tahoma" w:eastAsia="Times New Roman" w:hAnsi="Tahoma" w:cs="Tahoma"/>
          <w:sz w:val="22"/>
          <w:szCs w:val="22"/>
          <w:lang w:val="en-AU"/>
        </w:rPr>
      </w:pPr>
    </w:p>
    <w:p w:rsidR="0083746E" w:rsidRPr="00E84DC2" w:rsidRDefault="00D733EB" w:rsidP="0083746E">
      <w:pPr>
        <w:rPr>
          <w:rFonts w:ascii="Tahoma" w:eastAsia="Times New Roman" w:hAnsi="Tahoma" w:cs="Tahoma"/>
          <w:sz w:val="22"/>
          <w:szCs w:val="22"/>
          <w:lang w:val="en-AU"/>
        </w:rPr>
      </w:pPr>
      <w:r w:rsidRPr="00D733EB">
        <w:rPr>
          <w:rFonts w:ascii="Tahoma" w:eastAsia="Times New Roman" w:hAnsi="Tahoma" w:cs="Tahoma"/>
          <w:sz w:val="22"/>
          <w:szCs w:val="22"/>
          <w:lang w:val="en-AU"/>
        </w:rPr>
        <w:t xml:space="preserve">Currently, councils are required to prepare a large number of reports to state and Commonwealth agencies focusing on the acquittal of grants and service agreements. The new reporting framework should not increase this requirement and in fact will create an opportunity to add value to existing reporting as well as eliminate or replace some current mandatory reports. </w:t>
      </w:r>
    </w:p>
    <w:p w:rsidR="0083746E" w:rsidRPr="00E84DC2" w:rsidRDefault="0083746E" w:rsidP="00D6323B">
      <w:pPr>
        <w:rPr>
          <w:rFonts w:ascii="Tahoma" w:eastAsia="Times New Roman" w:hAnsi="Tahoma" w:cs="Tahoma"/>
          <w:sz w:val="22"/>
          <w:szCs w:val="22"/>
          <w:lang w:val="en-AU"/>
        </w:rPr>
      </w:pPr>
    </w:p>
    <w:p w:rsidR="008B5343" w:rsidRPr="00E84DC2" w:rsidRDefault="00D733EB" w:rsidP="00D6323B">
      <w:pPr>
        <w:rPr>
          <w:rFonts w:ascii="Tahoma" w:eastAsia="Times New Roman" w:hAnsi="Tahoma" w:cs="Tahoma"/>
          <w:sz w:val="22"/>
          <w:szCs w:val="22"/>
          <w:lang w:val="en-AU"/>
        </w:rPr>
      </w:pPr>
      <w:r w:rsidRPr="00D733EB">
        <w:rPr>
          <w:rFonts w:ascii="Tahoma" w:eastAsia="Times New Roman" w:hAnsi="Tahoma" w:cs="Tahoma"/>
          <w:sz w:val="22"/>
          <w:szCs w:val="22"/>
          <w:lang w:val="en-AU"/>
        </w:rPr>
        <w:t>A survey of 43 councils participating in the pilot program revealed that a majority of the proposed performance indicators and measures are already collected by councils for internal or external reporting purposes and as such will result in no additional reporting burden.</w:t>
      </w:r>
    </w:p>
    <w:p w:rsidR="0083746E" w:rsidRPr="00E84DC2" w:rsidRDefault="0083746E" w:rsidP="00D6323B">
      <w:pPr>
        <w:rPr>
          <w:rFonts w:ascii="Tahoma" w:eastAsia="Times New Roman" w:hAnsi="Tahoma" w:cs="Tahoma"/>
          <w:sz w:val="22"/>
          <w:szCs w:val="22"/>
          <w:lang w:val="en-AU"/>
        </w:rPr>
      </w:pPr>
    </w:p>
    <w:p w:rsidR="0083746E" w:rsidRPr="00E84DC2" w:rsidRDefault="00D733EB" w:rsidP="00D6323B">
      <w:pPr>
        <w:rPr>
          <w:rFonts w:ascii="Tahoma" w:eastAsia="Times New Roman" w:hAnsi="Tahoma" w:cs="Tahoma"/>
          <w:sz w:val="22"/>
          <w:szCs w:val="22"/>
          <w:lang w:val="en-AU"/>
        </w:rPr>
      </w:pPr>
      <w:r w:rsidRPr="00D733EB">
        <w:rPr>
          <w:rFonts w:ascii="Tahoma" w:eastAsia="Times New Roman" w:hAnsi="Tahoma" w:cs="Tahoma"/>
          <w:sz w:val="22"/>
          <w:szCs w:val="22"/>
          <w:lang w:val="en-AU"/>
        </w:rPr>
        <w:t xml:space="preserve">In addition to incorporating existing reporting requirements into the new reporting framework, the Victorian Government has led a whole of government review of current state reporting requirements on local government.  The objective of the review was to identify reporting requirements that could be streamlined or removed entirely from a list of 100 reports identified by the ESC as part of earlier efforts to develop a performance reporting system for local government.  </w:t>
      </w:r>
    </w:p>
    <w:p w:rsidR="0083746E" w:rsidRPr="00E84DC2" w:rsidRDefault="0083746E" w:rsidP="00D6323B">
      <w:pPr>
        <w:rPr>
          <w:rFonts w:ascii="Tahoma" w:eastAsia="Times New Roman" w:hAnsi="Tahoma" w:cs="Tahoma"/>
          <w:sz w:val="22"/>
          <w:szCs w:val="22"/>
          <w:lang w:val="en-AU"/>
        </w:rPr>
      </w:pPr>
    </w:p>
    <w:p w:rsidR="0083746E" w:rsidRPr="00E84DC2" w:rsidRDefault="00D733EB" w:rsidP="00D6323B">
      <w:pPr>
        <w:rPr>
          <w:rFonts w:ascii="Tahoma" w:eastAsia="Times New Roman" w:hAnsi="Tahoma" w:cs="Tahoma"/>
          <w:sz w:val="22"/>
          <w:szCs w:val="22"/>
          <w:lang w:val="en-AU"/>
        </w:rPr>
      </w:pPr>
      <w:r w:rsidRPr="00D733EB">
        <w:rPr>
          <w:rFonts w:ascii="Tahoma" w:eastAsia="Times New Roman" w:hAnsi="Tahoma" w:cs="Tahoma"/>
          <w:sz w:val="22"/>
          <w:szCs w:val="22"/>
          <w:lang w:val="en-AU"/>
        </w:rPr>
        <w:t>Of the reporting requirements considered, 38 have been identified by State Government Departments for streamlining or removal.  These initiatives include streamlining grant reporting, adjusting the frequency and level of detail of current reports to reduce duplication and effort in collection and automating some data returns.</w:t>
      </w:r>
    </w:p>
    <w:p w:rsidR="0083746E" w:rsidRPr="00E84DC2" w:rsidRDefault="0083746E" w:rsidP="00D6323B">
      <w:pPr>
        <w:rPr>
          <w:rFonts w:ascii="Tahoma" w:eastAsia="Times New Roman" w:hAnsi="Tahoma" w:cs="Tahoma"/>
          <w:sz w:val="22"/>
          <w:szCs w:val="22"/>
          <w:lang w:val="en-AU"/>
        </w:rPr>
      </w:pPr>
    </w:p>
    <w:p w:rsidR="0083746E" w:rsidRPr="00E84DC2" w:rsidRDefault="00D733EB" w:rsidP="00D6323B">
      <w:pPr>
        <w:rPr>
          <w:rFonts w:ascii="Tahoma" w:eastAsia="Times New Roman" w:hAnsi="Tahoma" w:cs="Tahoma"/>
          <w:sz w:val="22"/>
          <w:szCs w:val="22"/>
          <w:lang w:val="en-AU"/>
        </w:rPr>
      </w:pPr>
      <w:r w:rsidRPr="00D733EB">
        <w:rPr>
          <w:rFonts w:ascii="Tahoma" w:eastAsia="Times New Roman" w:hAnsi="Tahoma" w:cs="Tahoma"/>
          <w:sz w:val="22"/>
          <w:szCs w:val="22"/>
          <w:lang w:val="en-AU"/>
        </w:rPr>
        <w:t>The Victorian Government will continue to work with the sector to identify other reporting reductions that impose the greatest burden on Councils and opportunities for streamlining.  For example a further five reports have been earmarked for removal in early 2014 by Local Government Victoria.</w:t>
      </w:r>
    </w:p>
    <w:p w:rsidR="00FD30C1" w:rsidRPr="00E84DC2" w:rsidRDefault="00FD30C1">
      <w:pPr>
        <w:rPr>
          <w:rFonts w:ascii="Tahoma" w:eastAsia="Times New Roman" w:hAnsi="Tahoma" w:cs="Tahoma"/>
          <w:sz w:val="22"/>
          <w:szCs w:val="22"/>
          <w:lang w:val="en-AU"/>
        </w:rPr>
      </w:pPr>
    </w:p>
    <w:p w:rsidR="00FD30C1" w:rsidRPr="00E84DC2" w:rsidRDefault="00A830FF">
      <w:pPr>
        <w:rPr>
          <w:rFonts w:ascii="Tahoma" w:eastAsia="Times New Roman" w:hAnsi="Tahoma" w:cs="Tahoma"/>
          <w:sz w:val="22"/>
          <w:szCs w:val="22"/>
          <w:lang w:val="en-AU"/>
        </w:rPr>
      </w:pPr>
      <w:r>
        <w:rPr>
          <w:rFonts w:ascii="Tahoma" w:eastAsia="Times New Roman" w:hAnsi="Tahoma" w:cs="Tahoma"/>
          <w:sz w:val="22"/>
          <w:szCs w:val="22"/>
          <w:lang w:val="en-AU"/>
        </w:rPr>
        <w:t>Further, t</w:t>
      </w:r>
      <w:r w:rsidR="00D733EB" w:rsidRPr="00D733EB">
        <w:rPr>
          <w:rFonts w:ascii="Tahoma" w:eastAsia="Times New Roman" w:hAnsi="Tahoma" w:cs="Tahoma"/>
          <w:sz w:val="22"/>
          <w:szCs w:val="22"/>
          <w:lang w:val="en-AU"/>
        </w:rPr>
        <w:t>he Victorian Government has taken the opportunity of developing the overall performance reporting framework to identify scope for costs savings for local councils. For example, the new framework will:</w:t>
      </w:r>
    </w:p>
    <w:p w:rsidR="00370858" w:rsidRPr="00E84DC2" w:rsidRDefault="00D733EB">
      <w:pPr>
        <w:pStyle w:val="ListParagraph"/>
        <w:rPr>
          <w:rFonts w:ascii="Tahoma" w:hAnsi="Tahoma" w:cs="Tahoma"/>
          <w:lang w:val="en-AU"/>
        </w:rPr>
      </w:pPr>
      <w:r w:rsidRPr="00D733EB">
        <w:rPr>
          <w:rFonts w:ascii="Tahoma" w:hAnsi="Tahoma" w:cs="Tahoma"/>
          <w:lang w:val="en-AU"/>
        </w:rPr>
        <w:t>streamline the financial information reported by councils by replacing the requirement to report against the standard statements with the financial statements in the strategic resource plan and the annual budget.</w:t>
      </w:r>
      <w:r w:rsidR="00A830FF">
        <w:rPr>
          <w:rFonts w:ascii="Tahoma" w:hAnsi="Tahoma" w:cs="Tahoma"/>
          <w:lang w:val="en-AU"/>
        </w:rPr>
        <w:t xml:space="preserve"> The requirement to report standard statements in the annual report has also been removed.</w:t>
      </w:r>
      <w:r w:rsidRPr="00D733EB">
        <w:rPr>
          <w:rFonts w:ascii="Tahoma" w:hAnsi="Tahoma" w:cs="Tahoma"/>
          <w:lang w:val="en-AU"/>
        </w:rPr>
        <w:t xml:space="preserve"> Th</w:t>
      </w:r>
      <w:r w:rsidR="00A830FF">
        <w:rPr>
          <w:rFonts w:ascii="Tahoma" w:hAnsi="Tahoma" w:cs="Tahoma"/>
          <w:lang w:val="en-AU"/>
        </w:rPr>
        <w:t>ese</w:t>
      </w:r>
      <w:r w:rsidRPr="00D733EB">
        <w:rPr>
          <w:rFonts w:ascii="Tahoma" w:hAnsi="Tahoma" w:cs="Tahoma"/>
          <w:lang w:val="en-AU"/>
        </w:rPr>
        <w:t xml:space="preserve"> change will be effected through the</w:t>
      </w:r>
      <w:r w:rsidR="00A830FF">
        <w:rPr>
          <w:rFonts w:ascii="Tahoma" w:hAnsi="Tahoma" w:cs="Tahoma"/>
          <w:lang w:val="en-AU"/>
        </w:rPr>
        <w:t xml:space="preserve"> amended</w:t>
      </w:r>
      <w:r w:rsidRPr="00D733EB">
        <w:rPr>
          <w:rFonts w:ascii="Tahoma" w:hAnsi="Tahoma" w:cs="Tahoma"/>
          <w:lang w:val="en-AU"/>
        </w:rPr>
        <w:t xml:space="preserve"> Act, removing the need to include additional requirements in the proposed Regulations</w:t>
      </w:r>
      <w:r w:rsidR="00A830FF">
        <w:rPr>
          <w:rFonts w:ascii="Tahoma" w:hAnsi="Tahoma" w:cs="Tahoma"/>
          <w:lang w:val="en-AU"/>
        </w:rPr>
        <w:t>;</w:t>
      </w:r>
    </w:p>
    <w:p w:rsidR="00370858" w:rsidRPr="00E84DC2" w:rsidRDefault="00D733EB">
      <w:pPr>
        <w:pStyle w:val="ListParagraph"/>
        <w:rPr>
          <w:rFonts w:ascii="Tahoma" w:hAnsi="Tahoma" w:cs="Tahoma"/>
          <w:lang w:val="en-AU"/>
        </w:rPr>
      </w:pPr>
      <w:r w:rsidRPr="00D733EB">
        <w:rPr>
          <w:rFonts w:ascii="Tahoma" w:hAnsi="Tahoma" w:cs="Tahoma"/>
          <w:lang w:val="en-AU"/>
        </w:rPr>
        <w:t>remove the requirement for councils to report financial ratios as a note to the financial statements in the annual report</w:t>
      </w:r>
      <w:r w:rsidR="00A830FF">
        <w:rPr>
          <w:rFonts w:ascii="Tahoma" w:hAnsi="Tahoma" w:cs="Tahoma"/>
          <w:lang w:val="en-AU"/>
        </w:rPr>
        <w:t>; and</w:t>
      </w:r>
    </w:p>
    <w:p w:rsidR="00370858" w:rsidRPr="00E84DC2" w:rsidRDefault="00D733EB">
      <w:pPr>
        <w:pStyle w:val="ListParagraph"/>
        <w:rPr>
          <w:rFonts w:ascii="Tahoma" w:hAnsi="Tahoma" w:cs="Tahoma"/>
          <w:lang w:val="en-AU"/>
        </w:rPr>
      </w:pPr>
      <w:r w:rsidRPr="00D733EB">
        <w:rPr>
          <w:rFonts w:ascii="Tahoma" w:hAnsi="Tahoma" w:cs="Tahoma"/>
          <w:lang w:val="en-AU"/>
        </w:rPr>
        <w:t>streamline the public notice requirements for the proposed budget, resulting in a saving of between $250 and $5,000 per council per year, depending on publication fees.</w:t>
      </w:r>
    </w:p>
    <w:p w:rsidR="009C1D20" w:rsidRPr="00E84DC2" w:rsidRDefault="00D733EB" w:rsidP="00E84CE8">
      <w:pPr>
        <w:pStyle w:val="Heading2"/>
      </w:pPr>
      <w:bookmarkStart w:id="14" w:name="_Toc375151248"/>
      <w:bookmarkStart w:id="15" w:name="_Toc379878660"/>
      <w:bookmarkEnd w:id="14"/>
      <w:r w:rsidRPr="00D733EB">
        <w:t>The proposed Regulations</w:t>
      </w:r>
      <w:bookmarkEnd w:id="15"/>
    </w:p>
    <w:p w:rsidR="0069683F" w:rsidRPr="00E84DC2" w:rsidRDefault="0069683F">
      <w:pPr>
        <w:rPr>
          <w:rFonts w:ascii="Tahoma" w:hAnsi="Tahoma" w:cs="Tahoma"/>
          <w:lang w:val="en-AU"/>
        </w:rPr>
      </w:pPr>
    </w:p>
    <w:p w:rsidR="009C1D20" w:rsidRPr="00E84DC2" w:rsidRDefault="00D733EB">
      <w:pPr>
        <w:rPr>
          <w:rFonts w:ascii="Tahoma" w:hAnsi="Tahoma" w:cs="Tahoma"/>
          <w:sz w:val="22"/>
          <w:szCs w:val="22"/>
          <w:lang w:val="en-AU"/>
        </w:rPr>
      </w:pPr>
      <w:r w:rsidRPr="00D733EB">
        <w:rPr>
          <w:rFonts w:ascii="Tahoma" w:hAnsi="Tahoma" w:cs="Tahoma"/>
          <w:sz w:val="22"/>
          <w:szCs w:val="22"/>
          <w:lang w:val="en-AU"/>
        </w:rPr>
        <w:t>The proposed Regulations prescribe information that must be included in a number of council reports. Noting that the reports themselves and the bulk of their required content is set out in the Act, the proposed Regulations set out additional information on the form and content required in key reports.</w:t>
      </w:r>
    </w:p>
    <w:p w:rsidR="00DA424C" w:rsidRPr="00E84DC2" w:rsidRDefault="00DA424C">
      <w:pPr>
        <w:rPr>
          <w:rFonts w:ascii="Tahoma" w:hAnsi="Tahoma" w:cs="Tahoma"/>
          <w:sz w:val="22"/>
          <w:szCs w:val="22"/>
          <w:lang w:val="en-AU"/>
        </w:rPr>
      </w:pPr>
    </w:p>
    <w:p w:rsidR="002F54CE" w:rsidRPr="00E84DC2" w:rsidRDefault="00D733EB">
      <w:pPr>
        <w:rPr>
          <w:rFonts w:ascii="Tahoma" w:hAnsi="Tahoma" w:cs="Tahoma"/>
          <w:sz w:val="22"/>
          <w:szCs w:val="22"/>
          <w:lang w:val="en-AU"/>
        </w:rPr>
      </w:pPr>
      <w:r w:rsidRPr="00D733EB">
        <w:rPr>
          <w:rFonts w:ascii="Tahoma" w:hAnsi="Tahoma" w:cs="Tahoma"/>
          <w:sz w:val="22"/>
          <w:szCs w:val="22"/>
          <w:lang w:val="en-AU"/>
        </w:rPr>
        <w:t>Figure 3A sets out the information required by the proposed Regulations, and also a description of the change from the current Regulations.</w:t>
      </w:r>
    </w:p>
    <w:p w:rsidR="00632A85" w:rsidRPr="00E84DC2" w:rsidRDefault="00632A85">
      <w:pPr>
        <w:rPr>
          <w:rFonts w:ascii="Tahoma" w:hAnsi="Tahoma" w:cs="Tahoma"/>
          <w:sz w:val="22"/>
          <w:szCs w:val="22"/>
          <w:lang w:val="en-AU"/>
        </w:rPr>
      </w:pPr>
    </w:p>
    <w:p w:rsidR="00632A85" w:rsidRPr="00E84DC2" w:rsidRDefault="00D733EB" w:rsidP="00F30ED0">
      <w:pPr>
        <w:jc w:val="center"/>
        <w:rPr>
          <w:rFonts w:ascii="Tahoma" w:hAnsi="Tahoma" w:cs="Tahoma"/>
          <w:b/>
          <w:sz w:val="22"/>
          <w:szCs w:val="22"/>
          <w:lang w:val="en-AU"/>
        </w:rPr>
      </w:pPr>
      <w:r w:rsidRPr="00D733EB">
        <w:rPr>
          <w:rFonts w:ascii="Tahoma" w:hAnsi="Tahoma" w:cs="Tahoma"/>
          <w:b/>
          <w:sz w:val="22"/>
          <w:szCs w:val="22"/>
          <w:lang w:val="en-AU"/>
        </w:rPr>
        <w:t>Figure 3A</w:t>
      </w:r>
      <w:r w:rsidRPr="00D733EB">
        <w:rPr>
          <w:rFonts w:ascii="Tahoma" w:hAnsi="Tahoma" w:cs="Tahoma"/>
          <w:b/>
          <w:sz w:val="22"/>
          <w:szCs w:val="22"/>
          <w:lang w:val="en-AU"/>
        </w:rPr>
        <w:br/>
        <w:t>Additional information required under the proposed Regulations</w:t>
      </w:r>
    </w:p>
    <w:p w:rsidR="0006225A" w:rsidRPr="00E84DC2" w:rsidRDefault="0006225A" w:rsidP="00F30ED0">
      <w:pPr>
        <w:jc w:val="center"/>
        <w:rPr>
          <w:rFonts w:ascii="Tahoma" w:hAnsi="Tahoma" w:cs="Tahoma"/>
          <w:b/>
          <w:sz w:val="4"/>
          <w:szCs w:val="4"/>
          <w:lang w:val="en-AU"/>
        </w:rPr>
      </w:pPr>
    </w:p>
    <w:tbl>
      <w:tblPr>
        <w:tblStyle w:val="LightList-Accent11"/>
        <w:tblW w:w="0" w:type="auto"/>
        <w:tblLook w:val="04A0" w:firstRow="1" w:lastRow="0" w:firstColumn="1" w:lastColumn="0" w:noHBand="0" w:noVBand="1"/>
      </w:tblPr>
      <w:tblGrid>
        <w:gridCol w:w="2093"/>
        <w:gridCol w:w="3402"/>
        <w:gridCol w:w="3021"/>
      </w:tblGrid>
      <w:tr w:rsidR="0006225A" w:rsidRPr="00E84DC2" w:rsidTr="00D220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06225A" w:rsidRPr="00E84DC2" w:rsidRDefault="00D733EB" w:rsidP="00FC7180">
            <w:pPr>
              <w:rPr>
                <w:rFonts w:ascii="Tahoma" w:hAnsi="Tahoma" w:cs="Tahoma"/>
                <w:color w:val="auto"/>
                <w:sz w:val="18"/>
                <w:szCs w:val="18"/>
                <w:lang w:val="en-AU"/>
              </w:rPr>
            </w:pPr>
            <w:r w:rsidRPr="00D733EB">
              <w:rPr>
                <w:rFonts w:ascii="Tahoma" w:hAnsi="Tahoma" w:cs="Tahoma"/>
                <w:sz w:val="18"/>
                <w:szCs w:val="18"/>
                <w:lang w:val="en-AU"/>
              </w:rPr>
              <w:t>Document</w:t>
            </w:r>
          </w:p>
        </w:tc>
        <w:tc>
          <w:tcPr>
            <w:tcW w:w="3402" w:type="dxa"/>
          </w:tcPr>
          <w:p w:rsidR="0006225A" w:rsidRPr="00E84DC2" w:rsidRDefault="00D733EB" w:rsidP="00FC7180">
            <w:pPr>
              <w:cnfStyle w:val="100000000000" w:firstRow="1" w:lastRow="0" w:firstColumn="0" w:lastColumn="0" w:oddVBand="0" w:evenVBand="0" w:oddHBand="0" w:evenHBand="0" w:firstRowFirstColumn="0" w:firstRowLastColumn="0" w:lastRowFirstColumn="0" w:lastRowLastColumn="0"/>
              <w:rPr>
                <w:rFonts w:ascii="Tahoma" w:hAnsi="Tahoma" w:cs="Tahoma"/>
                <w:color w:val="auto"/>
                <w:sz w:val="18"/>
                <w:szCs w:val="18"/>
                <w:lang w:val="en-AU"/>
              </w:rPr>
            </w:pPr>
            <w:r w:rsidRPr="00D733EB">
              <w:rPr>
                <w:rFonts w:ascii="Tahoma" w:hAnsi="Tahoma" w:cs="Tahoma"/>
                <w:sz w:val="18"/>
                <w:szCs w:val="18"/>
                <w:lang w:val="en-AU"/>
              </w:rPr>
              <w:t>Proposed Regulations</w:t>
            </w:r>
          </w:p>
        </w:tc>
        <w:tc>
          <w:tcPr>
            <w:tcW w:w="3021" w:type="dxa"/>
          </w:tcPr>
          <w:p w:rsidR="0006225A" w:rsidRPr="00E84DC2" w:rsidRDefault="00D733EB" w:rsidP="00FC7180">
            <w:pPr>
              <w:cnfStyle w:val="100000000000" w:firstRow="1" w:lastRow="0" w:firstColumn="0" w:lastColumn="0" w:oddVBand="0" w:evenVBand="0" w:oddHBand="0" w:evenHBand="0" w:firstRowFirstColumn="0" w:firstRowLastColumn="0" w:lastRowFirstColumn="0" w:lastRowLastColumn="0"/>
              <w:rPr>
                <w:rFonts w:ascii="Tahoma" w:hAnsi="Tahoma" w:cs="Tahoma"/>
                <w:color w:val="auto"/>
                <w:sz w:val="18"/>
                <w:szCs w:val="18"/>
                <w:lang w:val="en-AU"/>
              </w:rPr>
            </w:pPr>
            <w:r w:rsidRPr="00D733EB">
              <w:rPr>
                <w:rFonts w:ascii="Tahoma" w:hAnsi="Tahoma" w:cs="Tahoma"/>
                <w:sz w:val="18"/>
                <w:szCs w:val="18"/>
                <w:lang w:val="en-AU"/>
              </w:rPr>
              <w:t>Change from current Regulations</w:t>
            </w:r>
          </w:p>
        </w:tc>
      </w:tr>
      <w:tr w:rsidR="0006225A" w:rsidRPr="00E84DC2" w:rsidTr="00D22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06225A" w:rsidRPr="00E84DC2" w:rsidRDefault="00D733EB" w:rsidP="008B5343">
            <w:pPr>
              <w:rPr>
                <w:rFonts w:ascii="Tahoma" w:hAnsi="Tahoma" w:cs="Tahoma"/>
                <w:sz w:val="18"/>
                <w:szCs w:val="18"/>
                <w:lang w:val="en-AU"/>
              </w:rPr>
            </w:pPr>
            <w:r w:rsidRPr="00D733EB">
              <w:rPr>
                <w:rFonts w:ascii="Tahoma" w:hAnsi="Tahoma" w:cs="Tahoma"/>
                <w:sz w:val="18"/>
                <w:szCs w:val="18"/>
                <w:lang w:val="en-AU"/>
              </w:rPr>
              <w:t>Council plan (s. 125)</w:t>
            </w:r>
          </w:p>
        </w:tc>
        <w:tc>
          <w:tcPr>
            <w:tcW w:w="3402" w:type="dxa"/>
          </w:tcPr>
          <w:p w:rsidR="0006225A" w:rsidRPr="00E84DC2" w:rsidRDefault="00D733EB" w:rsidP="00FC7180">
            <w:pPr>
              <w:cnfStyle w:val="000000100000" w:firstRow="0" w:lastRow="0" w:firstColumn="0" w:lastColumn="0" w:oddVBand="0" w:evenVBand="0" w:oddHBand="1" w:evenHBand="0" w:firstRowFirstColumn="0" w:firstRowLastColumn="0" w:lastRowFirstColumn="0" w:lastRowLastColumn="0"/>
              <w:rPr>
                <w:rFonts w:ascii="Tahoma" w:hAnsi="Tahoma" w:cs="Tahoma"/>
                <w:sz w:val="18"/>
                <w:szCs w:val="18"/>
                <w:lang w:val="en-AU"/>
              </w:rPr>
            </w:pPr>
            <w:r w:rsidRPr="00D733EB">
              <w:rPr>
                <w:rFonts w:ascii="Tahoma" w:hAnsi="Tahoma" w:cs="Tahoma"/>
                <w:sz w:val="18"/>
                <w:szCs w:val="18"/>
                <w:lang w:val="en-AU"/>
              </w:rPr>
              <w:t>No additional requirements</w:t>
            </w:r>
          </w:p>
        </w:tc>
        <w:tc>
          <w:tcPr>
            <w:tcW w:w="3021" w:type="dxa"/>
          </w:tcPr>
          <w:p w:rsidR="0006225A" w:rsidRPr="00E84DC2" w:rsidRDefault="00D733EB" w:rsidP="00FC7180">
            <w:pPr>
              <w:cnfStyle w:val="000000100000" w:firstRow="0" w:lastRow="0" w:firstColumn="0" w:lastColumn="0" w:oddVBand="0" w:evenVBand="0" w:oddHBand="1" w:evenHBand="0" w:firstRowFirstColumn="0" w:firstRowLastColumn="0" w:lastRowFirstColumn="0" w:lastRowLastColumn="0"/>
              <w:rPr>
                <w:rFonts w:ascii="Tahoma" w:hAnsi="Tahoma" w:cs="Tahoma"/>
                <w:sz w:val="18"/>
                <w:szCs w:val="18"/>
                <w:lang w:val="en-AU"/>
              </w:rPr>
            </w:pPr>
            <w:r w:rsidRPr="00D733EB">
              <w:rPr>
                <w:rFonts w:ascii="Tahoma" w:hAnsi="Tahoma" w:cs="Tahoma"/>
                <w:sz w:val="18"/>
                <w:szCs w:val="18"/>
                <w:lang w:val="en-AU"/>
              </w:rPr>
              <w:t>No change.</w:t>
            </w:r>
          </w:p>
        </w:tc>
      </w:tr>
      <w:tr w:rsidR="0006225A" w:rsidRPr="00E84DC2" w:rsidTr="00D2206D">
        <w:tc>
          <w:tcPr>
            <w:cnfStyle w:val="001000000000" w:firstRow="0" w:lastRow="0" w:firstColumn="1" w:lastColumn="0" w:oddVBand="0" w:evenVBand="0" w:oddHBand="0" w:evenHBand="0" w:firstRowFirstColumn="0" w:firstRowLastColumn="0" w:lastRowFirstColumn="0" w:lastRowLastColumn="0"/>
            <w:tcW w:w="2093" w:type="dxa"/>
            <w:vMerge w:val="restart"/>
          </w:tcPr>
          <w:p w:rsidR="0006225A" w:rsidRPr="00E84DC2" w:rsidRDefault="00D733EB" w:rsidP="00FC7180">
            <w:pPr>
              <w:rPr>
                <w:rFonts w:ascii="Tahoma" w:hAnsi="Tahoma" w:cs="Tahoma"/>
                <w:sz w:val="18"/>
                <w:szCs w:val="18"/>
                <w:lang w:val="en-AU"/>
              </w:rPr>
            </w:pPr>
            <w:r w:rsidRPr="00D733EB">
              <w:rPr>
                <w:rFonts w:ascii="Tahoma" w:hAnsi="Tahoma" w:cs="Tahoma"/>
                <w:sz w:val="18"/>
                <w:szCs w:val="18"/>
                <w:lang w:val="en-AU"/>
              </w:rPr>
              <w:t>Strategic resource plan (s. 126)</w:t>
            </w:r>
          </w:p>
        </w:tc>
        <w:tc>
          <w:tcPr>
            <w:tcW w:w="3402" w:type="dxa"/>
          </w:tcPr>
          <w:p w:rsidR="0006225A" w:rsidRPr="00E84DC2" w:rsidRDefault="00D733EB" w:rsidP="00FC7180">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lang w:val="en-AU"/>
              </w:rPr>
            </w:pPr>
            <w:r w:rsidRPr="00D733EB">
              <w:rPr>
                <w:rFonts w:ascii="Tahoma" w:hAnsi="Tahoma" w:cs="Tahoma"/>
                <w:sz w:val="18"/>
                <w:szCs w:val="18"/>
                <w:lang w:val="en-AU"/>
              </w:rPr>
              <w:t xml:space="preserve">Must include financial statements and a statement of capital works. Must also include a summary of </w:t>
            </w:r>
            <w:r w:rsidR="00A830FF">
              <w:rPr>
                <w:rFonts w:ascii="Tahoma" w:hAnsi="Tahoma" w:cs="Tahoma"/>
                <w:sz w:val="18"/>
                <w:szCs w:val="18"/>
                <w:lang w:val="en-AU"/>
              </w:rPr>
              <w:t xml:space="preserve">planned </w:t>
            </w:r>
            <w:r w:rsidRPr="00D733EB">
              <w:rPr>
                <w:rFonts w:ascii="Tahoma" w:hAnsi="Tahoma" w:cs="Tahoma"/>
                <w:sz w:val="18"/>
                <w:szCs w:val="18"/>
                <w:lang w:val="en-AU"/>
              </w:rPr>
              <w:t>capital works expenditure by asset classifications, expenditure types and funding sources.</w:t>
            </w:r>
          </w:p>
        </w:tc>
        <w:tc>
          <w:tcPr>
            <w:tcW w:w="3021" w:type="dxa"/>
          </w:tcPr>
          <w:p w:rsidR="0006225A" w:rsidRPr="00E84DC2" w:rsidRDefault="00D733EB" w:rsidP="00FC7180">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lang w:val="en-AU"/>
              </w:rPr>
            </w:pPr>
            <w:r w:rsidRPr="00D733EB">
              <w:rPr>
                <w:rFonts w:ascii="Tahoma" w:hAnsi="Tahoma" w:cs="Tahoma"/>
                <w:sz w:val="18"/>
                <w:szCs w:val="18"/>
                <w:lang w:val="en-AU"/>
              </w:rPr>
              <w:t xml:space="preserve">The financial statements replace the current ‘standard statements. The financial statements are aligned to Australian Accounting Standards and are consistent with the standard statements other than the statement of capital works which has been retained. The associated current regulations that deal with the basis for </w:t>
            </w:r>
            <w:r w:rsidRPr="00D733EB">
              <w:rPr>
                <w:rFonts w:ascii="Tahoma" w:hAnsi="Tahoma" w:cs="Tahoma"/>
                <w:sz w:val="18"/>
                <w:szCs w:val="18"/>
                <w:lang w:val="en-AU"/>
              </w:rPr>
              <w:lastRenderedPageBreak/>
              <w:t xml:space="preserve">preparation of standard statements and required formats will not be remade. The summary of </w:t>
            </w:r>
            <w:r w:rsidR="00A830FF">
              <w:rPr>
                <w:rFonts w:ascii="Tahoma" w:hAnsi="Tahoma" w:cs="Tahoma"/>
                <w:sz w:val="18"/>
                <w:szCs w:val="18"/>
                <w:lang w:val="en-AU"/>
              </w:rPr>
              <w:t xml:space="preserve">planned </w:t>
            </w:r>
            <w:r w:rsidRPr="00D733EB">
              <w:rPr>
                <w:rFonts w:ascii="Tahoma" w:hAnsi="Tahoma" w:cs="Tahoma"/>
                <w:sz w:val="18"/>
                <w:szCs w:val="18"/>
                <w:lang w:val="en-AU"/>
              </w:rPr>
              <w:t xml:space="preserve">capital works </w:t>
            </w:r>
            <w:r w:rsidR="00A830FF">
              <w:rPr>
                <w:rFonts w:ascii="Tahoma" w:hAnsi="Tahoma" w:cs="Tahoma"/>
                <w:sz w:val="18"/>
                <w:szCs w:val="18"/>
                <w:lang w:val="en-AU"/>
              </w:rPr>
              <w:t xml:space="preserve">expenditure </w:t>
            </w:r>
            <w:r w:rsidRPr="00D733EB">
              <w:rPr>
                <w:rFonts w:ascii="Tahoma" w:hAnsi="Tahoma" w:cs="Tahoma"/>
                <w:sz w:val="18"/>
                <w:szCs w:val="18"/>
                <w:lang w:val="en-AU"/>
              </w:rPr>
              <w:t>is a new requirement.</w:t>
            </w:r>
          </w:p>
        </w:tc>
      </w:tr>
      <w:tr w:rsidR="0006225A" w:rsidRPr="00E84DC2" w:rsidTr="00D22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tcPr>
          <w:p w:rsidR="0006225A" w:rsidRPr="00E84DC2" w:rsidRDefault="0006225A" w:rsidP="00FC7180">
            <w:pPr>
              <w:rPr>
                <w:rFonts w:ascii="Tahoma" w:hAnsi="Tahoma" w:cs="Tahoma"/>
                <w:sz w:val="18"/>
                <w:szCs w:val="18"/>
                <w:lang w:val="en-AU"/>
              </w:rPr>
            </w:pPr>
          </w:p>
        </w:tc>
        <w:tc>
          <w:tcPr>
            <w:tcW w:w="3402" w:type="dxa"/>
          </w:tcPr>
          <w:p w:rsidR="0006225A" w:rsidRPr="00E84DC2" w:rsidRDefault="00D733EB" w:rsidP="00FC7180">
            <w:pPr>
              <w:cnfStyle w:val="000000100000" w:firstRow="0" w:lastRow="0" w:firstColumn="0" w:lastColumn="0" w:oddVBand="0" w:evenVBand="0" w:oddHBand="1" w:evenHBand="0" w:firstRowFirstColumn="0" w:firstRowLastColumn="0" w:lastRowFirstColumn="0" w:lastRowLastColumn="0"/>
              <w:rPr>
                <w:rFonts w:ascii="Tahoma" w:hAnsi="Tahoma" w:cs="Tahoma"/>
                <w:sz w:val="18"/>
                <w:szCs w:val="18"/>
                <w:lang w:val="en-AU"/>
              </w:rPr>
            </w:pPr>
            <w:r w:rsidRPr="00D733EB">
              <w:rPr>
                <w:rFonts w:ascii="Tahoma" w:hAnsi="Tahoma" w:cs="Tahoma"/>
                <w:sz w:val="18"/>
                <w:szCs w:val="18"/>
                <w:lang w:val="en-AU"/>
              </w:rPr>
              <w:t>Must include a statement of human resources. Must also include a summary of</w:t>
            </w:r>
            <w:r w:rsidR="00A830FF">
              <w:rPr>
                <w:rFonts w:ascii="Tahoma" w:hAnsi="Tahoma" w:cs="Tahoma"/>
                <w:sz w:val="18"/>
                <w:szCs w:val="18"/>
                <w:lang w:val="en-AU"/>
              </w:rPr>
              <w:t xml:space="preserve"> planned</w:t>
            </w:r>
            <w:r w:rsidRPr="00D733EB">
              <w:rPr>
                <w:rFonts w:ascii="Tahoma" w:hAnsi="Tahoma" w:cs="Tahoma"/>
                <w:sz w:val="18"/>
                <w:szCs w:val="18"/>
                <w:lang w:val="en-AU"/>
              </w:rPr>
              <w:t xml:space="preserve"> human resources expenditure and staff numbers categorised by organisational structure.</w:t>
            </w:r>
          </w:p>
          <w:p w:rsidR="00714396" w:rsidRPr="00E84DC2" w:rsidRDefault="00714396" w:rsidP="00FC7180">
            <w:pPr>
              <w:cnfStyle w:val="000000100000" w:firstRow="0" w:lastRow="0" w:firstColumn="0" w:lastColumn="0" w:oddVBand="0" w:evenVBand="0" w:oddHBand="1" w:evenHBand="0" w:firstRowFirstColumn="0" w:firstRowLastColumn="0" w:lastRowFirstColumn="0" w:lastRowLastColumn="0"/>
              <w:rPr>
                <w:rFonts w:ascii="Tahoma" w:hAnsi="Tahoma" w:cs="Tahoma"/>
                <w:sz w:val="18"/>
                <w:szCs w:val="18"/>
                <w:lang w:val="en-AU"/>
              </w:rPr>
            </w:pPr>
          </w:p>
        </w:tc>
        <w:tc>
          <w:tcPr>
            <w:tcW w:w="3021" w:type="dxa"/>
          </w:tcPr>
          <w:p w:rsidR="0006225A" w:rsidRPr="00E84DC2" w:rsidRDefault="00D733EB" w:rsidP="00FC7180">
            <w:pPr>
              <w:cnfStyle w:val="000000100000" w:firstRow="0" w:lastRow="0" w:firstColumn="0" w:lastColumn="0" w:oddVBand="0" w:evenVBand="0" w:oddHBand="1" w:evenHBand="0" w:firstRowFirstColumn="0" w:firstRowLastColumn="0" w:lastRowFirstColumn="0" w:lastRowLastColumn="0"/>
              <w:rPr>
                <w:rFonts w:ascii="Tahoma" w:hAnsi="Tahoma" w:cs="Tahoma"/>
                <w:sz w:val="18"/>
                <w:szCs w:val="18"/>
                <w:lang w:val="en-AU"/>
              </w:rPr>
            </w:pPr>
            <w:r w:rsidRPr="00D733EB">
              <w:rPr>
                <w:rFonts w:ascii="Tahoma" w:hAnsi="Tahoma" w:cs="Tahoma"/>
                <w:sz w:val="18"/>
                <w:szCs w:val="18"/>
                <w:lang w:val="en-AU"/>
              </w:rPr>
              <w:t xml:space="preserve">The summary of </w:t>
            </w:r>
            <w:r w:rsidR="00A830FF">
              <w:rPr>
                <w:rFonts w:ascii="Tahoma" w:hAnsi="Tahoma" w:cs="Tahoma"/>
                <w:sz w:val="18"/>
                <w:szCs w:val="18"/>
                <w:lang w:val="en-AU"/>
              </w:rPr>
              <w:t xml:space="preserve">planned </w:t>
            </w:r>
            <w:r w:rsidRPr="00D733EB">
              <w:rPr>
                <w:rFonts w:ascii="Tahoma" w:hAnsi="Tahoma" w:cs="Tahoma"/>
                <w:sz w:val="18"/>
                <w:szCs w:val="18"/>
                <w:lang w:val="en-AU"/>
              </w:rPr>
              <w:t>human resources is a new requirement.</w:t>
            </w:r>
          </w:p>
        </w:tc>
      </w:tr>
      <w:tr w:rsidR="0006225A" w:rsidRPr="00E84DC2" w:rsidTr="00D2206D">
        <w:tc>
          <w:tcPr>
            <w:cnfStyle w:val="001000000000" w:firstRow="0" w:lastRow="0" w:firstColumn="1" w:lastColumn="0" w:oddVBand="0" w:evenVBand="0" w:oddHBand="0" w:evenHBand="0" w:firstRowFirstColumn="0" w:firstRowLastColumn="0" w:lastRowFirstColumn="0" w:lastRowLastColumn="0"/>
            <w:tcW w:w="2093" w:type="dxa"/>
            <w:vMerge w:val="restart"/>
          </w:tcPr>
          <w:p w:rsidR="0006225A" w:rsidRPr="00E84DC2" w:rsidRDefault="00D733EB" w:rsidP="00FC7180">
            <w:pPr>
              <w:rPr>
                <w:rFonts w:ascii="Tahoma" w:hAnsi="Tahoma" w:cs="Tahoma"/>
                <w:sz w:val="18"/>
                <w:szCs w:val="18"/>
                <w:lang w:val="en-AU"/>
              </w:rPr>
            </w:pPr>
            <w:r w:rsidRPr="00D733EB">
              <w:rPr>
                <w:rFonts w:ascii="Tahoma" w:hAnsi="Tahoma" w:cs="Tahoma"/>
                <w:sz w:val="18"/>
                <w:szCs w:val="18"/>
                <w:lang w:val="en-AU"/>
              </w:rPr>
              <w:t xml:space="preserve">Annual budget </w:t>
            </w:r>
            <w:r w:rsidRPr="00D733EB">
              <w:rPr>
                <w:rFonts w:ascii="Tahoma" w:hAnsi="Tahoma" w:cs="Tahoma"/>
                <w:sz w:val="18"/>
                <w:szCs w:val="18"/>
                <w:lang w:val="en-AU"/>
              </w:rPr>
              <w:br/>
              <w:t>(s. 127)</w:t>
            </w:r>
          </w:p>
        </w:tc>
        <w:tc>
          <w:tcPr>
            <w:tcW w:w="3402" w:type="dxa"/>
          </w:tcPr>
          <w:p w:rsidR="0006225A" w:rsidRPr="00E84DC2" w:rsidRDefault="00D733EB" w:rsidP="00FC7180">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lang w:val="en-AU"/>
              </w:rPr>
            </w:pPr>
            <w:r w:rsidRPr="00D733EB">
              <w:rPr>
                <w:rFonts w:ascii="Tahoma" w:hAnsi="Tahoma" w:cs="Tahoma"/>
                <w:sz w:val="18"/>
                <w:szCs w:val="18"/>
                <w:lang w:val="en-AU"/>
              </w:rPr>
              <w:t xml:space="preserve">Must include financial statements and a statement of capital works. Must also include a detailed list of </w:t>
            </w:r>
            <w:r w:rsidR="00A830FF">
              <w:rPr>
                <w:rFonts w:ascii="Tahoma" w:hAnsi="Tahoma" w:cs="Tahoma"/>
                <w:sz w:val="18"/>
                <w:szCs w:val="18"/>
                <w:lang w:val="en-AU"/>
              </w:rPr>
              <w:t xml:space="preserve">planned </w:t>
            </w:r>
            <w:r w:rsidRPr="00D733EB">
              <w:rPr>
                <w:rFonts w:ascii="Tahoma" w:hAnsi="Tahoma" w:cs="Tahoma"/>
                <w:sz w:val="18"/>
                <w:szCs w:val="18"/>
                <w:lang w:val="en-AU"/>
              </w:rPr>
              <w:t xml:space="preserve">capital works expenditure by asset classifications, expenditure types and funding sources and a summary of </w:t>
            </w:r>
            <w:r w:rsidR="00A830FF">
              <w:rPr>
                <w:rFonts w:ascii="Tahoma" w:hAnsi="Tahoma" w:cs="Tahoma"/>
                <w:sz w:val="18"/>
                <w:szCs w:val="18"/>
                <w:lang w:val="en-AU"/>
              </w:rPr>
              <w:t xml:space="preserve">planned </w:t>
            </w:r>
            <w:r w:rsidRPr="00D733EB">
              <w:rPr>
                <w:rFonts w:ascii="Tahoma" w:hAnsi="Tahoma" w:cs="Tahoma"/>
                <w:sz w:val="18"/>
                <w:szCs w:val="18"/>
                <w:lang w:val="en-AU"/>
              </w:rPr>
              <w:t>human resources expenditure and staff numbers categorised by organisational structure</w:t>
            </w:r>
          </w:p>
        </w:tc>
        <w:tc>
          <w:tcPr>
            <w:tcW w:w="3021" w:type="dxa"/>
          </w:tcPr>
          <w:p w:rsidR="0006225A" w:rsidRPr="00E84DC2" w:rsidRDefault="00D733EB" w:rsidP="00FC7180">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lang w:val="en-AU"/>
              </w:rPr>
            </w:pPr>
            <w:r w:rsidRPr="00D733EB">
              <w:rPr>
                <w:rFonts w:ascii="Tahoma" w:hAnsi="Tahoma" w:cs="Tahoma"/>
                <w:sz w:val="18"/>
                <w:szCs w:val="18"/>
                <w:lang w:val="en-AU"/>
              </w:rPr>
              <w:t xml:space="preserve">The suite of standard statements will no longer be required (see above). The detailed list of </w:t>
            </w:r>
            <w:r w:rsidR="00A830FF">
              <w:rPr>
                <w:rFonts w:ascii="Tahoma" w:hAnsi="Tahoma" w:cs="Tahoma"/>
                <w:sz w:val="18"/>
                <w:szCs w:val="18"/>
                <w:lang w:val="en-AU"/>
              </w:rPr>
              <w:t xml:space="preserve">planned </w:t>
            </w:r>
            <w:r w:rsidRPr="00D733EB">
              <w:rPr>
                <w:rFonts w:ascii="Tahoma" w:hAnsi="Tahoma" w:cs="Tahoma"/>
                <w:sz w:val="18"/>
                <w:szCs w:val="18"/>
                <w:lang w:val="en-AU"/>
              </w:rPr>
              <w:t xml:space="preserve">capital works expenditure and summary of </w:t>
            </w:r>
            <w:r w:rsidR="00A830FF">
              <w:rPr>
                <w:rFonts w:ascii="Tahoma" w:hAnsi="Tahoma" w:cs="Tahoma"/>
                <w:sz w:val="18"/>
                <w:szCs w:val="18"/>
                <w:lang w:val="en-AU"/>
              </w:rPr>
              <w:t xml:space="preserve">planned </w:t>
            </w:r>
            <w:r w:rsidRPr="00D733EB">
              <w:rPr>
                <w:rFonts w:ascii="Tahoma" w:hAnsi="Tahoma" w:cs="Tahoma"/>
                <w:sz w:val="18"/>
                <w:szCs w:val="18"/>
                <w:lang w:val="en-AU"/>
              </w:rPr>
              <w:t>human resources are new requirements.</w:t>
            </w:r>
          </w:p>
        </w:tc>
      </w:tr>
      <w:tr w:rsidR="0006225A" w:rsidRPr="00E84DC2" w:rsidTr="00D22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tcPr>
          <w:p w:rsidR="0006225A" w:rsidRPr="00E84DC2" w:rsidRDefault="0006225A" w:rsidP="00FC7180">
            <w:pPr>
              <w:rPr>
                <w:rFonts w:ascii="Tahoma" w:hAnsi="Tahoma" w:cs="Tahoma"/>
                <w:sz w:val="18"/>
                <w:szCs w:val="18"/>
                <w:lang w:val="en-AU"/>
              </w:rPr>
            </w:pPr>
          </w:p>
        </w:tc>
        <w:tc>
          <w:tcPr>
            <w:tcW w:w="3402" w:type="dxa"/>
          </w:tcPr>
          <w:p w:rsidR="0006225A" w:rsidRPr="00E84DC2" w:rsidRDefault="00D733EB" w:rsidP="00E24A3D">
            <w:pPr>
              <w:cnfStyle w:val="000000100000" w:firstRow="0" w:lastRow="0" w:firstColumn="0" w:lastColumn="0" w:oddVBand="0" w:evenVBand="0" w:oddHBand="1" w:evenHBand="0" w:firstRowFirstColumn="0" w:firstRowLastColumn="0" w:lastRowFirstColumn="0" w:lastRowLastColumn="0"/>
              <w:rPr>
                <w:rFonts w:ascii="Tahoma" w:hAnsi="Tahoma" w:cs="Tahoma"/>
                <w:sz w:val="18"/>
                <w:szCs w:val="18"/>
                <w:lang w:val="en-AU"/>
              </w:rPr>
            </w:pPr>
            <w:r w:rsidRPr="00D733EB">
              <w:rPr>
                <w:rFonts w:ascii="Tahoma" w:hAnsi="Tahoma" w:cs="Tahoma"/>
                <w:sz w:val="18"/>
                <w:szCs w:val="18"/>
                <w:lang w:val="en-AU"/>
              </w:rPr>
              <w:t>Must include other information including information on borrowings and rates and charges.</w:t>
            </w:r>
          </w:p>
        </w:tc>
        <w:tc>
          <w:tcPr>
            <w:tcW w:w="3021" w:type="dxa"/>
          </w:tcPr>
          <w:p w:rsidR="0006225A" w:rsidRPr="00E84DC2" w:rsidRDefault="00D733EB" w:rsidP="00FC7180">
            <w:pPr>
              <w:cnfStyle w:val="000000100000" w:firstRow="0" w:lastRow="0" w:firstColumn="0" w:lastColumn="0" w:oddVBand="0" w:evenVBand="0" w:oddHBand="1" w:evenHBand="0" w:firstRowFirstColumn="0" w:firstRowLastColumn="0" w:lastRowFirstColumn="0" w:lastRowLastColumn="0"/>
              <w:rPr>
                <w:rFonts w:ascii="Tahoma" w:hAnsi="Tahoma" w:cs="Tahoma"/>
                <w:sz w:val="18"/>
                <w:szCs w:val="18"/>
                <w:lang w:val="en-AU"/>
              </w:rPr>
            </w:pPr>
            <w:r w:rsidRPr="00D733EB">
              <w:rPr>
                <w:rFonts w:ascii="Tahoma" w:hAnsi="Tahoma" w:cs="Tahoma"/>
                <w:sz w:val="18"/>
                <w:szCs w:val="18"/>
                <w:lang w:val="en-AU"/>
              </w:rPr>
              <w:t>Substantially the same as current requirements. Small number of additional disclosures.</w:t>
            </w:r>
          </w:p>
        </w:tc>
      </w:tr>
      <w:tr w:rsidR="0006225A" w:rsidRPr="00E84DC2" w:rsidTr="00D2206D">
        <w:tc>
          <w:tcPr>
            <w:cnfStyle w:val="001000000000" w:firstRow="0" w:lastRow="0" w:firstColumn="1" w:lastColumn="0" w:oddVBand="0" w:evenVBand="0" w:oddHBand="0" w:evenHBand="0" w:firstRowFirstColumn="0" w:firstRowLastColumn="0" w:lastRowFirstColumn="0" w:lastRowLastColumn="0"/>
            <w:tcW w:w="2093" w:type="dxa"/>
          </w:tcPr>
          <w:p w:rsidR="0006225A" w:rsidRPr="00E84DC2" w:rsidRDefault="00D733EB" w:rsidP="00FC7180">
            <w:pPr>
              <w:rPr>
                <w:rFonts w:ascii="Tahoma" w:hAnsi="Tahoma" w:cs="Tahoma"/>
                <w:sz w:val="18"/>
                <w:szCs w:val="18"/>
                <w:lang w:val="en-AU"/>
              </w:rPr>
            </w:pPr>
            <w:r w:rsidRPr="00D733EB">
              <w:rPr>
                <w:rFonts w:ascii="Tahoma" w:hAnsi="Tahoma" w:cs="Tahoma"/>
                <w:sz w:val="18"/>
                <w:szCs w:val="18"/>
                <w:lang w:val="en-AU"/>
              </w:rPr>
              <w:t>Public notice (s. 129)</w:t>
            </w:r>
          </w:p>
        </w:tc>
        <w:tc>
          <w:tcPr>
            <w:tcW w:w="3402" w:type="dxa"/>
          </w:tcPr>
          <w:p w:rsidR="0006225A" w:rsidRPr="00E84DC2" w:rsidRDefault="00D733EB" w:rsidP="00FC7180">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lang w:val="en-AU"/>
              </w:rPr>
            </w:pPr>
            <w:r w:rsidRPr="00D733EB">
              <w:rPr>
                <w:rFonts w:ascii="Tahoma" w:hAnsi="Tahoma" w:cs="Tahoma"/>
                <w:sz w:val="18"/>
                <w:szCs w:val="18"/>
                <w:lang w:val="en-AU"/>
              </w:rPr>
              <w:t>Must include the date on which</w:t>
            </w:r>
            <w:r w:rsidR="00A830FF">
              <w:rPr>
                <w:rFonts w:ascii="Tahoma" w:hAnsi="Tahoma" w:cs="Tahoma"/>
                <w:sz w:val="18"/>
                <w:szCs w:val="18"/>
                <w:lang w:val="en-AU"/>
              </w:rPr>
              <w:t xml:space="preserve"> a</w:t>
            </w:r>
            <w:r w:rsidRPr="00D733EB">
              <w:rPr>
                <w:rFonts w:ascii="Tahoma" w:hAnsi="Tahoma" w:cs="Tahoma"/>
                <w:sz w:val="18"/>
                <w:szCs w:val="18"/>
                <w:lang w:val="en-AU"/>
              </w:rPr>
              <w:t xml:space="preserve"> </w:t>
            </w:r>
            <w:r w:rsidR="00A830FF">
              <w:rPr>
                <w:rFonts w:ascii="Tahoma" w:hAnsi="Tahoma" w:cs="Tahoma"/>
                <w:sz w:val="18"/>
                <w:szCs w:val="18"/>
                <w:lang w:val="en-AU"/>
              </w:rPr>
              <w:t>c</w:t>
            </w:r>
            <w:r w:rsidRPr="00D733EB">
              <w:rPr>
                <w:rFonts w:ascii="Tahoma" w:hAnsi="Tahoma" w:cs="Tahoma"/>
                <w:sz w:val="18"/>
                <w:szCs w:val="18"/>
                <w:lang w:val="en-AU"/>
              </w:rPr>
              <w:t>ouncil will meet to adopt the budget and (in the case of revised budget) a summary of reasons for a revised budget.</w:t>
            </w:r>
          </w:p>
        </w:tc>
        <w:tc>
          <w:tcPr>
            <w:tcW w:w="3021" w:type="dxa"/>
          </w:tcPr>
          <w:p w:rsidR="0006225A" w:rsidRPr="00E84DC2" w:rsidRDefault="00D733EB" w:rsidP="00A830FF">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lang w:val="en-AU"/>
              </w:rPr>
            </w:pPr>
            <w:r w:rsidRPr="00D733EB">
              <w:rPr>
                <w:rFonts w:ascii="Tahoma" w:hAnsi="Tahoma" w:cs="Tahoma"/>
                <w:sz w:val="18"/>
                <w:szCs w:val="18"/>
                <w:lang w:val="en-AU"/>
              </w:rPr>
              <w:t xml:space="preserve">Substantial reduction in information to be included in public notice. Most of the requirements in the current regulations are now </w:t>
            </w:r>
            <w:r w:rsidR="00A830FF">
              <w:rPr>
                <w:rFonts w:ascii="Tahoma" w:hAnsi="Tahoma" w:cs="Tahoma"/>
                <w:sz w:val="18"/>
                <w:szCs w:val="18"/>
                <w:lang w:val="en-AU"/>
              </w:rPr>
              <w:t>prescribed as a small number of additional disclosures in the budget.</w:t>
            </w:r>
          </w:p>
        </w:tc>
      </w:tr>
      <w:tr w:rsidR="0006225A" w:rsidRPr="00E84DC2" w:rsidTr="00D2206D">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093" w:type="dxa"/>
            <w:vMerge w:val="restart"/>
          </w:tcPr>
          <w:p w:rsidR="0006225A" w:rsidRPr="00E84DC2" w:rsidRDefault="00D733EB" w:rsidP="00FC7180">
            <w:pPr>
              <w:rPr>
                <w:rFonts w:ascii="Tahoma" w:hAnsi="Tahoma" w:cs="Tahoma"/>
                <w:sz w:val="18"/>
                <w:szCs w:val="18"/>
                <w:lang w:val="en-AU"/>
              </w:rPr>
            </w:pPr>
            <w:r w:rsidRPr="00D733EB">
              <w:rPr>
                <w:rFonts w:ascii="Tahoma" w:hAnsi="Tahoma" w:cs="Tahoma"/>
                <w:sz w:val="18"/>
                <w:szCs w:val="18"/>
                <w:lang w:val="en-AU"/>
              </w:rPr>
              <w:t xml:space="preserve">Annual Report </w:t>
            </w:r>
            <w:r w:rsidRPr="00D733EB">
              <w:rPr>
                <w:rFonts w:ascii="Tahoma" w:hAnsi="Tahoma" w:cs="Tahoma"/>
                <w:sz w:val="18"/>
                <w:szCs w:val="18"/>
                <w:lang w:val="en-AU"/>
              </w:rPr>
              <w:br/>
              <w:t>(s. 131)</w:t>
            </w:r>
          </w:p>
        </w:tc>
        <w:tc>
          <w:tcPr>
            <w:tcW w:w="3402" w:type="dxa"/>
          </w:tcPr>
          <w:p w:rsidR="0006225A" w:rsidRPr="00E84DC2" w:rsidRDefault="00D733EB" w:rsidP="00FC7180">
            <w:pPr>
              <w:cnfStyle w:val="000000100000" w:firstRow="0" w:lastRow="0" w:firstColumn="0" w:lastColumn="0" w:oddVBand="0" w:evenVBand="0" w:oddHBand="1" w:evenHBand="0" w:firstRowFirstColumn="0" w:firstRowLastColumn="0" w:lastRowFirstColumn="0" w:lastRowLastColumn="0"/>
              <w:rPr>
                <w:rFonts w:ascii="Tahoma" w:hAnsi="Tahoma" w:cs="Tahoma"/>
                <w:sz w:val="18"/>
                <w:szCs w:val="18"/>
                <w:lang w:val="en-AU"/>
              </w:rPr>
            </w:pPr>
            <w:r w:rsidRPr="00D733EB">
              <w:rPr>
                <w:rFonts w:ascii="Tahoma" w:hAnsi="Tahoma" w:cs="Tahoma"/>
                <w:sz w:val="18"/>
                <w:szCs w:val="18"/>
                <w:lang w:val="en-AU"/>
              </w:rPr>
              <w:t xml:space="preserve">Must include the completed governance and management checklist </w:t>
            </w:r>
            <w:r w:rsidR="00A830FF">
              <w:rPr>
                <w:rFonts w:ascii="Tahoma" w:hAnsi="Tahoma" w:cs="Tahoma"/>
                <w:sz w:val="18"/>
                <w:szCs w:val="18"/>
                <w:lang w:val="en-AU"/>
              </w:rPr>
              <w:t xml:space="preserve">as </w:t>
            </w:r>
            <w:r w:rsidRPr="00D733EB">
              <w:rPr>
                <w:rFonts w:ascii="Tahoma" w:hAnsi="Tahoma" w:cs="Tahoma"/>
                <w:sz w:val="18"/>
                <w:szCs w:val="18"/>
                <w:lang w:val="en-AU"/>
              </w:rPr>
              <w:t>set out in the Regulations.</w:t>
            </w:r>
          </w:p>
        </w:tc>
        <w:tc>
          <w:tcPr>
            <w:tcW w:w="3021" w:type="dxa"/>
          </w:tcPr>
          <w:p w:rsidR="0006225A" w:rsidRPr="00E84DC2" w:rsidRDefault="00D733EB" w:rsidP="00FC7180">
            <w:pPr>
              <w:cnfStyle w:val="000000100000" w:firstRow="0" w:lastRow="0" w:firstColumn="0" w:lastColumn="0" w:oddVBand="0" w:evenVBand="0" w:oddHBand="1" w:evenHBand="0" w:firstRowFirstColumn="0" w:firstRowLastColumn="0" w:lastRowFirstColumn="0" w:lastRowLastColumn="0"/>
              <w:rPr>
                <w:rFonts w:ascii="Tahoma" w:hAnsi="Tahoma" w:cs="Tahoma"/>
                <w:sz w:val="18"/>
                <w:szCs w:val="18"/>
                <w:lang w:val="en-AU"/>
              </w:rPr>
            </w:pPr>
            <w:r w:rsidRPr="00D733EB">
              <w:rPr>
                <w:rFonts w:ascii="Tahoma" w:hAnsi="Tahoma" w:cs="Tahoma"/>
                <w:sz w:val="18"/>
                <w:szCs w:val="18"/>
                <w:lang w:val="en-AU"/>
              </w:rPr>
              <w:t>New requirement.</w:t>
            </w:r>
          </w:p>
        </w:tc>
      </w:tr>
      <w:tr w:rsidR="0006225A" w:rsidRPr="00E84DC2" w:rsidTr="00D2206D">
        <w:tc>
          <w:tcPr>
            <w:cnfStyle w:val="001000000000" w:firstRow="0" w:lastRow="0" w:firstColumn="1" w:lastColumn="0" w:oddVBand="0" w:evenVBand="0" w:oddHBand="0" w:evenHBand="0" w:firstRowFirstColumn="0" w:firstRowLastColumn="0" w:lastRowFirstColumn="0" w:lastRowLastColumn="0"/>
            <w:tcW w:w="2093" w:type="dxa"/>
            <w:vMerge/>
          </w:tcPr>
          <w:p w:rsidR="0006225A" w:rsidRPr="00E84DC2" w:rsidRDefault="0006225A" w:rsidP="00FC7180">
            <w:pPr>
              <w:rPr>
                <w:rFonts w:ascii="Tahoma" w:hAnsi="Tahoma" w:cs="Tahoma"/>
                <w:sz w:val="18"/>
                <w:szCs w:val="18"/>
                <w:lang w:val="en-AU"/>
              </w:rPr>
            </w:pPr>
          </w:p>
        </w:tc>
        <w:tc>
          <w:tcPr>
            <w:tcW w:w="3402" w:type="dxa"/>
          </w:tcPr>
          <w:p w:rsidR="0006225A" w:rsidRPr="00E84DC2" w:rsidRDefault="00D733EB" w:rsidP="00FC7180">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lang w:val="en-AU"/>
              </w:rPr>
            </w:pPr>
            <w:r w:rsidRPr="00D733EB">
              <w:rPr>
                <w:rFonts w:ascii="Tahoma" w:hAnsi="Tahoma" w:cs="Tahoma"/>
                <w:sz w:val="18"/>
                <w:szCs w:val="18"/>
                <w:lang w:val="en-AU"/>
              </w:rPr>
              <w:t>Must report on results against prescribed service performance indicators and explanation of material variances</w:t>
            </w:r>
          </w:p>
        </w:tc>
        <w:tc>
          <w:tcPr>
            <w:tcW w:w="3021" w:type="dxa"/>
          </w:tcPr>
          <w:p w:rsidR="0006225A" w:rsidRPr="00E84DC2" w:rsidRDefault="00D733EB" w:rsidP="00FC7180">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lang w:val="en-AU"/>
              </w:rPr>
            </w:pPr>
            <w:r w:rsidRPr="00D733EB">
              <w:rPr>
                <w:rFonts w:ascii="Tahoma" w:hAnsi="Tahoma" w:cs="Tahoma"/>
                <w:sz w:val="18"/>
                <w:szCs w:val="18"/>
                <w:lang w:val="en-AU"/>
              </w:rPr>
              <w:t>New requirement.</w:t>
            </w:r>
          </w:p>
        </w:tc>
      </w:tr>
      <w:tr w:rsidR="0006225A" w:rsidRPr="00E84DC2" w:rsidTr="00D22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tcPr>
          <w:p w:rsidR="0006225A" w:rsidRPr="00E84DC2" w:rsidRDefault="0006225A" w:rsidP="00FC7180">
            <w:pPr>
              <w:rPr>
                <w:rFonts w:ascii="Tahoma" w:hAnsi="Tahoma" w:cs="Tahoma"/>
                <w:sz w:val="18"/>
                <w:szCs w:val="18"/>
                <w:lang w:val="en-AU"/>
              </w:rPr>
            </w:pPr>
          </w:p>
        </w:tc>
        <w:tc>
          <w:tcPr>
            <w:tcW w:w="3402" w:type="dxa"/>
          </w:tcPr>
          <w:p w:rsidR="0006225A" w:rsidRPr="00E84DC2" w:rsidRDefault="00D733EB" w:rsidP="00592983">
            <w:pPr>
              <w:cnfStyle w:val="000000100000" w:firstRow="0" w:lastRow="0" w:firstColumn="0" w:lastColumn="0" w:oddVBand="0" w:evenVBand="0" w:oddHBand="1" w:evenHBand="0" w:firstRowFirstColumn="0" w:firstRowLastColumn="0" w:lastRowFirstColumn="0" w:lastRowLastColumn="0"/>
              <w:rPr>
                <w:rFonts w:ascii="Tahoma" w:hAnsi="Tahoma" w:cs="Tahoma"/>
                <w:sz w:val="18"/>
                <w:szCs w:val="18"/>
                <w:lang w:val="en-AU"/>
              </w:rPr>
            </w:pPr>
            <w:r w:rsidRPr="00D733EB">
              <w:rPr>
                <w:rFonts w:ascii="Tahoma" w:hAnsi="Tahoma" w:cs="Tahoma"/>
                <w:sz w:val="18"/>
                <w:szCs w:val="18"/>
                <w:lang w:val="en-AU"/>
              </w:rPr>
              <w:t>Must include a statement that reviews the performance of council against the council plan.</w:t>
            </w:r>
          </w:p>
        </w:tc>
        <w:tc>
          <w:tcPr>
            <w:tcW w:w="3021" w:type="dxa"/>
          </w:tcPr>
          <w:p w:rsidR="0006225A" w:rsidRPr="00E84DC2" w:rsidRDefault="00D733EB" w:rsidP="00FC7180">
            <w:pPr>
              <w:cnfStyle w:val="000000100000" w:firstRow="0" w:lastRow="0" w:firstColumn="0" w:lastColumn="0" w:oddVBand="0" w:evenVBand="0" w:oddHBand="1" w:evenHBand="0" w:firstRowFirstColumn="0" w:firstRowLastColumn="0" w:lastRowFirstColumn="0" w:lastRowLastColumn="0"/>
              <w:rPr>
                <w:rFonts w:ascii="Tahoma" w:hAnsi="Tahoma" w:cs="Tahoma"/>
                <w:sz w:val="18"/>
                <w:szCs w:val="18"/>
                <w:lang w:val="en-AU"/>
              </w:rPr>
            </w:pPr>
            <w:r w:rsidRPr="00D733EB">
              <w:rPr>
                <w:rFonts w:ascii="Tahoma" w:hAnsi="Tahoma" w:cs="Tahoma"/>
                <w:sz w:val="18"/>
                <w:szCs w:val="18"/>
                <w:lang w:val="en-AU"/>
              </w:rPr>
              <w:t>No change.</w:t>
            </w:r>
          </w:p>
        </w:tc>
      </w:tr>
      <w:tr w:rsidR="0006225A" w:rsidRPr="00E84DC2" w:rsidTr="00D2206D">
        <w:tc>
          <w:tcPr>
            <w:cnfStyle w:val="001000000000" w:firstRow="0" w:lastRow="0" w:firstColumn="1" w:lastColumn="0" w:oddVBand="0" w:evenVBand="0" w:oddHBand="0" w:evenHBand="0" w:firstRowFirstColumn="0" w:firstRowLastColumn="0" w:lastRowFirstColumn="0" w:lastRowLastColumn="0"/>
            <w:tcW w:w="2093" w:type="dxa"/>
            <w:vMerge/>
          </w:tcPr>
          <w:p w:rsidR="0006225A" w:rsidRPr="00E84DC2" w:rsidRDefault="0006225A" w:rsidP="00FC7180">
            <w:pPr>
              <w:rPr>
                <w:rFonts w:ascii="Tahoma" w:hAnsi="Tahoma" w:cs="Tahoma"/>
                <w:sz w:val="18"/>
                <w:szCs w:val="18"/>
                <w:lang w:val="en-AU"/>
              </w:rPr>
            </w:pPr>
          </w:p>
        </w:tc>
        <w:tc>
          <w:tcPr>
            <w:tcW w:w="3402" w:type="dxa"/>
          </w:tcPr>
          <w:p w:rsidR="0006225A" w:rsidRPr="00E84DC2" w:rsidRDefault="00D733EB" w:rsidP="00A830FF">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lang w:val="en-AU"/>
              </w:rPr>
            </w:pPr>
            <w:r w:rsidRPr="00D733EB">
              <w:rPr>
                <w:rFonts w:ascii="Tahoma" w:hAnsi="Tahoma" w:cs="Tahoma"/>
                <w:sz w:val="18"/>
                <w:szCs w:val="18"/>
                <w:lang w:val="en-AU"/>
              </w:rPr>
              <w:t xml:space="preserve">Must include information on legislative, economic or other factors which have impacted on council’s performance, major </w:t>
            </w:r>
            <w:r w:rsidR="00A830FF">
              <w:rPr>
                <w:rFonts w:ascii="Tahoma" w:hAnsi="Tahoma" w:cs="Tahoma"/>
                <w:sz w:val="18"/>
                <w:szCs w:val="18"/>
                <w:lang w:val="en-AU"/>
              </w:rPr>
              <w:t xml:space="preserve">capital </w:t>
            </w:r>
            <w:r w:rsidRPr="00D733EB">
              <w:rPr>
                <w:rFonts w:ascii="Tahoma" w:hAnsi="Tahoma" w:cs="Tahoma"/>
                <w:sz w:val="18"/>
                <w:szCs w:val="18"/>
                <w:lang w:val="en-AU"/>
              </w:rPr>
              <w:t xml:space="preserve">works </w:t>
            </w:r>
            <w:r w:rsidR="00A830FF">
              <w:rPr>
                <w:rFonts w:ascii="Tahoma" w:hAnsi="Tahoma" w:cs="Tahoma"/>
                <w:sz w:val="18"/>
                <w:szCs w:val="18"/>
                <w:lang w:val="en-AU"/>
              </w:rPr>
              <w:t xml:space="preserve">expenditure, </w:t>
            </w:r>
            <w:r w:rsidRPr="00D733EB">
              <w:rPr>
                <w:rFonts w:ascii="Tahoma" w:hAnsi="Tahoma" w:cs="Tahoma"/>
                <w:sz w:val="18"/>
                <w:szCs w:val="18"/>
                <w:lang w:val="en-AU"/>
              </w:rPr>
              <w:t xml:space="preserve">major changes to </w:t>
            </w:r>
            <w:r w:rsidR="00A830FF">
              <w:rPr>
                <w:rFonts w:ascii="Tahoma" w:hAnsi="Tahoma" w:cs="Tahoma"/>
                <w:sz w:val="18"/>
                <w:szCs w:val="18"/>
                <w:lang w:val="en-AU"/>
              </w:rPr>
              <w:t>the organisational structure, the method for carrying out its strategic objectives and reasons for those changes</w:t>
            </w:r>
            <w:r w:rsidRPr="00D733EB">
              <w:rPr>
                <w:rFonts w:ascii="Tahoma" w:hAnsi="Tahoma" w:cs="Tahoma"/>
                <w:sz w:val="18"/>
                <w:szCs w:val="18"/>
                <w:lang w:val="en-AU"/>
              </w:rPr>
              <w:t>.</w:t>
            </w:r>
          </w:p>
        </w:tc>
        <w:tc>
          <w:tcPr>
            <w:tcW w:w="3021" w:type="dxa"/>
          </w:tcPr>
          <w:p w:rsidR="0006225A" w:rsidRPr="00E84DC2" w:rsidRDefault="00A830FF" w:rsidP="00FC7180">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lang w:val="en-AU"/>
              </w:rPr>
            </w:pPr>
            <w:r w:rsidRPr="00D733EB">
              <w:rPr>
                <w:rFonts w:ascii="Tahoma" w:hAnsi="Tahoma" w:cs="Tahoma"/>
                <w:sz w:val="18"/>
                <w:szCs w:val="18"/>
                <w:lang w:val="en-AU"/>
              </w:rPr>
              <w:t>Minimal change to improve clarity of existing provisions.</w:t>
            </w:r>
          </w:p>
        </w:tc>
      </w:tr>
      <w:tr w:rsidR="0006225A" w:rsidRPr="00E84DC2" w:rsidTr="00D22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tcPr>
          <w:p w:rsidR="0006225A" w:rsidRPr="00E84DC2" w:rsidRDefault="0006225A" w:rsidP="00FC7180">
            <w:pPr>
              <w:rPr>
                <w:rFonts w:ascii="Tahoma" w:hAnsi="Tahoma" w:cs="Tahoma"/>
                <w:sz w:val="18"/>
                <w:szCs w:val="18"/>
                <w:lang w:val="en-AU"/>
              </w:rPr>
            </w:pPr>
          </w:p>
        </w:tc>
        <w:tc>
          <w:tcPr>
            <w:tcW w:w="3402" w:type="dxa"/>
          </w:tcPr>
          <w:p w:rsidR="0006225A" w:rsidRPr="00E84DC2" w:rsidRDefault="00D733EB" w:rsidP="00A830FF">
            <w:pPr>
              <w:cnfStyle w:val="000000100000" w:firstRow="0" w:lastRow="0" w:firstColumn="0" w:lastColumn="0" w:oddVBand="0" w:evenVBand="0" w:oddHBand="1" w:evenHBand="0" w:firstRowFirstColumn="0" w:firstRowLastColumn="0" w:lastRowFirstColumn="0" w:lastRowLastColumn="0"/>
              <w:rPr>
                <w:rFonts w:ascii="Tahoma" w:hAnsi="Tahoma" w:cs="Tahoma"/>
                <w:sz w:val="18"/>
                <w:szCs w:val="18"/>
                <w:lang w:val="en-AU"/>
              </w:rPr>
            </w:pPr>
            <w:r w:rsidRPr="00D733EB">
              <w:rPr>
                <w:rFonts w:ascii="Tahoma" w:hAnsi="Tahoma" w:cs="Tahoma"/>
                <w:sz w:val="18"/>
                <w:szCs w:val="18"/>
                <w:lang w:val="en-AU"/>
              </w:rPr>
              <w:t xml:space="preserve">Must contain relevant information about </w:t>
            </w:r>
            <w:r w:rsidR="00A830FF" w:rsidRPr="00D733EB">
              <w:rPr>
                <w:rFonts w:ascii="Tahoma" w:hAnsi="Tahoma" w:cs="Tahoma"/>
                <w:sz w:val="18"/>
                <w:szCs w:val="18"/>
                <w:lang w:val="en-AU"/>
              </w:rPr>
              <w:t>the</w:t>
            </w:r>
            <w:r w:rsidR="00A830FF">
              <w:rPr>
                <w:rFonts w:ascii="Tahoma" w:hAnsi="Tahoma" w:cs="Tahoma"/>
                <w:sz w:val="18"/>
                <w:szCs w:val="18"/>
                <w:lang w:val="en-AU"/>
              </w:rPr>
              <w:t xml:space="preserve"> organisational structure of </w:t>
            </w:r>
            <w:r w:rsidRPr="00D733EB">
              <w:rPr>
                <w:rFonts w:ascii="Tahoma" w:hAnsi="Tahoma" w:cs="Tahoma"/>
                <w:sz w:val="18"/>
                <w:szCs w:val="18"/>
                <w:lang w:val="en-AU"/>
              </w:rPr>
              <w:t>council including names of councillors, CEO, senior executives, organisational structure, contact information, etc.</w:t>
            </w:r>
          </w:p>
        </w:tc>
        <w:tc>
          <w:tcPr>
            <w:tcW w:w="3021" w:type="dxa"/>
          </w:tcPr>
          <w:p w:rsidR="0006225A" w:rsidRPr="00E84DC2" w:rsidRDefault="00D733EB" w:rsidP="00FC7180">
            <w:pPr>
              <w:cnfStyle w:val="000000100000" w:firstRow="0" w:lastRow="0" w:firstColumn="0" w:lastColumn="0" w:oddVBand="0" w:evenVBand="0" w:oddHBand="1" w:evenHBand="0" w:firstRowFirstColumn="0" w:firstRowLastColumn="0" w:lastRowFirstColumn="0" w:lastRowLastColumn="0"/>
              <w:rPr>
                <w:rFonts w:ascii="Tahoma" w:hAnsi="Tahoma" w:cs="Tahoma"/>
                <w:sz w:val="18"/>
                <w:szCs w:val="18"/>
                <w:lang w:val="en-AU"/>
              </w:rPr>
            </w:pPr>
            <w:r w:rsidRPr="00D733EB">
              <w:rPr>
                <w:rFonts w:ascii="Tahoma" w:hAnsi="Tahoma" w:cs="Tahoma"/>
                <w:sz w:val="18"/>
                <w:szCs w:val="18"/>
                <w:lang w:val="en-AU"/>
              </w:rPr>
              <w:t>Minimal change to improve clarity of existing provisions.</w:t>
            </w:r>
          </w:p>
        </w:tc>
      </w:tr>
      <w:tr w:rsidR="0006225A" w:rsidRPr="00E84DC2" w:rsidTr="00D2206D">
        <w:tc>
          <w:tcPr>
            <w:cnfStyle w:val="001000000000" w:firstRow="0" w:lastRow="0" w:firstColumn="1" w:lastColumn="0" w:oddVBand="0" w:evenVBand="0" w:oddHBand="0" w:evenHBand="0" w:firstRowFirstColumn="0" w:firstRowLastColumn="0" w:lastRowFirstColumn="0" w:lastRowLastColumn="0"/>
            <w:tcW w:w="2093" w:type="dxa"/>
            <w:vMerge/>
          </w:tcPr>
          <w:p w:rsidR="0006225A" w:rsidRPr="00E84DC2" w:rsidRDefault="0006225A" w:rsidP="00FC7180">
            <w:pPr>
              <w:rPr>
                <w:rFonts w:ascii="Tahoma" w:hAnsi="Tahoma" w:cs="Tahoma"/>
                <w:sz w:val="18"/>
                <w:szCs w:val="18"/>
                <w:lang w:val="en-AU"/>
              </w:rPr>
            </w:pPr>
          </w:p>
        </w:tc>
        <w:tc>
          <w:tcPr>
            <w:tcW w:w="3402" w:type="dxa"/>
          </w:tcPr>
          <w:p w:rsidR="0006225A" w:rsidRPr="00E84DC2" w:rsidRDefault="00D733EB" w:rsidP="00FC7180">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lang w:val="en-AU"/>
              </w:rPr>
            </w:pPr>
            <w:r w:rsidRPr="00D733EB">
              <w:rPr>
                <w:rFonts w:ascii="Tahoma" w:hAnsi="Tahoma" w:cs="Tahoma"/>
                <w:sz w:val="18"/>
                <w:szCs w:val="18"/>
                <w:lang w:val="en-AU"/>
              </w:rPr>
              <w:t>Financial statements must include a statement of capital works.</w:t>
            </w:r>
          </w:p>
        </w:tc>
        <w:tc>
          <w:tcPr>
            <w:tcW w:w="3021" w:type="dxa"/>
          </w:tcPr>
          <w:p w:rsidR="0006225A" w:rsidRPr="00E84DC2" w:rsidRDefault="00D733EB" w:rsidP="00FC7180">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lang w:val="en-AU"/>
              </w:rPr>
            </w:pPr>
            <w:r w:rsidRPr="00D733EB">
              <w:rPr>
                <w:rFonts w:ascii="Tahoma" w:hAnsi="Tahoma" w:cs="Tahoma"/>
                <w:sz w:val="18"/>
                <w:szCs w:val="18"/>
                <w:lang w:val="en-AU"/>
              </w:rPr>
              <w:t>The suite of standard statements will no longer be required (see above).</w:t>
            </w:r>
          </w:p>
        </w:tc>
      </w:tr>
      <w:tr w:rsidR="0006225A" w:rsidRPr="00E84DC2" w:rsidTr="00714396">
        <w:trPr>
          <w:cnfStyle w:val="000000100000" w:firstRow="0" w:lastRow="0" w:firstColumn="0" w:lastColumn="0" w:oddVBand="0" w:evenVBand="0" w:oddHBand="1" w:evenHBand="0" w:firstRowFirstColumn="0" w:firstRowLastColumn="0" w:lastRowFirstColumn="0" w:lastRowLastColumn="0"/>
          <w:trHeight w:val="1453"/>
        </w:trPr>
        <w:tc>
          <w:tcPr>
            <w:cnfStyle w:val="001000000000" w:firstRow="0" w:lastRow="0" w:firstColumn="1" w:lastColumn="0" w:oddVBand="0" w:evenVBand="0" w:oddHBand="0" w:evenHBand="0" w:firstRowFirstColumn="0" w:firstRowLastColumn="0" w:lastRowFirstColumn="0" w:lastRowLastColumn="0"/>
            <w:tcW w:w="2093" w:type="dxa"/>
            <w:vMerge/>
          </w:tcPr>
          <w:p w:rsidR="0006225A" w:rsidRPr="00E84DC2" w:rsidRDefault="0006225A" w:rsidP="00FC7180">
            <w:pPr>
              <w:rPr>
                <w:rFonts w:ascii="Tahoma" w:hAnsi="Tahoma" w:cs="Tahoma"/>
                <w:sz w:val="18"/>
                <w:szCs w:val="18"/>
                <w:lang w:val="en-AU"/>
              </w:rPr>
            </w:pPr>
          </w:p>
        </w:tc>
        <w:tc>
          <w:tcPr>
            <w:tcW w:w="3402" w:type="dxa"/>
          </w:tcPr>
          <w:p w:rsidR="0006225A" w:rsidRPr="00E84DC2" w:rsidRDefault="00D733EB" w:rsidP="00FC7180">
            <w:pPr>
              <w:cnfStyle w:val="000000100000" w:firstRow="0" w:lastRow="0" w:firstColumn="0" w:lastColumn="0" w:oddVBand="0" w:evenVBand="0" w:oddHBand="1" w:evenHBand="0" w:firstRowFirstColumn="0" w:firstRowLastColumn="0" w:lastRowFirstColumn="0" w:lastRowLastColumn="0"/>
              <w:rPr>
                <w:rFonts w:ascii="Tahoma" w:hAnsi="Tahoma" w:cs="Tahoma"/>
                <w:sz w:val="18"/>
                <w:szCs w:val="18"/>
                <w:lang w:val="en-AU"/>
              </w:rPr>
            </w:pPr>
            <w:r w:rsidRPr="00D733EB">
              <w:rPr>
                <w:rFonts w:ascii="Tahoma" w:hAnsi="Tahoma" w:cs="Tahoma"/>
                <w:sz w:val="18"/>
                <w:szCs w:val="18"/>
                <w:lang w:val="en-AU"/>
              </w:rPr>
              <w:t>Must include in the notes to the financial statements details of the amounts of money held in trust, list of grants and subsidies, joint venture activities, variances from budget for income, expenditure and capital works expenditure.</w:t>
            </w:r>
          </w:p>
        </w:tc>
        <w:tc>
          <w:tcPr>
            <w:tcW w:w="3021" w:type="dxa"/>
          </w:tcPr>
          <w:p w:rsidR="0006225A" w:rsidRPr="00E84DC2" w:rsidRDefault="00D733EB" w:rsidP="00FC7180">
            <w:pPr>
              <w:cnfStyle w:val="000000100000" w:firstRow="0" w:lastRow="0" w:firstColumn="0" w:lastColumn="0" w:oddVBand="0" w:evenVBand="0" w:oddHBand="1" w:evenHBand="0" w:firstRowFirstColumn="0" w:firstRowLastColumn="0" w:lastRowFirstColumn="0" w:lastRowLastColumn="0"/>
              <w:rPr>
                <w:rFonts w:ascii="Tahoma" w:hAnsi="Tahoma" w:cs="Tahoma"/>
                <w:sz w:val="18"/>
                <w:szCs w:val="18"/>
                <w:lang w:val="en-AU"/>
              </w:rPr>
            </w:pPr>
            <w:r w:rsidRPr="00D733EB">
              <w:rPr>
                <w:rFonts w:ascii="Tahoma" w:hAnsi="Tahoma" w:cs="Tahoma"/>
                <w:sz w:val="18"/>
                <w:szCs w:val="18"/>
                <w:lang w:val="en-AU"/>
              </w:rPr>
              <w:t>Explanation of variances from budget for income, expenditure and capital works expenditure is a new requirement. Requirement to disclose financial ratios in the notes to the financial statements has been removed.</w:t>
            </w:r>
          </w:p>
        </w:tc>
      </w:tr>
      <w:tr w:rsidR="0006225A" w:rsidRPr="00E84DC2" w:rsidTr="00D2206D">
        <w:tc>
          <w:tcPr>
            <w:cnfStyle w:val="001000000000" w:firstRow="0" w:lastRow="0" w:firstColumn="1" w:lastColumn="0" w:oddVBand="0" w:evenVBand="0" w:oddHBand="0" w:evenHBand="0" w:firstRowFirstColumn="0" w:firstRowLastColumn="0" w:lastRowFirstColumn="0" w:lastRowLastColumn="0"/>
            <w:tcW w:w="2093" w:type="dxa"/>
            <w:vMerge w:val="restart"/>
            <w:tcBorders>
              <w:top w:val="nil"/>
              <w:bottom w:val="single" w:sz="8" w:space="0" w:color="4F81BD" w:themeColor="accent1"/>
            </w:tcBorders>
          </w:tcPr>
          <w:p w:rsidR="0006225A" w:rsidRPr="00E84DC2" w:rsidRDefault="00D733EB" w:rsidP="00FC7180">
            <w:pPr>
              <w:rPr>
                <w:rFonts w:ascii="Tahoma" w:hAnsi="Tahoma" w:cs="Tahoma"/>
                <w:sz w:val="18"/>
                <w:szCs w:val="18"/>
                <w:lang w:val="en-AU"/>
              </w:rPr>
            </w:pPr>
            <w:r w:rsidRPr="00D733EB">
              <w:rPr>
                <w:rFonts w:ascii="Tahoma" w:hAnsi="Tahoma" w:cs="Tahoma"/>
                <w:sz w:val="18"/>
                <w:szCs w:val="18"/>
                <w:lang w:val="en-AU"/>
              </w:rPr>
              <w:lastRenderedPageBreak/>
              <w:t>Performance Statement (s. 133)</w:t>
            </w:r>
          </w:p>
        </w:tc>
        <w:tc>
          <w:tcPr>
            <w:tcW w:w="3402" w:type="dxa"/>
          </w:tcPr>
          <w:p w:rsidR="0006225A" w:rsidRPr="00E84DC2" w:rsidRDefault="00D733EB" w:rsidP="00FC7180">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lang w:val="en-AU"/>
              </w:rPr>
            </w:pPr>
            <w:r w:rsidRPr="00D733EB">
              <w:rPr>
                <w:rFonts w:ascii="Tahoma" w:hAnsi="Tahoma" w:cs="Tahoma"/>
                <w:sz w:val="18"/>
                <w:szCs w:val="18"/>
                <w:lang w:val="en-AU"/>
              </w:rPr>
              <w:t>Performance statement must report on the results achieved against a list of performance indicators included in the Regulations.</w:t>
            </w:r>
          </w:p>
        </w:tc>
        <w:tc>
          <w:tcPr>
            <w:tcW w:w="3021" w:type="dxa"/>
          </w:tcPr>
          <w:p w:rsidR="0006225A" w:rsidRPr="00E84DC2" w:rsidRDefault="00D733EB" w:rsidP="00A830FF">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lang w:val="en-AU"/>
              </w:rPr>
            </w:pPr>
            <w:r w:rsidRPr="00D733EB">
              <w:rPr>
                <w:rFonts w:ascii="Tahoma" w:hAnsi="Tahoma" w:cs="Tahoma"/>
                <w:sz w:val="18"/>
                <w:szCs w:val="18"/>
                <w:lang w:val="en-AU"/>
              </w:rPr>
              <w:t xml:space="preserve">New requirement. The </w:t>
            </w:r>
            <w:r w:rsidR="00A830FF">
              <w:rPr>
                <w:rFonts w:ascii="Tahoma" w:hAnsi="Tahoma" w:cs="Tahoma"/>
                <w:sz w:val="18"/>
                <w:szCs w:val="18"/>
                <w:lang w:val="en-AU"/>
              </w:rPr>
              <w:t xml:space="preserve">Act previously </w:t>
            </w:r>
            <w:r w:rsidRPr="00D733EB">
              <w:rPr>
                <w:rFonts w:ascii="Tahoma" w:hAnsi="Tahoma" w:cs="Tahoma"/>
                <w:sz w:val="18"/>
                <w:szCs w:val="18"/>
                <w:lang w:val="en-AU"/>
              </w:rPr>
              <w:t xml:space="preserve"> required reporting against a suite of ‘key strategic activities’ which have been removed as they were found to be undefined and problematic.</w:t>
            </w:r>
          </w:p>
        </w:tc>
      </w:tr>
      <w:tr w:rsidR="0006225A" w:rsidRPr="00E84DC2" w:rsidTr="00D22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tcPr>
          <w:p w:rsidR="0006225A" w:rsidRPr="00E84DC2" w:rsidRDefault="0006225A" w:rsidP="00FC7180">
            <w:pPr>
              <w:rPr>
                <w:rFonts w:ascii="Tahoma" w:hAnsi="Tahoma" w:cs="Tahoma"/>
                <w:sz w:val="18"/>
                <w:szCs w:val="18"/>
                <w:lang w:val="en-AU"/>
              </w:rPr>
            </w:pPr>
          </w:p>
        </w:tc>
        <w:tc>
          <w:tcPr>
            <w:tcW w:w="3402" w:type="dxa"/>
          </w:tcPr>
          <w:p w:rsidR="0006225A" w:rsidRPr="00E84DC2" w:rsidRDefault="00D733EB" w:rsidP="00FC7180">
            <w:pPr>
              <w:cnfStyle w:val="000000100000" w:firstRow="0" w:lastRow="0" w:firstColumn="0" w:lastColumn="0" w:oddVBand="0" w:evenVBand="0" w:oddHBand="1" w:evenHBand="0" w:firstRowFirstColumn="0" w:firstRowLastColumn="0" w:lastRowFirstColumn="0" w:lastRowLastColumn="0"/>
              <w:rPr>
                <w:rFonts w:ascii="Tahoma" w:hAnsi="Tahoma" w:cs="Tahoma"/>
                <w:sz w:val="18"/>
                <w:szCs w:val="18"/>
                <w:lang w:val="en-AU"/>
              </w:rPr>
            </w:pPr>
            <w:r w:rsidRPr="00D733EB">
              <w:rPr>
                <w:rFonts w:ascii="Tahoma" w:hAnsi="Tahoma" w:cs="Tahoma"/>
                <w:sz w:val="18"/>
                <w:szCs w:val="18"/>
                <w:lang w:val="en-AU"/>
              </w:rPr>
              <w:t>Must include in the notes to the performance statement, a description of the municipal district, including the size, location and population, and explain any material variations in performance indicator results.</w:t>
            </w:r>
          </w:p>
        </w:tc>
        <w:tc>
          <w:tcPr>
            <w:tcW w:w="3021" w:type="dxa"/>
          </w:tcPr>
          <w:p w:rsidR="0006225A" w:rsidRPr="00E84DC2" w:rsidRDefault="00D733EB" w:rsidP="00FC7180">
            <w:pPr>
              <w:cnfStyle w:val="000000100000" w:firstRow="0" w:lastRow="0" w:firstColumn="0" w:lastColumn="0" w:oddVBand="0" w:evenVBand="0" w:oddHBand="1" w:evenHBand="0" w:firstRowFirstColumn="0" w:firstRowLastColumn="0" w:lastRowFirstColumn="0" w:lastRowLastColumn="0"/>
              <w:rPr>
                <w:rFonts w:ascii="Tahoma" w:hAnsi="Tahoma" w:cs="Tahoma"/>
                <w:sz w:val="18"/>
                <w:szCs w:val="18"/>
                <w:lang w:val="en-AU"/>
              </w:rPr>
            </w:pPr>
            <w:r w:rsidRPr="00D733EB">
              <w:rPr>
                <w:rFonts w:ascii="Tahoma" w:hAnsi="Tahoma" w:cs="Tahoma"/>
                <w:sz w:val="18"/>
                <w:szCs w:val="18"/>
                <w:lang w:val="en-AU"/>
              </w:rPr>
              <w:t>New requirement.</w:t>
            </w:r>
          </w:p>
        </w:tc>
      </w:tr>
    </w:tbl>
    <w:p w:rsidR="00A46D3A" w:rsidRPr="00E84DC2" w:rsidRDefault="00D733EB" w:rsidP="00A46D3A">
      <w:pPr>
        <w:widowControl w:val="0"/>
        <w:autoSpaceDE w:val="0"/>
        <w:autoSpaceDN w:val="0"/>
        <w:adjustRightInd w:val="0"/>
        <w:rPr>
          <w:rFonts w:ascii="Tahoma" w:hAnsi="Tahoma" w:cs="Tahoma"/>
          <w:sz w:val="22"/>
          <w:szCs w:val="22"/>
        </w:rPr>
      </w:pPr>
      <w:r w:rsidRPr="00D733EB">
        <w:rPr>
          <w:rFonts w:ascii="Tahoma" w:hAnsi="Tahoma" w:cs="Tahoma"/>
          <w:sz w:val="22"/>
          <w:szCs w:val="22"/>
        </w:rPr>
        <w:t>The primary objective of the local government performance reporting framework is to provide comprehensive performance information that meets the needs of stakeholders. This is an objective that seeks to balance the needs and expectations of a number of audiences. In meeting this objective:</w:t>
      </w:r>
    </w:p>
    <w:p w:rsidR="00370858" w:rsidRPr="00E84DC2" w:rsidRDefault="00D733EB">
      <w:pPr>
        <w:pStyle w:val="ListParagraph"/>
        <w:rPr>
          <w:rFonts w:ascii="Tahoma" w:hAnsi="Tahoma" w:cs="Tahoma"/>
          <w:lang w:val="en-AU"/>
        </w:rPr>
      </w:pPr>
      <w:r w:rsidRPr="00D733EB">
        <w:rPr>
          <w:rFonts w:ascii="Tahoma" w:hAnsi="Tahoma" w:cs="Tahoma"/>
          <w:lang w:val="en-AU"/>
        </w:rPr>
        <w:t>councils will have information to support strategic decision-making and continuous improvement</w:t>
      </w:r>
    </w:p>
    <w:p w:rsidR="00370858" w:rsidRPr="00E84DC2" w:rsidRDefault="00D733EB">
      <w:pPr>
        <w:pStyle w:val="ListParagraph"/>
        <w:rPr>
          <w:rFonts w:ascii="Tahoma" w:hAnsi="Tahoma" w:cs="Tahoma"/>
          <w:lang w:val="en-AU"/>
        </w:rPr>
      </w:pPr>
      <w:r w:rsidRPr="00D733EB">
        <w:rPr>
          <w:rFonts w:ascii="Tahoma" w:hAnsi="Tahoma" w:cs="Tahoma"/>
          <w:lang w:val="en-AU"/>
        </w:rPr>
        <w:t>communities will have information about council performance and productivity</w:t>
      </w:r>
    </w:p>
    <w:p w:rsidR="00370858" w:rsidRPr="00E84DC2" w:rsidRDefault="00D733EB">
      <w:pPr>
        <w:pStyle w:val="ListParagraph"/>
        <w:rPr>
          <w:rFonts w:ascii="Tahoma" w:hAnsi="Tahoma" w:cs="Tahoma"/>
          <w:lang w:val="en-AU"/>
        </w:rPr>
      </w:pPr>
      <w:r w:rsidRPr="00D733EB">
        <w:rPr>
          <w:rFonts w:ascii="Tahoma" w:hAnsi="Tahoma" w:cs="Tahoma"/>
          <w:lang w:val="en-AU"/>
        </w:rPr>
        <w:t>regulators will have information to monitor compliance with relevant reporting requirements</w:t>
      </w:r>
    </w:p>
    <w:p w:rsidR="00370858" w:rsidRPr="00E84DC2" w:rsidRDefault="00D733EB">
      <w:pPr>
        <w:pStyle w:val="ListParagraph"/>
        <w:rPr>
          <w:rFonts w:ascii="Tahoma" w:hAnsi="Tahoma" w:cs="Tahoma"/>
        </w:rPr>
      </w:pPr>
      <w:r w:rsidRPr="00D733EB">
        <w:rPr>
          <w:rFonts w:ascii="Tahoma" w:eastAsia="Times New Roman" w:hAnsi="Tahoma" w:cs="Tahoma"/>
          <w:lang w:val="en-AU"/>
        </w:rPr>
        <w:t>State</w:t>
      </w:r>
      <w:r w:rsidRPr="00D733EB">
        <w:rPr>
          <w:rFonts w:ascii="Tahoma" w:hAnsi="Tahoma" w:cs="Tahoma"/>
        </w:rPr>
        <w:t xml:space="preserve"> and Commonwealth Governments will be better informed to make decisions that ensure an effective, efficient and sustainable system of local government.</w:t>
      </w:r>
    </w:p>
    <w:p w:rsidR="00A46D3A" w:rsidRPr="00E84DC2" w:rsidRDefault="00A46D3A" w:rsidP="00A46D3A">
      <w:pPr>
        <w:widowControl w:val="0"/>
        <w:autoSpaceDE w:val="0"/>
        <w:autoSpaceDN w:val="0"/>
        <w:adjustRightInd w:val="0"/>
        <w:rPr>
          <w:rFonts w:ascii="Tahoma" w:hAnsi="Tahoma" w:cs="Tahoma"/>
          <w:sz w:val="22"/>
          <w:szCs w:val="22"/>
        </w:rPr>
      </w:pPr>
    </w:p>
    <w:p w:rsidR="00A46D3A" w:rsidRPr="00E84DC2" w:rsidRDefault="00D733EB" w:rsidP="00A46D3A">
      <w:pPr>
        <w:widowControl w:val="0"/>
        <w:autoSpaceDE w:val="0"/>
        <w:autoSpaceDN w:val="0"/>
        <w:adjustRightInd w:val="0"/>
        <w:rPr>
          <w:rFonts w:ascii="Tahoma" w:hAnsi="Tahoma" w:cs="Tahoma"/>
          <w:sz w:val="22"/>
          <w:szCs w:val="22"/>
        </w:rPr>
      </w:pPr>
      <w:r w:rsidRPr="00D733EB">
        <w:rPr>
          <w:rFonts w:ascii="Tahoma" w:hAnsi="Tahoma" w:cs="Tahoma"/>
          <w:sz w:val="22"/>
          <w:szCs w:val="22"/>
        </w:rPr>
        <w:t>To provide a comprehensive picture of council performance, indicators have been developed across three thematic areas: service performance, financial performance and sustainability.</w:t>
      </w:r>
    </w:p>
    <w:p w:rsidR="00A46D3A" w:rsidRPr="00E84DC2" w:rsidRDefault="00A46D3A" w:rsidP="00A46D3A">
      <w:pPr>
        <w:widowControl w:val="0"/>
        <w:autoSpaceDE w:val="0"/>
        <w:autoSpaceDN w:val="0"/>
        <w:adjustRightInd w:val="0"/>
        <w:rPr>
          <w:rFonts w:ascii="Tahoma" w:hAnsi="Tahoma" w:cs="Tahoma"/>
          <w:sz w:val="22"/>
          <w:szCs w:val="22"/>
        </w:rPr>
      </w:pPr>
    </w:p>
    <w:p w:rsidR="00A06B52" w:rsidRDefault="00D733EB">
      <w:pPr>
        <w:widowControl w:val="0"/>
        <w:autoSpaceDE w:val="0"/>
        <w:autoSpaceDN w:val="0"/>
        <w:adjustRightInd w:val="0"/>
        <w:rPr>
          <w:rFonts w:ascii="Tahoma" w:hAnsi="Tahoma" w:cs="Tahoma"/>
          <w:b/>
          <w:bCs/>
          <w:sz w:val="22"/>
          <w:szCs w:val="22"/>
        </w:rPr>
      </w:pPr>
      <w:r w:rsidRPr="00D733EB">
        <w:rPr>
          <w:rFonts w:ascii="Tahoma" w:hAnsi="Tahoma" w:cs="Tahoma"/>
          <w:sz w:val="22"/>
          <w:szCs w:val="22"/>
        </w:rPr>
        <w:t>An objective for assessing performance against each thematic area has been established to inform the development of performance indicators. These are outlined in Figure 3B below.</w:t>
      </w:r>
    </w:p>
    <w:p w:rsidR="00A46D3A" w:rsidRPr="00E84DC2" w:rsidRDefault="00D733EB" w:rsidP="00443E5D">
      <w:pPr>
        <w:widowControl w:val="0"/>
        <w:autoSpaceDE w:val="0"/>
        <w:autoSpaceDN w:val="0"/>
        <w:adjustRightInd w:val="0"/>
        <w:jc w:val="center"/>
        <w:rPr>
          <w:rFonts w:ascii="Tahoma" w:hAnsi="Tahoma" w:cs="Tahoma"/>
          <w:b/>
          <w:bCs/>
          <w:sz w:val="22"/>
          <w:szCs w:val="22"/>
        </w:rPr>
      </w:pPr>
      <w:r w:rsidRPr="00D733EB">
        <w:rPr>
          <w:rFonts w:ascii="Tahoma" w:hAnsi="Tahoma" w:cs="Tahoma"/>
          <w:b/>
          <w:bCs/>
          <w:sz w:val="22"/>
          <w:szCs w:val="22"/>
        </w:rPr>
        <w:t>Figure 3B</w:t>
      </w:r>
      <w:r w:rsidRPr="00D733EB">
        <w:rPr>
          <w:rFonts w:ascii="Tahoma" w:hAnsi="Tahoma" w:cs="Tahoma"/>
          <w:b/>
          <w:bCs/>
          <w:sz w:val="22"/>
          <w:szCs w:val="22"/>
        </w:rPr>
        <w:br/>
        <w:t>Indicator areas and objectives*</w:t>
      </w:r>
    </w:p>
    <w:p w:rsidR="00443E5D" w:rsidRPr="00E84DC2" w:rsidRDefault="00443E5D" w:rsidP="00443E5D">
      <w:pPr>
        <w:widowControl w:val="0"/>
        <w:autoSpaceDE w:val="0"/>
        <w:autoSpaceDN w:val="0"/>
        <w:adjustRightInd w:val="0"/>
        <w:jc w:val="center"/>
        <w:rPr>
          <w:rFonts w:ascii="Tahoma" w:hAnsi="Tahoma" w:cs="Tahoma"/>
          <w:b/>
          <w:bCs/>
          <w:sz w:val="8"/>
          <w:szCs w:val="8"/>
        </w:rPr>
      </w:pPr>
    </w:p>
    <w:p w:rsidR="00370858" w:rsidRPr="00E84DC2" w:rsidRDefault="00370858">
      <w:pPr>
        <w:widowControl w:val="0"/>
        <w:autoSpaceDE w:val="0"/>
        <w:autoSpaceDN w:val="0"/>
        <w:adjustRightInd w:val="0"/>
        <w:jc w:val="center"/>
        <w:rPr>
          <w:rFonts w:ascii="Tahoma" w:hAnsi="Tahoma" w:cs="Tahoma"/>
          <w:sz w:val="22"/>
          <w:szCs w:val="22"/>
          <w:lang w:val="en-AU"/>
        </w:rPr>
      </w:pPr>
      <w:r w:rsidRPr="00E84DC2">
        <w:rPr>
          <w:rFonts w:ascii="Tahoma" w:hAnsi="Tahoma" w:cs="Tahoma"/>
          <w:noProof/>
          <w:szCs w:val="22"/>
          <w:lang w:val="en-AU" w:eastAsia="en-AU"/>
        </w:rPr>
        <w:drawing>
          <wp:inline distT="0" distB="0" distL="0" distR="0">
            <wp:extent cx="5104262" cy="27694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b="7147"/>
                    <a:stretch>
                      <a:fillRect/>
                    </a:stretch>
                  </pic:blipFill>
                  <pic:spPr bwMode="auto">
                    <a:xfrm>
                      <a:off x="0" y="0"/>
                      <a:ext cx="5106649" cy="2770739"/>
                    </a:xfrm>
                    <a:prstGeom prst="rect">
                      <a:avLst/>
                    </a:prstGeom>
                    <a:noFill/>
                    <a:ln w="9525">
                      <a:noFill/>
                      <a:miter lim="800000"/>
                      <a:headEnd/>
                      <a:tailEnd/>
                    </a:ln>
                  </pic:spPr>
                </pic:pic>
              </a:graphicData>
            </a:graphic>
          </wp:inline>
        </w:drawing>
      </w:r>
    </w:p>
    <w:p w:rsidR="00512CA5" w:rsidRDefault="00D733EB">
      <w:pPr>
        <w:ind w:left="142" w:hanging="142"/>
        <w:rPr>
          <w:rFonts w:ascii="Tahoma" w:hAnsi="Tahoma" w:cs="Tahoma"/>
          <w:sz w:val="18"/>
          <w:szCs w:val="18"/>
          <w:lang w:val="en-AU"/>
        </w:rPr>
      </w:pPr>
      <w:r w:rsidRPr="00D733EB">
        <w:rPr>
          <w:rFonts w:ascii="Tahoma" w:hAnsi="Tahoma" w:cs="Tahoma"/>
          <w:sz w:val="18"/>
          <w:szCs w:val="18"/>
          <w:lang w:val="en-AU"/>
        </w:rPr>
        <w:t>*</w:t>
      </w:r>
      <w:r w:rsidR="0013518F" w:rsidRPr="00E84DC2">
        <w:rPr>
          <w:rFonts w:ascii="Tahoma" w:hAnsi="Tahoma" w:cs="Tahoma"/>
          <w:sz w:val="18"/>
          <w:szCs w:val="18"/>
          <w:lang w:val="en-AU"/>
        </w:rPr>
        <w:t xml:space="preserve"> The 53 quantitative service performance measures include 52 mandatory measures and 1 optional measure.</w:t>
      </w:r>
    </w:p>
    <w:p w:rsidR="0013518F" w:rsidRPr="00E84DC2" w:rsidRDefault="0013518F" w:rsidP="00607793">
      <w:pPr>
        <w:rPr>
          <w:rFonts w:ascii="Tahoma" w:hAnsi="Tahoma" w:cs="Tahoma"/>
          <w:sz w:val="22"/>
          <w:szCs w:val="22"/>
          <w:lang w:val="en-AU"/>
        </w:rPr>
      </w:pPr>
    </w:p>
    <w:p w:rsidR="00607793" w:rsidRPr="00E84DC2" w:rsidRDefault="00D733EB" w:rsidP="00607793">
      <w:pPr>
        <w:rPr>
          <w:rFonts w:ascii="Tahoma" w:hAnsi="Tahoma" w:cs="Tahoma"/>
          <w:sz w:val="22"/>
          <w:szCs w:val="22"/>
          <w:lang w:val="en-AU"/>
        </w:rPr>
      </w:pPr>
      <w:r w:rsidRPr="00D733EB">
        <w:rPr>
          <w:rFonts w:ascii="Tahoma" w:hAnsi="Tahoma" w:cs="Tahoma"/>
          <w:sz w:val="22"/>
          <w:szCs w:val="22"/>
          <w:lang w:val="en-AU"/>
        </w:rPr>
        <w:t xml:space="preserve">Output and outcomes indicators have been developed to take account of the generally accepted dimensions of effectiveness (appropriateness and quality) and efficiency. These are shown in Attachment </w:t>
      </w:r>
      <w:r w:rsidR="00A830FF">
        <w:rPr>
          <w:rFonts w:ascii="Tahoma" w:hAnsi="Tahoma" w:cs="Tahoma"/>
          <w:sz w:val="22"/>
          <w:szCs w:val="22"/>
          <w:lang w:val="en-AU"/>
        </w:rPr>
        <w:t>C</w:t>
      </w:r>
      <w:r w:rsidRPr="00D733EB">
        <w:rPr>
          <w:rFonts w:ascii="Tahoma" w:hAnsi="Tahoma" w:cs="Tahoma"/>
          <w:sz w:val="22"/>
          <w:szCs w:val="22"/>
          <w:lang w:val="en-AU"/>
        </w:rPr>
        <w:t>.</w:t>
      </w:r>
    </w:p>
    <w:p w:rsidR="009C2DE1" w:rsidRPr="00E84DC2" w:rsidRDefault="009C2DE1" w:rsidP="00607793">
      <w:pPr>
        <w:rPr>
          <w:rFonts w:ascii="Tahoma" w:hAnsi="Tahoma" w:cs="Tahoma"/>
          <w:sz w:val="22"/>
          <w:szCs w:val="22"/>
          <w:lang w:val="en-AU"/>
        </w:rPr>
      </w:pPr>
    </w:p>
    <w:p w:rsidR="00E90240" w:rsidRPr="00E84DC2" w:rsidRDefault="00D733EB">
      <w:pPr>
        <w:rPr>
          <w:rFonts w:ascii="Tahoma" w:hAnsi="Tahoma" w:cs="Tahoma"/>
          <w:sz w:val="22"/>
          <w:szCs w:val="22"/>
          <w:lang w:val="en-AU"/>
        </w:rPr>
      </w:pPr>
      <w:r w:rsidRPr="00D733EB">
        <w:rPr>
          <w:rFonts w:ascii="Tahoma" w:hAnsi="Tahoma" w:cs="Tahoma"/>
          <w:sz w:val="22"/>
          <w:szCs w:val="22"/>
          <w:lang w:val="en-AU"/>
        </w:rPr>
        <w:t xml:space="preserve">The performance reporting framework will be reported in two parts (as required under the amended Act) and include: </w:t>
      </w:r>
    </w:p>
    <w:p w:rsidR="00370858" w:rsidRPr="00E84DC2" w:rsidRDefault="00D733EB">
      <w:pPr>
        <w:pStyle w:val="ListParagraph"/>
        <w:rPr>
          <w:rFonts w:ascii="Tahoma" w:hAnsi="Tahoma" w:cs="Tahoma"/>
        </w:rPr>
      </w:pPr>
      <w:r w:rsidRPr="00D733EB">
        <w:rPr>
          <w:rFonts w:ascii="Tahoma" w:hAnsi="Tahoma" w:cs="Tahoma"/>
          <w:lang w:val="en-AU"/>
        </w:rPr>
        <w:t xml:space="preserve">32 indicators and measures of service performance, financial performance and sustainable capacity to be included in a performance </w:t>
      </w:r>
      <w:r w:rsidRPr="00D733EB">
        <w:rPr>
          <w:rFonts w:ascii="Tahoma" w:hAnsi="Tahoma" w:cs="Tahoma"/>
        </w:rPr>
        <w:t>statement, which is to be audited</w:t>
      </w:r>
      <w:r w:rsidR="00A830FF">
        <w:rPr>
          <w:rFonts w:ascii="Tahoma" w:hAnsi="Tahoma" w:cs="Tahoma"/>
        </w:rPr>
        <w:t>; and</w:t>
      </w:r>
    </w:p>
    <w:p w:rsidR="00370858" w:rsidRPr="00E84DC2" w:rsidRDefault="00D733EB">
      <w:pPr>
        <w:pStyle w:val="ListParagraph"/>
        <w:rPr>
          <w:rFonts w:ascii="Tahoma" w:hAnsi="Tahoma" w:cs="Tahoma"/>
        </w:rPr>
      </w:pPr>
      <w:r w:rsidRPr="00D733EB">
        <w:rPr>
          <w:rFonts w:ascii="Tahoma" w:hAnsi="Tahoma" w:cs="Tahoma"/>
        </w:rPr>
        <w:t xml:space="preserve">39 indicators and measures of service performance along with a checklist of 24 governance and management requirements </w:t>
      </w:r>
      <w:r w:rsidRPr="00D733EB">
        <w:rPr>
          <w:rFonts w:ascii="Tahoma" w:hAnsi="Tahoma" w:cs="Tahoma"/>
          <w:lang w:val="en-AU"/>
        </w:rPr>
        <w:t xml:space="preserve">(mostly yes/no questions) </w:t>
      </w:r>
      <w:r w:rsidRPr="00D733EB">
        <w:rPr>
          <w:rFonts w:ascii="Tahoma" w:hAnsi="Tahoma" w:cs="Tahoma"/>
        </w:rPr>
        <w:t>which are included in the report on operations, but which are not audited.</w:t>
      </w:r>
    </w:p>
    <w:p w:rsidR="00A46D3A" w:rsidRPr="00E84DC2" w:rsidRDefault="00A46D3A">
      <w:pPr>
        <w:rPr>
          <w:rFonts w:ascii="Tahoma" w:hAnsi="Tahoma" w:cs="Tahoma"/>
          <w:sz w:val="22"/>
          <w:szCs w:val="22"/>
          <w:lang w:val="en-AU"/>
        </w:rPr>
      </w:pPr>
    </w:p>
    <w:p w:rsidR="00DC743F" w:rsidRPr="00E84DC2" w:rsidRDefault="00D733EB">
      <w:pPr>
        <w:rPr>
          <w:rFonts w:ascii="Tahoma" w:hAnsi="Tahoma" w:cs="Tahoma"/>
          <w:sz w:val="22"/>
          <w:szCs w:val="22"/>
          <w:lang w:val="en-AU"/>
        </w:rPr>
      </w:pPr>
      <w:r w:rsidRPr="00D733EB">
        <w:rPr>
          <w:rFonts w:ascii="Tahoma" w:hAnsi="Tahoma" w:cs="Tahoma"/>
          <w:sz w:val="22"/>
          <w:szCs w:val="22"/>
          <w:lang w:val="en-AU"/>
        </w:rPr>
        <w:t>The indicators categories to be used are as shown in Figure 3C.</w:t>
      </w:r>
    </w:p>
    <w:p w:rsidR="00F07F68" w:rsidRPr="00E84DC2" w:rsidRDefault="00F07F68">
      <w:pPr>
        <w:rPr>
          <w:rFonts w:ascii="Tahoma" w:hAnsi="Tahoma" w:cs="Tahoma"/>
          <w:sz w:val="22"/>
          <w:szCs w:val="22"/>
          <w:lang w:val="en-AU"/>
        </w:rPr>
      </w:pPr>
    </w:p>
    <w:p w:rsidR="00F30ED0" w:rsidRPr="00E84DC2" w:rsidRDefault="00D733EB" w:rsidP="00F30ED0">
      <w:pPr>
        <w:jc w:val="center"/>
        <w:rPr>
          <w:rFonts w:ascii="Tahoma" w:hAnsi="Tahoma" w:cs="Tahoma"/>
          <w:b/>
          <w:sz w:val="22"/>
          <w:szCs w:val="22"/>
          <w:lang w:val="en-AU"/>
        </w:rPr>
      </w:pPr>
      <w:r w:rsidRPr="00D733EB">
        <w:rPr>
          <w:rFonts w:ascii="Tahoma" w:hAnsi="Tahoma" w:cs="Tahoma"/>
          <w:b/>
          <w:sz w:val="22"/>
          <w:szCs w:val="22"/>
          <w:lang w:val="en-AU"/>
        </w:rPr>
        <w:t>Figure 3C</w:t>
      </w:r>
      <w:r w:rsidRPr="00D733EB">
        <w:rPr>
          <w:rFonts w:ascii="Tahoma" w:hAnsi="Tahoma" w:cs="Tahoma"/>
          <w:b/>
          <w:sz w:val="22"/>
          <w:szCs w:val="22"/>
          <w:lang w:val="en-AU"/>
        </w:rPr>
        <w:br/>
        <w:t>Performance indicator categories</w:t>
      </w:r>
    </w:p>
    <w:p w:rsidR="00F30ED0" w:rsidRPr="00E84DC2" w:rsidRDefault="00F30ED0">
      <w:pPr>
        <w:rPr>
          <w:rFonts w:ascii="Tahoma" w:hAnsi="Tahoma" w:cs="Tahoma"/>
          <w:b/>
          <w:sz w:val="10"/>
          <w:szCs w:val="10"/>
          <w:lang w:val="en-AU"/>
        </w:rPr>
      </w:pPr>
    </w:p>
    <w:tbl>
      <w:tblPr>
        <w:tblStyle w:val="LightList-Accent11"/>
        <w:tblW w:w="0" w:type="auto"/>
        <w:tblLook w:val="04A0" w:firstRow="1" w:lastRow="0" w:firstColumn="1" w:lastColumn="0" w:noHBand="0" w:noVBand="1"/>
      </w:tblPr>
      <w:tblGrid>
        <w:gridCol w:w="5201"/>
        <w:gridCol w:w="1428"/>
        <w:gridCol w:w="1887"/>
      </w:tblGrid>
      <w:tr w:rsidR="00730C45" w:rsidRPr="00E84DC2" w:rsidTr="00C625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1" w:type="dxa"/>
          </w:tcPr>
          <w:p w:rsidR="00730C45" w:rsidRPr="00E84DC2" w:rsidRDefault="00D733EB" w:rsidP="00730C45">
            <w:pPr>
              <w:rPr>
                <w:rFonts w:ascii="Tahoma" w:hAnsi="Tahoma" w:cs="Tahoma"/>
                <w:color w:val="auto"/>
                <w:sz w:val="20"/>
                <w:szCs w:val="20"/>
                <w:lang w:val="en-AU"/>
              </w:rPr>
            </w:pPr>
            <w:r w:rsidRPr="00D733EB">
              <w:rPr>
                <w:rFonts w:ascii="Tahoma" w:hAnsi="Tahoma" w:cs="Tahoma"/>
                <w:sz w:val="20"/>
                <w:szCs w:val="20"/>
                <w:lang w:val="en-AU"/>
              </w:rPr>
              <w:t>Indicator category</w:t>
            </w:r>
          </w:p>
        </w:tc>
        <w:tc>
          <w:tcPr>
            <w:tcW w:w="1428" w:type="dxa"/>
          </w:tcPr>
          <w:p w:rsidR="00730C45" w:rsidRPr="00E84DC2" w:rsidRDefault="00D733EB" w:rsidP="009C2DE1">
            <w:pPr>
              <w:cnfStyle w:val="100000000000" w:firstRow="1" w:lastRow="0" w:firstColumn="0" w:lastColumn="0" w:oddVBand="0" w:evenVBand="0" w:oddHBand="0" w:evenHBand="0" w:firstRowFirstColumn="0" w:firstRowLastColumn="0" w:lastRowFirstColumn="0" w:lastRowLastColumn="0"/>
              <w:rPr>
                <w:rFonts w:ascii="Tahoma" w:hAnsi="Tahoma" w:cs="Tahoma"/>
                <w:color w:val="auto"/>
                <w:sz w:val="20"/>
                <w:szCs w:val="20"/>
                <w:lang w:val="en-AU"/>
              </w:rPr>
            </w:pPr>
            <w:r w:rsidRPr="00D733EB">
              <w:rPr>
                <w:rFonts w:ascii="Tahoma" w:hAnsi="Tahoma" w:cs="Tahoma"/>
                <w:sz w:val="20"/>
                <w:szCs w:val="20"/>
                <w:lang w:val="en-AU"/>
              </w:rPr>
              <w:t xml:space="preserve">Audited </w:t>
            </w:r>
          </w:p>
        </w:tc>
        <w:tc>
          <w:tcPr>
            <w:tcW w:w="1887" w:type="dxa"/>
          </w:tcPr>
          <w:p w:rsidR="00730C45" w:rsidRPr="00E84DC2" w:rsidRDefault="00D733EB" w:rsidP="009C2DE1">
            <w:pPr>
              <w:cnfStyle w:val="100000000000" w:firstRow="1" w:lastRow="0" w:firstColumn="0" w:lastColumn="0" w:oddVBand="0" w:evenVBand="0" w:oddHBand="0" w:evenHBand="0" w:firstRowFirstColumn="0" w:firstRowLastColumn="0" w:lastRowFirstColumn="0" w:lastRowLastColumn="0"/>
              <w:rPr>
                <w:rFonts w:ascii="Tahoma" w:hAnsi="Tahoma" w:cs="Tahoma"/>
                <w:color w:val="auto"/>
                <w:sz w:val="20"/>
                <w:szCs w:val="20"/>
                <w:lang w:val="en-AU"/>
              </w:rPr>
            </w:pPr>
            <w:r w:rsidRPr="00D733EB">
              <w:rPr>
                <w:rFonts w:ascii="Tahoma" w:hAnsi="Tahoma" w:cs="Tahoma"/>
                <w:sz w:val="20"/>
                <w:szCs w:val="20"/>
                <w:lang w:val="en-AU"/>
              </w:rPr>
              <w:t>Non-audited</w:t>
            </w:r>
          </w:p>
        </w:tc>
      </w:tr>
      <w:tr w:rsidR="000B65F2" w:rsidRPr="00E84DC2" w:rsidTr="00C62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1" w:type="dxa"/>
          </w:tcPr>
          <w:p w:rsidR="000B65F2" w:rsidRPr="00E84DC2" w:rsidRDefault="00D733EB" w:rsidP="009C2DE1">
            <w:pPr>
              <w:rPr>
                <w:rFonts w:ascii="Tahoma" w:hAnsi="Tahoma" w:cs="Tahoma"/>
                <w:sz w:val="20"/>
                <w:szCs w:val="20"/>
                <w:lang w:val="en-AU"/>
              </w:rPr>
            </w:pPr>
            <w:r w:rsidRPr="00D733EB">
              <w:rPr>
                <w:rFonts w:ascii="Tahoma" w:hAnsi="Tahoma" w:cs="Tahoma"/>
                <w:sz w:val="20"/>
                <w:szCs w:val="20"/>
                <w:lang w:val="en-AU"/>
              </w:rPr>
              <w:t>Service performance</w:t>
            </w:r>
          </w:p>
        </w:tc>
        <w:tc>
          <w:tcPr>
            <w:tcW w:w="1428" w:type="dxa"/>
          </w:tcPr>
          <w:p w:rsidR="000B65F2" w:rsidRPr="00E84DC2" w:rsidRDefault="000B65F2" w:rsidP="00C62544">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lang w:val="en-AU"/>
              </w:rPr>
            </w:pPr>
          </w:p>
        </w:tc>
        <w:tc>
          <w:tcPr>
            <w:tcW w:w="1887" w:type="dxa"/>
          </w:tcPr>
          <w:p w:rsidR="000B65F2" w:rsidRPr="00E84DC2" w:rsidRDefault="000B65F2" w:rsidP="00C62544">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lang w:val="en-AU"/>
              </w:rPr>
            </w:pPr>
          </w:p>
        </w:tc>
      </w:tr>
      <w:tr w:rsidR="00730C45" w:rsidRPr="00E84DC2" w:rsidTr="00C62544">
        <w:tc>
          <w:tcPr>
            <w:cnfStyle w:val="001000000000" w:firstRow="0" w:lastRow="0" w:firstColumn="1" w:lastColumn="0" w:oddVBand="0" w:evenVBand="0" w:oddHBand="0" w:evenHBand="0" w:firstRowFirstColumn="0" w:firstRowLastColumn="0" w:lastRowFirstColumn="0" w:lastRowLastColumn="0"/>
            <w:tcW w:w="5201" w:type="dxa"/>
          </w:tcPr>
          <w:p w:rsidR="00730C45" w:rsidRPr="00E84DC2" w:rsidRDefault="00D733EB" w:rsidP="000B65F2">
            <w:pPr>
              <w:ind w:left="284"/>
              <w:rPr>
                <w:rFonts w:ascii="Tahoma" w:hAnsi="Tahoma" w:cs="Tahoma"/>
                <w:b w:val="0"/>
                <w:sz w:val="20"/>
                <w:szCs w:val="20"/>
                <w:lang w:val="en-AU"/>
              </w:rPr>
            </w:pPr>
            <w:r w:rsidRPr="00D733EB">
              <w:rPr>
                <w:rFonts w:ascii="Tahoma" w:hAnsi="Tahoma" w:cs="Tahoma"/>
                <w:sz w:val="20"/>
                <w:szCs w:val="20"/>
                <w:lang w:val="en-AU"/>
              </w:rPr>
              <w:t>Governance</w:t>
            </w:r>
          </w:p>
        </w:tc>
        <w:tc>
          <w:tcPr>
            <w:tcW w:w="1428" w:type="dxa"/>
          </w:tcPr>
          <w:p w:rsidR="00730C45" w:rsidRPr="00E84DC2" w:rsidRDefault="00D733EB" w:rsidP="00C62544">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lang w:val="en-AU"/>
              </w:rPr>
            </w:pPr>
            <w:r w:rsidRPr="00D733EB">
              <w:rPr>
                <w:rFonts w:ascii="Tahoma" w:hAnsi="Tahoma" w:cs="Tahoma"/>
                <w:sz w:val="20"/>
                <w:szCs w:val="20"/>
                <w:lang w:val="en-AU"/>
              </w:rPr>
              <w:t>1</w:t>
            </w:r>
          </w:p>
        </w:tc>
        <w:tc>
          <w:tcPr>
            <w:tcW w:w="1887" w:type="dxa"/>
          </w:tcPr>
          <w:p w:rsidR="00730C45" w:rsidRPr="00E84DC2" w:rsidRDefault="00D733EB" w:rsidP="00C62544">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lang w:val="en-AU"/>
              </w:rPr>
            </w:pPr>
            <w:r w:rsidRPr="00D733EB">
              <w:rPr>
                <w:rFonts w:ascii="Tahoma" w:hAnsi="Tahoma" w:cs="Tahoma"/>
                <w:sz w:val="20"/>
                <w:szCs w:val="20"/>
                <w:lang w:val="en-AU"/>
              </w:rPr>
              <w:t>4</w:t>
            </w:r>
          </w:p>
        </w:tc>
      </w:tr>
      <w:tr w:rsidR="00F07F68" w:rsidRPr="00E84DC2" w:rsidTr="00C62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1" w:type="dxa"/>
          </w:tcPr>
          <w:p w:rsidR="00F07F68" w:rsidRPr="00E84DC2" w:rsidRDefault="00D733EB" w:rsidP="000B65F2">
            <w:pPr>
              <w:ind w:left="284"/>
              <w:rPr>
                <w:rFonts w:ascii="Tahoma" w:hAnsi="Tahoma" w:cs="Tahoma"/>
                <w:b w:val="0"/>
                <w:sz w:val="20"/>
                <w:szCs w:val="20"/>
                <w:lang w:val="en-AU"/>
              </w:rPr>
            </w:pPr>
            <w:r w:rsidRPr="00D733EB">
              <w:rPr>
                <w:rFonts w:ascii="Tahoma" w:hAnsi="Tahoma" w:cs="Tahoma"/>
                <w:sz w:val="20"/>
                <w:szCs w:val="20"/>
                <w:lang w:val="en-AU"/>
              </w:rPr>
              <w:t>Statutory planning</w:t>
            </w:r>
          </w:p>
        </w:tc>
        <w:tc>
          <w:tcPr>
            <w:tcW w:w="1428" w:type="dxa"/>
          </w:tcPr>
          <w:p w:rsidR="00F07F68" w:rsidRPr="00E84DC2" w:rsidRDefault="00D733EB" w:rsidP="00C62544">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lang w:val="en-AU"/>
              </w:rPr>
            </w:pPr>
            <w:r w:rsidRPr="00D733EB">
              <w:rPr>
                <w:rFonts w:ascii="Tahoma" w:hAnsi="Tahoma" w:cs="Tahoma"/>
                <w:sz w:val="20"/>
                <w:szCs w:val="20"/>
                <w:lang w:val="en-AU"/>
              </w:rPr>
              <w:t>1</w:t>
            </w:r>
          </w:p>
        </w:tc>
        <w:tc>
          <w:tcPr>
            <w:tcW w:w="1887" w:type="dxa"/>
          </w:tcPr>
          <w:p w:rsidR="00F07F68" w:rsidRPr="00E84DC2" w:rsidRDefault="00D733EB" w:rsidP="00C62544">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lang w:val="en-AU"/>
              </w:rPr>
            </w:pPr>
            <w:r w:rsidRPr="00D733EB">
              <w:rPr>
                <w:rFonts w:ascii="Tahoma" w:hAnsi="Tahoma" w:cs="Tahoma"/>
                <w:sz w:val="20"/>
                <w:szCs w:val="20"/>
                <w:lang w:val="en-AU"/>
              </w:rPr>
              <w:t>3</w:t>
            </w:r>
          </w:p>
        </w:tc>
      </w:tr>
      <w:tr w:rsidR="00F07F68" w:rsidRPr="00E84DC2" w:rsidTr="00C62544">
        <w:tc>
          <w:tcPr>
            <w:cnfStyle w:val="001000000000" w:firstRow="0" w:lastRow="0" w:firstColumn="1" w:lastColumn="0" w:oddVBand="0" w:evenVBand="0" w:oddHBand="0" w:evenHBand="0" w:firstRowFirstColumn="0" w:firstRowLastColumn="0" w:lastRowFirstColumn="0" w:lastRowLastColumn="0"/>
            <w:tcW w:w="5201" w:type="dxa"/>
          </w:tcPr>
          <w:p w:rsidR="00F07F68" w:rsidRPr="00E84DC2" w:rsidRDefault="00D733EB" w:rsidP="000B65F2">
            <w:pPr>
              <w:ind w:left="284"/>
              <w:rPr>
                <w:rFonts w:ascii="Tahoma" w:hAnsi="Tahoma" w:cs="Tahoma"/>
                <w:b w:val="0"/>
                <w:sz w:val="20"/>
                <w:szCs w:val="20"/>
                <w:lang w:val="en-AU"/>
              </w:rPr>
            </w:pPr>
            <w:r w:rsidRPr="00D733EB">
              <w:rPr>
                <w:rFonts w:ascii="Tahoma" w:hAnsi="Tahoma" w:cs="Tahoma"/>
                <w:sz w:val="20"/>
                <w:szCs w:val="20"/>
                <w:lang w:val="en-AU"/>
              </w:rPr>
              <w:t>Economic Development</w:t>
            </w:r>
          </w:p>
        </w:tc>
        <w:tc>
          <w:tcPr>
            <w:tcW w:w="1428" w:type="dxa"/>
          </w:tcPr>
          <w:p w:rsidR="00F07F68" w:rsidRPr="00E84DC2" w:rsidRDefault="00D733EB" w:rsidP="00C62544">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lang w:val="en-AU"/>
              </w:rPr>
            </w:pPr>
            <w:r w:rsidRPr="00D733EB">
              <w:rPr>
                <w:rFonts w:ascii="Tahoma" w:hAnsi="Tahoma" w:cs="Tahoma"/>
                <w:sz w:val="20"/>
                <w:szCs w:val="20"/>
                <w:lang w:val="en-AU"/>
              </w:rPr>
              <w:t>1</w:t>
            </w:r>
          </w:p>
        </w:tc>
        <w:tc>
          <w:tcPr>
            <w:tcW w:w="1887" w:type="dxa"/>
          </w:tcPr>
          <w:p w:rsidR="00F07F68" w:rsidRPr="00E84DC2" w:rsidRDefault="00D733EB" w:rsidP="00C62544">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lang w:val="en-AU"/>
              </w:rPr>
            </w:pPr>
            <w:r w:rsidRPr="00D733EB">
              <w:rPr>
                <w:rFonts w:ascii="Tahoma" w:hAnsi="Tahoma" w:cs="Tahoma"/>
                <w:sz w:val="20"/>
                <w:szCs w:val="20"/>
                <w:lang w:val="en-AU"/>
              </w:rPr>
              <w:t>3</w:t>
            </w:r>
          </w:p>
        </w:tc>
      </w:tr>
      <w:tr w:rsidR="00F07F68" w:rsidRPr="00E84DC2" w:rsidTr="00C62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1" w:type="dxa"/>
          </w:tcPr>
          <w:p w:rsidR="00F07F68" w:rsidRPr="00E84DC2" w:rsidRDefault="00D733EB" w:rsidP="000B65F2">
            <w:pPr>
              <w:ind w:left="284"/>
              <w:rPr>
                <w:rFonts w:ascii="Tahoma" w:hAnsi="Tahoma" w:cs="Tahoma"/>
                <w:b w:val="0"/>
                <w:sz w:val="20"/>
                <w:szCs w:val="20"/>
                <w:lang w:val="en-AU"/>
              </w:rPr>
            </w:pPr>
            <w:r w:rsidRPr="00D733EB">
              <w:rPr>
                <w:rFonts w:ascii="Tahoma" w:hAnsi="Tahoma" w:cs="Tahoma"/>
                <w:sz w:val="20"/>
                <w:szCs w:val="20"/>
                <w:lang w:val="en-AU"/>
              </w:rPr>
              <w:t>Roads</w:t>
            </w:r>
          </w:p>
        </w:tc>
        <w:tc>
          <w:tcPr>
            <w:tcW w:w="1428" w:type="dxa"/>
          </w:tcPr>
          <w:p w:rsidR="00F07F68" w:rsidRPr="00E84DC2" w:rsidRDefault="00D733EB" w:rsidP="00C62544">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lang w:val="en-AU"/>
              </w:rPr>
            </w:pPr>
            <w:r w:rsidRPr="00D733EB">
              <w:rPr>
                <w:rFonts w:ascii="Tahoma" w:hAnsi="Tahoma" w:cs="Tahoma"/>
                <w:sz w:val="20"/>
                <w:szCs w:val="20"/>
                <w:lang w:val="en-AU"/>
              </w:rPr>
              <w:t>1</w:t>
            </w:r>
          </w:p>
        </w:tc>
        <w:tc>
          <w:tcPr>
            <w:tcW w:w="1887" w:type="dxa"/>
          </w:tcPr>
          <w:p w:rsidR="00F07F68" w:rsidRPr="00E84DC2" w:rsidRDefault="00D733EB" w:rsidP="00C62544">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lang w:val="en-AU"/>
              </w:rPr>
            </w:pPr>
            <w:r w:rsidRPr="00D733EB">
              <w:rPr>
                <w:rFonts w:ascii="Tahoma" w:hAnsi="Tahoma" w:cs="Tahoma"/>
                <w:sz w:val="20"/>
                <w:szCs w:val="20"/>
                <w:lang w:val="en-AU"/>
              </w:rPr>
              <w:t>4</w:t>
            </w:r>
          </w:p>
        </w:tc>
      </w:tr>
      <w:tr w:rsidR="00F07F68" w:rsidRPr="00E84DC2" w:rsidTr="00C62544">
        <w:tc>
          <w:tcPr>
            <w:cnfStyle w:val="001000000000" w:firstRow="0" w:lastRow="0" w:firstColumn="1" w:lastColumn="0" w:oddVBand="0" w:evenVBand="0" w:oddHBand="0" w:evenHBand="0" w:firstRowFirstColumn="0" w:firstRowLastColumn="0" w:lastRowFirstColumn="0" w:lastRowLastColumn="0"/>
            <w:tcW w:w="5201" w:type="dxa"/>
          </w:tcPr>
          <w:p w:rsidR="00F07F68" w:rsidRPr="00E84DC2" w:rsidRDefault="00D733EB" w:rsidP="000B65F2">
            <w:pPr>
              <w:ind w:left="284"/>
              <w:rPr>
                <w:rFonts w:ascii="Tahoma" w:hAnsi="Tahoma" w:cs="Tahoma"/>
                <w:b w:val="0"/>
                <w:sz w:val="20"/>
                <w:szCs w:val="20"/>
                <w:lang w:val="en-AU"/>
              </w:rPr>
            </w:pPr>
            <w:r w:rsidRPr="00D733EB">
              <w:rPr>
                <w:rFonts w:ascii="Tahoma" w:hAnsi="Tahoma" w:cs="Tahoma"/>
                <w:sz w:val="20"/>
                <w:szCs w:val="20"/>
                <w:lang w:val="en-AU"/>
              </w:rPr>
              <w:t>Libraries</w:t>
            </w:r>
          </w:p>
        </w:tc>
        <w:tc>
          <w:tcPr>
            <w:tcW w:w="1428" w:type="dxa"/>
          </w:tcPr>
          <w:p w:rsidR="00F07F68" w:rsidRPr="00E84DC2" w:rsidRDefault="00D733EB" w:rsidP="00C62544">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lang w:val="en-AU"/>
              </w:rPr>
            </w:pPr>
            <w:r w:rsidRPr="00D733EB">
              <w:rPr>
                <w:rFonts w:ascii="Tahoma" w:hAnsi="Tahoma" w:cs="Tahoma"/>
                <w:sz w:val="20"/>
                <w:szCs w:val="20"/>
                <w:lang w:val="en-AU"/>
              </w:rPr>
              <w:t>1</w:t>
            </w:r>
          </w:p>
        </w:tc>
        <w:tc>
          <w:tcPr>
            <w:tcW w:w="1887" w:type="dxa"/>
          </w:tcPr>
          <w:p w:rsidR="00F07F68" w:rsidRPr="00E84DC2" w:rsidRDefault="00D733EB" w:rsidP="00C62544">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lang w:val="en-AU"/>
              </w:rPr>
            </w:pPr>
            <w:r w:rsidRPr="00D733EB">
              <w:rPr>
                <w:rFonts w:ascii="Tahoma" w:hAnsi="Tahoma" w:cs="Tahoma"/>
                <w:sz w:val="20"/>
                <w:szCs w:val="20"/>
                <w:lang w:val="en-AU"/>
              </w:rPr>
              <w:t>3</w:t>
            </w:r>
          </w:p>
        </w:tc>
      </w:tr>
      <w:tr w:rsidR="00F07F68" w:rsidRPr="00E84DC2" w:rsidTr="00C62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1" w:type="dxa"/>
          </w:tcPr>
          <w:p w:rsidR="00F07F68" w:rsidRPr="00E84DC2" w:rsidRDefault="00D733EB" w:rsidP="000B65F2">
            <w:pPr>
              <w:ind w:left="284"/>
              <w:rPr>
                <w:rFonts w:ascii="Tahoma" w:hAnsi="Tahoma" w:cs="Tahoma"/>
                <w:b w:val="0"/>
                <w:sz w:val="20"/>
                <w:szCs w:val="20"/>
                <w:lang w:val="en-AU"/>
              </w:rPr>
            </w:pPr>
            <w:r w:rsidRPr="00D733EB">
              <w:rPr>
                <w:rFonts w:ascii="Tahoma" w:hAnsi="Tahoma" w:cs="Tahoma"/>
                <w:sz w:val="20"/>
                <w:szCs w:val="20"/>
                <w:lang w:val="en-AU"/>
              </w:rPr>
              <w:t>Waste collection</w:t>
            </w:r>
          </w:p>
        </w:tc>
        <w:tc>
          <w:tcPr>
            <w:tcW w:w="1428" w:type="dxa"/>
          </w:tcPr>
          <w:p w:rsidR="00F07F68" w:rsidRPr="00E84DC2" w:rsidRDefault="00D733EB" w:rsidP="00C62544">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lang w:val="en-AU"/>
              </w:rPr>
            </w:pPr>
            <w:r w:rsidRPr="00D733EB">
              <w:rPr>
                <w:rFonts w:ascii="Tahoma" w:hAnsi="Tahoma" w:cs="Tahoma"/>
                <w:sz w:val="20"/>
                <w:szCs w:val="20"/>
                <w:lang w:val="en-AU"/>
              </w:rPr>
              <w:t>1</w:t>
            </w:r>
          </w:p>
        </w:tc>
        <w:tc>
          <w:tcPr>
            <w:tcW w:w="1887" w:type="dxa"/>
          </w:tcPr>
          <w:p w:rsidR="00F07F68" w:rsidRPr="00E84DC2" w:rsidRDefault="00D733EB" w:rsidP="00C62544">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lang w:val="en-AU"/>
              </w:rPr>
            </w:pPr>
            <w:r w:rsidRPr="00D733EB">
              <w:rPr>
                <w:rFonts w:ascii="Tahoma" w:hAnsi="Tahoma" w:cs="Tahoma"/>
                <w:sz w:val="20"/>
                <w:szCs w:val="20"/>
                <w:lang w:val="en-AU"/>
              </w:rPr>
              <w:t>4</w:t>
            </w:r>
          </w:p>
        </w:tc>
      </w:tr>
      <w:tr w:rsidR="00752A6E" w:rsidRPr="00E84DC2" w:rsidTr="00C62544">
        <w:tc>
          <w:tcPr>
            <w:cnfStyle w:val="001000000000" w:firstRow="0" w:lastRow="0" w:firstColumn="1" w:lastColumn="0" w:oddVBand="0" w:evenVBand="0" w:oddHBand="0" w:evenHBand="0" w:firstRowFirstColumn="0" w:firstRowLastColumn="0" w:lastRowFirstColumn="0" w:lastRowLastColumn="0"/>
            <w:tcW w:w="5201" w:type="dxa"/>
          </w:tcPr>
          <w:p w:rsidR="00752A6E" w:rsidRPr="00E84DC2" w:rsidRDefault="00D733EB" w:rsidP="000B65F2">
            <w:pPr>
              <w:ind w:left="284"/>
              <w:rPr>
                <w:rFonts w:ascii="Tahoma" w:hAnsi="Tahoma" w:cs="Tahoma"/>
                <w:b w:val="0"/>
                <w:sz w:val="20"/>
                <w:szCs w:val="20"/>
                <w:lang w:val="en-AU"/>
              </w:rPr>
            </w:pPr>
            <w:r w:rsidRPr="00D733EB">
              <w:rPr>
                <w:rFonts w:ascii="Tahoma" w:hAnsi="Tahoma" w:cs="Tahoma"/>
                <w:sz w:val="20"/>
                <w:szCs w:val="20"/>
                <w:lang w:val="en-AU"/>
              </w:rPr>
              <w:t>Pool facilities</w:t>
            </w:r>
          </w:p>
        </w:tc>
        <w:tc>
          <w:tcPr>
            <w:tcW w:w="1428" w:type="dxa"/>
          </w:tcPr>
          <w:p w:rsidR="00752A6E" w:rsidRPr="00E84DC2" w:rsidRDefault="00D733EB" w:rsidP="00C62544">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lang w:val="en-AU"/>
              </w:rPr>
            </w:pPr>
            <w:r w:rsidRPr="00D733EB">
              <w:rPr>
                <w:rFonts w:ascii="Tahoma" w:hAnsi="Tahoma" w:cs="Tahoma"/>
                <w:sz w:val="20"/>
                <w:szCs w:val="20"/>
                <w:lang w:val="en-AU"/>
              </w:rPr>
              <w:t>1</w:t>
            </w:r>
          </w:p>
        </w:tc>
        <w:tc>
          <w:tcPr>
            <w:tcW w:w="1887" w:type="dxa"/>
          </w:tcPr>
          <w:p w:rsidR="00752A6E" w:rsidRPr="00E84DC2" w:rsidRDefault="00D733EB" w:rsidP="00C62544">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lang w:val="en-AU"/>
              </w:rPr>
            </w:pPr>
            <w:r w:rsidRPr="00D733EB">
              <w:rPr>
                <w:rFonts w:ascii="Tahoma" w:hAnsi="Tahoma" w:cs="Tahoma"/>
                <w:sz w:val="20"/>
                <w:szCs w:val="20"/>
                <w:lang w:val="en-AU"/>
              </w:rPr>
              <w:t>4</w:t>
            </w:r>
          </w:p>
        </w:tc>
      </w:tr>
      <w:tr w:rsidR="00752A6E" w:rsidRPr="00E84DC2" w:rsidTr="00C62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1" w:type="dxa"/>
          </w:tcPr>
          <w:p w:rsidR="00752A6E" w:rsidRPr="00E84DC2" w:rsidRDefault="00D733EB" w:rsidP="000B65F2">
            <w:pPr>
              <w:ind w:left="284"/>
              <w:rPr>
                <w:rFonts w:ascii="Tahoma" w:hAnsi="Tahoma" w:cs="Tahoma"/>
                <w:b w:val="0"/>
                <w:sz w:val="20"/>
                <w:szCs w:val="20"/>
                <w:lang w:val="en-AU"/>
              </w:rPr>
            </w:pPr>
            <w:r w:rsidRPr="00D733EB">
              <w:rPr>
                <w:rFonts w:ascii="Tahoma" w:hAnsi="Tahoma" w:cs="Tahoma"/>
                <w:sz w:val="20"/>
                <w:szCs w:val="20"/>
                <w:lang w:val="en-AU"/>
              </w:rPr>
              <w:t>Animal management</w:t>
            </w:r>
          </w:p>
        </w:tc>
        <w:tc>
          <w:tcPr>
            <w:tcW w:w="1428" w:type="dxa"/>
          </w:tcPr>
          <w:p w:rsidR="00752A6E" w:rsidRPr="00E84DC2" w:rsidRDefault="00D733EB" w:rsidP="00C62544">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lang w:val="en-AU"/>
              </w:rPr>
            </w:pPr>
            <w:r w:rsidRPr="00D733EB">
              <w:rPr>
                <w:rFonts w:ascii="Tahoma" w:hAnsi="Tahoma" w:cs="Tahoma"/>
                <w:sz w:val="20"/>
                <w:szCs w:val="20"/>
                <w:lang w:val="en-AU"/>
              </w:rPr>
              <w:t>1</w:t>
            </w:r>
          </w:p>
        </w:tc>
        <w:tc>
          <w:tcPr>
            <w:tcW w:w="1887" w:type="dxa"/>
          </w:tcPr>
          <w:p w:rsidR="00752A6E" w:rsidRPr="00E84DC2" w:rsidRDefault="00D733EB" w:rsidP="00C62544">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lang w:val="en-AU"/>
              </w:rPr>
            </w:pPr>
            <w:r w:rsidRPr="00D733EB">
              <w:rPr>
                <w:rFonts w:ascii="Tahoma" w:hAnsi="Tahoma" w:cs="Tahoma"/>
                <w:sz w:val="20"/>
                <w:szCs w:val="20"/>
                <w:lang w:val="en-AU"/>
              </w:rPr>
              <w:t>3</w:t>
            </w:r>
          </w:p>
        </w:tc>
      </w:tr>
      <w:tr w:rsidR="00752A6E" w:rsidRPr="00E84DC2" w:rsidTr="00C62544">
        <w:tc>
          <w:tcPr>
            <w:cnfStyle w:val="001000000000" w:firstRow="0" w:lastRow="0" w:firstColumn="1" w:lastColumn="0" w:oddVBand="0" w:evenVBand="0" w:oddHBand="0" w:evenHBand="0" w:firstRowFirstColumn="0" w:firstRowLastColumn="0" w:lastRowFirstColumn="0" w:lastRowLastColumn="0"/>
            <w:tcW w:w="5201" w:type="dxa"/>
          </w:tcPr>
          <w:p w:rsidR="00752A6E" w:rsidRPr="00E84DC2" w:rsidRDefault="00D733EB" w:rsidP="000B65F2">
            <w:pPr>
              <w:ind w:left="284"/>
              <w:rPr>
                <w:rFonts w:ascii="Tahoma" w:hAnsi="Tahoma" w:cs="Tahoma"/>
                <w:b w:val="0"/>
                <w:sz w:val="20"/>
                <w:szCs w:val="20"/>
                <w:lang w:val="en-AU"/>
              </w:rPr>
            </w:pPr>
            <w:r w:rsidRPr="00D733EB">
              <w:rPr>
                <w:rFonts w:ascii="Tahoma" w:hAnsi="Tahoma" w:cs="Tahoma"/>
                <w:sz w:val="20"/>
                <w:szCs w:val="20"/>
                <w:lang w:val="en-AU"/>
              </w:rPr>
              <w:t>Food safety</w:t>
            </w:r>
          </w:p>
        </w:tc>
        <w:tc>
          <w:tcPr>
            <w:tcW w:w="1428" w:type="dxa"/>
          </w:tcPr>
          <w:p w:rsidR="00752A6E" w:rsidRPr="00E84DC2" w:rsidRDefault="00D733EB" w:rsidP="00C62544">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lang w:val="en-AU"/>
              </w:rPr>
            </w:pPr>
            <w:r w:rsidRPr="00D733EB">
              <w:rPr>
                <w:rFonts w:ascii="Tahoma" w:hAnsi="Tahoma" w:cs="Tahoma"/>
                <w:sz w:val="20"/>
                <w:szCs w:val="20"/>
                <w:lang w:val="en-AU"/>
              </w:rPr>
              <w:t>1</w:t>
            </w:r>
          </w:p>
        </w:tc>
        <w:tc>
          <w:tcPr>
            <w:tcW w:w="1887" w:type="dxa"/>
          </w:tcPr>
          <w:p w:rsidR="00752A6E" w:rsidRPr="00E84DC2" w:rsidRDefault="00D733EB" w:rsidP="00C62544">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lang w:val="en-AU"/>
              </w:rPr>
            </w:pPr>
            <w:r w:rsidRPr="00D733EB">
              <w:rPr>
                <w:rFonts w:ascii="Tahoma" w:hAnsi="Tahoma" w:cs="Tahoma"/>
                <w:sz w:val="20"/>
                <w:szCs w:val="20"/>
                <w:lang w:val="en-AU"/>
              </w:rPr>
              <w:t>3</w:t>
            </w:r>
          </w:p>
        </w:tc>
      </w:tr>
      <w:tr w:rsidR="00752A6E" w:rsidRPr="00E84DC2" w:rsidTr="00C62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1" w:type="dxa"/>
          </w:tcPr>
          <w:p w:rsidR="00752A6E" w:rsidRPr="00E84DC2" w:rsidRDefault="00D733EB" w:rsidP="000B65F2">
            <w:pPr>
              <w:ind w:left="284"/>
              <w:rPr>
                <w:rFonts w:ascii="Tahoma" w:hAnsi="Tahoma" w:cs="Tahoma"/>
                <w:b w:val="0"/>
                <w:sz w:val="20"/>
                <w:szCs w:val="20"/>
                <w:lang w:val="en-AU"/>
              </w:rPr>
            </w:pPr>
            <w:r w:rsidRPr="00D733EB">
              <w:rPr>
                <w:rFonts w:ascii="Tahoma" w:hAnsi="Tahoma" w:cs="Tahoma"/>
                <w:sz w:val="20"/>
                <w:szCs w:val="20"/>
                <w:lang w:val="en-AU"/>
              </w:rPr>
              <w:t>Home and community care</w:t>
            </w:r>
          </w:p>
        </w:tc>
        <w:tc>
          <w:tcPr>
            <w:tcW w:w="1428" w:type="dxa"/>
          </w:tcPr>
          <w:p w:rsidR="00752A6E" w:rsidRPr="00E84DC2" w:rsidRDefault="00D733EB" w:rsidP="00C62544">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lang w:val="en-AU"/>
              </w:rPr>
            </w:pPr>
            <w:r w:rsidRPr="00D733EB">
              <w:rPr>
                <w:rFonts w:ascii="Tahoma" w:hAnsi="Tahoma" w:cs="Tahoma"/>
                <w:sz w:val="20"/>
                <w:szCs w:val="20"/>
                <w:lang w:val="en-AU"/>
              </w:rPr>
              <w:t>2</w:t>
            </w:r>
          </w:p>
        </w:tc>
        <w:tc>
          <w:tcPr>
            <w:tcW w:w="1887" w:type="dxa"/>
          </w:tcPr>
          <w:p w:rsidR="00752A6E" w:rsidRPr="00E84DC2" w:rsidRDefault="00D733EB" w:rsidP="00C62544">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lang w:val="en-AU"/>
              </w:rPr>
            </w:pPr>
            <w:r w:rsidRPr="00D733EB">
              <w:rPr>
                <w:rFonts w:ascii="Tahoma" w:hAnsi="Tahoma" w:cs="Tahoma"/>
                <w:sz w:val="20"/>
                <w:szCs w:val="20"/>
                <w:lang w:val="en-AU"/>
              </w:rPr>
              <w:t>5</w:t>
            </w:r>
          </w:p>
        </w:tc>
      </w:tr>
      <w:tr w:rsidR="00752A6E" w:rsidRPr="00E84DC2" w:rsidTr="00C62544">
        <w:tc>
          <w:tcPr>
            <w:cnfStyle w:val="001000000000" w:firstRow="0" w:lastRow="0" w:firstColumn="1" w:lastColumn="0" w:oddVBand="0" w:evenVBand="0" w:oddHBand="0" w:evenHBand="0" w:firstRowFirstColumn="0" w:firstRowLastColumn="0" w:lastRowFirstColumn="0" w:lastRowLastColumn="0"/>
            <w:tcW w:w="5201" w:type="dxa"/>
          </w:tcPr>
          <w:p w:rsidR="00752A6E" w:rsidRPr="00E84DC2" w:rsidRDefault="00D733EB" w:rsidP="000B65F2">
            <w:pPr>
              <w:ind w:left="284"/>
              <w:rPr>
                <w:rFonts w:ascii="Tahoma" w:hAnsi="Tahoma" w:cs="Tahoma"/>
                <w:b w:val="0"/>
                <w:sz w:val="20"/>
                <w:szCs w:val="20"/>
                <w:lang w:val="en-AU"/>
              </w:rPr>
            </w:pPr>
            <w:r w:rsidRPr="00D733EB">
              <w:rPr>
                <w:rFonts w:ascii="Tahoma" w:hAnsi="Tahoma" w:cs="Tahoma"/>
                <w:sz w:val="20"/>
                <w:szCs w:val="20"/>
                <w:lang w:val="en-AU"/>
              </w:rPr>
              <w:t>Maternal and child health</w:t>
            </w:r>
          </w:p>
        </w:tc>
        <w:tc>
          <w:tcPr>
            <w:tcW w:w="1428" w:type="dxa"/>
          </w:tcPr>
          <w:p w:rsidR="00752A6E" w:rsidRPr="00E84DC2" w:rsidRDefault="00D733EB" w:rsidP="00C62544">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lang w:val="en-AU"/>
              </w:rPr>
            </w:pPr>
            <w:r w:rsidRPr="00D733EB">
              <w:rPr>
                <w:rFonts w:ascii="Tahoma" w:hAnsi="Tahoma" w:cs="Tahoma"/>
                <w:sz w:val="20"/>
                <w:szCs w:val="20"/>
                <w:lang w:val="en-AU"/>
              </w:rPr>
              <w:t>2</w:t>
            </w:r>
          </w:p>
        </w:tc>
        <w:tc>
          <w:tcPr>
            <w:tcW w:w="1887" w:type="dxa"/>
          </w:tcPr>
          <w:p w:rsidR="00752A6E" w:rsidRPr="00E84DC2" w:rsidRDefault="00D733EB" w:rsidP="00C62544">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lang w:val="en-AU"/>
              </w:rPr>
            </w:pPr>
            <w:r w:rsidRPr="00D733EB">
              <w:rPr>
                <w:rFonts w:ascii="Tahoma" w:hAnsi="Tahoma" w:cs="Tahoma"/>
                <w:sz w:val="20"/>
                <w:szCs w:val="20"/>
                <w:lang w:val="en-AU"/>
              </w:rPr>
              <w:t>3</w:t>
            </w:r>
          </w:p>
        </w:tc>
      </w:tr>
      <w:tr w:rsidR="00752A6E" w:rsidRPr="00E84DC2" w:rsidTr="00C62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1" w:type="dxa"/>
          </w:tcPr>
          <w:p w:rsidR="00752A6E" w:rsidRPr="00E84DC2" w:rsidRDefault="00D733EB" w:rsidP="009C2DE1">
            <w:pPr>
              <w:rPr>
                <w:rFonts w:ascii="Tahoma" w:hAnsi="Tahoma" w:cs="Tahoma"/>
                <w:sz w:val="20"/>
                <w:szCs w:val="20"/>
                <w:lang w:val="en-AU"/>
              </w:rPr>
            </w:pPr>
            <w:r w:rsidRPr="00D733EB">
              <w:rPr>
                <w:rFonts w:ascii="Tahoma" w:hAnsi="Tahoma" w:cs="Tahoma"/>
                <w:sz w:val="20"/>
                <w:szCs w:val="20"/>
                <w:lang w:val="en-AU"/>
              </w:rPr>
              <w:t xml:space="preserve">Financial performance </w:t>
            </w:r>
          </w:p>
        </w:tc>
        <w:tc>
          <w:tcPr>
            <w:tcW w:w="1428" w:type="dxa"/>
          </w:tcPr>
          <w:p w:rsidR="00752A6E" w:rsidRPr="00E84DC2" w:rsidRDefault="00D733EB" w:rsidP="00C62544">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lang w:val="en-AU"/>
              </w:rPr>
            </w:pPr>
            <w:r w:rsidRPr="00D733EB">
              <w:rPr>
                <w:rFonts w:ascii="Tahoma" w:hAnsi="Tahoma" w:cs="Tahoma"/>
                <w:sz w:val="20"/>
                <w:szCs w:val="20"/>
                <w:lang w:val="en-AU"/>
              </w:rPr>
              <w:t>13</w:t>
            </w:r>
          </w:p>
        </w:tc>
        <w:tc>
          <w:tcPr>
            <w:tcW w:w="1887" w:type="dxa"/>
          </w:tcPr>
          <w:p w:rsidR="00752A6E" w:rsidRPr="00E84DC2" w:rsidRDefault="00D733EB" w:rsidP="00C62544">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lang w:val="en-AU"/>
              </w:rPr>
            </w:pPr>
            <w:r w:rsidRPr="00D733EB">
              <w:rPr>
                <w:rFonts w:ascii="Tahoma" w:hAnsi="Tahoma" w:cs="Tahoma"/>
                <w:sz w:val="20"/>
                <w:szCs w:val="20"/>
                <w:lang w:val="en-AU"/>
              </w:rPr>
              <w:t>-</w:t>
            </w:r>
          </w:p>
        </w:tc>
      </w:tr>
      <w:tr w:rsidR="00752A6E" w:rsidRPr="00E84DC2" w:rsidTr="00C62544">
        <w:tc>
          <w:tcPr>
            <w:cnfStyle w:val="001000000000" w:firstRow="0" w:lastRow="0" w:firstColumn="1" w:lastColumn="0" w:oddVBand="0" w:evenVBand="0" w:oddHBand="0" w:evenHBand="0" w:firstRowFirstColumn="0" w:firstRowLastColumn="0" w:lastRowFirstColumn="0" w:lastRowLastColumn="0"/>
            <w:tcW w:w="5201" w:type="dxa"/>
          </w:tcPr>
          <w:p w:rsidR="00752A6E" w:rsidRPr="00E84DC2" w:rsidRDefault="00D733EB" w:rsidP="009C2DE1">
            <w:pPr>
              <w:rPr>
                <w:rFonts w:ascii="Tahoma" w:hAnsi="Tahoma" w:cs="Tahoma"/>
                <w:sz w:val="20"/>
                <w:szCs w:val="20"/>
                <w:lang w:val="en-AU"/>
              </w:rPr>
            </w:pPr>
            <w:r w:rsidRPr="00D733EB">
              <w:rPr>
                <w:rFonts w:ascii="Tahoma" w:hAnsi="Tahoma" w:cs="Tahoma"/>
                <w:sz w:val="20"/>
                <w:szCs w:val="20"/>
                <w:lang w:val="en-AU"/>
              </w:rPr>
              <w:t xml:space="preserve">Sustainable capacity </w:t>
            </w:r>
          </w:p>
        </w:tc>
        <w:tc>
          <w:tcPr>
            <w:tcW w:w="1428" w:type="dxa"/>
          </w:tcPr>
          <w:p w:rsidR="00752A6E" w:rsidRPr="00E84DC2" w:rsidRDefault="00D733EB" w:rsidP="00C62544">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lang w:val="en-AU"/>
              </w:rPr>
            </w:pPr>
            <w:r w:rsidRPr="00D733EB">
              <w:rPr>
                <w:rFonts w:ascii="Tahoma" w:hAnsi="Tahoma" w:cs="Tahoma"/>
                <w:sz w:val="20"/>
                <w:szCs w:val="20"/>
                <w:lang w:val="en-AU"/>
              </w:rPr>
              <w:t>6</w:t>
            </w:r>
          </w:p>
        </w:tc>
        <w:tc>
          <w:tcPr>
            <w:tcW w:w="1887" w:type="dxa"/>
          </w:tcPr>
          <w:p w:rsidR="00752A6E" w:rsidRPr="00E84DC2" w:rsidRDefault="00D733EB" w:rsidP="00C62544">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lang w:val="en-AU"/>
              </w:rPr>
            </w:pPr>
            <w:r w:rsidRPr="00D733EB">
              <w:rPr>
                <w:rFonts w:ascii="Tahoma" w:hAnsi="Tahoma" w:cs="Tahoma"/>
                <w:sz w:val="20"/>
                <w:szCs w:val="20"/>
                <w:lang w:val="en-AU"/>
              </w:rPr>
              <w:t>-</w:t>
            </w:r>
          </w:p>
        </w:tc>
      </w:tr>
      <w:tr w:rsidR="009C2DE1" w:rsidRPr="00E84DC2" w:rsidTr="00C62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1" w:type="dxa"/>
          </w:tcPr>
          <w:p w:rsidR="009C2DE1" w:rsidRPr="00E84DC2" w:rsidRDefault="00D733EB" w:rsidP="009C2DE1">
            <w:pPr>
              <w:rPr>
                <w:rFonts w:ascii="Tahoma" w:hAnsi="Tahoma" w:cs="Tahoma"/>
                <w:sz w:val="20"/>
                <w:szCs w:val="20"/>
                <w:lang w:val="en-AU"/>
              </w:rPr>
            </w:pPr>
            <w:r w:rsidRPr="00D733EB">
              <w:rPr>
                <w:rFonts w:ascii="Tahoma" w:hAnsi="Tahoma" w:cs="Tahoma"/>
                <w:sz w:val="20"/>
                <w:szCs w:val="20"/>
                <w:lang w:val="en-AU"/>
              </w:rPr>
              <w:t>Governance and management (yes/no questions)</w:t>
            </w:r>
          </w:p>
        </w:tc>
        <w:tc>
          <w:tcPr>
            <w:tcW w:w="1428" w:type="dxa"/>
          </w:tcPr>
          <w:p w:rsidR="009C2DE1" w:rsidRPr="00E84DC2" w:rsidRDefault="00D733EB" w:rsidP="00C62544">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lang w:val="en-AU"/>
              </w:rPr>
            </w:pPr>
            <w:r w:rsidRPr="00D733EB">
              <w:rPr>
                <w:rFonts w:ascii="Tahoma" w:hAnsi="Tahoma" w:cs="Tahoma"/>
                <w:sz w:val="20"/>
                <w:szCs w:val="20"/>
                <w:lang w:val="en-AU"/>
              </w:rPr>
              <w:t>-</w:t>
            </w:r>
          </w:p>
        </w:tc>
        <w:tc>
          <w:tcPr>
            <w:tcW w:w="1887" w:type="dxa"/>
          </w:tcPr>
          <w:p w:rsidR="009C2DE1" w:rsidRPr="00E84DC2" w:rsidRDefault="00D733EB" w:rsidP="00C62544">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lang w:val="en-AU"/>
              </w:rPr>
            </w:pPr>
            <w:r w:rsidRPr="00D733EB">
              <w:rPr>
                <w:rFonts w:ascii="Tahoma" w:hAnsi="Tahoma" w:cs="Tahoma"/>
                <w:sz w:val="20"/>
                <w:szCs w:val="20"/>
                <w:lang w:val="en-AU"/>
              </w:rPr>
              <w:t>24</w:t>
            </w:r>
          </w:p>
        </w:tc>
      </w:tr>
      <w:tr w:rsidR="00E908B5" w:rsidRPr="00E84DC2" w:rsidTr="00C62544">
        <w:tc>
          <w:tcPr>
            <w:cnfStyle w:val="001000000000" w:firstRow="0" w:lastRow="0" w:firstColumn="1" w:lastColumn="0" w:oddVBand="0" w:evenVBand="0" w:oddHBand="0" w:evenHBand="0" w:firstRowFirstColumn="0" w:firstRowLastColumn="0" w:lastRowFirstColumn="0" w:lastRowLastColumn="0"/>
            <w:tcW w:w="5201" w:type="dxa"/>
          </w:tcPr>
          <w:p w:rsidR="00E908B5" w:rsidRPr="00E84DC2" w:rsidRDefault="00D733EB" w:rsidP="005D6C5A">
            <w:pPr>
              <w:rPr>
                <w:rFonts w:ascii="Tahoma" w:hAnsi="Tahoma" w:cs="Tahoma"/>
                <w:sz w:val="20"/>
                <w:szCs w:val="20"/>
                <w:lang w:val="en-AU"/>
              </w:rPr>
            </w:pPr>
            <w:r w:rsidRPr="00D733EB">
              <w:rPr>
                <w:rFonts w:ascii="Tahoma" w:hAnsi="Tahoma" w:cs="Tahoma"/>
                <w:sz w:val="20"/>
                <w:szCs w:val="20"/>
                <w:lang w:val="en-AU"/>
              </w:rPr>
              <w:t>Total</w:t>
            </w:r>
          </w:p>
        </w:tc>
        <w:tc>
          <w:tcPr>
            <w:tcW w:w="1428" w:type="dxa"/>
          </w:tcPr>
          <w:p w:rsidR="00E908B5" w:rsidRPr="00E84DC2" w:rsidRDefault="00D733EB" w:rsidP="005D6C5A">
            <w:pPr>
              <w:jc w:val="center"/>
              <w:cnfStyle w:val="000000000000" w:firstRow="0" w:lastRow="0" w:firstColumn="0" w:lastColumn="0" w:oddVBand="0" w:evenVBand="0" w:oddHBand="0" w:evenHBand="0" w:firstRowFirstColumn="0" w:firstRowLastColumn="0" w:lastRowFirstColumn="0" w:lastRowLastColumn="0"/>
              <w:rPr>
                <w:rFonts w:ascii="Tahoma" w:hAnsi="Tahoma" w:cs="Tahoma"/>
                <w:b/>
                <w:sz w:val="20"/>
                <w:szCs w:val="20"/>
                <w:lang w:val="en-AU"/>
              </w:rPr>
            </w:pPr>
            <w:r w:rsidRPr="00D733EB">
              <w:rPr>
                <w:rFonts w:ascii="Tahoma" w:hAnsi="Tahoma" w:cs="Tahoma"/>
                <w:b/>
                <w:sz w:val="20"/>
                <w:szCs w:val="20"/>
                <w:lang w:val="en-AU"/>
              </w:rPr>
              <w:t>32</w:t>
            </w:r>
          </w:p>
        </w:tc>
        <w:tc>
          <w:tcPr>
            <w:tcW w:w="1887" w:type="dxa"/>
          </w:tcPr>
          <w:p w:rsidR="00E908B5" w:rsidRPr="00E84DC2" w:rsidRDefault="00D733EB" w:rsidP="005D6C5A">
            <w:pPr>
              <w:jc w:val="center"/>
              <w:cnfStyle w:val="000000000000" w:firstRow="0" w:lastRow="0" w:firstColumn="0" w:lastColumn="0" w:oddVBand="0" w:evenVBand="0" w:oddHBand="0" w:evenHBand="0" w:firstRowFirstColumn="0" w:firstRowLastColumn="0" w:lastRowFirstColumn="0" w:lastRowLastColumn="0"/>
              <w:rPr>
                <w:rFonts w:ascii="Tahoma" w:hAnsi="Tahoma" w:cs="Tahoma"/>
                <w:b/>
                <w:sz w:val="20"/>
                <w:szCs w:val="20"/>
                <w:lang w:val="en-AU"/>
              </w:rPr>
            </w:pPr>
            <w:r w:rsidRPr="00D733EB">
              <w:rPr>
                <w:rFonts w:ascii="Tahoma" w:hAnsi="Tahoma" w:cs="Tahoma"/>
                <w:b/>
                <w:sz w:val="20"/>
                <w:szCs w:val="20"/>
                <w:lang w:val="en-AU"/>
              </w:rPr>
              <w:t>63</w:t>
            </w:r>
          </w:p>
        </w:tc>
      </w:tr>
    </w:tbl>
    <w:p w:rsidR="00DC743F" w:rsidRPr="00E84DC2" w:rsidRDefault="00DC743F">
      <w:pPr>
        <w:rPr>
          <w:rFonts w:ascii="Tahoma" w:hAnsi="Tahoma" w:cs="Tahoma"/>
          <w:sz w:val="22"/>
          <w:szCs w:val="22"/>
          <w:lang w:val="en-AU"/>
        </w:rPr>
      </w:pPr>
    </w:p>
    <w:p w:rsidR="00CC0821" w:rsidRPr="00E84DC2" w:rsidRDefault="00D733EB" w:rsidP="00607793">
      <w:pPr>
        <w:rPr>
          <w:rFonts w:ascii="Tahoma" w:hAnsi="Tahoma" w:cs="Tahoma"/>
          <w:sz w:val="22"/>
          <w:szCs w:val="22"/>
          <w:lang w:val="en-AU"/>
        </w:rPr>
      </w:pPr>
      <w:r w:rsidRPr="00D733EB">
        <w:rPr>
          <w:rFonts w:ascii="Tahoma" w:hAnsi="Tahoma" w:cs="Tahoma"/>
          <w:sz w:val="22"/>
          <w:szCs w:val="22"/>
          <w:lang w:val="en-AU"/>
        </w:rPr>
        <w:t xml:space="preserve">The specific indicators are set out in Schedules 1 and 2 and 3 of the proposed Regulations accompanying this RIS. </w:t>
      </w:r>
    </w:p>
    <w:p w:rsidR="00CC0821" w:rsidRPr="00E84DC2" w:rsidRDefault="00CC0821">
      <w:pPr>
        <w:rPr>
          <w:rFonts w:ascii="Tahoma" w:hAnsi="Tahoma" w:cs="Tahoma"/>
          <w:sz w:val="22"/>
          <w:szCs w:val="22"/>
          <w:lang w:val="en-AU"/>
        </w:rPr>
      </w:pPr>
    </w:p>
    <w:p w:rsidR="002D67BB" w:rsidRPr="00E84DC2" w:rsidRDefault="00D733EB" w:rsidP="002D67BB">
      <w:pPr>
        <w:rPr>
          <w:rFonts w:ascii="Tahoma" w:hAnsi="Tahoma" w:cs="Tahoma"/>
          <w:sz w:val="22"/>
          <w:szCs w:val="22"/>
          <w:lang w:val="en-AU"/>
        </w:rPr>
      </w:pPr>
      <w:r w:rsidRPr="00D733EB">
        <w:rPr>
          <w:rFonts w:ascii="Tahoma" w:hAnsi="Tahoma" w:cs="Tahoma"/>
          <w:sz w:val="22"/>
          <w:szCs w:val="22"/>
          <w:lang w:val="en-AU"/>
        </w:rPr>
        <w:t>It has been agreed with VAGO that of the indicators currently in the framework, only 32 will be subject to audit (13 of 53 service performance, 13 of 13 financial performance and all 6 of 6 sustainable capacity indicators).</w:t>
      </w:r>
      <w:r w:rsidRPr="00D733EB">
        <w:rPr>
          <w:rFonts w:ascii="Tahoma" w:hAnsi="Tahoma" w:cs="Tahoma"/>
          <w:sz w:val="20"/>
          <w:lang w:val="en-AU"/>
        </w:rPr>
        <w:t xml:space="preserve"> </w:t>
      </w:r>
      <w:r w:rsidRPr="00D733EB">
        <w:rPr>
          <w:rFonts w:ascii="Tahoma" w:hAnsi="Tahoma" w:cs="Tahoma"/>
          <w:sz w:val="22"/>
          <w:szCs w:val="22"/>
          <w:lang w:val="en-AU"/>
        </w:rPr>
        <w:t>The rationale for having the bulk of the indicators in the unaudited report on operations reflects that, given the nature of the indicators, audit of these measures against relevance and appropriateness would be difficult and costly. In particular:</w:t>
      </w:r>
    </w:p>
    <w:p w:rsidR="00370858" w:rsidRPr="00E84DC2" w:rsidRDefault="00D733EB">
      <w:pPr>
        <w:pStyle w:val="ListParagraph"/>
        <w:rPr>
          <w:rFonts w:ascii="Tahoma" w:hAnsi="Tahoma" w:cs="Tahoma"/>
        </w:rPr>
      </w:pPr>
      <w:r w:rsidRPr="00D733EB">
        <w:rPr>
          <w:rFonts w:ascii="Tahoma" w:hAnsi="Tahoma" w:cs="Tahoma"/>
        </w:rPr>
        <w:t>sufficient audit evidence may not be available for all indicators as the data for these indicators will be sourced from systems that are not subject to the financial audit</w:t>
      </w:r>
      <w:r w:rsidR="00DF0214" w:rsidRPr="00E84DC2">
        <w:rPr>
          <w:rFonts w:ascii="Tahoma" w:hAnsi="Tahoma" w:cs="Tahoma"/>
        </w:rPr>
        <w:t>;</w:t>
      </w:r>
    </w:p>
    <w:p w:rsidR="00370858" w:rsidRPr="00E84DC2" w:rsidRDefault="00D733EB">
      <w:pPr>
        <w:pStyle w:val="ListParagraph"/>
        <w:rPr>
          <w:rFonts w:ascii="Tahoma" w:hAnsi="Tahoma" w:cs="Tahoma"/>
        </w:rPr>
      </w:pPr>
      <w:r w:rsidRPr="00D733EB">
        <w:rPr>
          <w:rFonts w:ascii="Tahoma" w:hAnsi="Tahoma" w:cs="Tahoma"/>
        </w:rPr>
        <w:t>prohibitive audit costs may result due to the extra effort in collecting sufficient audit evidence and the high number of indicators to be audited</w:t>
      </w:r>
      <w:r w:rsidR="00DF0214" w:rsidRPr="00E84DC2">
        <w:rPr>
          <w:rFonts w:ascii="Tahoma" w:hAnsi="Tahoma" w:cs="Tahoma"/>
        </w:rPr>
        <w:t>; and</w:t>
      </w:r>
    </w:p>
    <w:p w:rsidR="00370858" w:rsidRPr="00E84DC2" w:rsidRDefault="00D733EB">
      <w:pPr>
        <w:pStyle w:val="ListParagraph"/>
        <w:rPr>
          <w:rFonts w:ascii="Tahoma" w:hAnsi="Tahoma" w:cs="Tahoma"/>
          <w:lang w:val="en-AU"/>
        </w:rPr>
      </w:pPr>
      <w:r w:rsidRPr="00D733EB">
        <w:rPr>
          <w:rFonts w:ascii="Tahoma" w:hAnsi="Tahoma" w:cs="Tahoma"/>
        </w:rPr>
        <w:lastRenderedPageBreak/>
        <w:t>VAGO’s proposed change in audit scope to include relevance and appropriateness means that only the service</w:t>
      </w:r>
      <w:r w:rsidRPr="00D733EB">
        <w:rPr>
          <w:rFonts w:ascii="Tahoma" w:hAnsi="Tahoma" w:cs="Tahoma"/>
          <w:lang w:val="en-AU"/>
        </w:rPr>
        <w:t xml:space="preserve"> performance outcome, financial performance and sustainable capacity indicators would meet these tests.</w:t>
      </w:r>
    </w:p>
    <w:p w:rsidR="002D67BB" w:rsidRPr="00E84DC2" w:rsidRDefault="002D67BB">
      <w:pPr>
        <w:rPr>
          <w:rFonts w:ascii="Tahoma" w:hAnsi="Tahoma" w:cs="Tahoma"/>
          <w:sz w:val="22"/>
          <w:szCs w:val="22"/>
          <w:lang w:val="en-AU"/>
        </w:rPr>
      </w:pPr>
    </w:p>
    <w:p w:rsidR="00E721DD" w:rsidRPr="00E84DC2" w:rsidRDefault="00D733EB">
      <w:pPr>
        <w:rPr>
          <w:rFonts w:ascii="Tahoma" w:hAnsi="Tahoma" w:cs="Tahoma"/>
          <w:sz w:val="22"/>
          <w:szCs w:val="22"/>
          <w:lang w:val="en-AU"/>
        </w:rPr>
      </w:pPr>
      <w:r w:rsidRPr="00D733EB">
        <w:rPr>
          <w:rFonts w:ascii="Tahoma" w:hAnsi="Tahoma" w:cs="Tahoma"/>
          <w:sz w:val="22"/>
          <w:szCs w:val="22"/>
          <w:lang w:val="en-AU"/>
        </w:rPr>
        <w:t>The indicators subject to audit have been developed through the pilot program and in consultation with VAGO.</w:t>
      </w:r>
    </w:p>
    <w:p w:rsidR="002D67BB" w:rsidRPr="00E84DC2" w:rsidRDefault="002D67BB" w:rsidP="002D67BB">
      <w:pPr>
        <w:rPr>
          <w:rFonts w:ascii="Tahoma" w:hAnsi="Tahoma" w:cs="Tahoma"/>
          <w:sz w:val="22"/>
          <w:szCs w:val="22"/>
          <w:lang w:val="en-AU"/>
        </w:rPr>
      </w:pPr>
    </w:p>
    <w:p w:rsidR="006A5546" w:rsidRPr="00E84DC2" w:rsidRDefault="00D733EB" w:rsidP="00594219">
      <w:pPr>
        <w:rPr>
          <w:rFonts w:ascii="Tahoma" w:hAnsi="Tahoma" w:cs="Tahoma"/>
          <w:sz w:val="22"/>
          <w:szCs w:val="22"/>
          <w:lang w:val="en-AU"/>
        </w:rPr>
      </w:pPr>
      <w:r w:rsidRPr="00D733EB">
        <w:rPr>
          <w:rFonts w:ascii="Tahoma" w:hAnsi="Tahoma" w:cs="Tahoma"/>
          <w:sz w:val="22"/>
          <w:szCs w:val="22"/>
          <w:lang w:val="en-AU"/>
        </w:rPr>
        <w:t xml:space="preserve">The proposed </w:t>
      </w:r>
      <w:r w:rsidR="00DC14B1" w:rsidRPr="00E84DC2">
        <w:rPr>
          <w:rFonts w:ascii="Tahoma" w:hAnsi="Tahoma" w:cs="Tahoma"/>
          <w:sz w:val="22"/>
          <w:szCs w:val="22"/>
          <w:lang w:val="en-AU"/>
        </w:rPr>
        <w:t xml:space="preserve">Regulations also establish a clear framework for reporting on councils’ capital works expenditure. As well as inclusion of a statement of capital works, Councils will be required </w:t>
      </w:r>
      <w:r w:rsidRPr="00D733EB">
        <w:rPr>
          <w:rFonts w:ascii="Tahoma" w:hAnsi="Tahoma" w:cs="Tahoma"/>
          <w:sz w:val="22"/>
          <w:szCs w:val="22"/>
          <w:lang w:val="en-GB"/>
        </w:rPr>
        <w:t xml:space="preserve">to report a summary of planned capital works expenditure as part of the 4-year strategic resource plan and a detailed list of capital works expenditure in their annual budgets. These disclosures must set out planned </w:t>
      </w:r>
      <w:r w:rsidRPr="00D733EB">
        <w:rPr>
          <w:rFonts w:ascii="Tahoma" w:hAnsi="Tahoma" w:cs="Tahoma"/>
          <w:sz w:val="22"/>
          <w:szCs w:val="22"/>
          <w:lang w:val="en-AU"/>
        </w:rPr>
        <w:t xml:space="preserve">capital expenditure in relation to non-current assets in relation to: </w:t>
      </w:r>
    </w:p>
    <w:p w:rsidR="00370858" w:rsidRPr="00E84DC2" w:rsidRDefault="00D733EB">
      <w:pPr>
        <w:pStyle w:val="ListParagraph"/>
        <w:rPr>
          <w:rFonts w:ascii="Tahoma" w:hAnsi="Tahoma" w:cs="Tahoma"/>
        </w:rPr>
      </w:pPr>
      <w:r w:rsidRPr="00D733EB">
        <w:rPr>
          <w:rFonts w:ascii="Tahoma" w:hAnsi="Tahoma" w:cs="Tahoma"/>
        </w:rPr>
        <w:t>renewal expenditure</w:t>
      </w:r>
      <w:r w:rsidR="00A830FF">
        <w:rPr>
          <w:rFonts w:ascii="Tahoma" w:hAnsi="Tahoma" w:cs="Tahoma"/>
        </w:rPr>
        <w:t>;</w:t>
      </w:r>
    </w:p>
    <w:p w:rsidR="00370858" w:rsidRPr="00E84DC2" w:rsidRDefault="00D733EB">
      <w:pPr>
        <w:pStyle w:val="ListParagraph"/>
        <w:rPr>
          <w:rFonts w:ascii="Tahoma" w:hAnsi="Tahoma" w:cs="Tahoma"/>
        </w:rPr>
      </w:pPr>
      <w:r w:rsidRPr="00D733EB">
        <w:rPr>
          <w:rFonts w:ascii="Tahoma" w:hAnsi="Tahoma" w:cs="Tahoma"/>
        </w:rPr>
        <w:t>new expenditure</w:t>
      </w:r>
      <w:r w:rsidR="00A830FF">
        <w:rPr>
          <w:rFonts w:ascii="Tahoma" w:hAnsi="Tahoma" w:cs="Tahoma"/>
        </w:rPr>
        <w:t>;</w:t>
      </w:r>
    </w:p>
    <w:p w:rsidR="00370858" w:rsidRPr="00E84DC2" w:rsidRDefault="00D733EB">
      <w:pPr>
        <w:pStyle w:val="ListParagraph"/>
        <w:rPr>
          <w:rFonts w:ascii="Tahoma" w:hAnsi="Tahoma" w:cs="Tahoma"/>
        </w:rPr>
      </w:pPr>
      <w:r w:rsidRPr="00D733EB">
        <w:rPr>
          <w:rFonts w:ascii="Tahoma" w:hAnsi="Tahoma" w:cs="Tahoma"/>
        </w:rPr>
        <w:t>upgrade expenditure</w:t>
      </w:r>
      <w:r w:rsidR="00A830FF">
        <w:rPr>
          <w:rFonts w:ascii="Tahoma" w:hAnsi="Tahoma" w:cs="Tahoma"/>
        </w:rPr>
        <w:t>; and</w:t>
      </w:r>
    </w:p>
    <w:p w:rsidR="00370858" w:rsidRPr="00E84DC2" w:rsidRDefault="00D733EB">
      <w:pPr>
        <w:pStyle w:val="ListParagraph"/>
        <w:rPr>
          <w:rFonts w:ascii="Tahoma" w:hAnsi="Tahoma" w:cs="Tahoma"/>
          <w:lang w:val="en-AU"/>
        </w:rPr>
      </w:pPr>
      <w:r w:rsidRPr="00D733EB">
        <w:rPr>
          <w:rFonts w:ascii="Tahoma" w:hAnsi="Tahoma" w:cs="Tahoma"/>
        </w:rPr>
        <w:t>expansion</w:t>
      </w:r>
      <w:r w:rsidRPr="00D733EB">
        <w:rPr>
          <w:rFonts w:ascii="Tahoma" w:hAnsi="Tahoma" w:cs="Tahoma"/>
          <w:lang w:val="en-AU"/>
        </w:rPr>
        <w:t xml:space="preserve"> expenditure.</w:t>
      </w:r>
    </w:p>
    <w:p w:rsidR="00D00DD5" w:rsidRPr="00E84DC2" w:rsidRDefault="00D00DD5" w:rsidP="00594219">
      <w:pPr>
        <w:rPr>
          <w:rFonts w:ascii="Tahoma" w:hAnsi="Tahoma" w:cs="Tahoma"/>
          <w:sz w:val="22"/>
          <w:szCs w:val="22"/>
          <w:lang w:val="en-AU"/>
        </w:rPr>
      </w:pPr>
    </w:p>
    <w:p w:rsidR="006A5546" w:rsidRPr="00E84DC2" w:rsidRDefault="00D733EB" w:rsidP="00594219">
      <w:pPr>
        <w:rPr>
          <w:rFonts w:ascii="Tahoma" w:hAnsi="Tahoma" w:cs="Tahoma"/>
          <w:sz w:val="22"/>
          <w:szCs w:val="22"/>
          <w:lang w:val="en-AU"/>
        </w:rPr>
      </w:pPr>
      <w:r w:rsidRPr="00D733EB">
        <w:rPr>
          <w:rFonts w:ascii="Tahoma" w:hAnsi="Tahoma" w:cs="Tahoma"/>
          <w:sz w:val="22"/>
          <w:szCs w:val="22"/>
          <w:lang w:val="en-AU"/>
        </w:rPr>
        <w:t xml:space="preserve">Further, these disclosures must provide a summary of whether funding for capital expenditure in relation to non-current assets is from: </w:t>
      </w:r>
    </w:p>
    <w:p w:rsidR="00370858" w:rsidRPr="00E84DC2" w:rsidRDefault="00D733EB">
      <w:pPr>
        <w:pStyle w:val="ListParagraph"/>
        <w:rPr>
          <w:rFonts w:ascii="Tahoma" w:hAnsi="Tahoma" w:cs="Tahoma"/>
        </w:rPr>
      </w:pPr>
      <w:r w:rsidRPr="00D733EB">
        <w:rPr>
          <w:rFonts w:ascii="Tahoma" w:hAnsi="Tahoma" w:cs="Tahoma"/>
        </w:rPr>
        <w:t>grants</w:t>
      </w:r>
      <w:r w:rsidR="00A830FF">
        <w:rPr>
          <w:rFonts w:ascii="Tahoma" w:hAnsi="Tahoma" w:cs="Tahoma"/>
        </w:rPr>
        <w:t>;</w:t>
      </w:r>
    </w:p>
    <w:p w:rsidR="00370858" w:rsidRPr="00E84DC2" w:rsidRDefault="00D733EB">
      <w:pPr>
        <w:pStyle w:val="ListParagraph"/>
        <w:rPr>
          <w:rFonts w:ascii="Tahoma" w:hAnsi="Tahoma" w:cs="Tahoma"/>
        </w:rPr>
      </w:pPr>
      <w:r w:rsidRPr="00D733EB">
        <w:rPr>
          <w:rFonts w:ascii="Tahoma" w:hAnsi="Tahoma" w:cs="Tahoma"/>
        </w:rPr>
        <w:t>contributions</w:t>
      </w:r>
      <w:r w:rsidR="00A830FF">
        <w:rPr>
          <w:rFonts w:ascii="Tahoma" w:hAnsi="Tahoma" w:cs="Tahoma"/>
        </w:rPr>
        <w:t>;</w:t>
      </w:r>
    </w:p>
    <w:p w:rsidR="00370858" w:rsidRPr="00E84DC2" w:rsidRDefault="00D733EB">
      <w:pPr>
        <w:pStyle w:val="ListParagraph"/>
        <w:rPr>
          <w:rFonts w:ascii="Tahoma" w:hAnsi="Tahoma" w:cs="Tahoma"/>
        </w:rPr>
      </w:pPr>
      <w:r w:rsidRPr="00D733EB">
        <w:rPr>
          <w:rFonts w:ascii="Tahoma" w:hAnsi="Tahoma" w:cs="Tahoma"/>
        </w:rPr>
        <w:t>council cash</w:t>
      </w:r>
      <w:r w:rsidR="00A830FF">
        <w:rPr>
          <w:rFonts w:ascii="Tahoma" w:hAnsi="Tahoma" w:cs="Tahoma"/>
        </w:rPr>
        <w:t>; and</w:t>
      </w:r>
      <w:r w:rsidRPr="00D733EB">
        <w:rPr>
          <w:rFonts w:ascii="Tahoma" w:hAnsi="Tahoma" w:cs="Tahoma"/>
        </w:rPr>
        <w:t xml:space="preserve"> </w:t>
      </w:r>
    </w:p>
    <w:p w:rsidR="00370858" w:rsidRPr="00E84DC2" w:rsidRDefault="00D733EB">
      <w:pPr>
        <w:pStyle w:val="ListParagraph"/>
        <w:rPr>
          <w:rFonts w:ascii="Tahoma" w:hAnsi="Tahoma" w:cs="Tahoma"/>
          <w:lang w:val="en-AU"/>
        </w:rPr>
      </w:pPr>
      <w:r w:rsidRPr="00D733EB">
        <w:rPr>
          <w:rFonts w:ascii="Tahoma" w:hAnsi="Tahoma" w:cs="Tahoma"/>
        </w:rPr>
        <w:t>borrowings.</w:t>
      </w:r>
    </w:p>
    <w:p w:rsidR="0061142E" w:rsidRPr="00E84DC2" w:rsidRDefault="0061142E">
      <w:pPr>
        <w:rPr>
          <w:rFonts w:ascii="Tahoma" w:hAnsi="Tahoma" w:cs="Tahoma"/>
          <w:sz w:val="22"/>
          <w:szCs w:val="22"/>
          <w:lang w:val="en-GB"/>
        </w:rPr>
      </w:pPr>
    </w:p>
    <w:p w:rsidR="00406B2D" w:rsidRPr="00E84DC2" w:rsidRDefault="00D733EB" w:rsidP="000944D9">
      <w:pPr>
        <w:rPr>
          <w:rFonts w:ascii="Tahoma" w:hAnsi="Tahoma" w:cs="Tahoma"/>
          <w:sz w:val="22"/>
          <w:szCs w:val="22"/>
          <w:lang w:val="en-AU"/>
        </w:rPr>
      </w:pPr>
      <w:r w:rsidRPr="00D733EB">
        <w:rPr>
          <w:rFonts w:ascii="Tahoma" w:hAnsi="Tahoma" w:cs="Tahoma"/>
          <w:sz w:val="22"/>
          <w:szCs w:val="22"/>
          <w:lang w:val="en-GB"/>
        </w:rPr>
        <w:t xml:space="preserve">There is sufficient community interest in the size of a council’s capital program and individual projects to warrant a more detailed disclosure of planned capital works expenditure.  A majority of councils already report planned capital works expenditure as part of their budget in line with the better practice guidance document ‘Victorian City Council Model Budget’ which is used by most councils. The new requirements will bring the legislative framework into line with best practice. The new requirements also act on earlier recommendations from the Victorian Auditor-General in their 2011 performance audit </w:t>
      </w:r>
      <w:r w:rsidRPr="00D733EB">
        <w:rPr>
          <w:rFonts w:ascii="Tahoma" w:hAnsi="Tahoma" w:cs="Tahoma"/>
          <w:i/>
          <w:sz w:val="22"/>
          <w:szCs w:val="22"/>
          <w:lang w:val="en-AU"/>
        </w:rPr>
        <w:t xml:space="preserve">Business Planning for Major Capital Works and Recurrent Services in Local Government </w:t>
      </w:r>
      <w:r w:rsidRPr="00D733EB">
        <w:rPr>
          <w:rFonts w:ascii="Tahoma" w:hAnsi="Tahoma" w:cs="Tahoma"/>
          <w:sz w:val="22"/>
          <w:szCs w:val="22"/>
          <w:lang w:val="en-AU"/>
        </w:rPr>
        <w:t>that:</w:t>
      </w:r>
    </w:p>
    <w:p w:rsidR="00370858" w:rsidRPr="00E84DC2" w:rsidRDefault="00D733EB">
      <w:pPr>
        <w:pStyle w:val="ListParagraph"/>
        <w:rPr>
          <w:rFonts w:ascii="Tahoma" w:hAnsi="Tahoma" w:cs="Tahoma"/>
        </w:rPr>
      </w:pPr>
      <w:r w:rsidRPr="00D733EB">
        <w:rPr>
          <w:rFonts w:ascii="Tahoma" w:hAnsi="Tahoma" w:cs="Tahoma"/>
        </w:rPr>
        <w:t>councils should better integrate their planning and budgeting practices to support sound decision-making;</w:t>
      </w:r>
    </w:p>
    <w:p w:rsidR="00370858" w:rsidRPr="00E84DC2" w:rsidRDefault="00D733EB">
      <w:pPr>
        <w:pStyle w:val="ListParagraph"/>
        <w:rPr>
          <w:rFonts w:ascii="Tahoma" w:hAnsi="Tahoma" w:cs="Tahoma"/>
        </w:rPr>
      </w:pPr>
      <w:r w:rsidRPr="00D733EB">
        <w:rPr>
          <w:rFonts w:ascii="Tahoma" w:hAnsi="Tahoma" w:cs="Tahoma"/>
        </w:rPr>
        <w:t>councils should review their asset management frameworks to assure their asset policies, strategies and plans are up-to-date, cover all major asset classes, and adequately inform future investment decisions</w:t>
      </w:r>
      <w:r w:rsidR="00DF0214" w:rsidRPr="00E84DC2">
        <w:rPr>
          <w:rFonts w:ascii="Tahoma" w:hAnsi="Tahoma" w:cs="Tahoma"/>
        </w:rPr>
        <w:t>; and</w:t>
      </w:r>
    </w:p>
    <w:p w:rsidR="00370858" w:rsidRPr="00E84DC2" w:rsidRDefault="00D733EB">
      <w:pPr>
        <w:pStyle w:val="ListParagraph"/>
        <w:rPr>
          <w:rFonts w:ascii="Tahoma" w:hAnsi="Tahoma" w:cs="Tahoma"/>
        </w:rPr>
      </w:pPr>
      <w:r w:rsidRPr="00D733EB">
        <w:rPr>
          <w:rFonts w:ascii="Tahoma" w:hAnsi="Tahoma" w:cs="Tahoma"/>
        </w:rPr>
        <w:t>LGV should systematically review the adequacy of council planning and budgeting and, in consultation with stakeholders, provide better targeted support and assistance to councils to address identified weaknesses.</w:t>
      </w:r>
    </w:p>
    <w:p w:rsidR="00406B2D" w:rsidRPr="00E84DC2" w:rsidRDefault="00406B2D">
      <w:pPr>
        <w:rPr>
          <w:rFonts w:ascii="Tahoma" w:hAnsi="Tahoma" w:cs="Tahoma"/>
          <w:sz w:val="22"/>
          <w:szCs w:val="22"/>
          <w:lang w:val="en-GB"/>
        </w:rPr>
      </w:pPr>
    </w:p>
    <w:p w:rsidR="005D4DDF" w:rsidRPr="00E84DC2" w:rsidRDefault="00D733EB">
      <w:pPr>
        <w:rPr>
          <w:rFonts w:ascii="Tahoma" w:hAnsi="Tahoma" w:cs="Tahoma"/>
          <w:sz w:val="22"/>
          <w:szCs w:val="22"/>
          <w:lang w:val="en-GB"/>
        </w:rPr>
      </w:pPr>
      <w:r w:rsidRPr="00D733EB">
        <w:rPr>
          <w:rFonts w:ascii="Tahoma" w:hAnsi="Tahoma" w:cs="Tahoma"/>
          <w:sz w:val="22"/>
          <w:szCs w:val="22"/>
          <w:lang w:val="en-GB"/>
        </w:rPr>
        <w:t xml:space="preserve">In order to retain transparency for how council has performed against its adopted budget and support an integrated approach to planning and reporting, the proposed </w:t>
      </w:r>
      <w:r w:rsidR="00DC14B1" w:rsidRPr="00E84DC2">
        <w:rPr>
          <w:rFonts w:ascii="Tahoma" w:hAnsi="Tahoma" w:cs="Tahoma"/>
          <w:sz w:val="22"/>
          <w:szCs w:val="22"/>
          <w:lang w:val="en-GB"/>
        </w:rPr>
        <w:t>Regulations will require councils to disclose variations in income and expenditure between the financial statements in their budget and the financial statements in the annual report, and provide reasons for mat</w:t>
      </w:r>
      <w:r w:rsidRPr="00D733EB">
        <w:rPr>
          <w:rFonts w:ascii="Tahoma" w:hAnsi="Tahoma" w:cs="Tahoma"/>
          <w:sz w:val="22"/>
          <w:szCs w:val="22"/>
          <w:lang w:val="en-GB"/>
        </w:rPr>
        <w:t>erial variations. This requirement to report budget versus actual in the annual report will also apply to the statement of capital works.</w:t>
      </w:r>
    </w:p>
    <w:p w:rsidR="00337EE4" w:rsidRPr="00E84DC2" w:rsidRDefault="00337EE4">
      <w:pPr>
        <w:rPr>
          <w:rFonts w:ascii="Tahoma" w:hAnsi="Tahoma" w:cs="Tahoma"/>
          <w:sz w:val="22"/>
          <w:szCs w:val="22"/>
          <w:lang w:val="en-AU"/>
        </w:rPr>
      </w:pPr>
    </w:p>
    <w:p w:rsidR="007524FC" w:rsidRPr="00E84DC2" w:rsidRDefault="00D733EB">
      <w:pPr>
        <w:rPr>
          <w:rFonts w:ascii="Tahoma" w:hAnsi="Tahoma" w:cs="Tahoma"/>
          <w:b/>
          <w:i/>
          <w:sz w:val="22"/>
          <w:szCs w:val="22"/>
          <w:lang w:val="en-AU"/>
        </w:rPr>
      </w:pPr>
      <w:r w:rsidRPr="00D733EB">
        <w:rPr>
          <w:rFonts w:ascii="Tahoma" w:hAnsi="Tahoma" w:cs="Tahoma"/>
          <w:b/>
          <w:i/>
          <w:sz w:val="22"/>
          <w:szCs w:val="22"/>
          <w:lang w:val="en-AU"/>
        </w:rPr>
        <w:t>Groups affected</w:t>
      </w:r>
    </w:p>
    <w:p w:rsidR="00337EE4" w:rsidRPr="00E84DC2" w:rsidRDefault="00337EE4">
      <w:pPr>
        <w:rPr>
          <w:rFonts w:ascii="Tahoma" w:hAnsi="Tahoma" w:cs="Tahoma"/>
          <w:sz w:val="22"/>
          <w:szCs w:val="22"/>
          <w:lang w:val="en-AU"/>
        </w:rPr>
      </w:pPr>
    </w:p>
    <w:p w:rsidR="00337EE4" w:rsidRPr="00E84DC2" w:rsidRDefault="00D733EB">
      <w:pPr>
        <w:rPr>
          <w:rFonts w:ascii="Tahoma" w:hAnsi="Tahoma" w:cs="Tahoma"/>
          <w:sz w:val="22"/>
          <w:szCs w:val="22"/>
          <w:lang w:val="en-AU"/>
        </w:rPr>
      </w:pPr>
      <w:r w:rsidRPr="00D733EB">
        <w:rPr>
          <w:rFonts w:ascii="Tahoma" w:hAnsi="Tahoma" w:cs="Tahoma"/>
          <w:sz w:val="22"/>
          <w:szCs w:val="22"/>
          <w:lang w:val="en-AU"/>
        </w:rPr>
        <w:t>The proposed Regulations directly affect local councils, who will be required to include the required information in their existing reporting.</w:t>
      </w:r>
    </w:p>
    <w:p w:rsidR="00916100" w:rsidRPr="00E84DC2" w:rsidRDefault="00916100">
      <w:pPr>
        <w:rPr>
          <w:rFonts w:ascii="Tahoma" w:hAnsi="Tahoma" w:cs="Tahoma"/>
          <w:sz w:val="22"/>
          <w:szCs w:val="22"/>
          <w:lang w:val="en-AU"/>
        </w:rPr>
      </w:pPr>
    </w:p>
    <w:p w:rsidR="00916100" w:rsidRPr="00E84DC2" w:rsidRDefault="00D733EB">
      <w:pPr>
        <w:rPr>
          <w:rFonts w:ascii="Tahoma" w:hAnsi="Tahoma" w:cs="Tahoma"/>
          <w:sz w:val="22"/>
          <w:szCs w:val="22"/>
          <w:lang w:val="en-AU"/>
        </w:rPr>
      </w:pPr>
      <w:r w:rsidRPr="00D733EB">
        <w:rPr>
          <w:rFonts w:ascii="Tahoma" w:hAnsi="Tahoma" w:cs="Tahoma"/>
          <w:sz w:val="22"/>
          <w:szCs w:val="22"/>
          <w:lang w:val="en-AU"/>
        </w:rPr>
        <w:t>Indirectly, the proposed Regulations will benefit councils and their communities by improving focus on council efficiency and effectiveness, and enhance transparency and accountability of councils to their local communities.</w:t>
      </w:r>
    </w:p>
    <w:p w:rsidR="00D3455F" w:rsidRPr="00E84DC2" w:rsidRDefault="00D3455F">
      <w:pPr>
        <w:rPr>
          <w:rFonts w:ascii="Tahoma" w:hAnsi="Tahoma" w:cs="Tahoma"/>
          <w:sz w:val="22"/>
          <w:szCs w:val="22"/>
          <w:lang w:val="en-AU"/>
        </w:rPr>
      </w:pPr>
    </w:p>
    <w:p w:rsidR="00D3455F" w:rsidRPr="00E84DC2" w:rsidRDefault="00D733EB">
      <w:pPr>
        <w:rPr>
          <w:rFonts w:ascii="Tahoma" w:hAnsi="Tahoma" w:cs="Tahoma"/>
          <w:b/>
          <w:i/>
          <w:sz w:val="22"/>
          <w:szCs w:val="22"/>
          <w:lang w:val="en-AU"/>
        </w:rPr>
      </w:pPr>
      <w:r w:rsidRPr="00D733EB">
        <w:rPr>
          <w:rFonts w:ascii="Tahoma" w:hAnsi="Tahoma" w:cs="Tahoma"/>
          <w:b/>
          <w:i/>
          <w:sz w:val="22"/>
          <w:szCs w:val="22"/>
          <w:lang w:val="en-AU"/>
        </w:rPr>
        <w:t>Authority</w:t>
      </w:r>
    </w:p>
    <w:p w:rsidR="00D3455F" w:rsidRPr="00E84DC2" w:rsidRDefault="00D3455F">
      <w:pPr>
        <w:rPr>
          <w:rFonts w:ascii="Tahoma" w:hAnsi="Tahoma" w:cs="Tahoma"/>
          <w:sz w:val="22"/>
          <w:szCs w:val="22"/>
          <w:lang w:val="en-AU"/>
        </w:rPr>
      </w:pPr>
    </w:p>
    <w:p w:rsidR="005A49F2" w:rsidRPr="00E84DC2" w:rsidRDefault="00D733EB">
      <w:pPr>
        <w:rPr>
          <w:rFonts w:ascii="Tahoma" w:hAnsi="Tahoma" w:cs="Tahoma"/>
          <w:sz w:val="22"/>
          <w:szCs w:val="22"/>
          <w:lang w:val="en-AU"/>
        </w:rPr>
      </w:pPr>
      <w:r w:rsidRPr="00D733EB">
        <w:rPr>
          <w:rFonts w:ascii="Tahoma" w:hAnsi="Tahoma" w:cs="Tahoma"/>
          <w:sz w:val="22"/>
          <w:szCs w:val="22"/>
          <w:lang w:val="en-AU"/>
        </w:rPr>
        <w:t>The proposed Regulations will be made under section 243 of the Act.</w:t>
      </w:r>
    </w:p>
    <w:p w:rsidR="005A49F2" w:rsidRPr="00E84DC2" w:rsidRDefault="00D733EB" w:rsidP="00E84CE8">
      <w:pPr>
        <w:pStyle w:val="Heading2"/>
      </w:pPr>
      <w:bookmarkStart w:id="16" w:name="_Toc379878661"/>
      <w:r w:rsidRPr="00D733EB">
        <w:t>Impact assessment of the proposed Regulations</w:t>
      </w:r>
      <w:bookmarkEnd w:id="16"/>
    </w:p>
    <w:p w:rsidR="007524FC" w:rsidRPr="00E84DC2" w:rsidRDefault="007524FC">
      <w:pPr>
        <w:rPr>
          <w:rFonts w:ascii="Tahoma" w:hAnsi="Tahoma" w:cs="Tahoma"/>
          <w:sz w:val="22"/>
          <w:szCs w:val="22"/>
          <w:lang w:val="en-AU"/>
        </w:rPr>
      </w:pPr>
    </w:p>
    <w:p w:rsidR="00BE316F" w:rsidRPr="00E84DC2" w:rsidRDefault="00D733EB" w:rsidP="00FA724D">
      <w:pPr>
        <w:pStyle w:val="EPANormal"/>
        <w:rPr>
          <w:rFonts w:ascii="Tahoma" w:eastAsia="Calibri" w:hAnsi="Tahoma" w:cs="Tahoma"/>
          <w:sz w:val="22"/>
          <w:szCs w:val="22"/>
        </w:rPr>
      </w:pPr>
      <w:r w:rsidRPr="00D733EB">
        <w:rPr>
          <w:rFonts w:ascii="Tahoma" w:eastAsia="Calibri" w:hAnsi="Tahoma" w:cs="Tahoma"/>
          <w:sz w:val="22"/>
          <w:szCs w:val="22"/>
        </w:rPr>
        <w:t>The proposed Regulations impose an administrative burden on local councils, compared to the base case of no regulations after 20 April 2014. The proposed Regulations will require councils to:</w:t>
      </w:r>
    </w:p>
    <w:p w:rsidR="00370858" w:rsidRPr="00E84DC2" w:rsidRDefault="00D733EB">
      <w:pPr>
        <w:pStyle w:val="ListParagraph"/>
        <w:rPr>
          <w:rFonts w:ascii="Tahoma" w:hAnsi="Tahoma" w:cs="Tahoma"/>
        </w:rPr>
      </w:pPr>
      <w:r w:rsidRPr="00D733EB">
        <w:rPr>
          <w:rFonts w:ascii="Tahoma" w:hAnsi="Tahoma" w:cs="Tahoma"/>
        </w:rPr>
        <w:t>collect, maintain and analyse data</w:t>
      </w:r>
      <w:r w:rsidR="00A830FF">
        <w:rPr>
          <w:rFonts w:ascii="Tahoma" w:hAnsi="Tahoma" w:cs="Tahoma"/>
        </w:rPr>
        <w:t>;</w:t>
      </w:r>
      <w:r w:rsidRPr="00D733EB">
        <w:rPr>
          <w:rFonts w:ascii="Tahoma" w:hAnsi="Tahoma" w:cs="Tahoma"/>
        </w:rPr>
        <w:t xml:space="preserve"> </w:t>
      </w:r>
    </w:p>
    <w:p w:rsidR="00370858" w:rsidRPr="00E84DC2" w:rsidRDefault="00D733EB">
      <w:pPr>
        <w:pStyle w:val="ListParagraph"/>
        <w:rPr>
          <w:rFonts w:ascii="Tahoma" w:hAnsi="Tahoma" w:cs="Tahoma"/>
        </w:rPr>
      </w:pPr>
      <w:r w:rsidRPr="00D733EB">
        <w:rPr>
          <w:rFonts w:ascii="Tahoma" w:hAnsi="Tahoma" w:cs="Tahoma"/>
        </w:rPr>
        <w:t>publish mandated information within the existing documents</w:t>
      </w:r>
      <w:r w:rsidR="00A830FF">
        <w:rPr>
          <w:rFonts w:ascii="Tahoma" w:hAnsi="Tahoma" w:cs="Tahoma"/>
        </w:rPr>
        <w:t>; and</w:t>
      </w:r>
    </w:p>
    <w:p w:rsidR="00370858" w:rsidRPr="00E84DC2" w:rsidRDefault="00D733EB">
      <w:pPr>
        <w:pStyle w:val="ListParagraph"/>
        <w:rPr>
          <w:rFonts w:ascii="Tahoma" w:hAnsi="Tahoma" w:cs="Tahoma"/>
        </w:rPr>
      </w:pPr>
      <w:r w:rsidRPr="00D733EB">
        <w:rPr>
          <w:rFonts w:ascii="Tahoma" w:hAnsi="Tahoma" w:cs="Tahoma"/>
        </w:rPr>
        <w:t>have some reported data audited.</w:t>
      </w:r>
    </w:p>
    <w:p w:rsidR="00242FD7" w:rsidRPr="00E84DC2" w:rsidRDefault="00242FD7" w:rsidP="00FA724D">
      <w:pPr>
        <w:pStyle w:val="EPANormal"/>
        <w:rPr>
          <w:rFonts w:ascii="Tahoma" w:eastAsia="Calibri" w:hAnsi="Tahoma" w:cs="Tahoma"/>
          <w:sz w:val="22"/>
          <w:szCs w:val="22"/>
        </w:rPr>
      </w:pPr>
    </w:p>
    <w:p w:rsidR="00230C1D" w:rsidRPr="00E84DC2" w:rsidRDefault="00D733EB" w:rsidP="00FA724D">
      <w:pPr>
        <w:pStyle w:val="EPANormal"/>
        <w:rPr>
          <w:rFonts w:ascii="Tahoma" w:eastAsia="Calibri" w:hAnsi="Tahoma" w:cs="Tahoma"/>
          <w:sz w:val="22"/>
          <w:szCs w:val="22"/>
        </w:rPr>
      </w:pPr>
      <w:r w:rsidRPr="00D733EB">
        <w:rPr>
          <w:rFonts w:ascii="Tahoma" w:eastAsia="Calibri" w:hAnsi="Tahoma" w:cs="Tahoma"/>
          <w:sz w:val="22"/>
          <w:szCs w:val="22"/>
        </w:rPr>
        <w:t>Figure 3D outlines the estimated quantifiable cost per council of the proposed Regulations. The estimate time taken to undertake each task is based on survey data collected from 43 councils as part of a pilot program and supplemented through interviews with a representative sample of councils.</w:t>
      </w:r>
    </w:p>
    <w:p w:rsidR="00A830FF" w:rsidRPr="00E84DC2" w:rsidRDefault="00A830FF" w:rsidP="00FA724D">
      <w:pPr>
        <w:pStyle w:val="EPANormal"/>
        <w:rPr>
          <w:rFonts w:ascii="Tahoma" w:eastAsia="Calibri" w:hAnsi="Tahoma" w:cs="Tahoma"/>
          <w:sz w:val="22"/>
          <w:szCs w:val="22"/>
        </w:rPr>
      </w:pPr>
    </w:p>
    <w:p w:rsidR="00555E41" w:rsidRPr="00E84DC2" w:rsidRDefault="00D733EB" w:rsidP="00555E41">
      <w:pPr>
        <w:pStyle w:val="EPANormal"/>
        <w:jc w:val="center"/>
        <w:rPr>
          <w:rFonts w:ascii="Tahoma" w:eastAsia="Calibri" w:hAnsi="Tahoma" w:cs="Tahoma"/>
          <w:b/>
          <w:sz w:val="22"/>
          <w:szCs w:val="22"/>
        </w:rPr>
      </w:pPr>
      <w:r w:rsidRPr="00D733EB">
        <w:rPr>
          <w:rFonts w:ascii="Tahoma" w:eastAsia="Calibri" w:hAnsi="Tahoma" w:cs="Tahoma"/>
          <w:b/>
          <w:sz w:val="22"/>
          <w:szCs w:val="22"/>
        </w:rPr>
        <w:t>Figure 3D – Additional reporting burden on local councils</w:t>
      </w:r>
    </w:p>
    <w:p w:rsidR="00854313" w:rsidRPr="00E84DC2" w:rsidRDefault="00854313" w:rsidP="00555E41">
      <w:pPr>
        <w:pStyle w:val="EPANormal"/>
        <w:jc w:val="center"/>
        <w:rPr>
          <w:rFonts w:ascii="Tahoma" w:eastAsia="Calibri" w:hAnsi="Tahoma" w:cs="Tahoma"/>
          <w:b/>
          <w:sz w:val="4"/>
          <w:szCs w:val="4"/>
        </w:rPr>
      </w:pPr>
    </w:p>
    <w:tbl>
      <w:tblPr>
        <w:tblStyle w:val="LightList-Accent111"/>
        <w:tblW w:w="0" w:type="auto"/>
        <w:tblLook w:val="04A0" w:firstRow="1" w:lastRow="0" w:firstColumn="1" w:lastColumn="0" w:noHBand="0" w:noVBand="1"/>
      </w:tblPr>
      <w:tblGrid>
        <w:gridCol w:w="2129"/>
        <w:gridCol w:w="4216"/>
        <w:gridCol w:w="2127"/>
      </w:tblGrid>
      <w:tr w:rsidR="0006225A" w:rsidRPr="00E84DC2" w:rsidTr="00FC71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rsidR="0006225A" w:rsidRPr="00E84DC2" w:rsidRDefault="00D733EB" w:rsidP="0006225A">
            <w:pPr>
              <w:rPr>
                <w:rFonts w:ascii="Tahoma" w:eastAsia="Calibri" w:hAnsi="Tahoma" w:cs="Tahoma"/>
                <w:color w:val="auto"/>
                <w:sz w:val="20"/>
                <w:szCs w:val="20"/>
                <w:lang w:val="en-AU" w:eastAsia="en-US"/>
              </w:rPr>
            </w:pPr>
            <w:r w:rsidRPr="00D733EB">
              <w:rPr>
                <w:rFonts w:ascii="Tahoma" w:eastAsia="Calibri" w:hAnsi="Tahoma" w:cs="Tahoma"/>
                <w:sz w:val="20"/>
                <w:szCs w:val="20"/>
                <w:lang w:val="en-AU" w:eastAsia="en-US"/>
              </w:rPr>
              <w:t>Reporting requirement</w:t>
            </w:r>
          </w:p>
        </w:tc>
        <w:tc>
          <w:tcPr>
            <w:tcW w:w="4216" w:type="dxa"/>
          </w:tcPr>
          <w:p w:rsidR="0006225A" w:rsidRPr="00E84DC2" w:rsidRDefault="00D733EB" w:rsidP="0006225A">
            <w:pPr>
              <w:cnfStyle w:val="100000000000" w:firstRow="1" w:lastRow="0" w:firstColumn="0" w:lastColumn="0" w:oddVBand="0" w:evenVBand="0" w:oddHBand="0" w:evenHBand="0" w:firstRowFirstColumn="0" w:firstRowLastColumn="0" w:lastRowFirstColumn="0" w:lastRowLastColumn="0"/>
              <w:rPr>
                <w:rFonts w:ascii="Tahoma" w:eastAsia="Calibri" w:hAnsi="Tahoma" w:cs="Tahoma"/>
                <w:color w:val="auto"/>
                <w:sz w:val="20"/>
                <w:szCs w:val="20"/>
                <w:lang w:val="en-AU" w:eastAsia="en-US"/>
              </w:rPr>
            </w:pPr>
            <w:r w:rsidRPr="00D733EB">
              <w:rPr>
                <w:rFonts w:ascii="Tahoma" w:eastAsia="Calibri" w:hAnsi="Tahoma" w:cs="Tahoma"/>
                <w:sz w:val="20"/>
                <w:szCs w:val="20"/>
                <w:lang w:val="en-AU" w:eastAsia="en-US"/>
              </w:rPr>
              <w:t>Time taken</w:t>
            </w:r>
          </w:p>
        </w:tc>
        <w:tc>
          <w:tcPr>
            <w:tcW w:w="2127" w:type="dxa"/>
          </w:tcPr>
          <w:p w:rsidR="0006225A" w:rsidRPr="00E84DC2" w:rsidRDefault="00D733EB" w:rsidP="0006225A">
            <w:pPr>
              <w:jc w:val="center"/>
              <w:cnfStyle w:val="100000000000" w:firstRow="1" w:lastRow="0" w:firstColumn="0" w:lastColumn="0" w:oddVBand="0" w:evenVBand="0" w:oddHBand="0" w:evenHBand="0" w:firstRowFirstColumn="0" w:firstRowLastColumn="0" w:lastRowFirstColumn="0" w:lastRowLastColumn="0"/>
              <w:rPr>
                <w:rFonts w:ascii="Tahoma" w:eastAsia="Calibri" w:hAnsi="Tahoma" w:cs="Tahoma"/>
                <w:color w:val="auto"/>
                <w:sz w:val="20"/>
                <w:szCs w:val="20"/>
                <w:lang w:val="en-AU" w:eastAsia="en-US"/>
              </w:rPr>
            </w:pPr>
            <w:r w:rsidRPr="00D733EB">
              <w:rPr>
                <w:rFonts w:ascii="Tahoma" w:eastAsia="Calibri" w:hAnsi="Tahoma" w:cs="Tahoma"/>
                <w:sz w:val="20"/>
                <w:szCs w:val="20"/>
                <w:lang w:val="en-AU" w:eastAsia="en-US"/>
              </w:rPr>
              <w:t>Cost per council*</w:t>
            </w:r>
          </w:p>
          <w:p w:rsidR="0006225A" w:rsidRPr="00E84DC2" w:rsidRDefault="00D733EB" w:rsidP="0006225A">
            <w:pPr>
              <w:jc w:val="center"/>
              <w:cnfStyle w:val="100000000000" w:firstRow="1" w:lastRow="0" w:firstColumn="0" w:lastColumn="0" w:oddVBand="0" w:evenVBand="0" w:oddHBand="0" w:evenHBand="0" w:firstRowFirstColumn="0" w:firstRowLastColumn="0" w:lastRowFirstColumn="0" w:lastRowLastColumn="0"/>
              <w:rPr>
                <w:rFonts w:ascii="Tahoma" w:eastAsia="Calibri" w:hAnsi="Tahoma" w:cs="Tahoma"/>
                <w:color w:val="auto"/>
                <w:sz w:val="20"/>
                <w:szCs w:val="20"/>
                <w:lang w:val="en-AU" w:eastAsia="en-US"/>
              </w:rPr>
            </w:pPr>
            <w:r w:rsidRPr="00D733EB">
              <w:rPr>
                <w:rFonts w:ascii="Tahoma" w:eastAsia="Calibri" w:hAnsi="Tahoma" w:cs="Tahoma"/>
                <w:sz w:val="20"/>
                <w:szCs w:val="20"/>
                <w:lang w:val="en-AU" w:eastAsia="en-US"/>
              </w:rPr>
              <w:t>(in 2014-15)</w:t>
            </w:r>
          </w:p>
        </w:tc>
      </w:tr>
      <w:tr w:rsidR="0006225A" w:rsidRPr="00E84DC2" w:rsidTr="00FC7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rsidR="0006225A" w:rsidRPr="00E84DC2" w:rsidRDefault="00D733EB" w:rsidP="000952FA">
            <w:pPr>
              <w:rPr>
                <w:rFonts w:ascii="Tahoma" w:eastAsia="Calibri" w:hAnsi="Tahoma" w:cs="Tahoma"/>
                <w:sz w:val="20"/>
                <w:szCs w:val="20"/>
                <w:lang w:val="en-AU" w:eastAsia="en-US"/>
              </w:rPr>
            </w:pPr>
            <w:r w:rsidRPr="00D733EB">
              <w:rPr>
                <w:rFonts w:ascii="Tahoma" w:eastAsia="Calibri" w:hAnsi="Tahoma" w:cs="Tahoma"/>
                <w:sz w:val="20"/>
                <w:szCs w:val="20"/>
                <w:lang w:val="en-AU" w:eastAsia="en-US"/>
              </w:rPr>
              <w:t>Performance indicators – service performance</w:t>
            </w:r>
          </w:p>
        </w:tc>
        <w:tc>
          <w:tcPr>
            <w:tcW w:w="4216" w:type="dxa"/>
          </w:tcPr>
          <w:p w:rsidR="0006225A" w:rsidRPr="00E84DC2" w:rsidRDefault="00DC14B1" w:rsidP="0006225A">
            <w:pPr>
              <w:cnfStyle w:val="000000100000" w:firstRow="0" w:lastRow="0" w:firstColumn="0" w:lastColumn="0" w:oddVBand="0" w:evenVBand="0" w:oddHBand="1" w:evenHBand="0" w:firstRowFirstColumn="0" w:firstRowLastColumn="0" w:lastRowFirstColumn="0" w:lastRowLastColumn="0"/>
              <w:rPr>
                <w:rFonts w:ascii="Tahoma" w:eastAsia="Calibri" w:hAnsi="Tahoma" w:cs="Tahoma"/>
                <w:sz w:val="20"/>
                <w:szCs w:val="20"/>
                <w:lang w:val="en-AU" w:eastAsia="en-US"/>
              </w:rPr>
            </w:pPr>
            <w:r w:rsidRPr="00E84DC2">
              <w:rPr>
                <w:rFonts w:ascii="Tahoma" w:eastAsia="Calibri" w:hAnsi="Tahoma" w:cs="Tahoma"/>
                <w:sz w:val="20"/>
                <w:szCs w:val="20"/>
                <w:lang w:val="en-AU" w:eastAsia="en-US"/>
              </w:rPr>
              <w:t>Survey of councils indicated that the time taken to collect data on the service performance indicators was about 23¾ hours on average.</w:t>
            </w:r>
          </w:p>
        </w:tc>
        <w:tc>
          <w:tcPr>
            <w:tcW w:w="2127" w:type="dxa"/>
          </w:tcPr>
          <w:p w:rsidR="0006225A" w:rsidRPr="00E84DC2" w:rsidRDefault="00D733EB" w:rsidP="0006225A">
            <w:pPr>
              <w:ind w:right="601"/>
              <w:jc w:val="right"/>
              <w:cnfStyle w:val="000000100000" w:firstRow="0" w:lastRow="0" w:firstColumn="0" w:lastColumn="0" w:oddVBand="0" w:evenVBand="0" w:oddHBand="1" w:evenHBand="0" w:firstRowFirstColumn="0" w:firstRowLastColumn="0" w:lastRowFirstColumn="0" w:lastRowLastColumn="0"/>
              <w:rPr>
                <w:rFonts w:ascii="Tahoma" w:eastAsia="Calibri" w:hAnsi="Tahoma" w:cs="Tahoma"/>
                <w:sz w:val="20"/>
                <w:szCs w:val="20"/>
                <w:lang w:val="en-AU" w:eastAsia="en-US"/>
              </w:rPr>
            </w:pPr>
            <w:r w:rsidRPr="00D733EB">
              <w:rPr>
                <w:rFonts w:ascii="Tahoma" w:eastAsia="Calibri" w:hAnsi="Tahoma" w:cs="Tahoma"/>
                <w:sz w:val="20"/>
                <w:szCs w:val="20"/>
                <w:lang w:val="en-AU" w:eastAsia="en-US"/>
              </w:rPr>
              <w:t>$1,807</w:t>
            </w:r>
          </w:p>
        </w:tc>
      </w:tr>
      <w:tr w:rsidR="0006225A" w:rsidRPr="00E84DC2" w:rsidTr="00FC7180">
        <w:tc>
          <w:tcPr>
            <w:cnfStyle w:val="001000000000" w:firstRow="0" w:lastRow="0" w:firstColumn="1" w:lastColumn="0" w:oddVBand="0" w:evenVBand="0" w:oddHBand="0" w:evenHBand="0" w:firstRowFirstColumn="0" w:firstRowLastColumn="0" w:lastRowFirstColumn="0" w:lastRowLastColumn="0"/>
            <w:tcW w:w="2129" w:type="dxa"/>
          </w:tcPr>
          <w:p w:rsidR="0006225A" w:rsidRPr="00E84DC2" w:rsidRDefault="00D733EB" w:rsidP="000952FA">
            <w:pPr>
              <w:rPr>
                <w:rFonts w:ascii="Tahoma" w:eastAsia="Calibri" w:hAnsi="Tahoma" w:cs="Tahoma"/>
                <w:sz w:val="20"/>
                <w:szCs w:val="20"/>
                <w:lang w:val="en-AU" w:eastAsia="en-US"/>
              </w:rPr>
            </w:pPr>
            <w:r w:rsidRPr="00D733EB">
              <w:rPr>
                <w:rFonts w:ascii="Tahoma" w:eastAsia="Calibri" w:hAnsi="Tahoma" w:cs="Tahoma"/>
                <w:sz w:val="20"/>
                <w:szCs w:val="20"/>
                <w:lang w:val="en-AU" w:eastAsia="en-US"/>
              </w:rPr>
              <w:t>Performance indicators – financial performance and sustainable capacity</w:t>
            </w:r>
          </w:p>
        </w:tc>
        <w:tc>
          <w:tcPr>
            <w:tcW w:w="4216" w:type="dxa"/>
          </w:tcPr>
          <w:p w:rsidR="0006225A" w:rsidRPr="00E84DC2" w:rsidRDefault="00DC14B1" w:rsidP="0006225A">
            <w:pPr>
              <w:cnfStyle w:val="000000000000" w:firstRow="0" w:lastRow="0" w:firstColumn="0" w:lastColumn="0" w:oddVBand="0" w:evenVBand="0" w:oddHBand="0" w:evenHBand="0" w:firstRowFirstColumn="0" w:firstRowLastColumn="0" w:lastRowFirstColumn="0" w:lastRowLastColumn="0"/>
              <w:rPr>
                <w:rFonts w:ascii="Tahoma" w:eastAsia="Calibri" w:hAnsi="Tahoma" w:cs="Tahoma"/>
                <w:sz w:val="20"/>
                <w:szCs w:val="20"/>
                <w:lang w:val="en-AU" w:eastAsia="en-US"/>
              </w:rPr>
            </w:pPr>
            <w:r w:rsidRPr="00E84DC2">
              <w:rPr>
                <w:rFonts w:ascii="Tahoma" w:eastAsia="Calibri" w:hAnsi="Tahoma" w:cs="Tahoma"/>
                <w:sz w:val="20"/>
                <w:szCs w:val="20"/>
                <w:lang w:val="en-AU" w:eastAsia="en-US"/>
              </w:rPr>
              <w:t>Survey of councils indicated that the average time to compile this information, which draws on existing data sources, is around 2¼ hours.</w:t>
            </w:r>
          </w:p>
        </w:tc>
        <w:tc>
          <w:tcPr>
            <w:tcW w:w="2127" w:type="dxa"/>
          </w:tcPr>
          <w:p w:rsidR="0006225A" w:rsidRPr="00E84DC2" w:rsidRDefault="00D733EB" w:rsidP="0006225A">
            <w:pPr>
              <w:ind w:right="601"/>
              <w:jc w:val="right"/>
              <w:cnfStyle w:val="000000000000" w:firstRow="0" w:lastRow="0" w:firstColumn="0" w:lastColumn="0" w:oddVBand="0" w:evenVBand="0" w:oddHBand="0" w:evenHBand="0" w:firstRowFirstColumn="0" w:firstRowLastColumn="0" w:lastRowFirstColumn="0" w:lastRowLastColumn="0"/>
              <w:rPr>
                <w:rFonts w:ascii="Tahoma" w:eastAsia="Calibri" w:hAnsi="Tahoma" w:cs="Tahoma"/>
                <w:sz w:val="20"/>
                <w:szCs w:val="20"/>
                <w:lang w:val="en-AU" w:eastAsia="en-US"/>
              </w:rPr>
            </w:pPr>
            <w:r w:rsidRPr="00D733EB">
              <w:rPr>
                <w:rFonts w:ascii="Tahoma" w:eastAsia="Calibri" w:hAnsi="Tahoma" w:cs="Tahoma"/>
                <w:sz w:val="20"/>
                <w:szCs w:val="20"/>
                <w:lang w:val="en-AU" w:eastAsia="en-US"/>
              </w:rPr>
              <w:t>$171</w:t>
            </w:r>
          </w:p>
        </w:tc>
      </w:tr>
      <w:tr w:rsidR="0006225A" w:rsidRPr="00E84DC2" w:rsidTr="00FC7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rsidR="0006225A" w:rsidRPr="00E84DC2" w:rsidRDefault="00D733EB" w:rsidP="0006225A">
            <w:pPr>
              <w:rPr>
                <w:rFonts w:ascii="Tahoma" w:eastAsia="Calibri" w:hAnsi="Tahoma" w:cs="Tahoma"/>
                <w:sz w:val="20"/>
                <w:szCs w:val="20"/>
                <w:lang w:val="en-AU" w:eastAsia="en-US"/>
              </w:rPr>
            </w:pPr>
            <w:r w:rsidRPr="00D733EB">
              <w:rPr>
                <w:rFonts w:ascii="Tahoma" w:eastAsia="Calibri" w:hAnsi="Tahoma" w:cs="Tahoma"/>
                <w:sz w:val="20"/>
                <w:szCs w:val="20"/>
                <w:lang w:val="en-AU" w:eastAsia="en-US"/>
              </w:rPr>
              <w:t>Governance and management checklist</w:t>
            </w:r>
          </w:p>
        </w:tc>
        <w:tc>
          <w:tcPr>
            <w:tcW w:w="4216" w:type="dxa"/>
          </w:tcPr>
          <w:p w:rsidR="0006225A" w:rsidRPr="00E84DC2" w:rsidRDefault="00DC14B1" w:rsidP="0006225A">
            <w:pPr>
              <w:cnfStyle w:val="000000100000" w:firstRow="0" w:lastRow="0" w:firstColumn="0" w:lastColumn="0" w:oddVBand="0" w:evenVBand="0" w:oddHBand="1" w:evenHBand="0" w:firstRowFirstColumn="0" w:firstRowLastColumn="0" w:lastRowFirstColumn="0" w:lastRowLastColumn="0"/>
              <w:rPr>
                <w:rFonts w:ascii="Tahoma" w:eastAsia="Calibri" w:hAnsi="Tahoma" w:cs="Tahoma"/>
                <w:sz w:val="20"/>
                <w:szCs w:val="20"/>
                <w:lang w:val="en-AU" w:eastAsia="en-US"/>
              </w:rPr>
            </w:pPr>
            <w:r w:rsidRPr="00E84DC2">
              <w:rPr>
                <w:rFonts w:ascii="Tahoma" w:eastAsia="Calibri" w:hAnsi="Tahoma" w:cs="Tahoma"/>
                <w:sz w:val="20"/>
                <w:szCs w:val="20"/>
                <w:lang w:val="en-AU" w:eastAsia="en-US"/>
              </w:rPr>
              <w:t>This checklist is a simple list of 24 ‘yes/no’ questions. 75% of councils found this requirement easy or very easy to complete. Average reported completion time was 21 minutes.</w:t>
            </w:r>
          </w:p>
        </w:tc>
        <w:tc>
          <w:tcPr>
            <w:tcW w:w="2127" w:type="dxa"/>
          </w:tcPr>
          <w:p w:rsidR="0006225A" w:rsidRPr="00E84DC2" w:rsidRDefault="00D733EB" w:rsidP="0006225A">
            <w:pPr>
              <w:ind w:right="601"/>
              <w:jc w:val="right"/>
              <w:cnfStyle w:val="000000100000" w:firstRow="0" w:lastRow="0" w:firstColumn="0" w:lastColumn="0" w:oddVBand="0" w:evenVBand="0" w:oddHBand="1" w:evenHBand="0" w:firstRowFirstColumn="0" w:firstRowLastColumn="0" w:lastRowFirstColumn="0" w:lastRowLastColumn="0"/>
              <w:rPr>
                <w:rFonts w:ascii="Tahoma" w:eastAsia="Calibri" w:hAnsi="Tahoma" w:cs="Tahoma"/>
                <w:sz w:val="20"/>
                <w:szCs w:val="20"/>
                <w:lang w:val="en-AU" w:eastAsia="en-US"/>
              </w:rPr>
            </w:pPr>
            <w:r w:rsidRPr="00D733EB">
              <w:rPr>
                <w:rFonts w:ascii="Tahoma" w:eastAsia="Calibri" w:hAnsi="Tahoma" w:cs="Tahoma"/>
                <w:sz w:val="20"/>
                <w:szCs w:val="20"/>
                <w:lang w:val="en-AU" w:eastAsia="en-US"/>
              </w:rPr>
              <w:t>$152</w:t>
            </w:r>
          </w:p>
        </w:tc>
      </w:tr>
      <w:tr w:rsidR="0006225A" w:rsidRPr="00E84DC2" w:rsidTr="00FC7180">
        <w:tc>
          <w:tcPr>
            <w:cnfStyle w:val="001000000000" w:firstRow="0" w:lastRow="0" w:firstColumn="1" w:lastColumn="0" w:oddVBand="0" w:evenVBand="0" w:oddHBand="0" w:evenHBand="0" w:firstRowFirstColumn="0" w:firstRowLastColumn="0" w:lastRowFirstColumn="0" w:lastRowLastColumn="0"/>
            <w:tcW w:w="2129" w:type="dxa"/>
          </w:tcPr>
          <w:p w:rsidR="0006225A" w:rsidRPr="00E84DC2" w:rsidRDefault="00D733EB" w:rsidP="000952FA">
            <w:pPr>
              <w:rPr>
                <w:rFonts w:ascii="Tahoma" w:eastAsia="Calibri" w:hAnsi="Tahoma" w:cs="Tahoma"/>
                <w:sz w:val="20"/>
                <w:szCs w:val="20"/>
                <w:lang w:val="en-AU" w:eastAsia="en-US"/>
              </w:rPr>
            </w:pPr>
            <w:r w:rsidRPr="00D733EB">
              <w:rPr>
                <w:rFonts w:ascii="Tahoma" w:eastAsia="Calibri" w:hAnsi="Tahoma" w:cs="Tahoma"/>
                <w:sz w:val="20"/>
                <w:szCs w:val="20"/>
                <w:lang w:val="en-AU" w:eastAsia="en-US"/>
              </w:rPr>
              <w:t xml:space="preserve">Financial statements and a statement of capital works (required in strategic resources plan, </w:t>
            </w:r>
            <w:r w:rsidRPr="00D733EB">
              <w:rPr>
                <w:rFonts w:ascii="Tahoma" w:eastAsia="Calibri" w:hAnsi="Tahoma" w:cs="Tahoma"/>
                <w:sz w:val="20"/>
                <w:szCs w:val="20"/>
                <w:lang w:val="en-AU" w:eastAsia="en-US"/>
              </w:rPr>
              <w:lastRenderedPageBreak/>
              <w:t>annual budget and annual report)</w:t>
            </w:r>
          </w:p>
        </w:tc>
        <w:tc>
          <w:tcPr>
            <w:tcW w:w="4216" w:type="dxa"/>
          </w:tcPr>
          <w:p w:rsidR="0006225A" w:rsidRPr="00E84DC2" w:rsidRDefault="00DC14B1" w:rsidP="0006225A">
            <w:pPr>
              <w:cnfStyle w:val="000000000000" w:firstRow="0" w:lastRow="0" w:firstColumn="0" w:lastColumn="0" w:oddVBand="0" w:evenVBand="0" w:oddHBand="0" w:evenHBand="0" w:firstRowFirstColumn="0" w:firstRowLastColumn="0" w:lastRowFirstColumn="0" w:lastRowLastColumn="0"/>
              <w:rPr>
                <w:rFonts w:ascii="Tahoma" w:eastAsia="Calibri" w:hAnsi="Tahoma" w:cs="Tahoma"/>
                <w:sz w:val="20"/>
                <w:szCs w:val="20"/>
                <w:lang w:val="en-AU" w:eastAsia="en-US"/>
              </w:rPr>
            </w:pPr>
            <w:r w:rsidRPr="00E84DC2">
              <w:rPr>
                <w:rFonts w:ascii="Tahoma" w:eastAsia="Calibri" w:hAnsi="Tahoma" w:cs="Tahoma"/>
                <w:sz w:val="20"/>
                <w:szCs w:val="20"/>
                <w:lang w:val="en-AU" w:eastAsia="en-US"/>
              </w:rPr>
              <w:lastRenderedPageBreak/>
              <w:t>This is similar to the existing standards statements. Based on interviews with a number of councils, this is estimated to take each council about 8 hours in total</w:t>
            </w:r>
            <w:r w:rsidR="00D733EB" w:rsidRPr="00D733EB">
              <w:rPr>
                <w:rFonts w:ascii="Tahoma" w:eastAsia="Calibri" w:hAnsi="Tahoma" w:cs="Tahoma"/>
                <w:sz w:val="20"/>
                <w:szCs w:val="20"/>
                <w:lang w:val="en-AU" w:eastAsia="en-US"/>
              </w:rPr>
              <w:t>.</w:t>
            </w:r>
          </w:p>
        </w:tc>
        <w:tc>
          <w:tcPr>
            <w:tcW w:w="2127" w:type="dxa"/>
          </w:tcPr>
          <w:p w:rsidR="0006225A" w:rsidRPr="00E84DC2" w:rsidRDefault="00D733EB" w:rsidP="0006225A">
            <w:pPr>
              <w:ind w:right="601"/>
              <w:jc w:val="right"/>
              <w:cnfStyle w:val="000000000000" w:firstRow="0" w:lastRow="0" w:firstColumn="0" w:lastColumn="0" w:oddVBand="0" w:evenVBand="0" w:oddHBand="0" w:evenHBand="0" w:firstRowFirstColumn="0" w:firstRowLastColumn="0" w:lastRowFirstColumn="0" w:lastRowLastColumn="0"/>
              <w:rPr>
                <w:rFonts w:ascii="Tahoma" w:eastAsia="Calibri" w:hAnsi="Tahoma" w:cs="Tahoma"/>
                <w:sz w:val="20"/>
                <w:szCs w:val="20"/>
                <w:lang w:val="en-AU" w:eastAsia="en-US"/>
              </w:rPr>
            </w:pPr>
            <w:r w:rsidRPr="00D733EB">
              <w:rPr>
                <w:rFonts w:ascii="Tahoma" w:eastAsia="Calibri" w:hAnsi="Tahoma" w:cs="Tahoma"/>
                <w:sz w:val="20"/>
                <w:szCs w:val="20"/>
                <w:lang w:val="en-AU" w:eastAsia="en-US"/>
              </w:rPr>
              <w:t>$608</w:t>
            </w:r>
          </w:p>
        </w:tc>
      </w:tr>
      <w:tr w:rsidR="0006225A" w:rsidRPr="00E84DC2" w:rsidTr="00FC7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rsidR="0006225A" w:rsidRPr="00E84DC2" w:rsidRDefault="00D733EB" w:rsidP="0006225A">
            <w:pPr>
              <w:rPr>
                <w:rFonts w:ascii="Tahoma" w:eastAsia="Calibri" w:hAnsi="Tahoma" w:cs="Tahoma"/>
                <w:sz w:val="20"/>
                <w:szCs w:val="20"/>
                <w:lang w:val="en-AU" w:eastAsia="en-US"/>
              </w:rPr>
            </w:pPr>
            <w:r w:rsidRPr="00D733EB">
              <w:rPr>
                <w:rFonts w:ascii="Tahoma" w:eastAsia="Calibri" w:hAnsi="Tahoma" w:cs="Tahoma"/>
                <w:sz w:val="20"/>
                <w:szCs w:val="20"/>
                <w:lang w:val="en-AU" w:eastAsia="en-US"/>
              </w:rPr>
              <w:lastRenderedPageBreak/>
              <w:t>Statement of human resources</w:t>
            </w:r>
          </w:p>
        </w:tc>
        <w:tc>
          <w:tcPr>
            <w:tcW w:w="4216" w:type="dxa"/>
          </w:tcPr>
          <w:p w:rsidR="0006225A" w:rsidRPr="00E84DC2" w:rsidRDefault="00DC14B1" w:rsidP="0006225A">
            <w:pPr>
              <w:cnfStyle w:val="000000100000" w:firstRow="0" w:lastRow="0" w:firstColumn="0" w:lastColumn="0" w:oddVBand="0" w:evenVBand="0" w:oddHBand="1" w:evenHBand="0" w:firstRowFirstColumn="0" w:firstRowLastColumn="0" w:lastRowFirstColumn="0" w:lastRowLastColumn="0"/>
              <w:rPr>
                <w:rFonts w:ascii="Tahoma" w:eastAsia="Calibri" w:hAnsi="Tahoma" w:cs="Tahoma"/>
                <w:sz w:val="20"/>
                <w:szCs w:val="20"/>
                <w:lang w:val="en-AU" w:eastAsia="en-US"/>
              </w:rPr>
            </w:pPr>
            <w:r w:rsidRPr="00E84DC2">
              <w:rPr>
                <w:rFonts w:ascii="Tahoma" w:eastAsia="Calibri" w:hAnsi="Tahoma" w:cs="Tahoma"/>
                <w:sz w:val="20"/>
                <w:szCs w:val="20"/>
                <w:lang w:val="en-AU" w:eastAsia="en-US"/>
              </w:rPr>
              <w:t>Based on interviews with a number of councils, this is estimated to take each council about 2 hours to complete.</w:t>
            </w:r>
          </w:p>
        </w:tc>
        <w:tc>
          <w:tcPr>
            <w:tcW w:w="2127" w:type="dxa"/>
          </w:tcPr>
          <w:p w:rsidR="0006225A" w:rsidRPr="00E84DC2" w:rsidRDefault="00D733EB" w:rsidP="0006225A">
            <w:pPr>
              <w:ind w:right="601"/>
              <w:jc w:val="right"/>
              <w:cnfStyle w:val="000000100000" w:firstRow="0" w:lastRow="0" w:firstColumn="0" w:lastColumn="0" w:oddVBand="0" w:evenVBand="0" w:oddHBand="1" w:evenHBand="0" w:firstRowFirstColumn="0" w:firstRowLastColumn="0" w:lastRowFirstColumn="0" w:lastRowLastColumn="0"/>
              <w:rPr>
                <w:rFonts w:ascii="Tahoma" w:eastAsia="Calibri" w:hAnsi="Tahoma" w:cs="Tahoma"/>
                <w:sz w:val="20"/>
                <w:szCs w:val="20"/>
                <w:lang w:val="en-AU" w:eastAsia="en-US"/>
              </w:rPr>
            </w:pPr>
            <w:r w:rsidRPr="00D733EB">
              <w:rPr>
                <w:rFonts w:ascii="Tahoma" w:eastAsia="Calibri" w:hAnsi="Tahoma" w:cs="Tahoma"/>
                <w:sz w:val="20"/>
                <w:szCs w:val="20"/>
                <w:lang w:val="en-AU" w:eastAsia="en-US"/>
              </w:rPr>
              <w:t>$152</w:t>
            </w:r>
          </w:p>
        </w:tc>
      </w:tr>
      <w:tr w:rsidR="0006225A" w:rsidRPr="00E84DC2" w:rsidTr="00FC7180">
        <w:tc>
          <w:tcPr>
            <w:cnfStyle w:val="001000000000" w:firstRow="0" w:lastRow="0" w:firstColumn="1" w:lastColumn="0" w:oddVBand="0" w:evenVBand="0" w:oddHBand="0" w:evenHBand="0" w:firstRowFirstColumn="0" w:firstRowLastColumn="0" w:lastRowFirstColumn="0" w:lastRowLastColumn="0"/>
            <w:tcW w:w="2129" w:type="dxa"/>
          </w:tcPr>
          <w:p w:rsidR="0006225A" w:rsidRPr="00E84DC2" w:rsidRDefault="00D733EB" w:rsidP="00DC4042">
            <w:pPr>
              <w:rPr>
                <w:rFonts w:ascii="Tahoma" w:eastAsia="Calibri" w:hAnsi="Tahoma" w:cs="Tahoma"/>
                <w:sz w:val="20"/>
                <w:szCs w:val="20"/>
                <w:lang w:val="en-AU" w:eastAsia="en-US"/>
              </w:rPr>
            </w:pPr>
            <w:r w:rsidRPr="00D733EB">
              <w:rPr>
                <w:rFonts w:ascii="Tahoma" w:eastAsia="Calibri" w:hAnsi="Tahoma" w:cs="Tahoma"/>
                <w:sz w:val="20"/>
                <w:szCs w:val="20"/>
                <w:lang w:val="en-AU" w:eastAsia="en-US"/>
              </w:rPr>
              <w:t>Other annual report requirements**</w:t>
            </w:r>
          </w:p>
        </w:tc>
        <w:tc>
          <w:tcPr>
            <w:tcW w:w="4216" w:type="dxa"/>
          </w:tcPr>
          <w:p w:rsidR="0006225A" w:rsidRPr="00E84DC2" w:rsidRDefault="00DC14B1" w:rsidP="0006225A">
            <w:pPr>
              <w:cnfStyle w:val="000000000000" w:firstRow="0" w:lastRow="0" w:firstColumn="0" w:lastColumn="0" w:oddVBand="0" w:evenVBand="0" w:oddHBand="0" w:evenHBand="0" w:firstRowFirstColumn="0" w:firstRowLastColumn="0" w:lastRowFirstColumn="0" w:lastRowLastColumn="0"/>
              <w:rPr>
                <w:rFonts w:ascii="Tahoma" w:eastAsia="Calibri" w:hAnsi="Tahoma" w:cs="Tahoma"/>
                <w:sz w:val="20"/>
                <w:szCs w:val="20"/>
                <w:lang w:val="en-AU" w:eastAsia="en-US"/>
              </w:rPr>
            </w:pPr>
            <w:r w:rsidRPr="00E84DC2">
              <w:rPr>
                <w:rFonts w:ascii="Tahoma" w:eastAsia="Calibri" w:hAnsi="Tahoma" w:cs="Tahoma"/>
                <w:sz w:val="20"/>
                <w:szCs w:val="20"/>
                <w:lang w:val="en-AU" w:eastAsia="en-US"/>
              </w:rPr>
              <w:t>Based on interviews with a number of councils, this is estimated to take each council about 8 hours to collect this information from existing sources.</w:t>
            </w:r>
          </w:p>
        </w:tc>
        <w:tc>
          <w:tcPr>
            <w:tcW w:w="2127" w:type="dxa"/>
          </w:tcPr>
          <w:p w:rsidR="0006225A" w:rsidRPr="00E84DC2" w:rsidRDefault="00D733EB" w:rsidP="0006225A">
            <w:pPr>
              <w:ind w:right="601"/>
              <w:jc w:val="right"/>
              <w:cnfStyle w:val="000000000000" w:firstRow="0" w:lastRow="0" w:firstColumn="0" w:lastColumn="0" w:oddVBand="0" w:evenVBand="0" w:oddHBand="0" w:evenHBand="0" w:firstRowFirstColumn="0" w:firstRowLastColumn="0" w:lastRowFirstColumn="0" w:lastRowLastColumn="0"/>
              <w:rPr>
                <w:rFonts w:ascii="Tahoma" w:eastAsia="Calibri" w:hAnsi="Tahoma" w:cs="Tahoma"/>
                <w:sz w:val="20"/>
                <w:szCs w:val="20"/>
                <w:lang w:val="en-AU" w:eastAsia="en-US"/>
              </w:rPr>
            </w:pPr>
            <w:r w:rsidRPr="00D733EB">
              <w:rPr>
                <w:rFonts w:ascii="Tahoma" w:eastAsia="Calibri" w:hAnsi="Tahoma" w:cs="Tahoma"/>
                <w:sz w:val="20"/>
                <w:szCs w:val="20"/>
                <w:lang w:val="en-AU" w:eastAsia="en-US"/>
              </w:rPr>
              <w:t>$608</w:t>
            </w:r>
          </w:p>
        </w:tc>
      </w:tr>
      <w:tr w:rsidR="0006225A" w:rsidRPr="00E84DC2" w:rsidTr="00FC7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gridSpan w:val="2"/>
          </w:tcPr>
          <w:p w:rsidR="0006225A" w:rsidRPr="00E84DC2" w:rsidRDefault="00D733EB" w:rsidP="0006225A">
            <w:pPr>
              <w:rPr>
                <w:rFonts w:ascii="Tahoma" w:eastAsia="Calibri" w:hAnsi="Tahoma" w:cs="Tahoma"/>
                <w:sz w:val="20"/>
                <w:szCs w:val="20"/>
                <w:lang w:val="en-AU" w:eastAsia="en-US"/>
              </w:rPr>
            </w:pPr>
            <w:r w:rsidRPr="00D733EB">
              <w:rPr>
                <w:rFonts w:ascii="Tahoma" w:eastAsia="Calibri" w:hAnsi="Tahoma" w:cs="Tahoma"/>
                <w:sz w:val="20"/>
                <w:szCs w:val="20"/>
                <w:lang w:val="en-AU" w:eastAsia="en-US"/>
              </w:rPr>
              <w:t>TOTAL COST PER COUNCIL</w:t>
            </w:r>
          </w:p>
        </w:tc>
        <w:tc>
          <w:tcPr>
            <w:tcW w:w="2127" w:type="dxa"/>
          </w:tcPr>
          <w:p w:rsidR="0006225A" w:rsidRPr="00E84DC2" w:rsidRDefault="00D733EB" w:rsidP="003436D8">
            <w:pPr>
              <w:ind w:right="601"/>
              <w:jc w:val="right"/>
              <w:cnfStyle w:val="000000100000" w:firstRow="0" w:lastRow="0" w:firstColumn="0" w:lastColumn="0" w:oddVBand="0" w:evenVBand="0" w:oddHBand="1" w:evenHBand="0" w:firstRowFirstColumn="0" w:firstRowLastColumn="0" w:lastRowFirstColumn="0" w:lastRowLastColumn="0"/>
              <w:rPr>
                <w:rFonts w:ascii="Tahoma" w:eastAsia="Calibri" w:hAnsi="Tahoma" w:cs="Tahoma"/>
                <w:sz w:val="20"/>
                <w:szCs w:val="20"/>
                <w:lang w:val="en-AU" w:eastAsia="en-US"/>
              </w:rPr>
            </w:pPr>
            <w:r w:rsidRPr="00D733EB">
              <w:rPr>
                <w:rFonts w:ascii="Tahoma" w:eastAsia="Calibri" w:hAnsi="Tahoma" w:cs="Tahoma"/>
                <w:b/>
                <w:sz w:val="20"/>
                <w:szCs w:val="20"/>
                <w:lang w:val="en-AU" w:eastAsia="en-US"/>
              </w:rPr>
              <w:t>$3,498</w:t>
            </w:r>
          </w:p>
        </w:tc>
      </w:tr>
    </w:tbl>
    <w:p w:rsidR="005A4E96" w:rsidRPr="00E84DC2" w:rsidRDefault="005A4E96" w:rsidP="00FA724D">
      <w:pPr>
        <w:pStyle w:val="EPANormal"/>
        <w:rPr>
          <w:rFonts w:ascii="Tahoma" w:eastAsia="Calibri" w:hAnsi="Tahoma" w:cs="Tahoma"/>
          <w:sz w:val="8"/>
          <w:szCs w:val="8"/>
        </w:rPr>
      </w:pPr>
    </w:p>
    <w:p w:rsidR="00DC4042" w:rsidRPr="00E84DC2" w:rsidRDefault="00D733EB" w:rsidP="00DC4042">
      <w:pPr>
        <w:pStyle w:val="EPANormal"/>
        <w:ind w:left="142" w:hanging="142"/>
        <w:rPr>
          <w:rFonts w:ascii="Tahoma" w:eastAsia="Calibri" w:hAnsi="Tahoma" w:cs="Tahoma"/>
          <w:sz w:val="18"/>
          <w:szCs w:val="18"/>
        </w:rPr>
      </w:pPr>
      <w:r w:rsidRPr="00D733EB">
        <w:rPr>
          <w:rFonts w:ascii="Tahoma" w:eastAsia="Calibri" w:hAnsi="Tahoma" w:cs="Tahoma"/>
          <w:sz w:val="18"/>
          <w:szCs w:val="18"/>
        </w:rPr>
        <w:t xml:space="preserve">* Council staff time has been valued as a blended hourly rate of $76.02 (see Attachment </w:t>
      </w:r>
      <w:r w:rsidR="00A830FF">
        <w:rPr>
          <w:rFonts w:ascii="Tahoma" w:eastAsia="Calibri" w:hAnsi="Tahoma" w:cs="Tahoma"/>
          <w:sz w:val="18"/>
          <w:szCs w:val="18"/>
        </w:rPr>
        <w:t>D</w:t>
      </w:r>
      <w:r w:rsidRPr="00D733EB">
        <w:rPr>
          <w:rFonts w:ascii="Tahoma" w:eastAsia="Calibri" w:hAnsi="Tahoma" w:cs="Tahoma"/>
          <w:sz w:val="18"/>
          <w:szCs w:val="18"/>
        </w:rPr>
        <w:t xml:space="preserve"> for further details)</w:t>
      </w:r>
    </w:p>
    <w:p w:rsidR="0006225A" w:rsidRPr="00E84DC2" w:rsidRDefault="00D733EB" w:rsidP="00DC4042">
      <w:pPr>
        <w:pStyle w:val="EPANormal"/>
        <w:ind w:left="142" w:hanging="142"/>
        <w:rPr>
          <w:rFonts w:ascii="Tahoma" w:eastAsia="Calibri" w:hAnsi="Tahoma" w:cs="Tahoma"/>
          <w:sz w:val="18"/>
          <w:szCs w:val="18"/>
        </w:rPr>
      </w:pPr>
      <w:r w:rsidRPr="00D733EB">
        <w:rPr>
          <w:rFonts w:ascii="Tahoma" w:eastAsia="Calibri" w:hAnsi="Tahoma" w:cs="Tahoma"/>
          <w:sz w:val="18"/>
          <w:szCs w:val="18"/>
        </w:rPr>
        <w:t>**</w:t>
      </w:r>
      <w:r w:rsidR="00E84CE8">
        <w:rPr>
          <w:rFonts w:ascii="Tahoma" w:eastAsia="Calibri" w:hAnsi="Tahoma" w:cs="Tahoma"/>
          <w:sz w:val="18"/>
          <w:szCs w:val="18"/>
        </w:rPr>
        <w:t xml:space="preserve"> The cost of ‘other annual report requirements’ includes the costs of reporting all the items required under the proposed Regulations, even those identified in Figu</w:t>
      </w:r>
      <w:r w:rsidR="002D6369">
        <w:rPr>
          <w:rFonts w:ascii="Tahoma" w:eastAsia="Calibri" w:hAnsi="Tahoma" w:cs="Tahoma"/>
          <w:sz w:val="18"/>
          <w:szCs w:val="18"/>
        </w:rPr>
        <w:t>re 3A as involving no change f</w:t>
      </w:r>
      <w:r w:rsidR="00E84CE8">
        <w:rPr>
          <w:rFonts w:ascii="Tahoma" w:eastAsia="Calibri" w:hAnsi="Tahoma" w:cs="Tahoma"/>
          <w:sz w:val="18"/>
          <w:szCs w:val="18"/>
        </w:rPr>
        <w:t>r</w:t>
      </w:r>
      <w:r w:rsidR="002D6369">
        <w:rPr>
          <w:rFonts w:ascii="Tahoma" w:eastAsia="Calibri" w:hAnsi="Tahoma" w:cs="Tahoma"/>
          <w:sz w:val="18"/>
          <w:szCs w:val="18"/>
        </w:rPr>
        <w:t>om</w:t>
      </w:r>
      <w:r w:rsidR="00E84CE8">
        <w:rPr>
          <w:rFonts w:ascii="Tahoma" w:eastAsia="Calibri" w:hAnsi="Tahoma" w:cs="Tahoma"/>
          <w:sz w:val="18"/>
          <w:szCs w:val="18"/>
        </w:rPr>
        <w:t xml:space="preserve"> the requirements under the current Regulations</w:t>
      </w:r>
      <w:r w:rsidRPr="00D733EB">
        <w:rPr>
          <w:rFonts w:ascii="Tahoma" w:eastAsia="Calibri" w:hAnsi="Tahoma" w:cs="Tahoma"/>
          <w:sz w:val="18"/>
          <w:szCs w:val="18"/>
        </w:rPr>
        <w:t>.</w:t>
      </w:r>
    </w:p>
    <w:p w:rsidR="0006225A" w:rsidRPr="00E84DC2" w:rsidRDefault="0006225A" w:rsidP="00FA724D">
      <w:pPr>
        <w:pStyle w:val="EPANormal"/>
        <w:rPr>
          <w:rFonts w:ascii="Tahoma" w:eastAsia="Calibri" w:hAnsi="Tahoma" w:cs="Tahoma"/>
          <w:sz w:val="18"/>
          <w:szCs w:val="18"/>
        </w:rPr>
      </w:pPr>
    </w:p>
    <w:p w:rsidR="0073263A" w:rsidRPr="00E84DC2" w:rsidRDefault="00D733EB">
      <w:pPr>
        <w:pStyle w:val="EPANormal"/>
        <w:rPr>
          <w:rFonts w:ascii="Tahoma" w:eastAsia="Calibri" w:hAnsi="Tahoma" w:cs="Tahoma"/>
          <w:sz w:val="22"/>
          <w:szCs w:val="22"/>
        </w:rPr>
      </w:pPr>
      <w:r w:rsidRPr="00D733EB">
        <w:rPr>
          <w:rFonts w:ascii="Tahoma" w:eastAsia="Calibri" w:hAnsi="Tahoma" w:cs="Tahoma"/>
          <w:sz w:val="22"/>
          <w:szCs w:val="22"/>
        </w:rPr>
        <w:t xml:space="preserve">The assumptions used in the above figure reflect an average cost across all councils, based on a survey of councils participating in </w:t>
      </w:r>
      <w:r w:rsidR="00A830FF">
        <w:rPr>
          <w:rFonts w:ascii="Tahoma" w:eastAsia="Calibri" w:hAnsi="Tahoma" w:cs="Tahoma"/>
          <w:sz w:val="22"/>
          <w:szCs w:val="22"/>
        </w:rPr>
        <w:t>a</w:t>
      </w:r>
      <w:r w:rsidR="00A830FF" w:rsidRPr="00D733EB">
        <w:rPr>
          <w:rFonts w:ascii="Tahoma" w:eastAsia="Calibri" w:hAnsi="Tahoma" w:cs="Tahoma"/>
          <w:sz w:val="22"/>
          <w:szCs w:val="22"/>
        </w:rPr>
        <w:t xml:space="preserve"> </w:t>
      </w:r>
      <w:r w:rsidRPr="00D733EB">
        <w:rPr>
          <w:rFonts w:ascii="Tahoma" w:eastAsia="Calibri" w:hAnsi="Tahoma" w:cs="Tahoma"/>
          <w:sz w:val="22"/>
          <w:szCs w:val="22"/>
        </w:rPr>
        <w:t>pilot</w:t>
      </w:r>
      <w:r w:rsidR="00A830FF">
        <w:rPr>
          <w:rFonts w:ascii="Tahoma" w:eastAsia="Calibri" w:hAnsi="Tahoma" w:cs="Tahoma"/>
          <w:sz w:val="22"/>
          <w:szCs w:val="22"/>
        </w:rPr>
        <w:t xml:space="preserve"> program</w:t>
      </w:r>
      <w:r w:rsidRPr="00D733EB">
        <w:rPr>
          <w:rFonts w:ascii="Tahoma" w:eastAsia="Calibri" w:hAnsi="Tahoma" w:cs="Tahoma"/>
          <w:sz w:val="22"/>
          <w:szCs w:val="22"/>
        </w:rPr>
        <w:t xml:space="preserve"> and other interviews. The 43 councils that participated in the pilot comprised 13 inner Melbourne, 11 outer Melbourne, 5 rural cities and regional centres, 5 large rural shires and 9 small rural shires. </w:t>
      </w:r>
      <w:r w:rsidRPr="00D733EB">
        <w:rPr>
          <w:rFonts w:ascii="Tahoma" w:eastAsia="Calibri" w:hAnsi="Tahoma" w:cs="Tahoma"/>
          <w:sz w:val="22"/>
          <w:szCs w:val="22"/>
          <w:lang w:val="en-US"/>
        </w:rPr>
        <w:t>This indicates that councils from all groupings (size and location) were</w:t>
      </w:r>
      <w:r w:rsidRPr="00D733EB">
        <w:rPr>
          <w:rFonts w:ascii="Tahoma" w:eastAsia="Calibri" w:hAnsi="Tahoma" w:cs="Tahoma"/>
          <w:sz w:val="22"/>
          <w:szCs w:val="22"/>
          <w:lang w:val="en-US"/>
        </w:rPr>
        <w:br/>
        <w:t>suitably represented in the pilot, and the findings incorporate the different abilities for councils to collect and report information.</w:t>
      </w:r>
    </w:p>
    <w:p w:rsidR="0073263A" w:rsidRPr="00E84DC2" w:rsidRDefault="0073263A">
      <w:pPr>
        <w:pStyle w:val="EPANormal"/>
        <w:rPr>
          <w:rFonts w:ascii="Tahoma" w:eastAsia="Calibri" w:hAnsi="Tahoma" w:cs="Tahoma"/>
          <w:sz w:val="22"/>
          <w:szCs w:val="22"/>
        </w:rPr>
      </w:pPr>
    </w:p>
    <w:p w:rsidR="006600C6" w:rsidRPr="00E84DC2" w:rsidRDefault="00D733EB">
      <w:pPr>
        <w:pStyle w:val="EPANormal"/>
        <w:rPr>
          <w:rFonts w:ascii="Tahoma" w:eastAsia="Calibri" w:hAnsi="Tahoma" w:cs="Tahoma"/>
          <w:sz w:val="22"/>
          <w:szCs w:val="22"/>
        </w:rPr>
      </w:pPr>
      <w:r w:rsidRPr="00D733EB">
        <w:rPr>
          <w:rFonts w:ascii="Tahoma" w:eastAsia="Calibri" w:hAnsi="Tahoma" w:cs="Tahoma"/>
          <w:sz w:val="22"/>
          <w:szCs w:val="22"/>
        </w:rPr>
        <w:t>Nevertheless, the findings from the survey suggest that there could be a wide variation in the impact on individual councils, with some councils incurring up to double the cost (at least in the initial year) and others incurring a smaller cost.</w:t>
      </w:r>
    </w:p>
    <w:p w:rsidR="0073263A" w:rsidRPr="00E84DC2" w:rsidRDefault="0073263A">
      <w:pPr>
        <w:pStyle w:val="EPANormal"/>
        <w:rPr>
          <w:rFonts w:ascii="Tahoma" w:eastAsia="Calibri" w:hAnsi="Tahoma" w:cs="Tahoma"/>
          <w:sz w:val="22"/>
          <w:szCs w:val="22"/>
        </w:rPr>
      </w:pPr>
    </w:p>
    <w:p w:rsidR="00370858" w:rsidRPr="00E84DC2" w:rsidRDefault="00D733EB">
      <w:pPr>
        <w:pStyle w:val="EPANormal"/>
        <w:rPr>
          <w:rFonts w:ascii="Tahoma" w:eastAsia="Calibri" w:hAnsi="Tahoma" w:cs="Tahoma"/>
        </w:rPr>
      </w:pPr>
      <w:r w:rsidRPr="00D733EB">
        <w:rPr>
          <w:rFonts w:ascii="Tahoma" w:eastAsia="Calibri" w:hAnsi="Tahoma" w:cs="Tahoma"/>
          <w:sz w:val="22"/>
          <w:szCs w:val="22"/>
        </w:rPr>
        <w:t>The estimates in Figure 3D include the average incremental cost</w:t>
      </w:r>
      <w:r>
        <w:rPr>
          <w:rStyle w:val="FootnoteReference"/>
          <w:rFonts w:ascii="Tahoma" w:eastAsia="Calibri" w:hAnsi="Tahoma" w:cs="Tahoma"/>
          <w:sz w:val="22"/>
          <w:szCs w:val="22"/>
        </w:rPr>
        <w:footnoteReference w:id="26"/>
      </w:r>
      <w:r w:rsidRPr="00D733EB">
        <w:rPr>
          <w:rFonts w:ascii="Tahoma" w:eastAsia="Calibri" w:hAnsi="Tahoma" w:cs="Tahoma"/>
          <w:sz w:val="22"/>
          <w:szCs w:val="22"/>
        </w:rPr>
        <w:t xml:space="preserve"> of surveying the community on satisfaction of relevant indicators, and the additional costs to councils of sourcing and calculating data in the required form.  </w:t>
      </w:r>
    </w:p>
    <w:p w:rsidR="00370858" w:rsidRPr="00E84DC2" w:rsidRDefault="00370858">
      <w:pPr>
        <w:pStyle w:val="EPANormal"/>
        <w:rPr>
          <w:rFonts w:ascii="Tahoma" w:eastAsia="Calibri" w:hAnsi="Tahoma" w:cs="Tahoma"/>
        </w:rPr>
      </w:pPr>
    </w:p>
    <w:p w:rsidR="0093697F" w:rsidRPr="00E84DC2" w:rsidRDefault="00D733EB" w:rsidP="00FA724D">
      <w:pPr>
        <w:pStyle w:val="EPANormal"/>
        <w:rPr>
          <w:rFonts w:ascii="Tahoma" w:eastAsia="Calibri" w:hAnsi="Tahoma" w:cs="Tahoma"/>
          <w:sz w:val="22"/>
          <w:szCs w:val="22"/>
        </w:rPr>
      </w:pPr>
      <w:r w:rsidRPr="00D733EB">
        <w:rPr>
          <w:rFonts w:ascii="Tahoma" w:eastAsia="Calibri" w:hAnsi="Tahoma" w:cs="Tahoma"/>
          <w:sz w:val="22"/>
          <w:szCs w:val="22"/>
        </w:rPr>
        <w:t>The cost assumption assumes there will be no need for councils to upgrade IT systems, albeit some minor modifications may be required. It is also assumed that there are no additional costs associated with publishing this information, as the required information is all included in documents that are already required to be produced.</w:t>
      </w:r>
    </w:p>
    <w:p w:rsidR="00554BB6" w:rsidRPr="00E84DC2" w:rsidRDefault="00554BB6" w:rsidP="00FA724D">
      <w:pPr>
        <w:pStyle w:val="EPANormal"/>
        <w:rPr>
          <w:rFonts w:ascii="Tahoma" w:eastAsia="Calibri" w:hAnsi="Tahoma" w:cs="Tahoma"/>
          <w:sz w:val="22"/>
          <w:szCs w:val="22"/>
        </w:rPr>
      </w:pPr>
    </w:p>
    <w:p w:rsidR="00554BB6" w:rsidRPr="00E84DC2" w:rsidRDefault="00D733EB" w:rsidP="00FA724D">
      <w:pPr>
        <w:pStyle w:val="EPANormal"/>
        <w:rPr>
          <w:rFonts w:ascii="Tahoma" w:eastAsia="Calibri" w:hAnsi="Tahoma" w:cs="Tahoma"/>
          <w:sz w:val="22"/>
          <w:szCs w:val="22"/>
        </w:rPr>
      </w:pPr>
      <w:r w:rsidRPr="00D733EB">
        <w:rPr>
          <w:rFonts w:ascii="Tahoma" w:eastAsia="Calibri" w:hAnsi="Tahoma" w:cs="Tahoma"/>
          <w:sz w:val="22"/>
          <w:szCs w:val="22"/>
        </w:rPr>
        <w:t xml:space="preserve">LGV considers these estimates to be considered very conservative. Time estimates are based on councils’ experiences in the pilot program, and therefore include time to familiarise with the new indicators and identify data sources. In many cases, the time taken will fall considerably in subsequent years as the indicators become understood, data sources are known, and councils have the opportunity to largely automate data collation for reporting purposes. However, councils not part of the pilot program, or the small number who reported in the survey a larger time burden, </w:t>
      </w:r>
      <w:r w:rsidRPr="00D733EB">
        <w:rPr>
          <w:rFonts w:ascii="Tahoma" w:eastAsia="Calibri" w:hAnsi="Tahoma" w:cs="Tahoma"/>
          <w:sz w:val="22"/>
          <w:szCs w:val="22"/>
        </w:rPr>
        <w:lastRenderedPageBreak/>
        <w:t>may continue to have higher costs in the first year or two before realising efficiencies. Therefore, while the results of the survey has been used in the table above, LGV considers these represent a likely maximum burden on councils, with the costs to decrease over time.</w:t>
      </w:r>
    </w:p>
    <w:p w:rsidR="00DC6EDB" w:rsidRPr="00E84DC2" w:rsidRDefault="00DC6EDB" w:rsidP="00FA724D">
      <w:pPr>
        <w:pStyle w:val="EPANormal"/>
        <w:rPr>
          <w:rFonts w:ascii="Tahoma" w:eastAsia="Calibri" w:hAnsi="Tahoma" w:cs="Tahoma"/>
          <w:sz w:val="22"/>
          <w:szCs w:val="22"/>
        </w:rPr>
      </w:pPr>
    </w:p>
    <w:p w:rsidR="00323F76" w:rsidRPr="00E84DC2" w:rsidRDefault="00D733EB" w:rsidP="009B1DE0">
      <w:pPr>
        <w:rPr>
          <w:rFonts w:ascii="Tahoma" w:eastAsia="Calibri" w:hAnsi="Tahoma" w:cs="Tahoma"/>
          <w:sz w:val="22"/>
          <w:szCs w:val="22"/>
          <w:lang w:val="en-AU" w:eastAsia="en-US"/>
        </w:rPr>
      </w:pPr>
      <w:r w:rsidRPr="00D733EB">
        <w:rPr>
          <w:rFonts w:ascii="Tahoma" w:eastAsia="Calibri" w:hAnsi="Tahoma" w:cs="Tahoma"/>
          <w:sz w:val="22"/>
          <w:szCs w:val="22"/>
        </w:rPr>
        <w:t xml:space="preserve">Aggregated over all 79 councils in Victoria, the reporting burden of the proposed </w:t>
      </w:r>
      <w:r w:rsidRPr="00D733EB">
        <w:rPr>
          <w:rFonts w:ascii="Tahoma" w:eastAsia="Calibri" w:hAnsi="Tahoma" w:cs="Tahoma"/>
          <w:sz w:val="22"/>
          <w:szCs w:val="22"/>
          <w:lang w:val="en-AU" w:eastAsia="en-US"/>
        </w:rPr>
        <w:t>Regulations is estimated to be $276,3</w:t>
      </w:r>
      <w:r w:rsidR="00A830FF">
        <w:rPr>
          <w:rFonts w:ascii="Tahoma" w:eastAsia="Calibri" w:hAnsi="Tahoma" w:cs="Tahoma"/>
          <w:sz w:val="22"/>
          <w:szCs w:val="22"/>
          <w:lang w:val="en-AU" w:eastAsia="en-US"/>
        </w:rPr>
        <w:t>42</w:t>
      </w:r>
      <w:r w:rsidRPr="00D733EB">
        <w:rPr>
          <w:rFonts w:ascii="Tahoma" w:eastAsia="Calibri" w:hAnsi="Tahoma" w:cs="Tahoma"/>
          <w:sz w:val="22"/>
          <w:szCs w:val="22"/>
          <w:lang w:val="en-AU" w:eastAsia="en-US"/>
        </w:rPr>
        <w:t xml:space="preserve"> in 2014-15, and around $2.3 million over the next ten years (present value discounted at 3.5 per cent per annum). This is the direct incremental cost of the proposed Regulations and does not reflect any savings from the changes to the Act, or the streamlining of other reporting requirements as outlined in section 3.3. </w:t>
      </w:r>
    </w:p>
    <w:p w:rsidR="008910CA" w:rsidRPr="00E84DC2" w:rsidRDefault="008910CA" w:rsidP="009B1DE0">
      <w:pPr>
        <w:rPr>
          <w:rFonts w:ascii="Tahoma" w:eastAsia="Calibri" w:hAnsi="Tahoma" w:cs="Tahoma"/>
          <w:sz w:val="22"/>
          <w:szCs w:val="22"/>
          <w:lang w:val="en-AU" w:eastAsia="en-US"/>
        </w:rPr>
      </w:pPr>
    </w:p>
    <w:p w:rsidR="009B1DE0" w:rsidRPr="00E84DC2" w:rsidRDefault="00D733EB" w:rsidP="009B1DE0">
      <w:pPr>
        <w:rPr>
          <w:rFonts w:ascii="Tahoma" w:eastAsia="Calibri" w:hAnsi="Tahoma" w:cs="Tahoma"/>
          <w:sz w:val="22"/>
          <w:szCs w:val="22"/>
          <w:lang w:val="en-AU" w:eastAsia="en-US"/>
        </w:rPr>
      </w:pPr>
      <w:r w:rsidRPr="00D733EB">
        <w:rPr>
          <w:rFonts w:ascii="Tahoma" w:eastAsia="Calibri" w:hAnsi="Tahoma" w:cs="Tahoma"/>
          <w:sz w:val="22"/>
          <w:szCs w:val="22"/>
          <w:lang w:val="en-AU" w:eastAsia="en-US"/>
        </w:rPr>
        <w:t>As a percentage of total revenue collected through council rates, this additional cost represents less then 0.01 per cent.</w:t>
      </w:r>
      <w:r w:rsidR="00DC14B1" w:rsidRPr="00E84DC2">
        <w:rPr>
          <w:rStyle w:val="FootnoteReference"/>
          <w:rFonts w:ascii="Tahoma" w:eastAsia="Calibri" w:hAnsi="Tahoma" w:cs="Tahoma"/>
          <w:sz w:val="22"/>
          <w:szCs w:val="22"/>
          <w:lang w:val="en-AU" w:eastAsia="en-US"/>
        </w:rPr>
        <w:footnoteReference w:id="27"/>
      </w:r>
      <w:r w:rsidR="00DC14B1" w:rsidRPr="00E84DC2">
        <w:rPr>
          <w:rFonts w:ascii="Tahoma" w:eastAsia="Calibri" w:hAnsi="Tahoma" w:cs="Tahoma"/>
          <w:sz w:val="22"/>
          <w:szCs w:val="22"/>
          <w:lang w:val="en-AU" w:eastAsia="en-US"/>
        </w:rPr>
        <w:t xml:space="preserve"> It is therefore unlikely to have any material impact on council activities or rates.</w:t>
      </w:r>
    </w:p>
    <w:p w:rsidR="00C1486E" w:rsidRPr="00E84DC2" w:rsidRDefault="00C1486E" w:rsidP="009B1DE0">
      <w:pPr>
        <w:rPr>
          <w:rFonts w:ascii="Tahoma" w:eastAsia="Calibri" w:hAnsi="Tahoma" w:cs="Tahoma"/>
          <w:sz w:val="22"/>
          <w:szCs w:val="22"/>
          <w:lang w:val="en-AU" w:eastAsia="en-US"/>
        </w:rPr>
      </w:pPr>
    </w:p>
    <w:p w:rsidR="003D7ECB" w:rsidRPr="00E84DC2" w:rsidRDefault="00D733EB" w:rsidP="009B1DE0">
      <w:pPr>
        <w:rPr>
          <w:rFonts w:ascii="Tahoma" w:eastAsia="Calibri" w:hAnsi="Tahoma" w:cs="Tahoma"/>
          <w:sz w:val="22"/>
          <w:szCs w:val="22"/>
          <w:lang w:val="en-AU" w:eastAsia="en-US"/>
        </w:rPr>
      </w:pPr>
      <w:r w:rsidRPr="00D733EB">
        <w:rPr>
          <w:rFonts w:ascii="Tahoma" w:eastAsia="Calibri" w:hAnsi="Tahoma" w:cs="Tahoma"/>
          <w:sz w:val="22"/>
          <w:szCs w:val="22"/>
          <w:lang w:val="en-AU" w:eastAsia="en-US"/>
        </w:rPr>
        <w:t xml:space="preserve">While the costs have been informed by data provided by local councils, there are still a number of councils that did not participate in </w:t>
      </w:r>
      <w:r w:rsidR="00D12D1B">
        <w:rPr>
          <w:rFonts w:ascii="Tahoma" w:eastAsia="Calibri" w:hAnsi="Tahoma" w:cs="Tahoma"/>
          <w:sz w:val="22"/>
          <w:szCs w:val="22"/>
          <w:lang w:val="en-AU" w:eastAsia="en-US"/>
        </w:rPr>
        <w:t xml:space="preserve">earlier stages of </w:t>
      </w:r>
      <w:r w:rsidRPr="00D733EB">
        <w:rPr>
          <w:rFonts w:ascii="Tahoma" w:eastAsia="Calibri" w:hAnsi="Tahoma" w:cs="Tahoma"/>
          <w:sz w:val="22"/>
          <w:szCs w:val="22"/>
          <w:lang w:val="en-AU" w:eastAsia="en-US"/>
        </w:rPr>
        <w:t xml:space="preserve">the pilot program or the survey, for which costs could be higher, mostly in the first few years. Councils may wish to provide specific feedback on the appropriateness of these assumptions. </w:t>
      </w:r>
      <w:r w:rsidR="00D12D1B">
        <w:rPr>
          <w:rFonts w:ascii="Tahoma" w:eastAsia="Calibri" w:hAnsi="Tahoma" w:cs="Tahoma"/>
          <w:sz w:val="22"/>
          <w:szCs w:val="22"/>
          <w:lang w:val="en-AU" w:eastAsia="en-US"/>
        </w:rPr>
        <w:t>It is noted that all 79 councils are participating in the second phase of the pilot.</w:t>
      </w:r>
    </w:p>
    <w:p w:rsidR="00D12D1B" w:rsidRPr="00E84DC2" w:rsidRDefault="00D12D1B" w:rsidP="009B1DE0">
      <w:pPr>
        <w:rPr>
          <w:rFonts w:ascii="Tahoma" w:eastAsia="Calibri" w:hAnsi="Tahoma" w:cs="Tahoma"/>
          <w:sz w:val="22"/>
          <w:szCs w:val="22"/>
          <w:lang w:val="en-AU" w:eastAsia="en-US"/>
        </w:rPr>
      </w:pPr>
    </w:p>
    <w:p w:rsidR="003436D8" w:rsidRDefault="00D733EB" w:rsidP="009B1DE0">
      <w:pPr>
        <w:rPr>
          <w:rFonts w:ascii="Tahoma" w:eastAsia="Calibri" w:hAnsi="Tahoma" w:cs="Tahoma"/>
          <w:sz w:val="22"/>
          <w:szCs w:val="22"/>
          <w:lang w:val="en-AU" w:eastAsia="en-US"/>
        </w:rPr>
      </w:pPr>
      <w:r w:rsidRPr="00D733EB">
        <w:rPr>
          <w:rFonts w:ascii="Tahoma" w:eastAsia="Calibri" w:hAnsi="Tahoma" w:cs="Tahoma"/>
          <w:sz w:val="22"/>
          <w:szCs w:val="22"/>
          <w:lang w:val="en-AU" w:eastAsia="en-US"/>
        </w:rPr>
        <w:t>The above cost estimate reflects only those costs that have been quantified. There are other consequential costs to councils from the proposed regulations that have not been able to be directly quantified. These are:</w:t>
      </w:r>
    </w:p>
    <w:p w:rsidR="007E0EFB" w:rsidRPr="00E84DC2" w:rsidRDefault="007E0EFB" w:rsidP="007E0EFB">
      <w:pPr>
        <w:pStyle w:val="ListParagraph"/>
        <w:rPr>
          <w:rFonts w:ascii="Tahoma" w:eastAsia="Calibri" w:hAnsi="Tahoma" w:cs="Tahoma"/>
          <w:lang w:val="en-AU" w:eastAsia="en-US"/>
        </w:rPr>
      </w:pPr>
      <w:r w:rsidRPr="00E84DC2">
        <w:rPr>
          <w:rFonts w:ascii="Tahoma" w:eastAsia="Calibri" w:hAnsi="Tahoma" w:cs="Tahoma"/>
          <w:lang w:val="en-AU" w:eastAsia="en-US"/>
        </w:rPr>
        <w:t xml:space="preserve">audit costs </w:t>
      </w:r>
      <w:r>
        <w:rPr>
          <w:rFonts w:ascii="Tahoma" w:eastAsia="Calibri" w:hAnsi="Tahoma" w:cs="Tahoma"/>
          <w:lang w:val="en-AU" w:eastAsia="en-US"/>
        </w:rPr>
        <w:t>as a result of</w:t>
      </w:r>
      <w:r w:rsidRPr="00E84DC2">
        <w:rPr>
          <w:rFonts w:ascii="Tahoma" w:eastAsia="Calibri" w:hAnsi="Tahoma" w:cs="Tahoma"/>
          <w:lang w:val="en-AU" w:eastAsia="en-US"/>
        </w:rPr>
        <w:t xml:space="preserve"> </w:t>
      </w:r>
      <w:r w:rsidRPr="00E84DC2">
        <w:rPr>
          <w:rFonts w:ascii="Tahoma" w:hAnsi="Tahoma" w:cs="Tahoma"/>
        </w:rPr>
        <w:t>prescribing</w:t>
      </w:r>
      <w:r w:rsidRPr="00E84DC2">
        <w:rPr>
          <w:rFonts w:ascii="Tahoma" w:eastAsia="Calibri" w:hAnsi="Tahoma" w:cs="Tahoma"/>
          <w:lang w:val="en-AU" w:eastAsia="en-US"/>
        </w:rPr>
        <w:t xml:space="preserve"> 32 of the performance indicators</w:t>
      </w:r>
      <w:r>
        <w:rPr>
          <w:rFonts w:ascii="Tahoma" w:eastAsia="Calibri" w:hAnsi="Tahoma" w:cs="Tahoma"/>
          <w:lang w:val="en-AU" w:eastAsia="en-US"/>
        </w:rPr>
        <w:t xml:space="preserve"> to be audited </w:t>
      </w:r>
      <w:r w:rsidRPr="00E84DC2">
        <w:rPr>
          <w:rFonts w:ascii="Tahoma" w:eastAsia="Calibri" w:hAnsi="Tahoma" w:cs="Tahoma"/>
          <w:lang w:val="en-AU" w:eastAsia="en-US"/>
        </w:rPr>
        <w:t xml:space="preserve">by </w:t>
      </w:r>
      <w:r>
        <w:rPr>
          <w:rFonts w:ascii="Tahoma" w:eastAsia="Calibri" w:hAnsi="Tahoma" w:cs="Tahoma"/>
          <w:lang w:val="en-AU" w:eastAsia="en-US"/>
        </w:rPr>
        <w:t>VAGO. Under the Act, the financial statements, standard statements and performance statement contained in council’s annual report must be audited by VAGO.</w:t>
      </w:r>
      <w:r w:rsidRPr="00E84DC2">
        <w:rPr>
          <w:rFonts w:ascii="Tahoma" w:eastAsia="Calibri" w:hAnsi="Tahoma" w:cs="Tahoma"/>
          <w:lang w:val="en-AU" w:eastAsia="en-US"/>
        </w:rPr>
        <w:t xml:space="preserve"> </w:t>
      </w:r>
      <w:r>
        <w:rPr>
          <w:rFonts w:ascii="Tahoma" w:eastAsia="Calibri" w:hAnsi="Tahoma" w:cs="Tahoma"/>
          <w:lang w:val="en-AU" w:eastAsia="en-US"/>
        </w:rPr>
        <w:t xml:space="preserve">Currently </w:t>
      </w:r>
      <w:r w:rsidRPr="00E84DC2">
        <w:rPr>
          <w:rFonts w:ascii="Tahoma" w:eastAsia="Calibri" w:hAnsi="Tahoma" w:cs="Tahoma"/>
          <w:lang w:val="en-AU" w:eastAsia="en-US"/>
        </w:rPr>
        <w:t>councils</w:t>
      </w:r>
      <w:r>
        <w:rPr>
          <w:rFonts w:ascii="Tahoma" w:eastAsia="Calibri" w:hAnsi="Tahoma" w:cs="Tahoma"/>
          <w:lang w:val="en-AU" w:eastAsia="en-US"/>
        </w:rPr>
        <w:t xml:space="preserve"> </w:t>
      </w:r>
      <w:r w:rsidRPr="00E84DC2">
        <w:rPr>
          <w:rFonts w:ascii="Tahoma" w:eastAsia="Calibri" w:hAnsi="Tahoma" w:cs="Tahoma"/>
          <w:lang w:val="en-AU" w:eastAsia="en-US"/>
        </w:rPr>
        <w:t>pay a fee to VAGO based on the amount of audit work required</w:t>
      </w:r>
      <w:r>
        <w:rPr>
          <w:rFonts w:ascii="Tahoma" w:eastAsia="Calibri" w:hAnsi="Tahoma" w:cs="Tahoma"/>
          <w:lang w:val="en-AU" w:eastAsia="en-US"/>
        </w:rPr>
        <w:t xml:space="preserve"> – this amount varies across councils, ranging from $24,000 to $217,00 0 in 2012-13</w:t>
      </w:r>
      <w:r w:rsidRPr="00E84DC2">
        <w:rPr>
          <w:rFonts w:ascii="Tahoma" w:eastAsia="Calibri" w:hAnsi="Tahoma" w:cs="Tahoma"/>
          <w:lang w:val="en-AU" w:eastAsia="en-US"/>
        </w:rPr>
        <w:t xml:space="preserve">. A quantified estimate </w:t>
      </w:r>
      <w:r>
        <w:rPr>
          <w:rFonts w:ascii="Tahoma" w:eastAsia="Calibri" w:hAnsi="Tahoma" w:cs="Tahoma"/>
          <w:lang w:val="en-AU" w:eastAsia="en-US"/>
        </w:rPr>
        <w:t xml:space="preserve">of the additional auditing costs that will be incurred as a result of the new reporting requirements </w:t>
      </w:r>
      <w:r w:rsidRPr="00E84DC2">
        <w:rPr>
          <w:rFonts w:ascii="Tahoma" w:eastAsia="Calibri" w:hAnsi="Tahoma" w:cs="Tahoma"/>
          <w:lang w:val="en-AU" w:eastAsia="en-US"/>
        </w:rPr>
        <w:t>is not possible given councils may employ different methods to collect and assemble information, which affects the amount of audit effort VAGO considers necessary, however the selection of indicators to be audited has been developed in consultation with VAGO with the aim of minimising audit costs. While not quantified in the RIS, the assessment of options has had regard to there being a material audit cost associated with the proposed Regulations.</w:t>
      </w:r>
      <w:r w:rsidR="00A03A45" w:rsidRPr="00A03A45">
        <w:rPr>
          <w:rStyle w:val="FootnoteReference"/>
          <w:rFonts w:ascii="Tahoma" w:eastAsia="Calibri" w:hAnsi="Tahoma" w:cs="Tahoma"/>
          <w:lang w:val="en-AU" w:eastAsia="en-US"/>
        </w:rPr>
        <w:t xml:space="preserve"> </w:t>
      </w:r>
      <w:r w:rsidR="00A03A45">
        <w:rPr>
          <w:rStyle w:val="FootnoteReference"/>
          <w:rFonts w:ascii="Tahoma" w:eastAsia="Calibri" w:hAnsi="Tahoma" w:cs="Tahoma"/>
          <w:lang w:val="en-AU" w:eastAsia="en-US"/>
        </w:rPr>
        <w:footnoteReference w:id="28"/>
      </w:r>
      <w:r w:rsidR="00A03A45" w:rsidRPr="00D733EB">
        <w:rPr>
          <w:rFonts w:ascii="Tahoma" w:eastAsia="Calibri" w:hAnsi="Tahoma" w:cs="Tahoma"/>
          <w:lang w:val="en-AU" w:eastAsia="en-US"/>
        </w:rPr>
        <w:t xml:space="preserve"> </w:t>
      </w:r>
      <w:r w:rsidRPr="00E84DC2">
        <w:rPr>
          <w:rFonts w:ascii="Tahoma" w:eastAsia="Calibri" w:hAnsi="Tahoma" w:cs="Tahoma"/>
          <w:lang w:val="en-AU" w:eastAsia="en-US"/>
        </w:rPr>
        <w:t xml:space="preserve"> LGV will also continue to work with VAGO as the reporting </w:t>
      </w:r>
      <w:r w:rsidRPr="00E84DC2">
        <w:rPr>
          <w:rFonts w:ascii="Tahoma" w:eastAsia="Calibri" w:hAnsi="Tahoma" w:cs="Tahoma"/>
          <w:lang w:val="en-AU" w:eastAsia="en-US"/>
        </w:rPr>
        <w:lastRenderedPageBreak/>
        <w:t>framework is finalised and implemented to identify where audit costs can be minimised</w:t>
      </w:r>
      <w:r>
        <w:rPr>
          <w:rFonts w:ascii="Tahoma" w:eastAsia="Calibri" w:hAnsi="Tahoma" w:cs="Tahoma"/>
          <w:lang w:val="en-AU" w:eastAsia="en-US"/>
        </w:rPr>
        <w:t>; and</w:t>
      </w:r>
    </w:p>
    <w:p w:rsidR="007E0EFB" w:rsidRPr="00E84DC2" w:rsidRDefault="007E0EFB" w:rsidP="007E0EFB">
      <w:pPr>
        <w:pStyle w:val="ListParagraph"/>
        <w:rPr>
          <w:rFonts w:ascii="Tahoma" w:eastAsia="Calibri" w:hAnsi="Tahoma" w:cs="Tahoma"/>
          <w:lang w:val="en-AU" w:eastAsia="en-US"/>
        </w:rPr>
      </w:pPr>
      <w:r w:rsidRPr="00E84DC2">
        <w:rPr>
          <w:rFonts w:ascii="Tahoma" w:eastAsia="Calibri" w:hAnsi="Tahoma" w:cs="Tahoma"/>
          <w:lang w:val="en-AU" w:eastAsia="en-US"/>
        </w:rPr>
        <w:t xml:space="preserve">other consequential costs </w:t>
      </w:r>
      <w:r>
        <w:rPr>
          <w:rFonts w:ascii="Tahoma" w:eastAsia="Calibri" w:hAnsi="Tahoma" w:cs="Tahoma"/>
          <w:lang w:val="en-AU" w:eastAsia="en-US"/>
        </w:rPr>
        <w:t>that LGV considers are not significant, although their exact magnitude is unknown. For example, the Regulations require</w:t>
      </w:r>
      <w:r w:rsidRPr="00E84DC2">
        <w:rPr>
          <w:rFonts w:ascii="Tahoma" w:eastAsia="Calibri" w:hAnsi="Tahoma" w:cs="Tahoma"/>
          <w:lang w:val="en-AU" w:eastAsia="en-US"/>
        </w:rPr>
        <w:t xml:space="preserve"> the performance statement to be certified, in a form set out in the regulations, by the CEO and the Principal Accounting Officer</w:t>
      </w:r>
      <w:r>
        <w:rPr>
          <w:rFonts w:ascii="Tahoma" w:eastAsia="Calibri" w:hAnsi="Tahoma" w:cs="Tahoma"/>
          <w:lang w:val="en-AU" w:eastAsia="en-US"/>
        </w:rPr>
        <w:t xml:space="preserve">. The time required for them to do this (including </w:t>
      </w:r>
      <w:r w:rsidRPr="00E84DC2">
        <w:rPr>
          <w:rFonts w:ascii="Tahoma" w:eastAsia="Calibri" w:hAnsi="Tahoma" w:cs="Tahoma"/>
          <w:lang w:val="en-AU" w:eastAsia="en-US"/>
        </w:rPr>
        <w:t xml:space="preserve">to </w:t>
      </w:r>
      <w:r w:rsidRPr="00D733EB">
        <w:rPr>
          <w:rFonts w:ascii="Tahoma" w:eastAsia="Calibri" w:hAnsi="Tahoma" w:cs="Tahoma"/>
          <w:lang w:eastAsia="en-US"/>
        </w:rPr>
        <w:t>undertake additional scrutiny to satisfy themselves prior to certifying the statement</w:t>
      </w:r>
      <w:r>
        <w:rPr>
          <w:rFonts w:ascii="Tahoma" w:eastAsia="Calibri" w:hAnsi="Tahoma" w:cs="Tahoma"/>
          <w:lang w:eastAsia="en-US"/>
        </w:rPr>
        <w:t>) is not known but expected to be low</w:t>
      </w:r>
      <w:r w:rsidRPr="00D733EB">
        <w:rPr>
          <w:rFonts w:ascii="Tahoma" w:eastAsia="Calibri" w:hAnsi="Tahoma" w:cs="Tahoma"/>
          <w:lang w:eastAsia="en-US"/>
        </w:rPr>
        <w:t xml:space="preserve">. </w:t>
      </w:r>
      <w:r>
        <w:rPr>
          <w:rFonts w:ascii="Tahoma" w:eastAsia="Calibri" w:hAnsi="Tahoma" w:cs="Tahoma"/>
          <w:lang w:eastAsia="en-US"/>
        </w:rPr>
        <w:t>This is because the Act already requires the performance statement to be certified by two Councilors, so the mechanisms to allow scrutiny should already be in place.</w:t>
      </w:r>
    </w:p>
    <w:p w:rsidR="007E0EFB" w:rsidRDefault="007E0EFB" w:rsidP="009B1DE0">
      <w:pPr>
        <w:rPr>
          <w:rFonts w:ascii="Tahoma" w:eastAsia="Calibri" w:hAnsi="Tahoma" w:cs="Tahoma"/>
          <w:sz w:val="22"/>
          <w:szCs w:val="22"/>
          <w:lang w:val="en-AU" w:eastAsia="en-US"/>
        </w:rPr>
      </w:pPr>
    </w:p>
    <w:p w:rsidR="00A06B52" w:rsidRDefault="00512CA5">
      <w:pPr>
        <w:pBdr>
          <w:top w:val="single" w:sz="4" w:space="1" w:color="auto"/>
          <w:left w:val="single" w:sz="4" w:space="1" w:color="auto"/>
          <w:bottom w:val="single" w:sz="4" w:space="1" w:color="auto"/>
          <w:right w:val="single" w:sz="4" w:space="1" w:color="auto"/>
        </w:pBdr>
        <w:shd w:val="clear" w:color="auto" w:fill="C6D9F1" w:themeFill="text2" w:themeFillTint="33"/>
        <w:rPr>
          <w:rFonts w:ascii="Tahoma" w:eastAsia="Calibri" w:hAnsi="Tahoma" w:cs="Tahoma"/>
          <w:b/>
          <w:i/>
          <w:sz w:val="22"/>
          <w:szCs w:val="22"/>
          <w:lang w:val="en-AU" w:eastAsia="en-US"/>
        </w:rPr>
      </w:pPr>
      <w:r w:rsidRPr="00D733EB">
        <w:rPr>
          <w:rFonts w:ascii="Tahoma" w:eastAsia="Calibri" w:hAnsi="Tahoma" w:cs="Tahoma"/>
          <w:b/>
          <w:i/>
          <w:sz w:val="22"/>
          <w:szCs w:val="22"/>
          <w:lang w:val="en-AU" w:eastAsia="en-US"/>
        </w:rPr>
        <w:t>Feedback on cost assumptions</w:t>
      </w:r>
    </w:p>
    <w:p w:rsidR="00A06B52" w:rsidRDefault="00512CA5">
      <w:pPr>
        <w:pBdr>
          <w:top w:val="single" w:sz="4" w:space="1" w:color="auto"/>
          <w:left w:val="single" w:sz="4" w:space="1" w:color="auto"/>
          <w:bottom w:val="single" w:sz="4" w:space="1" w:color="auto"/>
          <w:right w:val="single" w:sz="4" w:space="1" w:color="auto"/>
        </w:pBdr>
        <w:shd w:val="clear" w:color="auto" w:fill="C6D9F1" w:themeFill="text2" w:themeFillTint="33"/>
        <w:rPr>
          <w:rFonts w:ascii="Tahoma" w:hAnsi="Tahoma" w:cs="Tahoma"/>
          <w:sz w:val="22"/>
          <w:szCs w:val="22"/>
        </w:rPr>
      </w:pPr>
      <w:r w:rsidRPr="00D733EB">
        <w:rPr>
          <w:rFonts w:ascii="Tahoma" w:eastAsia="Calibri" w:hAnsi="Tahoma" w:cs="Tahoma"/>
          <w:sz w:val="22"/>
          <w:szCs w:val="22"/>
          <w:lang w:val="en-AU" w:eastAsia="en-US"/>
        </w:rPr>
        <w:t>Some</w:t>
      </w:r>
      <w:r w:rsidRPr="00D733EB">
        <w:rPr>
          <w:rFonts w:ascii="Tahoma" w:hAnsi="Tahoma" w:cs="Tahoma"/>
          <w:sz w:val="22"/>
          <w:szCs w:val="22"/>
        </w:rPr>
        <w:t xml:space="preserve"> of the assumptions used to estimate the costs of the proposed R</w:t>
      </w:r>
      <w:r w:rsidRPr="00E84DC2">
        <w:rPr>
          <w:rFonts w:ascii="Tahoma" w:hAnsi="Tahoma" w:cs="Tahoma"/>
          <w:sz w:val="22"/>
          <w:szCs w:val="22"/>
        </w:rPr>
        <w:t>egulations are based on a survey and interview of some councils. To test the robustness of these assumptions, LGV is seeking views from councils on the following questions:</w:t>
      </w:r>
    </w:p>
    <w:p w:rsidR="00A06B52" w:rsidRDefault="00512CA5">
      <w:pPr>
        <w:pStyle w:val="ListParagraph"/>
        <w:pBdr>
          <w:top w:val="single" w:sz="4" w:space="1" w:color="auto"/>
          <w:left w:val="single" w:sz="4" w:space="1" w:color="auto"/>
          <w:bottom w:val="single" w:sz="4" w:space="1" w:color="auto"/>
          <w:right w:val="single" w:sz="4" w:space="1" w:color="auto"/>
        </w:pBdr>
        <w:shd w:val="clear" w:color="auto" w:fill="C6D9F1" w:themeFill="text2" w:themeFillTint="33"/>
        <w:ind w:left="426" w:hanging="426"/>
        <w:rPr>
          <w:rFonts w:ascii="Tahoma" w:hAnsi="Tahoma" w:cs="Tahoma"/>
        </w:rPr>
      </w:pPr>
      <w:r w:rsidRPr="00D733EB">
        <w:rPr>
          <w:rFonts w:ascii="Tahoma" w:hAnsi="Tahoma" w:cs="Tahoma"/>
        </w:rPr>
        <w:t>Is the time taken to complete each element as outlined in Figure 3D correct?</w:t>
      </w:r>
    </w:p>
    <w:p w:rsidR="00A06B52" w:rsidRDefault="00512CA5">
      <w:pPr>
        <w:pStyle w:val="ListParagraph"/>
        <w:pBdr>
          <w:top w:val="single" w:sz="4" w:space="1" w:color="auto"/>
          <w:left w:val="single" w:sz="4" w:space="1" w:color="auto"/>
          <w:bottom w:val="single" w:sz="4" w:space="1" w:color="auto"/>
          <w:right w:val="single" w:sz="4" w:space="1" w:color="auto"/>
        </w:pBdr>
        <w:shd w:val="clear" w:color="auto" w:fill="C6D9F1" w:themeFill="text2" w:themeFillTint="33"/>
        <w:ind w:left="426" w:hanging="426"/>
        <w:rPr>
          <w:rFonts w:ascii="Tahoma" w:hAnsi="Tahoma" w:cs="Tahoma"/>
        </w:rPr>
      </w:pPr>
      <w:r w:rsidRPr="00D733EB">
        <w:rPr>
          <w:rFonts w:ascii="Tahoma" w:hAnsi="Tahoma" w:cs="Tahoma"/>
        </w:rPr>
        <w:t>Are there other steps or tasks that councils will need to undertake in order to meet the proposed R</w:t>
      </w:r>
      <w:r w:rsidRPr="00E84DC2">
        <w:rPr>
          <w:rFonts w:ascii="Tahoma" w:hAnsi="Tahoma" w:cs="Tahoma"/>
        </w:rPr>
        <w:t>egulations?</w:t>
      </w:r>
    </w:p>
    <w:p w:rsidR="00A06B52" w:rsidRDefault="00512CA5">
      <w:pPr>
        <w:pStyle w:val="ListParagraph"/>
        <w:pBdr>
          <w:top w:val="single" w:sz="4" w:space="1" w:color="auto"/>
          <w:left w:val="single" w:sz="4" w:space="1" w:color="auto"/>
          <w:bottom w:val="single" w:sz="4" w:space="1" w:color="auto"/>
          <w:right w:val="single" w:sz="4" w:space="1" w:color="auto"/>
        </w:pBdr>
        <w:shd w:val="clear" w:color="auto" w:fill="C6D9F1" w:themeFill="text2" w:themeFillTint="33"/>
        <w:ind w:left="426" w:hanging="426"/>
        <w:rPr>
          <w:rFonts w:ascii="Tahoma" w:eastAsia="Calibri" w:hAnsi="Tahoma" w:cs="Tahoma"/>
          <w:lang w:val="en-AU" w:eastAsia="en-US"/>
        </w:rPr>
      </w:pPr>
      <w:r w:rsidRPr="00D733EB">
        <w:rPr>
          <w:rFonts w:ascii="Tahoma" w:hAnsi="Tahoma" w:cs="Tahoma"/>
        </w:rPr>
        <w:t>The estimate uses a blended hourly rate of $76.02 to calculate the total value of the time. Taking</w:t>
      </w:r>
      <w:r w:rsidRPr="00D733EB">
        <w:rPr>
          <w:rFonts w:ascii="Tahoma" w:eastAsia="Calibri" w:hAnsi="Tahoma" w:cs="Tahoma"/>
          <w:lang w:val="en-AU" w:eastAsia="en-US"/>
        </w:rPr>
        <w:t xml:space="preserve"> account of the different staff levels that will be used to collect and assemble data and produce reports, is this an appropriate value?</w:t>
      </w:r>
    </w:p>
    <w:p w:rsidR="00A06B52" w:rsidRDefault="00633927">
      <w:pPr>
        <w:pStyle w:val="ListParagraph"/>
        <w:pBdr>
          <w:top w:val="single" w:sz="4" w:space="1" w:color="auto"/>
          <w:left w:val="single" w:sz="4" w:space="1" w:color="auto"/>
          <w:bottom w:val="single" w:sz="4" w:space="1" w:color="auto"/>
          <w:right w:val="single" w:sz="4" w:space="1" w:color="auto"/>
        </w:pBdr>
        <w:shd w:val="clear" w:color="auto" w:fill="C6D9F1" w:themeFill="text2" w:themeFillTint="33"/>
        <w:ind w:left="426" w:hanging="426"/>
        <w:rPr>
          <w:rFonts w:ascii="Tahoma" w:eastAsia="Calibri" w:hAnsi="Tahoma" w:cs="Tahoma"/>
          <w:lang w:val="en-AU" w:eastAsia="en-US"/>
        </w:rPr>
      </w:pPr>
      <w:r w:rsidRPr="00633927">
        <w:rPr>
          <w:rFonts w:ascii="Tahoma" w:eastAsia="Calibri" w:hAnsi="Tahoma" w:cs="Tahoma"/>
          <w:lang w:val="en-AU" w:eastAsia="en-US"/>
        </w:rPr>
        <w:t>How reasonable is the assessment about the magnitude of these costs as well as any other costs that have not been quantified?</w:t>
      </w:r>
    </w:p>
    <w:p w:rsidR="00A06B52" w:rsidRDefault="00633927">
      <w:pPr>
        <w:pStyle w:val="ListParagraph"/>
        <w:pBdr>
          <w:top w:val="single" w:sz="4" w:space="1" w:color="auto"/>
          <w:left w:val="single" w:sz="4" w:space="1" w:color="auto"/>
          <w:bottom w:val="single" w:sz="4" w:space="1" w:color="auto"/>
          <w:right w:val="single" w:sz="4" w:space="1" w:color="auto"/>
        </w:pBdr>
        <w:shd w:val="clear" w:color="auto" w:fill="C6D9F1" w:themeFill="text2" w:themeFillTint="33"/>
        <w:ind w:left="426" w:hanging="426"/>
        <w:rPr>
          <w:rFonts w:ascii="Tahoma" w:eastAsia="Calibri" w:hAnsi="Tahoma" w:cs="Tahoma"/>
          <w:lang w:val="en-AU" w:eastAsia="en-US"/>
        </w:rPr>
      </w:pPr>
      <w:r w:rsidRPr="00633927">
        <w:rPr>
          <w:rFonts w:ascii="Tahoma" w:eastAsia="Calibri" w:hAnsi="Tahoma" w:cs="Tahoma"/>
          <w:lang w:val="en-AU" w:eastAsia="en-US"/>
        </w:rPr>
        <w:t>Are other costs that have not been quantified or considered in the RIS to be insignificant – such as information technology costs to meet the reporting requirement, or auditing costs – potentially significant?</w:t>
      </w:r>
    </w:p>
    <w:p w:rsidR="00512CA5" w:rsidRDefault="00512CA5" w:rsidP="009B1DE0">
      <w:pPr>
        <w:rPr>
          <w:rFonts w:ascii="Tahoma" w:eastAsia="Calibri" w:hAnsi="Tahoma" w:cs="Tahoma"/>
          <w:sz w:val="22"/>
          <w:szCs w:val="22"/>
          <w:lang w:val="en-AU" w:eastAsia="en-US"/>
        </w:rPr>
      </w:pPr>
    </w:p>
    <w:p w:rsidR="006C56FF" w:rsidRPr="00E84DC2" w:rsidRDefault="00A03A45" w:rsidP="009B1DE0">
      <w:pPr>
        <w:rPr>
          <w:rFonts w:ascii="Tahoma" w:eastAsia="Calibri" w:hAnsi="Tahoma" w:cs="Tahoma"/>
          <w:sz w:val="22"/>
          <w:szCs w:val="22"/>
          <w:lang w:val="en-AU" w:eastAsia="en-US"/>
        </w:rPr>
      </w:pPr>
      <w:r>
        <w:rPr>
          <w:rFonts w:ascii="Tahoma" w:eastAsia="Calibri" w:hAnsi="Tahoma" w:cs="Tahoma"/>
          <w:sz w:val="22"/>
          <w:szCs w:val="22"/>
          <w:lang w:val="en-AU" w:eastAsia="en-US"/>
        </w:rPr>
        <w:t xml:space="preserve">The Government will also incur costs given </w:t>
      </w:r>
      <w:r w:rsidRPr="00D733EB">
        <w:rPr>
          <w:rFonts w:ascii="Tahoma" w:eastAsia="Calibri" w:hAnsi="Tahoma" w:cs="Tahoma"/>
          <w:sz w:val="22"/>
          <w:szCs w:val="22"/>
          <w:lang w:val="en-AU" w:eastAsia="en-US"/>
        </w:rPr>
        <w:t>LGV</w:t>
      </w:r>
      <w:r>
        <w:rPr>
          <w:rFonts w:ascii="Tahoma" w:eastAsia="Calibri" w:hAnsi="Tahoma" w:cs="Tahoma"/>
          <w:sz w:val="22"/>
          <w:szCs w:val="22"/>
          <w:lang w:val="en-AU" w:eastAsia="en-US"/>
        </w:rPr>
        <w:t xml:space="preserve">’s </w:t>
      </w:r>
      <w:r w:rsidRPr="00D733EB">
        <w:rPr>
          <w:rFonts w:ascii="Tahoma" w:eastAsia="Calibri" w:hAnsi="Tahoma" w:cs="Tahoma"/>
          <w:sz w:val="22"/>
          <w:szCs w:val="22"/>
          <w:lang w:val="en-AU" w:eastAsia="en-US"/>
        </w:rPr>
        <w:t xml:space="preserve">role in implementation and enforcement of the Regulations.  </w:t>
      </w:r>
      <w:r w:rsidR="00D733EB" w:rsidRPr="00D733EB">
        <w:rPr>
          <w:rFonts w:ascii="Tahoma" w:eastAsia="Calibri" w:hAnsi="Tahoma" w:cs="Tahoma"/>
          <w:sz w:val="22"/>
          <w:szCs w:val="22"/>
          <w:lang w:val="en-AU" w:eastAsia="en-US"/>
        </w:rPr>
        <w:t xml:space="preserve">Specific to the requirements in the proposed Regulations (as distinct from the more general role of government in overseeing the planning and reporting framework in the Act), </w:t>
      </w:r>
      <w:r>
        <w:rPr>
          <w:rFonts w:ascii="Tahoma" w:eastAsia="Calibri" w:hAnsi="Tahoma" w:cs="Tahoma"/>
          <w:sz w:val="22"/>
          <w:szCs w:val="22"/>
          <w:lang w:val="en-AU" w:eastAsia="en-US"/>
        </w:rPr>
        <w:t>i</w:t>
      </w:r>
      <w:r w:rsidR="00D733EB" w:rsidRPr="00D733EB">
        <w:rPr>
          <w:rFonts w:ascii="Tahoma" w:eastAsia="Calibri" w:hAnsi="Tahoma" w:cs="Tahoma"/>
          <w:sz w:val="22"/>
          <w:szCs w:val="22"/>
          <w:lang w:val="en-AU" w:eastAsia="en-US"/>
        </w:rPr>
        <w:t xml:space="preserve">mplementation and enforcement activities are described in Chapter 5 of this RIS. </w:t>
      </w:r>
      <w:r>
        <w:rPr>
          <w:rFonts w:ascii="Tahoma" w:eastAsia="Calibri" w:hAnsi="Tahoma" w:cs="Tahoma"/>
          <w:sz w:val="22"/>
          <w:szCs w:val="22"/>
          <w:lang w:val="en-AU" w:eastAsia="en-US"/>
        </w:rPr>
        <w:t xml:space="preserve">Although the incremental </w:t>
      </w:r>
      <w:r w:rsidR="00D733EB" w:rsidRPr="00D733EB">
        <w:rPr>
          <w:rFonts w:ascii="Tahoma" w:eastAsia="Calibri" w:hAnsi="Tahoma" w:cs="Tahoma"/>
          <w:sz w:val="22"/>
          <w:szCs w:val="22"/>
          <w:lang w:val="en-AU" w:eastAsia="en-US"/>
        </w:rPr>
        <w:t>ongoing costs of th</w:t>
      </w:r>
      <w:r>
        <w:rPr>
          <w:rFonts w:ascii="Tahoma" w:eastAsia="Calibri" w:hAnsi="Tahoma" w:cs="Tahoma"/>
          <w:sz w:val="22"/>
          <w:szCs w:val="22"/>
          <w:lang w:val="en-AU" w:eastAsia="en-US"/>
        </w:rPr>
        <w:t xml:space="preserve">is </w:t>
      </w:r>
      <w:r w:rsidR="00D733EB" w:rsidRPr="00D733EB">
        <w:rPr>
          <w:rFonts w:ascii="Tahoma" w:eastAsia="Calibri" w:hAnsi="Tahoma" w:cs="Tahoma"/>
          <w:sz w:val="22"/>
          <w:szCs w:val="22"/>
          <w:lang w:val="en-AU" w:eastAsia="en-US"/>
        </w:rPr>
        <w:t>ha</w:t>
      </w:r>
      <w:r>
        <w:rPr>
          <w:rFonts w:ascii="Tahoma" w:eastAsia="Calibri" w:hAnsi="Tahoma" w:cs="Tahoma"/>
          <w:sz w:val="22"/>
          <w:szCs w:val="22"/>
          <w:lang w:val="en-AU" w:eastAsia="en-US"/>
        </w:rPr>
        <w:t>ve</w:t>
      </w:r>
      <w:r w:rsidR="00D733EB" w:rsidRPr="00D733EB">
        <w:rPr>
          <w:rFonts w:ascii="Tahoma" w:eastAsia="Calibri" w:hAnsi="Tahoma" w:cs="Tahoma"/>
          <w:sz w:val="22"/>
          <w:szCs w:val="22"/>
          <w:lang w:val="en-AU" w:eastAsia="en-US"/>
        </w:rPr>
        <w:t xml:space="preserve"> not been estimated, </w:t>
      </w:r>
      <w:r>
        <w:rPr>
          <w:rFonts w:ascii="Tahoma" w:eastAsia="Calibri" w:hAnsi="Tahoma" w:cs="Tahoma"/>
          <w:sz w:val="22"/>
          <w:szCs w:val="22"/>
          <w:lang w:val="en-AU" w:eastAsia="en-US"/>
        </w:rPr>
        <w:t>they are expected to be lo</w:t>
      </w:r>
      <w:r w:rsidR="00E84CE8">
        <w:rPr>
          <w:rFonts w:ascii="Tahoma" w:eastAsia="Calibri" w:hAnsi="Tahoma" w:cs="Tahoma"/>
          <w:sz w:val="22"/>
          <w:szCs w:val="22"/>
          <w:lang w:val="en-AU" w:eastAsia="en-US"/>
        </w:rPr>
        <w:t>w, given that LGV already plays</w:t>
      </w:r>
      <w:r>
        <w:rPr>
          <w:rFonts w:ascii="Tahoma" w:eastAsia="Calibri" w:hAnsi="Tahoma" w:cs="Tahoma"/>
          <w:sz w:val="22"/>
          <w:szCs w:val="22"/>
          <w:lang w:val="en-AU" w:eastAsia="en-US"/>
        </w:rPr>
        <w:t xml:space="preserve"> a more general role in overseeing the planning and reporting framework in the Act</w:t>
      </w:r>
      <w:r w:rsidR="00D733EB" w:rsidRPr="00D733EB">
        <w:rPr>
          <w:rFonts w:ascii="Tahoma" w:eastAsia="Calibri" w:hAnsi="Tahoma" w:cs="Tahoma"/>
          <w:sz w:val="22"/>
          <w:szCs w:val="22"/>
          <w:lang w:val="en-AU" w:eastAsia="en-US"/>
        </w:rPr>
        <w:t xml:space="preserve">. </w:t>
      </w:r>
    </w:p>
    <w:p w:rsidR="006C56FF" w:rsidRPr="00E84DC2" w:rsidRDefault="006C56FF" w:rsidP="009B1DE0">
      <w:pPr>
        <w:rPr>
          <w:rFonts w:ascii="Tahoma" w:eastAsia="Calibri" w:hAnsi="Tahoma" w:cs="Tahoma"/>
          <w:sz w:val="22"/>
          <w:szCs w:val="22"/>
          <w:lang w:val="en-AU" w:eastAsia="en-US"/>
        </w:rPr>
      </w:pPr>
    </w:p>
    <w:p w:rsidR="006C56FF" w:rsidRPr="00E84DC2" w:rsidRDefault="00D733EB" w:rsidP="009B1DE0">
      <w:pPr>
        <w:rPr>
          <w:rFonts w:ascii="Tahoma" w:eastAsia="Calibri" w:hAnsi="Tahoma" w:cs="Tahoma"/>
          <w:sz w:val="22"/>
          <w:szCs w:val="22"/>
          <w:lang w:val="en-AU" w:eastAsia="en-US"/>
        </w:rPr>
      </w:pPr>
      <w:r w:rsidRPr="00D733EB">
        <w:rPr>
          <w:rFonts w:ascii="Tahoma" w:eastAsia="Calibri" w:hAnsi="Tahoma" w:cs="Tahoma"/>
          <w:sz w:val="22"/>
          <w:szCs w:val="22"/>
          <w:lang w:val="en-AU" w:eastAsia="en-US"/>
        </w:rPr>
        <w:t xml:space="preserve">In terms of implementation, LGV has developed a high volume of information and guidance through the development and pilot stages which reduces the amount of work needed to create new guidance material for councils. </w:t>
      </w:r>
    </w:p>
    <w:p w:rsidR="006C56FF" w:rsidRPr="00E84DC2" w:rsidRDefault="006C56FF" w:rsidP="009B1DE0">
      <w:pPr>
        <w:rPr>
          <w:rFonts w:ascii="Tahoma" w:eastAsia="Calibri" w:hAnsi="Tahoma" w:cs="Tahoma"/>
          <w:sz w:val="22"/>
          <w:szCs w:val="22"/>
          <w:lang w:val="en-AU" w:eastAsia="en-US"/>
        </w:rPr>
      </w:pPr>
    </w:p>
    <w:p w:rsidR="004D6182" w:rsidRPr="00E84DC2" w:rsidRDefault="00D733EB" w:rsidP="009B1DE0">
      <w:pPr>
        <w:rPr>
          <w:rFonts w:ascii="Tahoma" w:eastAsia="Calibri" w:hAnsi="Tahoma" w:cs="Tahoma"/>
          <w:sz w:val="22"/>
          <w:szCs w:val="22"/>
          <w:lang w:val="en-AU" w:eastAsia="en-US"/>
        </w:rPr>
      </w:pPr>
      <w:r w:rsidRPr="00D733EB">
        <w:rPr>
          <w:rFonts w:ascii="Tahoma" w:eastAsia="Calibri" w:hAnsi="Tahoma" w:cs="Tahoma"/>
          <w:sz w:val="22"/>
          <w:szCs w:val="22"/>
          <w:lang w:val="en-AU" w:eastAsia="en-US"/>
        </w:rPr>
        <w:t xml:space="preserve">Enforcement is also expected to be  ‘light touch’, with the main levers of enforcement being the audits of data by VAGO as part of the annual audit of financial and performance statements and public scrutiny of published reports. It is not expected that there will be any additional cost to VAGO to audit the new requirements as the cost of audit will continue to be recovered on a fee-for-service basis from councils. </w:t>
      </w:r>
      <w:r w:rsidRPr="00D733EB">
        <w:rPr>
          <w:rFonts w:ascii="Tahoma" w:eastAsia="Calibri" w:hAnsi="Tahoma" w:cs="Tahoma"/>
          <w:sz w:val="22"/>
          <w:szCs w:val="22"/>
          <w:lang w:val="en-GB" w:eastAsia="en-US"/>
        </w:rPr>
        <w:t xml:space="preserve">The Local Government Investigations and Compliance </w:t>
      </w:r>
      <w:r w:rsidRPr="00D733EB">
        <w:rPr>
          <w:rFonts w:ascii="Tahoma" w:eastAsia="Calibri" w:hAnsi="Tahoma" w:cs="Tahoma"/>
          <w:sz w:val="22"/>
          <w:szCs w:val="22"/>
          <w:lang w:val="en-GB" w:eastAsia="en-US"/>
        </w:rPr>
        <w:lastRenderedPageBreak/>
        <w:t>Inspectorate will also have a role in monitoring compliance with the Act and proposed Regulations in accordance with their routine compliance audit function.</w:t>
      </w:r>
    </w:p>
    <w:p w:rsidR="00E27FB2" w:rsidRPr="00E84DC2" w:rsidRDefault="00E27FB2" w:rsidP="009B1DE0">
      <w:pPr>
        <w:rPr>
          <w:rFonts w:ascii="Tahoma" w:eastAsia="Calibri" w:hAnsi="Tahoma" w:cs="Tahoma"/>
          <w:sz w:val="22"/>
          <w:szCs w:val="22"/>
          <w:lang w:val="en-AU" w:eastAsia="en-US"/>
        </w:rPr>
      </w:pPr>
    </w:p>
    <w:p w:rsidR="00E27FB2" w:rsidRPr="00E84DC2" w:rsidRDefault="00D733EB" w:rsidP="009B1DE0">
      <w:pPr>
        <w:rPr>
          <w:rFonts w:ascii="Tahoma" w:eastAsia="Calibri" w:hAnsi="Tahoma" w:cs="Tahoma"/>
          <w:sz w:val="22"/>
          <w:szCs w:val="22"/>
          <w:lang w:val="en-AU" w:eastAsia="en-US"/>
        </w:rPr>
      </w:pPr>
      <w:r w:rsidRPr="00D733EB">
        <w:rPr>
          <w:rFonts w:ascii="Tahoma" w:eastAsia="Calibri" w:hAnsi="Tahoma" w:cs="Tahoma"/>
          <w:sz w:val="22"/>
          <w:szCs w:val="22"/>
          <w:lang w:val="en-AU" w:eastAsia="en-US"/>
        </w:rPr>
        <w:t>While VAGO has noted that, under the current system, there was little assurance councils regularly reviewed their services in accordance with best practice principles despite their statutory obligation to do so, the proposed Regulations will make councils’ compliance more transparent, with the public being able to see directly whether or not the council has reported on the indicators and their compliance against the governance and management checklist.</w:t>
      </w:r>
    </w:p>
    <w:p w:rsidR="009B1DE0" w:rsidRPr="00E84DC2" w:rsidRDefault="009B1DE0" w:rsidP="00FA724D">
      <w:pPr>
        <w:pStyle w:val="EPANormal"/>
        <w:rPr>
          <w:rFonts w:ascii="Tahoma" w:eastAsia="Calibri" w:hAnsi="Tahoma" w:cs="Tahoma"/>
          <w:sz w:val="22"/>
          <w:szCs w:val="22"/>
        </w:rPr>
      </w:pPr>
    </w:p>
    <w:p w:rsidR="00DC4B32" w:rsidRPr="00E84DC2" w:rsidRDefault="00D733EB" w:rsidP="009C7D15">
      <w:pPr>
        <w:pStyle w:val="EPANormal"/>
        <w:rPr>
          <w:rFonts w:ascii="Tahoma" w:hAnsi="Tahoma" w:cs="Tahoma"/>
          <w:sz w:val="22"/>
          <w:szCs w:val="22"/>
        </w:rPr>
      </w:pPr>
      <w:r w:rsidRPr="00D733EB">
        <w:rPr>
          <w:rFonts w:ascii="Tahoma" w:eastAsia="Calibri" w:hAnsi="Tahoma" w:cs="Tahoma"/>
          <w:sz w:val="22"/>
          <w:szCs w:val="22"/>
        </w:rPr>
        <w:t xml:space="preserve">The benefits of the proposed Regulations </w:t>
      </w:r>
      <w:r w:rsidRPr="00D733EB">
        <w:rPr>
          <w:rFonts w:ascii="Tahoma" w:hAnsi="Tahoma" w:cs="Tahoma"/>
          <w:sz w:val="22"/>
          <w:szCs w:val="22"/>
          <w:lang w:eastAsia="ja-JP"/>
        </w:rPr>
        <w:t>will be</w:t>
      </w:r>
      <w:r w:rsidR="00D12D1B">
        <w:rPr>
          <w:rFonts w:ascii="Tahoma" w:hAnsi="Tahoma" w:cs="Tahoma"/>
          <w:sz w:val="22"/>
          <w:szCs w:val="22"/>
          <w:lang w:eastAsia="ja-JP"/>
        </w:rPr>
        <w:t xml:space="preserve"> that they</w:t>
      </w:r>
      <w:r w:rsidRPr="00D733EB">
        <w:rPr>
          <w:rFonts w:ascii="Tahoma" w:hAnsi="Tahoma" w:cs="Tahoma"/>
          <w:sz w:val="22"/>
          <w:szCs w:val="22"/>
        </w:rPr>
        <w:t>:</w:t>
      </w:r>
    </w:p>
    <w:p w:rsidR="00370858" w:rsidRPr="00E84DC2" w:rsidRDefault="00D733EB">
      <w:pPr>
        <w:pStyle w:val="ListParagraph"/>
        <w:rPr>
          <w:rFonts w:ascii="Tahoma" w:hAnsi="Tahoma" w:cs="Tahoma"/>
        </w:rPr>
      </w:pPr>
      <w:r w:rsidRPr="00D733EB">
        <w:rPr>
          <w:rFonts w:ascii="Tahoma" w:hAnsi="Tahoma" w:cs="Tahoma"/>
        </w:rPr>
        <w:t>give operational effect to the planning and reporting framework established in the Act</w:t>
      </w:r>
      <w:r w:rsidR="00D12D1B">
        <w:rPr>
          <w:rFonts w:ascii="Tahoma" w:hAnsi="Tahoma" w:cs="Tahoma"/>
        </w:rPr>
        <w:t xml:space="preserve">; </w:t>
      </w:r>
    </w:p>
    <w:p w:rsidR="00370858" w:rsidRPr="00E84DC2" w:rsidRDefault="00D733EB">
      <w:pPr>
        <w:pStyle w:val="ListParagraph"/>
        <w:rPr>
          <w:rFonts w:ascii="Tahoma" w:hAnsi="Tahoma" w:cs="Tahoma"/>
          <w:lang w:val="en-AU"/>
        </w:rPr>
      </w:pPr>
      <w:r w:rsidRPr="00D733EB">
        <w:rPr>
          <w:rFonts w:ascii="Tahoma" w:hAnsi="Tahoma" w:cs="Tahoma"/>
        </w:rPr>
        <w:t>enhance</w:t>
      </w:r>
      <w:r w:rsidRPr="00D733EB">
        <w:rPr>
          <w:rFonts w:ascii="Tahoma" w:hAnsi="Tahoma" w:cs="Tahoma"/>
          <w:lang w:val="en-AU"/>
        </w:rPr>
        <w:t xml:space="preserve"> transparency and accountability through the reporting on councils’ performance</w:t>
      </w:r>
      <w:r w:rsidR="00D12D1B">
        <w:rPr>
          <w:rFonts w:ascii="Tahoma" w:hAnsi="Tahoma" w:cs="Tahoma"/>
          <w:lang w:val="en-AU"/>
        </w:rPr>
        <w:t>; and</w:t>
      </w:r>
      <w:r w:rsidRPr="00D733EB">
        <w:rPr>
          <w:rFonts w:ascii="Tahoma" w:hAnsi="Tahoma" w:cs="Tahoma"/>
          <w:lang w:val="en-AU"/>
        </w:rPr>
        <w:t xml:space="preserve"> </w:t>
      </w:r>
    </w:p>
    <w:p w:rsidR="00CD0960" w:rsidRPr="00E84DC2" w:rsidRDefault="00D733EB">
      <w:pPr>
        <w:pStyle w:val="ListParagraph"/>
        <w:rPr>
          <w:rFonts w:ascii="Tahoma" w:hAnsi="Tahoma" w:cs="Tahoma"/>
        </w:rPr>
      </w:pPr>
      <w:r w:rsidRPr="00D733EB">
        <w:rPr>
          <w:rFonts w:ascii="Tahoma" w:hAnsi="Tahoma" w:cs="Tahoma"/>
          <w:lang w:val="en-AU"/>
        </w:rPr>
        <w:t>facilitate improvements in service delivery through improving access to robust and consistent data to better scrutinise and compare councils’ performance.</w:t>
      </w:r>
    </w:p>
    <w:p w:rsidR="008700E9" w:rsidRPr="00E84DC2" w:rsidRDefault="008700E9" w:rsidP="009C7D15">
      <w:pPr>
        <w:pStyle w:val="EPANormal"/>
        <w:rPr>
          <w:rFonts w:ascii="Tahoma" w:eastAsia="Calibri" w:hAnsi="Tahoma" w:cs="Tahoma"/>
          <w:sz w:val="22"/>
          <w:szCs w:val="22"/>
        </w:rPr>
      </w:pPr>
    </w:p>
    <w:p w:rsidR="001A67FA" w:rsidRPr="00E84DC2" w:rsidRDefault="00D733EB" w:rsidP="009C7D15">
      <w:pPr>
        <w:pStyle w:val="EPANormal"/>
        <w:rPr>
          <w:rFonts w:ascii="Tahoma" w:eastAsia="Calibri" w:hAnsi="Tahoma" w:cs="Tahoma"/>
          <w:sz w:val="22"/>
          <w:szCs w:val="22"/>
        </w:rPr>
      </w:pPr>
      <w:r w:rsidRPr="00D733EB">
        <w:rPr>
          <w:rFonts w:ascii="Tahoma" w:eastAsia="Calibri" w:hAnsi="Tahoma" w:cs="Tahoma"/>
          <w:sz w:val="22"/>
          <w:szCs w:val="22"/>
        </w:rPr>
        <w:t>Noting previous comments from VAGO that a compliance-centric approach has a risk of providing a high volume of information of limited use, the proposed Regulations have been through a rigorous development stage to test a wider range of indicators and eliminate or amend those where feedback indicated that the effort in measuring the indicator was not proportionate with the importance of having the relevant information. In contrast, the process for developing the indicators and other reporting requirements in the proposed Regulations has had a primary focus on improving the quality, not just increase the volume, of information.</w:t>
      </w:r>
    </w:p>
    <w:p w:rsidR="00147877" w:rsidRPr="00E84DC2" w:rsidRDefault="00147877" w:rsidP="009C7D15">
      <w:pPr>
        <w:pStyle w:val="EPANormal"/>
        <w:rPr>
          <w:rFonts w:ascii="Tahoma" w:eastAsia="Calibri" w:hAnsi="Tahoma" w:cs="Tahoma"/>
          <w:sz w:val="22"/>
          <w:szCs w:val="22"/>
        </w:rPr>
      </w:pPr>
    </w:p>
    <w:p w:rsidR="009C7D15" w:rsidRPr="00E84DC2" w:rsidRDefault="00D733EB" w:rsidP="009C7D15">
      <w:pPr>
        <w:pStyle w:val="EPANormal"/>
        <w:rPr>
          <w:rFonts w:ascii="Tahoma" w:eastAsia="Calibri" w:hAnsi="Tahoma" w:cs="Tahoma"/>
          <w:sz w:val="22"/>
          <w:szCs w:val="22"/>
        </w:rPr>
      </w:pPr>
      <w:r w:rsidRPr="00D733EB">
        <w:rPr>
          <w:rFonts w:ascii="Tahoma" w:eastAsia="Calibri" w:hAnsi="Tahoma" w:cs="Tahoma"/>
          <w:sz w:val="22"/>
          <w:szCs w:val="22"/>
        </w:rPr>
        <w:t>These benefits are not able to be quantified. Therefore, the overall impact of the proposed Regulations has been assessed using a multi-criteria analysis. Figure 3E below shows the criteria used to assess the proposed Regulations, the scores against each criterion, and the total weighted score.</w:t>
      </w:r>
    </w:p>
    <w:p w:rsidR="00F74905" w:rsidRPr="00E84DC2" w:rsidRDefault="00F74905" w:rsidP="009C7D15">
      <w:pPr>
        <w:pStyle w:val="EPANormal"/>
        <w:rPr>
          <w:rFonts w:ascii="Tahoma" w:eastAsia="Calibri" w:hAnsi="Tahoma" w:cs="Tahoma"/>
          <w:sz w:val="22"/>
          <w:szCs w:val="22"/>
        </w:rPr>
      </w:pPr>
    </w:p>
    <w:p w:rsidR="00F74905" w:rsidRPr="00E84DC2" w:rsidRDefault="00D733EB" w:rsidP="00130711">
      <w:pPr>
        <w:pStyle w:val="EPANormal"/>
        <w:jc w:val="center"/>
        <w:rPr>
          <w:rFonts w:ascii="Tahoma" w:eastAsia="Calibri" w:hAnsi="Tahoma" w:cs="Tahoma"/>
          <w:b/>
          <w:sz w:val="22"/>
          <w:szCs w:val="22"/>
        </w:rPr>
      </w:pPr>
      <w:r w:rsidRPr="00D733EB">
        <w:rPr>
          <w:rFonts w:ascii="Tahoma" w:eastAsia="Calibri" w:hAnsi="Tahoma" w:cs="Tahoma"/>
          <w:b/>
          <w:sz w:val="22"/>
          <w:szCs w:val="22"/>
        </w:rPr>
        <w:t>Figure 3E</w:t>
      </w:r>
      <w:r w:rsidRPr="00D733EB">
        <w:rPr>
          <w:rFonts w:ascii="Tahoma" w:eastAsia="Calibri" w:hAnsi="Tahoma" w:cs="Tahoma"/>
          <w:b/>
          <w:sz w:val="22"/>
          <w:szCs w:val="22"/>
        </w:rPr>
        <w:br/>
        <w:t>Impact of proposed Regulations – Multi-criteria analysis</w:t>
      </w:r>
    </w:p>
    <w:p w:rsidR="00475442" w:rsidRPr="00E84DC2" w:rsidRDefault="00475442" w:rsidP="009C7D15">
      <w:pPr>
        <w:pStyle w:val="EPANormal"/>
        <w:rPr>
          <w:rFonts w:ascii="Tahoma" w:eastAsia="Calibri" w:hAnsi="Tahoma" w:cs="Tahoma"/>
          <w:sz w:val="4"/>
          <w:szCs w:val="4"/>
        </w:rPr>
      </w:pPr>
    </w:p>
    <w:tbl>
      <w:tblPr>
        <w:tblStyle w:val="LightList-Accent11"/>
        <w:tblW w:w="0" w:type="auto"/>
        <w:tblLook w:val="04A0" w:firstRow="1" w:lastRow="0" w:firstColumn="1" w:lastColumn="0" w:noHBand="0" w:noVBand="1"/>
      </w:tblPr>
      <w:tblGrid>
        <w:gridCol w:w="2838"/>
        <w:gridCol w:w="4641"/>
        <w:gridCol w:w="1037"/>
      </w:tblGrid>
      <w:tr w:rsidR="00475442" w:rsidRPr="00E84DC2" w:rsidTr="00130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475442" w:rsidRPr="00E84DC2" w:rsidRDefault="00D733EB" w:rsidP="009C7D15">
            <w:pPr>
              <w:pStyle w:val="EPANormal"/>
              <w:rPr>
                <w:rFonts w:ascii="Tahoma" w:eastAsia="Calibri" w:hAnsi="Tahoma" w:cs="Tahoma"/>
                <w:color w:val="auto"/>
                <w:sz w:val="20"/>
              </w:rPr>
            </w:pPr>
            <w:r w:rsidRPr="00D733EB">
              <w:rPr>
                <w:rFonts w:ascii="Tahoma" w:eastAsia="Calibri" w:hAnsi="Tahoma" w:cs="Tahoma"/>
                <w:sz w:val="20"/>
              </w:rPr>
              <w:t>Criterion</w:t>
            </w:r>
          </w:p>
        </w:tc>
        <w:tc>
          <w:tcPr>
            <w:tcW w:w="4641" w:type="dxa"/>
          </w:tcPr>
          <w:p w:rsidR="00475442" w:rsidRPr="00E84DC2" w:rsidRDefault="00D733EB" w:rsidP="009C7D15">
            <w:pPr>
              <w:pStyle w:val="EPANormal"/>
              <w:cnfStyle w:val="100000000000" w:firstRow="1" w:lastRow="0" w:firstColumn="0" w:lastColumn="0" w:oddVBand="0" w:evenVBand="0" w:oddHBand="0" w:evenHBand="0" w:firstRowFirstColumn="0" w:firstRowLastColumn="0" w:lastRowFirstColumn="0" w:lastRowLastColumn="0"/>
              <w:rPr>
                <w:rFonts w:ascii="Tahoma" w:eastAsia="Calibri" w:hAnsi="Tahoma" w:cs="Tahoma"/>
                <w:color w:val="auto"/>
                <w:sz w:val="20"/>
              </w:rPr>
            </w:pPr>
            <w:r w:rsidRPr="00D733EB">
              <w:rPr>
                <w:rFonts w:ascii="Tahoma" w:eastAsia="Calibri" w:hAnsi="Tahoma" w:cs="Tahoma"/>
                <w:sz w:val="20"/>
              </w:rPr>
              <w:t>Assessment</w:t>
            </w:r>
          </w:p>
        </w:tc>
        <w:tc>
          <w:tcPr>
            <w:tcW w:w="1037" w:type="dxa"/>
          </w:tcPr>
          <w:p w:rsidR="00475442" w:rsidRPr="00E84DC2" w:rsidRDefault="00D733EB" w:rsidP="000A3EDC">
            <w:pPr>
              <w:pStyle w:val="EPANormal"/>
              <w:jc w:val="center"/>
              <w:cnfStyle w:val="100000000000" w:firstRow="1" w:lastRow="0" w:firstColumn="0" w:lastColumn="0" w:oddVBand="0" w:evenVBand="0" w:oddHBand="0" w:evenHBand="0" w:firstRowFirstColumn="0" w:firstRowLastColumn="0" w:lastRowFirstColumn="0" w:lastRowLastColumn="0"/>
              <w:rPr>
                <w:rFonts w:ascii="Tahoma" w:eastAsia="Calibri" w:hAnsi="Tahoma" w:cs="Tahoma"/>
                <w:color w:val="auto"/>
                <w:sz w:val="20"/>
              </w:rPr>
            </w:pPr>
            <w:r w:rsidRPr="00D733EB">
              <w:rPr>
                <w:rFonts w:ascii="Tahoma" w:eastAsia="Calibri" w:hAnsi="Tahoma" w:cs="Tahoma"/>
                <w:sz w:val="20"/>
              </w:rPr>
              <w:t>Score</w:t>
            </w:r>
          </w:p>
        </w:tc>
      </w:tr>
      <w:tr w:rsidR="00475442" w:rsidRPr="00E84DC2" w:rsidTr="00130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475442" w:rsidRPr="00E84DC2" w:rsidRDefault="00D733EB" w:rsidP="009C7D15">
            <w:pPr>
              <w:pStyle w:val="EPANormal"/>
              <w:rPr>
                <w:rFonts w:ascii="Tahoma" w:eastAsia="Calibri" w:hAnsi="Tahoma" w:cs="Tahoma"/>
                <w:b w:val="0"/>
                <w:sz w:val="20"/>
              </w:rPr>
            </w:pPr>
            <w:r w:rsidRPr="00D733EB">
              <w:rPr>
                <w:rFonts w:ascii="Tahoma" w:eastAsia="Calibri" w:hAnsi="Tahoma" w:cs="Tahoma"/>
                <w:sz w:val="20"/>
              </w:rPr>
              <w:t>Improved transparency and accountability of local councils. This is achieved if reported information is comprehensive, relevant and appropriate, as well as easy to access and understand. (30%)</w:t>
            </w:r>
          </w:p>
        </w:tc>
        <w:tc>
          <w:tcPr>
            <w:tcW w:w="4641" w:type="dxa"/>
          </w:tcPr>
          <w:p w:rsidR="00475442" w:rsidRPr="00E84DC2" w:rsidRDefault="00D733EB" w:rsidP="00157553">
            <w:pPr>
              <w:pStyle w:val="EPANormal"/>
              <w:cnfStyle w:val="000000100000" w:firstRow="0" w:lastRow="0" w:firstColumn="0" w:lastColumn="0" w:oddVBand="0" w:evenVBand="0" w:oddHBand="1" w:evenHBand="0" w:firstRowFirstColumn="0" w:firstRowLastColumn="0" w:lastRowFirstColumn="0" w:lastRowLastColumn="0"/>
              <w:rPr>
                <w:rFonts w:ascii="Tahoma" w:eastAsia="Calibri" w:hAnsi="Tahoma" w:cs="Tahoma"/>
                <w:sz w:val="20"/>
              </w:rPr>
            </w:pPr>
            <w:r w:rsidRPr="00D733EB">
              <w:rPr>
                <w:rFonts w:ascii="Tahoma" w:eastAsia="Calibri" w:hAnsi="Tahoma" w:cs="Tahoma"/>
                <w:sz w:val="20"/>
              </w:rPr>
              <w:t>The proposed Regulations require reporting against a set of common indicators that have been recommended in a number of reports. They promote transparency by being relatively comprehensive while being succinct and easy to understand.</w:t>
            </w:r>
          </w:p>
        </w:tc>
        <w:tc>
          <w:tcPr>
            <w:tcW w:w="1037" w:type="dxa"/>
          </w:tcPr>
          <w:p w:rsidR="00475442" w:rsidRPr="00E84DC2" w:rsidRDefault="00D733EB" w:rsidP="000A3EDC">
            <w:pPr>
              <w:pStyle w:val="EPANormal"/>
              <w:jc w:val="center"/>
              <w:cnfStyle w:val="000000100000" w:firstRow="0" w:lastRow="0" w:firstColumn="0" w:lastColumn="0" w:oddVBand="0" w:evenVBand="0" w:oddHBand="1" w:evenHBand="0" w:firstRowFirstColumn="0" w:firstRowLastColumn="0" w:lastRowFirstColumn="0" w:lastRowLastColumn="0"/>
              <w:rPr>
                <w:rFonts w:ascii="Tahoma" w:eastAsia="Calibri" w:hAnsi="Tahoma" w:cs="Tahoma"/>
                <w:sz w:val="20"/>
              </w:rPr>
            </w:pPr>
            <w:r w:rsidRPr="00D733EB">
              <w:rPr>
                <w:rFonts w:ascii="Tahoma" w:eastAsia="Calibri" w:hAnsi="Tahoma" w:cs="Tahoma"/>
                <w:sz w:val="20"/>
              </w:rPr>
              <w:t>80</w:t>
            </w:r>
          </w:p>
        </w:tc>
      </w:tr>
      <w:tr w:rsidR="00475442" w:rsidRPr="00E84DC2" w:rsidTr="00130711">
        <w:tc>
          <w:tcPr>
            <w:cnfStyle w:val="001000000000" w:firstRow="0" w:lastRow="0" w:firstColumn="1" w:lastColumn="0" w:oddVBand="0" w:evenVBand="0" w:oddHBand="0" w:evenHBand="0" w:firstRowFirstColumn="0" w:firstRowLastColumn="0" w:lastRowFirstColumn="0" w:lastRowLastColumn="0"/>
            <w:tcW w:w="2838" w:type="dxa"/>
          </w:tcPr>
          <w:p w:rsidR="00475442" w:rsidRPr="00E84DC2" w:rsidRDefault="00D733EB" w:rsidP="009C7D15">
            <w:pPr>
              <w:pStyle w:val="EPANormal"/>
              <w:rPr>
                <w:rFonts w:ascii="Tahoma" w:eastAsia="Calibri" w:hAnsi="Tahoma" w:cs="Tahoma"/>
                <w:sz w:val="20"/>
              </w:rPr>
            </w:pPr>
            <w:r w:rsidRPr="00D733EB">
              <w:rPr>
                <w:rFonts w:ascii="Tahoma" w:eastAsia="Calibri" w:hAnsi="Tahoma" w:cs="Tahoma"/>
                <w:sz w:val="20"/>
              </w:rPr>
              <w:t xml:space="preserve">Increases focus on continuous improvements in council effectiveness and efficiency. This is achieved where information is consistent across councils, robust, and reflects the quantity, </w:t>
            </w:r>
            <w:r w:rsidRPr="00D733EB">
              <w:rPr>
                <w:rFonts w:ascii="Tahoma" w:eastAsia="Calibri" w:hAnsi="Tahoma" w:cs="Tahoma"/>
                <w:sz w:val="20"/>
              </w:rPr>
              <w:lastRenderedPageBreak/>
              <w:t>quality, timeliness and costs of services. (20%)</w:t>
            </w:r>
          </w:p>
        </w:tc>
        <w:tc>
          <w:tcPr>
            <w:tcW w:w="4641" w:type="dxa"/>
          </w:tcPr>
          <w:p w:rsidR="00475442" w:rsidRPr="00E84DC2" w:rsidRDefault="00DC14B1" w:rsidP="00587130">
            <w:pPr>
              <w:pStyle w:val="EPANormal"/>
              <w:cnfStyle w:val="000000000000" w:firstRow="0" w:lastRow="0" w:firstColumn="0" w:lastColumn="0" w:oddVBand="0" w:evenVBand="0" w:oddHBand="0" w:evenHBand="0" w:firstRowFirstColumn="0" w:firstRowLastColumn="0" w:lastRowFirstColumn="0" w:lastRowLastColumn="0"/>
              <w:rPr>
                <w:rFonts w:ascii="Tahoma" w:eastAsia="Calibri" w:hAnsi="Tahoma" w:cs="Tahoma"/>
                <w:sz w:val="20"/>
              </w:rPr>
            </w:pPr>
            <w:r w:rsidRPr="00E84DC2">
              <w:rPr>
                <w:rFonts w:ascii="Tahoma" w:eastAsia="Calibri" w:hAnsi="Tahoma" w:cs="Tahoma"/>
                <w:sz w:val="20"/>
              </w:rPr>
              <w:lastRenderedPageBreak/>
              <w:t>The proposed Regulations will ensure that all councils report performance against a common set of financial and non-financial indicators that reflect community expectations. A common reporting framework will allow comparison</w:t>
            </w:r>
            <w:r w:rsidR="00D733EB" w:rsidRPr="00D733EB">
              <w:rPr>
                <w:rFonts w:ascii="Tahoma" w:eastAsia="Calibri" w:hAnsi="Tahoma" w:cs="Tahoma"/>
                <w:sz w:val="20"/>
              </w:rPr>
              <w:t xml:space="preserve">s and benchmarking, which will place increased attention on the efficiency and effectiveness of local councils. However, as the planning and </w:t>
            </w:r>
            <w:r w:rsidR="00D733EB" w:rsidRPr="00D733EB">
              <w:rPr>
                <w:rFonts w:ascii="Tahoma" w:eastAsia="Calibri" w:hAnsi="Tahoma" w:cs="Tahoma"/>
                <w:sz w:val="20"/>
              </w:rPr>
              <w:lastRenderedPageBreak/>
              <w:t>reporting requirements include only a small set of indicators, the proposed Regulations were assessed as scoring 60 out of 100 for this criterion.</w:t>
            </w:r>
          </w:p>
        </w:tc>
        <w:tc>
          <w:tcPr>
            <w:tcW w:w="1037" w:type="dxa"/>
          </w:tcPr>
          <w:p w:rsidR="00475442" w:rsidRPr="00E84DC2" w:rsidRDefault="00D733EB" w:rsidP="000A3EDC">
            <w:pPr>
              <w:pStyle w:val="EPANormal"/>
              <w:jc w:val="center"/>
              <w:cnfStyle w:val="000000000000" w:firstRow="0" w:lastRow="0" w:firstColumn="0" w:lastColumn="0" w:oddVBand="0" w:evenVBand="0" w:oddHBand="0" w:evenHBand="0" w:firstRowFirstColumn="0" w:firstRowLastColumn="0" w:lastRowFirstColumn="0" w:lastRowLastColumn="0"/>
              <w:rPr>
                <w:rFonts w:ascii="Tahoma" w:eastAsia="Calibri" w:hAnsi="Tahoma" w:cs="Tahoma"/>
                <w:sz w:val="20"/>
              </w:rPr>
            </w:pPr>
            <w:r w:rsidRPr="00D733EB">
              <w:rPr>
                <w:rFonts w:ascii="Tahoma" w:eastAsia="Calibri" w:hAnsi="Tahoma" w:cs="Tahoma"/>
                <w:sz w:val="20"/>
              </w:rPr>
              <w:lastRenderedPageBreak/>
              <w:t>60</w:t>
            </w:r>
          </w:p>
        </w:tc>
      </w:tr>
      <w:tr w:rsidR="00231960" w:rsidRPr="00E84DC2" w:rsidTr="00130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231960" w:rsidRPr="00E84DC2" w:rsidRDefault="00D733EB" w:rsidP="009C7D15">
            <w:pPr>
              <w:pStyle w:val="EPANormal"/>
              <w:rPr>
                <w:rFonts w:ascii="Tahoma" w:eastAsia="Calibri" w:hAnsi="Tahoma" w:cs="Tahoma"/>
                <w:b w:val="0"/>
                <w:sz w:val="20"/>
              </w:rPr>
            </w:pPr>
            <w:r w:rsidRPr="00D733EB">
              <w:rPr>
                <w:rFonts w:ascii="Tahoma" w:eastAsia="Calibri" w:hAnsi="Tahoma" w:cs="Tahoma"/>
                <w:sz w:val="20"/>
              </w:rPr>
              <w:lastRenderedPageBreak/>
              <w:t>Costs of providing information. (50%)</w:t>
            </w:r>
          </w:p>
        </w:tc>
        <w:tc>
          <w:tcPr>
            <w:tcW w:w="4641" w:type="dxa"/>
          </w:tcPr>
          <w:p w:rsidR="00231960" w:rsidRPr="00E84DC2" w:rsidRDefault="00D733EB" w:rsidP="00D12D1B">
            <w:pPr>
              <w:pStyle w:val="EPANormal"/>
              <w:cnfStyle w:val="000000100000" w:firstRow="0" w:lastRow="0" w:firstColumn="0" w:lastColumn="0" w:oddVBand="0" w:evenVBand="0" w:oddHBand="1" w:evenHBand="0" w:firstRowFirstColumn="0" w:firstRowLastColumn="0" w:lastRowFirstColumn="0" w:lastRowLastColumn="0"/>
              <w:rPr>
                <w:rFonts w:ascii="Tahoma" w:eastAsia="Calibri" w:hAnsi="Tahoma" w:cs="Tahoma"/>
                <w:sz w:val="20"/>
              </w:rPr>
            </w:pPr>
            <w:r w:rsidRPr="00D733EB">
              <w:rPr>
                <w:rFonts w:ascii="Tahoma" w:eastAsia="Calibri" w:hAnsi="Tahoma" w:cs="Tahoma"/>
                <w:sz w:val="20"/>
              </w:rPr>
              <w:t>There is a small incremental cost to local councils. The cost, on average, is very small compared to overall costs and revenue.</w:t>
            </w:r>
          </w:p>
        </w:tc>
        <w:tc>
          <w:tcPr>
            <w:tcW w:w="1037" w:type="dxa"/>
          </w:tcPr>
          <w:p w:rsidR="00231960" w:rsidRPr="00E84DC2" w:rsidRDefault="00D733EB" w:rsidP="000A3EDC">
            <w:pPr>
              <w:pStyle w:val="EPANormal"/>
              <w:jc w:val="center"/>
              <w:cnfStyle w:val="000000100000" w:firstRow="0" w:lastRow="0" w:firstColumn="0" w:lastColumn="0" w:oddVBand="0" w:evenVBand="0" w:oddHBand="1" w:evenHBand="0" w:firstRowFirstColumn="0" w:firstRowLastColumn="0" w:lastRowFirstColumn="0" w:lastRowLastColumn="0"/>
              <w:rPr>
                <w:rFonts w:ascii="Tahoma" w:eastAsia="Calibri" w:hAnsi="Tahoma" w:cs="Tahoma"/>
                <w:sz w:val="20"/>
              </w:rPr>
            </w:pPr>
            <w:r w:rsidRPr="00D733EB">
              <w:rPr>
                <w:rFonts w:ascii="Tahoma" w:eastAsia="Calibri" w:hAnsi="Tahoma" w:cs="Tahoma"/>
                <w:sz w:val="20"/>
              </w:rPr>
              <w:t>-50</w:t>
            </w:r>
          </w:p>
        </w:tc>
      </w:tr>
      <w:tr w:rsidR="0056101A" w:rsidRPr="00E84DC2" w:rsidTr="00130711">
        <w:tc>
          <w:tcPr>
            <w:cnfStyle w:val="001000000000" w:firstRow="0" w:lastRow="0" w:firstColumn="1" w:lastColumn="0" w:oddVBand="0" w:evenVBand="0" w:oddHBand="0" w:evenHBand="0" w:firstRowFirstColumn="0" w:firstRowLastColumn="0" w:lastRowFirstColumn="0" w:lastRowLastColumn="0"/>
            <w:tcW w:w="2838" w:type="dxa"/>
          </w:tcPr>
          <w:p w:rsidR="0056101A" w:rsidRPr="00E84DC2" w:rsidRDefault="00D733EB" w:rsidP="009C7D15">
            <w:pPr>
              <w:pStyle w:val="EPANormal"/>
              <w:rPr>
                <w:rFonts w:ascii="Tahoma" w:eastAsia="Calibri" w:hAnsi="Tahoma" w:cs="Tahoma"/>
                <w:sz w:val="20"/>
              </w:rPr>
            </w:pPr>
            <w:r w:rsidRPr="00D733EB">
              <w:rPr>
                <w:rFonts w:ascii="Tahoma" w:eastAsia="Calibri" w:hAnsi="Tahoma" w:cs="Tahoma"/>
                <w:sz w:val="20"/>
              </w:rPr>
              <w:t>TOTAL SCORE (weighted)</w:t>
            </w:r>
          </w:p>
        </w:tc>
        <w:tc>
          <w:tcPr>
            <w:tcW w:w="4641" w:type="dxa"/>
          </w:tcPr>
          <w:p w:rsidR="0056101A" w:rsidRPr="00E84DC2" w:rsidRDefault="0056101A" w:rsidP="009C7D15">
            <w:pPr>
              <w:pStyle w:val="EPANormal"/>
              <w:cnfStyle w:val="000000000000" w:firstRow="0" w:lastRow="0" w:firstColumn="0" w:lastColumn="0" w:oddVBand="0" w:evenVBand="0" w:oddHBand="0" w:evenHBand="0" w:firstRowFirstColumn="0" w:firstRowLastColumn="0" w:lastRowFirstColumn="0" w:lastRowLastColumn="0"/>
              <w:rPr>
                <w:rFonts w:ascii="Tahoma" w:eastAsia="Calibri" w:hAnsi="Tahoma" w:cs="Tahoma"/>
                <w:sz w:val="20"/>
              </w:rPr>
            </w:pPr>
          </w:p>
        </w:tc>
        <w:tc>
          <w:tcPr>
            <w:tcW w:w="1037" w:type="dxa"/>
          </w:tcPr>
          <w:p w:rsidR="0056101A" w:rsidRPr="00E84DC2" w:rsidRDefault="00D733EB" w:rsidP="000A3EDC">
            <w:pPr>
              <w:pStyle w:val="EPANormal"/>
              <w:jc w:val="center"/>
              <w:cnfStyle w:val="000000000000" w:firstRow="0" w:lastRow="0" w:firstColumn="0" w:lastColumn="0" w:oddVBand="0" w:evenVBand="0" w:oddHBand="0" w:evenHBand="0" w:firstRowFirstColumn="0" w:firstRowLastColumn="0" w:lastRowFirstColumn="0" w:lastRowLastColumn="0"/>
              <w:rPr>
                <w:rFonts w:ascii="Tahoma" w:eastAsia="Calibri" w:hAnsi="Tahoma" w:cs="Tahoma"/>
                <w:b/>
                <w:sz w:val="20"/>
              </w:rPr>
            </w:pPr>
            <w:r w:rsidRPr="00D733EB">
              <w:rPr>
                <w:rFonts w:ascii="Tahoma" w:eastAsia="Calibri" w:hAnsi="Tahoma" w:cs="Tahoma"/>
                <w:b/>
                <w:sz w:val="20"/>
              </w:rPr>
              <w:t>11</w:t>
            </w:r>
          </w:p>
        </w:tc>
      </w:tr>
    </w:tbl>
    <w:p w:rsidR="00475442" w:rsidRPr="00E84DC2" w:rsidRDefault="00D733EB" w:rsidP="009C7D15">
      <w:pPr>
        <w:pStyle w:val="EPANormal"/>
        <w:rPr>
          <w:rFonts w:ascii="Tahoma" w:eastAsia="Calibri" w:hAnsi="Tahoma" w:cs="Tahoma"/>
          <w:i/>
          <w:sz w:val="18"/>
          <w:szCs w:val="18"/>
        </w:rPr>
      </w:pPr>
      <w:r w:rsidRPr="00D733EB">
        <w:rPr>
          <w:rFonts w:ascii="Tahoma" w:eastAsia="Calibri" w:hAnsi="Tahoma" w:cs="Tahoma"/>
          <w:i/>
          <w:sz w:val="18"/>
          <w:szCs w:val="18"/>
        </w:rPr>
        <w:t>Notes:</w:t>
      </w:r>
    </w:p>
    <w:p w:rsidR="00951844" w:rsidRPr="00E84DC2" w:rsidRDefault="00D733EB" w:rsidP="009C7D15">
      <w:pPr>
        <w:pStyle w:val="EPANormal"/>
        <w:rPr>
          <w:rFonts w:ascii="Tahoma" w:eastAsia="Calibri" w:hAnsi="Tahoma" w:cs="Tahoma"/>
          <w:i/>
          <w:sz w:val="18"/>
          <w:szCs w:val="18"/>
        </w:rPr>
      </w:pPr>
      <w:r w:rsidRPr="00D733EB">
        <w:rPr>
          <w:rFonts w:ascii="Tahoma" w:eastAsia="Calibri" w:hAnsi="Tahoma" w:cs="Tahoma"/>
          <w:i/>
          <w:sz w:val="18"/>
          <w:szCs w:val="18"/>
        </w:rPr>
        <w:t>The criteria weightings reflect the relative importance of each in its contribution to the overall objective of the proposed Regulations. Costs of regulations are weighted at 50% to ensure that benefits and costs are given proportional consideration.</w:t>
      </w:r>
    </w:p>
    <w:p w:rsidR="00EB69B0" w:rsidRPr="00E84DC2" w:rsidRDefault="00D733EB" w:rsidP="009C7D15">
      <w:pPr>
        <w:pStyle w:val="EPANormal"/>
        <w:rPr>
          <w:rFonts w:ascii="Tahoma" w:eastAsia="Calibri" w:hAnsi="Tahoma" w:cs="Tahoma"/>
          <w:i/>
          <w:sz w:val="18"/>
          <w:szCs w:val="18"/>
        </w:rPr>
      </w:pPr>
      <w:r w:rsidRPr="00D733EB">
        <w:rPr>
          <w:rFonts w:ascii="Tahoma" w:eastAsia="Calibri" w:hAnsi="Tahoma" w:cs="Tahoma"/>
          <w:i/>
          <w:sz w:val="18"/>
          <w:szCs w:val="18"/>
        </w:rPr>
        <w:t>Scores for each criterion range from -100 to +100 compared to the base case of zero.</w:t>
      </w:r>
    </w:p>
    <w:p w:rsidR="00951844" w:rsidRPr="00E84DC2" w:rsidRDefault="00951844" w:rsidP="009C7D15">
      <w:pPr>
        <w:pStyle w:val="EPANormal"/>
        <w:rPr>
          <w:rFonts w:ascii="Tahoma" w:eastAsia="Calibri" w:hAnsi="Tahoma" w:cs="Tahoma"/>
          <w:sz w:val="22"/>
          <w:szCs w:val="22"/>
        </w:rPr>
      </w:pPr>
    </w:p>
    <w:p w:rsidR="00072009" w:rsidRPr="00E84DC2" w:rsidRDefault="00D733EB" w:rsidP="009C7D15">
      <w:pPr>
        <w:pStyle w:val="EPANormal"/>
        <w:rPr>
          <w:rFonts w:ascii="Tahoma" w:eastAsia="Calibri" w:hAnsi="Tahoma" w:cs="Tahoma"/>
          <w:sz w:val="22"/>
          <w:szCs w:val="22"/>
        </w:rPr>
      </w:pPr>
      <w:r w:rsidRPr="00D733EB">
        <w:rPr>
          <w:rFonts w:ascii="Tahoma" w:eastAsia="Calibri" w:hAnsi="Tahoma" w:cs="Tahoma"/>
          <w:sz w:val="22"/>
          <w:szCs w:val="22"/>
        </w:rPr>
        <w:t xml:space="preserve">For the purposes of section 10(2) of the </w:t>
      </w:r>
      <w:r w:rsidRPr="00D733EB">
        <w:rPr>
          <w:rFonts w:ascii="Tahoma" w:eastAsia="Calibri" w:hAnsi="Tahoma" w:cs="Tahoma"/>
          <w:i/>
          <w:sz w:val="22"/>
          <w:szCs w:val="22"/>
        </w:rPr>
        <w:t>Subordinate Legislation Act 1994</w:t>
      </w:r>
      <w:r w:rsidRPr="00D733EB">
        <w:rPr>
          <w:rFonts w:ascii="Tahoma" w:eastAsia="Calibri" w:hAnsi="Tahoma" w:cs="Tahoma"/>
          <w:sz w:val="22"/>
          <w:szCs w:val="22"/>
        </w:rPr>
        <w:t>, the overall assessed impacts of the proposed Regulations can be summarised as:</w:t>
      </w:r>
    </w:p>
    <w:p w:rsidR="00370858" w:rsidRPr="00E84DC2" w:rsidRDefault="00D733EB">
      <w:pPr>
        <w:pStyle w:val="ListParagraph"/>
        <w:rPr>
          <w:rFonts w:ascii="Tahoma" w:hAnsi="Tahoma" w:cs="Tahoma"/>
        </w:rPr>
      </w:pPr>
      <w:r w:rsidRPr="00D733EB">
        <w:rPr>
          <w:rFonts w:ascii="Tahoma" w:hAnsi="Tahoma" w:cs="Tahoma"/>
        </w:rPr>
        <w:t>economic impacts – better use of resources in the medium term</w:t>
      </w:r>
      <w:r w:rsidR="00D12D1B">
        <w:rPr>
          <w:rFonts w:ascii="Tahoma" w:hAnsi="Tahoma" w:cs="Tahoma"/>
        </w:rPr>
        <w:t>;</w:t>
      </w:r>
    </w:p>
    <w:p w:rsidR="00370858" w:rsidRPr="00E84DC2" w:rsidRDefault="00D733EB">
      <w:pPr>
        <w:pStyle w:val="ListParagraph"/>
        <w:rPr>
          <w:rFonts w:ascii="Tahoma" w:hAnsi="Tahoma" w:cs="Tahoma"/>
        </w:rPr>
      </w:pPr>
      <w:r w:rsidRPr="00D733EB">
        <w:rPr>
          <w:rFonts w:ascii="Tahoma" w:hAnsi="Tahoma" w:cs="Tahoma"/>
        </w:rPr>
        <w:t>social and environmental impacts – a sharper focus on council performance is expected to lead to improved social and environment services by councils in the medium term</w:t>
      </w:r>
      <w:r w:rsidR="00D12D1B">
        <w:rPr>
          <w:rFonts w:ascii="Tahoma" w:hAnsi="Tahoma" w:cs="Tahoma"/>
        </w:rPr>
        <w:t>; and</w:t>
      </w:r>
    </w:p>
    <w:p w:rsidR="00370858" w:rsidRPr="00E84DC2" w:rsidRDefault="00D733EB">
      <w:pPr>
        <w:pStyle w:val="ListParagraph"/>
        <w:rPr>
          <w:rFonts w:ascii="Tahoma" w:eastAsia="Calibri" w:hAnsi="Tahoma" w:cs="Tahoma"/>
        </w:rPr>
      </w:pPr>
      <w:r w:rsidRPr="00D733EB">
        <w:rPr>
          <w:rFonts w:ascii="Tahoma" w:eastAsia="Times New Roman" w:hAnsi="Tahoma" w:cs="Tahoma"/>
        </w:rPr>
        <w:t>administration and compliance costs including resource allocation costs</w:t>
      </w:r>
      <w:r w:rsidRPr="00D733EB">
        <w:rPr>
          <w:rFonts w:ascii="Tahoma" w:hAnsi="Tahoma" w:cs="Tahoma"/>
        </w:rPr>
        <w:t xml:space="preserve"> – a small additional cost on councils in the time and resources needed to collect, prepare and publish the required performance information.</w:t>
      </w:r>
    </w:p>
    <w:p w:rsidR="005403BC" w:rsidRPr="00E84DC2" w:rsidRDefault="005403BC" w:rsidP="005403BC">
      <w:pPr>
        <w:pStyle w:val="EPANormal"/>
        <w:rPr>
          <w:rFonts w:ascii="Tahoma" w:eastAsia="Calibri" w:hAnsi="Tahoma" w:cs="Tahoma"/>
          <w:sz w:val="22"/>
          <w:szCs w:val="22"/>
        </w:rPr>
      </w:pPr>
    </w:p>
    <w:p w:rsidR="005403BC" w:rsidRDefault="00D733EB" w:rsidP="005403BC">
      <w:pPr>
        <w:pStyle w:val="EPANormal"/>
        <w:rPr>
          <w:rFonts w:ascii="Tahoma" w:eastAsia="Calibri" w:hAnsi="Tahoma" w:cs="Tahoma"/>
          <w:sz w:val="22"/>
          <w:szCs w:val="22"/>
        </w:rPr>
      </w:pPr>
      <w:r w:rsidRPr="00D733EB">
        <w:rPr>
          <w:rFonts w:ascii="Tahoma" w:eastAsia="Calibri" w:hAnsi="Tahoma" w:cs="Tahoma"/>
          <w:sz w:val="22"/>
          <w:szCs w:val="22"/>
        </w:rPr>
        <w:t>On balance, the Victorian Government considers that the additional benefits of the proposed Regulations far exceed the expected costs.</w:t>
      </w:r>
    </w:p>
    <w:p w:rsidR="00DC6BA4" w:rsidRDefault="00DC6BA4">
      <w:pPr>
        <w:rPr>
          <w:rFonts w:ascii="Tahoma" w:eastAsia="Calibri" w:hAnsi="Tahoma" w:cs="Tahoma"/>
          <w:b/>
          <w:bCs/>
          <w:sz w:val="22"/>
          <w:szCs w:val="22"/>
          <w:lang w:val="en-AU"/>
        </w:rPr>
      </w:pPr>
      <w:r>
        <w:rPr>
          <w:rFonts w:eastAsia="Calibri"/>
          <w:sz w:val="22"/>
          <w:szCs w:val="22"/>
        </w:rPr>
        <w:br w:type="page"/>
      </w:r>
    </w:p>
    <w:p w:rsidR="00C8259C" w:rsidRPr="00E84DC2" w:rsidRDefault="00D733EB" w:rsidP="00E84CE8">
      <w:pPr>
        <w:pStyle w:val="Heading1"/>
      </w:pPr>
      <w:bookmarkStart w:id="17" w:name="_Toc379878662"/>
      <w:r w:rsidRPr="00D733EB">
        <w:lastRenderedPageBreak/>
        <w:t>ALTERNATIVE OPTIONS</w:t>
      </w:r>
      <w:bookmarkEnd w:id="17"/>
    </w:p>
    <w:p w:rsidR="00BE37E6" w:rsidRPr="00E84DC2" w:rsidRDefault="00BE37E6" w:rsidP="00BE37E6">
      <w:pPr>
        <w:rPr>
          <w:rFonts w:ascii="Tahoma" w:hAnsi="Tahoma" w:cs="Tahoma"/>
          <w:lang w:val="en-AU"/>
        </w:rPr>
      </w:pPr>
    </w:p>
    <w:p w:rsidR="00BF410C" w:rsidRPr="00E84DC2" w:rsidRDefault="00D733EB" w:rsidP="00BF410C">
      <w:pPr>
        <w:pBdr>
          <w:top w:val="single" w:sz="4" w:space="1" w:color="auto"/>
          <w:left w:val="single" w:sz="4" w:space="4" w:color="auto"/>
          <w:bottom w:val="single" w:sz="4" w:space="1" w:color="auto"/>
          <w:right w:val="single" w:sz="4" w:space="4" w:color="auto"/>
        </w:pBdr>
        <w:shd w:val="clear" w:color="auto" w:fill="C6D9F1"/>
        <w:spacing w:after="100"/>
        <w:rPr>
          <w:rFonts w:ascii="Tahoma" w:eastAsia="Calibri" w:hAnsi="Tahoma" w:cs="Tahoma"/>
          <w:b/>
          <w:i/>
          <w:sz w:val="22"/>
          <w:szCs w:val="22"/>
          <w:lang w:val="en-AU"/>
        </w:rPr>
      </w:pPr>
      <w:r w:rsidRPr="00D733EB">
        <w:rPr>
          <w:rFonts w:ascii="Tahoma" w:eastAsia="Calibri" w:hAnsi="Tahoma" w:cs="Tahoma"/>
          <w:b/>
          <w:i/>
          <w:sz w:val="22"/>
          <w:szCs w:val="22"/>
          <w:lang w:val="en-AU"/>
        </w:rPr>
        <w:t>Key points</w:t>
      </w:r>
    </w:p>
    <w:p w:rsidR="00BE37E6" w:rsidRPr="00E84DC2" w:rsidRDefault="00D733EB" w:rsidP="006C56FF">
      <w:pPr>
        <w:pStyle w:val="ListParagraph"/>
        <w:numPr>
          <w:ilvl w:val="0"/>
          <w:numId w:val="29"/>
        </w:numPr>
        <w:pBdr>
          <w:top w:val="single" w:sz="4" w:space="1" w:color="auto"/>
          <w:left w:val="single" w:sz="4" w:space="4" w:color="auto"/>
          <w:bottom w:val="single" w:sz="4" w:space="1" w:color="auto"/>
          <w:right w:val="single" w:sz="4" w:space="4" w:color="auto"/>
        </w:pBdr>
        <w:shd w:val="clear" w:color="auto" w:fill="C6D9F1"/>
        <w:spacing w:after="100"/>
        <w:rPr>
          <w:rFonts w:ascii="Tahoma" w:hAnsi="Tahoma" w:cs="Tahoma"/>
          <w:lang w:val="en-AU"/>
        </w:rPr>
      </w:pPr>
      <w:r w:rsidRPr="00D733EB">
        <w:rPr>
          <w:rFonts w:ascii="Tahoma" w:hAnsi="Tahoma" w:cs="Tahoma"/>
          <w:lang w:val="en-AU"/>
        </w:rPr>
        <w:t>Alternatives to the proposed Regulations are: a voluntary approach (where councils choose their level compliance), a principles-based approach (where councils continue to develop their own reporting indicators and measures) and a more prescriptive approach.</w:t>
      </w:r>
    </w:p>
    <w:p w:rsidR="00BE37E6" w:rsidRPr="00E84DC2" w:rsidRDefault="00D733EB" w:rsidP="006C56FF">
      <w:pPr>
        <w:pStyle w:val="ListParagraph"/>
        <w:numPr>
          <w:ilvl w:val="0"/>
          <w:numId w:val="29"/>
        </w:numPr>
        <w:pBdr>
          <w:top w:val="single" w:sz="4" w:space="1" w:color="auto"/>
          <w:left w:val="single" w:sz="4" w:space="4" w:color="auto"/>
          <w:bottom w:val="single" w:sz="4" w:space="1" w:color="auto"/>
          <w:right w:val="single" w:sz="4" w:space="4" w:color="auto"/>
        </w:pBdr>
        <w:shd w:val="clear" w:color="auto" w:fill="C6D9F1"/>
        <w:spacing w:after="100"/>
        <w:rPr>
          <w:rFonts w:ascii="Tahoma" w:hAnsi="Tahoma" w:cs="Tahoma"/>
          <w:lang w:val="en-AU"/>
        </w:rPr>
      </w:pPr>
      <w:r w:rsidRPr="00D733EB">
        <w:rPr>
          <w:rFonts w:ascii="Tahoma" w:hAnsi="Tahoma" w:cs="Tahoma"/>
          <w:lang w:val="en-AU"/>
        </w:rPr>
        <w:t>The above assessment of alternative options indicate that, while all the alternative approaches are likely to offer a net benefit above the base case, none offer a better overall assessment than the proposed Regulations.</w:t>
      </w:r>
    </w:p>
    <w:p w:rsidR="00803ECB" w:rsidRPr="00E84DC2" w:rsidRDefault="00803ECB" w:rsidP="00803ECB">
      <w:pPr>
        <w:pBdr>
          <w:top w:val="single" w:sz="4" w:space="1" w:color="auto"/>
          <w:left w:val="single" w:sz="4" w:space="4" w:color="auto"/>
          <w:bottom w:val="single" w:sz="4" w:space="1" w:color="auto"/>
          <w:right w:val="single" w:sz="4" w:space="4" w:color="auto"/>
        </w:pBdr>
        <w:shd w:val="clear" w:color="auto" w:fill="C6D9F1"/>
        <w:spacing w:after="100"/>
        <w:rPr>
          <w:rFonts w:ascii="Tahoma" w:eastAsia="Calibri" w:hAnsi="Tahoma" w:cs="Tahoma"/>
          <w:sz w:val="6"/>
          <w:szCs w:val="6"/>
          <w:lang w:val="en-AU"/>
        </w:rPr>
      </w:pPr>
    </w:p>
    <w:p w:rsidR="00ED7F00" w:rsidRPr="00E84DC2" w:rsidRDefault="00D733EB" w:rsidP="00E84CE8">
      <w:pPr>
        <w:pStyle w:val="Heading2"/>
      </w:pPr>
      <w:bookmarkStart w:id="18" w:name="_Toc379878663"/>
      <w:r w:rsidRPr="00D733EB">
        <w:t>Identification of alternative options</w:t>
      </w:r>
      <w:bookmarkEnd w:id="18"/>
    </w:p>
    <w:p w:rsidR="00ED7F00" w:rsidRPr="00E84DC2" w:rsidRDefault="00ED7F00" w:rsidP="00ED7F00">
      <w:pPr>
        <w:rPr>
          <w:rFonts w:ascii="Tahoma" w:hAnsi="Tahoma" w:cs="Tahoma"/>
        </w:rPr>
      </w:pPr>
    </w:p>
    <w:p w:rsidR="00ED7F00" w:rsidRPr="00E84DC2" w:rsidRDefault="00D733EB" w:rsidP="00ED7F00">
      <w:pPr>
        <w:rPr>
          <w:rFonts w:ascii="Tahoma" w:eastAsia="Times New Roman" w:hAnsi="Tahoma" w:cs="Tahoma"/>
          <w:sz w:val="22"/>
          <w:szCs w:val="22"/>
          <w:lang w:val="en-AU"/>
        </w:rPr>
      </w:pPr>
      <w:r w:rsidRPr="00D733EB">
        <w:rPr>
          <w:rFonts w:ascii="Tahoma" w:eastAsia="Times New Roman" w:hAnsi="Tahoma" w:cs="Tahoma"/>
          <w:sz w:val="22"/>
          <w:szCs w:val="22"/>
          <w:lang w:val="en-AU"/>
        </w:rPr>
        <w:t xml:space="preserve">The </w:t>
      </w:r>
      <w:r w:rsidRPr="00D733EB">
        <w:rPr>
          <w:rFonts w:ascii="Tahoma" w:eastAsia="Times New Roman" w:hAnsi="Tahoma" w:cs="Tahoma"/>
          <w:i/>
          <w:sz w:val="22"/>
          <w:szCs w:val="22"/>
          <w:lang w:val="en-AU"/>
        </w:rPr>
        <w:t>Subordinate Legislation Act 1994</w:t>
      </w:r>
      <w:r w:rsidRPr="00D733EB">
        <w:rPr>
          <w:rFonts w:ascii="Tahoma" w:eastAsia="Times New Roman" w:hAnsi="Tahoma" w:cs="Tahoma"/>
          <w:sz w:val="22"/>
          <w:szCs w:val="22"/>
          <w:lang w:val="en-AU"/>
        </w:rPr>
        <w:t xml:space="preserve"> requires that regulatory and non-regulatory options be considered as part of a RIS.  Further, the </w:t>
      </w:r>
      <w:r w:rsidRPr="00D733EB">
        <w:rPr>
          <w:rFonts w:ascii="Tahoma" w:eastAsia="Times New Roman" w:hAnsi="Tahoma" w:cs="Tahoma"/>
          <w:i/>
          <w:sz w:val="22"/>
          <w:szCs w:val="22"/>
          <w:lang w:val="en-AU"/>
        </w:rPr>
        <w:t>Premier’s Guidelines</w:t>
      </w:r>
      <w:r w:rsidRPr="00D733EB">
        <w:rPr>
          <w:rFonts w:ascii="Tahoma" w:eastAsia="Times New Roman" w:hAnsi="Tahoma" w:cs="Tahoma"/>
          <w:sz w:val="22"/>
          <w:szCs w:val="22"/>
          <w:lang w:val="en-AU"/>
        </w:rPr>
        <w:t xml:space="preserve"> provide guidance on alternative methods by which the government’s objectives may be achieved.  Alternatives to subordinate legislation include:</w:t>
      </w:r>
    </w:p>
    <w:p w:rsidR="00370858" w:rsidRPr="00E84DC2" w:rsidRDefault="00D733EB">
      <w:pPr>
        <w:pStyle w:val="ListParagraph"/>
        <w:rPr>
          <w:rFonts w:ascii="Tahoma" w:hAnsi="Tahoma" w:cs="Tahoma"/>
        </w:rPr>
      </w:pPr>
      <w:r w:rsidRPr="00D733EB">
        <w:rPr>
          <w:rFonts w:ascii="Tahoma" w:hAnsi="Tahoma" w:cs="Tahoma"/>
        </w:rPr>
        <w:t>providing better information to affected groups to raise awareness of their rights and/or obligations</w:t>
      </w:r>
      <w:r w:rsidR="00D12D1B">
        <w:rPr>
          <w:rFonts w:ascii="Tahoma" w:hAnsi="Tahoma" w:cs="Tahoma"/>
        </w:rPr>
        <w:t>;</w:t>
      </w:r>
    </w:p>
    <w:p w:rsidR="00370858" w:rsidRPr="00E84DC2" w:rsidRDefault="00D733EB">
      <w:pPr>
        <w:pStyle w:val="ListParagraph"/>
        <w:rPr>
          <w:rFonts w:ascii="Tahoma" w:hAnsi="Tahoma" w:cs="Tahoma"/>
        </w:rPr>
      </w:pPr>
      <w:r w:rsidRPr="00D733EB">
        <w:rPr>
          <w:rFonts w:ascii="Tahoma" w:hAnsi="Tahoma" w:cs="Tahoma"/>
        </w:rPr>
        <w:t>introducing voluntary, or mandatory, codes of conduct for the activity</w:t>
      </w:r>
    </w:p>
    <w:p w:rsidR="00370858" w:rsidRPr="00E84DC2" w:rsidRDefault="00D733EB">
      <w:pPr>
        <w:pStyle w:val="ListParagraph"/>
        <w:rPr>
          <w:rFonts w:ascii="Tahoma" w:hAnsi="Tahoma" w:cs="Tahoma"/>
        </w:rPr>
      </w:pPr>
      <w:r w:rsidRPr="00D733EB">
        <w:rPr>
          <w:rFonts w:ascii="Tahoma" w:hAnsi="Tahoma" w:cs="Tahoma"/>
        </w:rPr>
        <w:t>expanding the coverage of existing primary legislation</w:t>
      </w:r>
      <w:r w:rsidR="00D12D1B">
        <w:rPr>
          <w:rFonts w:ascii="Tahoma" w:hAnsi="Tahoma" w:cs="Tahoma"/>
        </w:rPr>
        <w:t>;</w:t>
      </w:r>
    </w:p>
    <w:p w:rsidR="00370858" w:rsidRPr="00E84DC2" w:rsidRDefault="00D733EB">
      <w:pPr>
        <w:pStyle w:val="ListParagraph"/>
        <w:rPr>
          <w:rFonts w:ascii="Tahoma" w:hAnsi="Tahoma" w:cs="Tahoma"/>
        </w:rPr>
      </w:pPr>
      <w:r w:rsidRPr="00D733EB">
        <w:rPr>
          <w:rFonts w:ascii="Tahoma" w:hAnsi="Tahoma" w:cs="Tahoma"/>
        </w:rPr>
        <w:t>encouraging organisations and individuals to consider the impact of their activities on the community and environment</w:t>
      </w:r>
      <w:r w:rsidR="00D12D1B">
        <w:rPr>
          <w:rFonts w:ascii="Tahoma" w:hAnsi="Tahoma" w:cs="Tahoma"/>
        </w:rPr>
        <w:t>; or</w:t>
      </w:r>
    </w:p>
    <w:p w:rsidR="00370858" w:rsidRPr="00E84DC2" w:rsidRDefault="00D733EB">
      <w:pPr>
        <w:pStyle w:val="ListParagraph"/>
        <w:rPr>
          <w:rFonts w:ascii="Tahoma" w:hAnsi="Tahoma" w:cs="Tahoma"/>
          <w:lang w:val="en-AU"/>
        </w:rPr>
      </w:pPr>
      <w:r w:rsidRPr="00D733EB">
        <w:rPr>
          <w:rFonts w:ascii="Tahoma" w:eastAsia="Calibri" w:hAnsi="Tahoma" w:cs="Tahoma"/>
        </w:rPr>
        <w:t>developing</w:t>
      </w:r>
      <w:r w:rsidRPr="00D733EB">
        <w:rPr>
          <w:rFonts w:ascii="Tahoma" w:hAnsi="Tahoma" w:cs="Tahoma"/>
          <w:lang w:val="en-AU"/>
        </w:rPr>
        <w:t xml:space="preserve"> efficient markets, where these would deal with the issue.</w:t>
      </w:r>
    </w:p>
    <w:p w:rsidR="00ED7F00" w:rsidRPr="00E84DC2" w:rsidRDefault="00ED7F00" w:rsidP="00ED7F00">
      <w:pPr>
        <w:rPr>
          <w:rFonts w:ascii="Tahoma" w:hAnsi="Tahoma" w:cs="Tahoma"/>
        </w:rPr>
      </w:pPr>
    </w:p>
    <w:p w:rsidR="00780CAB" w:rsidRPr="00E84DC2" w:rsidRDefault="00D733EB" w:rsidP="00ED7F00">
      <w:pPr>
        <w:rPr>
          <w:rFonts w:ascii="Tahoma" w:eastAsia="Times New Roman" w:hAnsi="Tahoma" w:cs="Tahoma"/>
          <w:sz w:val="22"/>
          <w:szCs w:val="22"/>
          <w:lang w:val="en-AU"/>
        </w:rPr>
      </w:pPr>
      <w:r w:rsidRPr="00D733EB">
        <w:rPr>
          <w:rFonts w:ascii="Tahoma" w:eastAsia="Times New Roman" w:hAnsi="Tahoma" w:cs="Tahoma"/>
          <w:sz w:val="22"/>
          <w:szCs w:val="22"/>
          <w:lang w:val="en-AU"/>
        </w:rPr>
        <w:t xml:space="preserve">Approaches in other jurisdictions also need to be considered to identify whether </w:t>
      </w:r>
      <w:r w:rsidR="00D12D1B">
        <w:rPr>
          <w:rFonts w:ascii="Tahoma" w:eastAsia="Times New Roman" w:hAnsi="Tahoma" w:cs="Tahoma"/>
          <w:sz w:val="22"/>
          <w:szCs w:val="22"/>
          <w:lang w:val="en-AU"/>
        </w:rPr>
        <w:t xml:space="preserve">alternative </w:t>
      </w:r>
      <w:r w:rsidRPr="00D733EB">
        <w:rPr>
          <w:rFonts w:ascii="Tahoma" w:eastAsia="Times New Roman" w:hAnsi="Tahoma" w:cs="Tahoma"/>
          <w:sz w:val="22"/>
          <w:szCs w:val="22"/>
          <w:lang w:val="en-AU"/>
        </w:rPr>
        <w:t>approaches could be used in Victoria.</w:t>
      </w:r>
    </w:p>
    <w:p w:rsidR="005A49F2" w:rsidRPr="00E84DC2" w:rsidRDefault="00D733EB" w:rsidP="00E84CE8">
      <w:pPr>
        <w:pStyle w:val="Heading2"/>
      </w:pPr>
      <w:bookmarkStart w:id="19" w:name="_Toc379878664"/>
      <w:r w:rsidRPr="00D733EB">
        <w:t>Approaches in other jurisdictions</w:t>
      </w:r>
      <w:bookmarkEnd w:id="19"/>
    </w:p>
    <w:p w:rsidR="00A37012" w:rsidRPr="00E84DC2" w:rsidRDefault="00A37012" w:rsidP="00A37012">
      <w:pPr>
        <w:rPr>
          <w:rFonts w:ascii="Tahoma" w:eastAsia="Times New Roman" w:hAnsi="Tahoma" w:cs="Tahoma"/>
          <w:sz w:val="22"/>
          <w:szCs w:val="22"/>
          <w:lang w:val="en-AU"/>
        </w:rPr>
      </w:pPr>
    </w:p>
    <w:p w:rsidR="001D48F7" w:rsidRPr="00E84DC2" w:rsidRDefault="00D733EB" w:rsidP="00A37012">
      <w:pPr>
        <w:rPr>
          <w:rFonts w:ascii="Tahoma" w:eastAsia="Times New Roman" w:hAnsi="Tahoma" w:cs="Tahoma"/>
          <w:sz w:val="22"/>
          <w:szCs w:val="22"/>
          <w:lang w:val="en-AU"/>
        </w:rPr>
      </w:pPr>
      <w:r w:rsidRPr="00D733EB">
        <w:rPr>
          <w:rFonts w:ascii="Tahoma" w:eastAsia="Times New Roman" w:hAnsi="Tahoma" w:cs="Tahoma"/>
          <w:sz w:val="22"/>
          <w:szCs w:val="22"/>
          <w:lang w:val="en-AU"/>
        </w:rPr>
        <w:t>All jurisdictions require council plans, annual budgets and annual reports. The required content of these, beyond the standard financial reporting, varies across jurisdictions.</w:t>
      </w:r>
    </w:p>
    <w:p w:rsidR="001D48F7" w:rsidRPr="00E84DC2" w:rsidRDefault="001D48F7" w:rsidP="00A37012">
      <w:pPr>
        <w:rPr>
          <w:rFonts w:ascii="Tahoma" w:eastAsia="Times New Roman" w:hAnsi="Tahoma" w:cs="Tahoma"/>
          <w:sz w:val="22"/>
          <w:szCs w:val="22"/>
          <w:lang w:val="en-AU"/>
        </w:rPr>
      </w:pPr>
    </w:p>
    <w:p w:rsidR="00A37012" w:rsidRPr="00E84DC2" w:rsidRDefault="00D733EB" w:rsidP="00A37012">
      <w:pPr>
        <w:rPr>
          <w:rFonts w:ascii="Tahoma" w:eastAsia="Times New Roman" w:hAnsi="Tahoma" w:cs="Tahoma"/>
          <w:sz w:val="22"/>
          <w:szCs w:val="22"/>
          <w:lang w:val="en-AU"/>
        </w:rPr>
      </w:pPr>
      <w:r w:rsidRPr="00D733EB">
        <w:rPr>
          <w:rFonts w:ascii="Tahoma" w:eastAsia="Times New Roman" w:hAnsi="Tahoma" w:cs="Tahoma"/>
          <w:sz w:val="22"/>
          <w:szCs w:val="22"/>
          <w:lang w:val="en-AU"/>
        </w:rPr>
        <w:t>The New South Wales (NSW) Government also requires local governments to provide an end-of-term report for outgoing councils. The end-of-term report is required to be incorporated in the annual reporting process to provide an update of progress against the objectives set in the community strategic plan. A comparative analysis undertaken for the Australian Centre of Excellence for Local Government (ACELG)</w:t>
      </w:r>
      <w:r w:rsidR="00DC14B1" w:rsidRPr="00E84DC2">
        <w:rPr>
          <w:rStyle w:val="FootnoteReference"/>
          <w:rFonts w:ascii="Tahoma" w:eastAsia="Times New Roman" w:hAnsi="Tahoma" w:cs="Tahoma"/>
          <w:sz w:val="22"/>
          <w:szCs w:val="22"/>
          <w:lang w:val="en-AU"/>
        </w:rPr>
        <w:footnoteReference w:id="29"/>
      </w:r>
      <w:r w:rsidR="00DC14B1" w:rsidRPr="00E84DC2">
        <w:rPr>
          <w:rFonts w:ascii="Tahoma" w:eastAsia="Times New Roman" w:hAnsi="Tahoma" w:cs="Tahoma"/>
          <w:sz w:val="22"/>
          <w:szCs w:val="22"/>
          <w:lang w:val="en-AU"/>
        </w:rPr>
        <w:t xml:space="preserve"> noted that this adds a political element </w:t>
      </w:r>
      <w:r w:rsidRPr="00D733EB">
        <w:rPr>
          <w:rFonts w:ascii="Tahoma" w:eastAsia="Times New Roman" w:hAnsi="Tahoma" w:cs="Tahoma"/>
          <w:sz w:val="22"/>
          <w:szCs w:val="22"/>
          <w:lang w:val="en-AU"/>
        </w:rPr>
        <w:t>to the reporting process, since the end-of-term report must be presented to the final meeting of the outgoing council.</w:t>
      </w:r>
    </w:p>
    <w:p w:rsidR="005002DE" w:rsidRPr="00E84DC2" w:rsidRDefault="005002DE" w:rsidP="00A37012">
      <w:pPr>
        <w:rPr>
          <w:rFonts w:ascii="Tahoma" w:eastAsia="Times New Roman" w:hAnsi="Tahoma" w:cs="Tahoma"/>
          <w:sz w:val="22"/>
          <w:szCs w:val="22"/>
          <w:lang w:val="en-AU"/>
        </w:rPr>
      </w:pPr>
    </w:p>
    <w:p w:rsidR="00FC7379" w:rsidRPr="00E84DC2" w:rsidRDefault="00D733EB" w:rsidP="00A37012">
      <w:pPr>
        <w:rPr>
          <w:rFonts w:ascii="Tahoma" w:eastAsia="Times New Roman" w:hAnsi="Tahoma" w:cs="Tahoma"/>
          <w:sz w:val="22"/>
          <w:szCs w:val="22"/>
          <w:lang w:val="en-AU"/>
        </w:rPr>
      </w:pPr>
      <w:r w:rsidRPr="00D733EB">
        <w:rPr>
          <w:rFonts w:ascii="Tahoma" w:eastAsia="Times New Roman" w:hAnsi="Tahoma" w:cs="Tahoma"/>
          <w:sz w:val="22"/>
          <w:szCs w:val="22"/>
          <w:lang w:val="en-AU"/>
        </w:rPr>
        <w:lastRenderedPageBreak/>
        <w:t>All of the relevant legislation in each Australian state stipulates that councils must report progress or achievements against their strategic or corporate pans, but there are generally very few further requirements for reporting on activities. All councils must provide financial statements and an audit report in their annual reports.</w:t>
      </w:r>
    </w:p>
    <w:p w:rsidR="00D272AD" w:rsidRPr="00E84DC2" w:rsidRDefault="00D272AD" w:rsidP="00A37012">
      <w:pPr>
        <w:rPr>
          <w:rFonts w:ascii="Tahoma" w:eastAsia="Times New Roman" w:hAnsi="Tahoma" w:cs="Tahoma"/>
          <w:sz w:val="22"/>
          <w:szCs w:val="22"/>
          <w:lang w:val="en-AU"/>
        </w:rPr>
      </w:pPr>
    </w:p>
    <w:p w:rsidR="00D272AD" w:rsidRPr="00E84DC2" w:rsidRDefault="00D733EB" w:rsidP="00A37012">
      <w:pPr>
        <w:rPr>
          <w:rFonts w:ascii="Tahoma" w:eastAsia="Times New Roman" w:hAnsi="Tahoma" w:cs="Tahoma"/>
          <w:sz w:val="22"/>
          <w:szCs w:val="22"/>
          <w:lang w:val="en-AU"/>
        </w:rPr>
      </w:pPr>
      <w:r w:rsidRPr="00D733EB">
        <w:rPr>
          <w:rFonts w:ascii="Tahoma" w:eastAsia="Times New Roman" w:hAnsi="Tahoma" w:cs="Tahoma"/>
          <w:sz w:val="22"/>
          <w:szCs w:val="22"/>
          <w:lang w:val="en-AU"/>
        </w:rPr>
        <w:t>In general, in each state and in the Northern Territory only one or two items in the relevant local government legislation and corresponding regulations relate to reporting on council activities and progress against strategic, municipal or community plans. Although more information and suggestion on reporting activities is provided in some of the best practice guidelines, the weight of the legislation and regulations focuses on reporting to ensure financial and administrative transparency and accountability.</w:t>
      </w:r>
    </w:p>
    <w:p w:rsidR="00182300" w:rsidRPr="00E84DC2" w:rsidRDefault="00182300" w:rsidP="00A37012">
      <w:pPr>
        <w:rPr>
          <w:rFonts w:ascii="Tahoma" w:eastAsia="Times New Roman" w:hAnsi="Tahoma" w:cs="Tahoma"/>
          <w:sz w:val="22"/>
          <w:szCs w:val="22"/>
          <w:lang w:val="en-AU"/>
        </w:rPr>
      </w:pPr>
    </w:p>
    <w:p w:rsidR="00675CE9" w:rsidRPr="00E84DC2" w:rsidRDefault="00D733EB" w:rsidP="00A37012">
      <w:pPr>
        <w:rPr>
          <w:rFonts w:ascii="Tahoma" w:eastAsia="Times New Roman" w:hAnsi="Tahoma" w:cs="Tahoma"/>
          <w:sz w:val="22"/>
          <w:szCs w:val="22"/>
          <w:lang w:val="en-AU"/>
        </w:rPr>
      </w:pPr>
      <w:r w:rsidRPr="00D733EB">
        <w:rPr>
          <w:rFonts w:ascii="Tahoma" w:eastAsia="Times New Roman" w:hAnsi="Tahoma" w:cs="Tahoma"/>
          <w:sz w:val="22"/>
          <w:szCs w:val="22"/>
          <w:lang w:val="en-AU"/>
        </w:rPr>
        <w:t xml:space="preserve">All of the other state frameworks require councils to nominate performance measures in their plans and then report against them in their annual reports and other reports. However, as noted by the ACELG, councils more easily nominate quite aspirational goals such as ‘a better lifestyle’ or very concrete strategies such as a bridge-building program. Measures against the first tend to be too difficult to collect, and against the second tend to be highly specific and budget measures. </w:t>
      </w:r>
    </w:p>
    <w:p w:rsidR="00675CE9" w:rsidRPr="00E84DC2" w:rsidRDefault="00675CE9" w:rsidP="00A37012">
      <w:pPr>
        <w:rPr>
          <w:rFonts w:ascii="Tahoma" w:eastAsia="Times New Roman" w:hAnsi="Tahoma" w:cs="Tahoma"/>
          <w:sz w:val="22"/>
          <w:szCs w:val="22"/>
          <w:lang w:val="en-AU"/>
        </w:rPr>
      </w:pPr>
    </w:p>
    <w:p w:rsidR="00182300" w:rsidRPr="00E84DC2" w:rsidRDefault="004B4707" w:rsidP="00675CE9">
      <w:pPr>
        <w:rPr>
          <w:rFonts w:ascii="Tahoma" w:eastAsia="Times New Roman" w:hAnsi="Tahoma" w:cs="Tahoma"/>
          <w:sz w:val="22"/>
          <w:szCs w:val="22"/>
          <w:lang w:val="en-AU"/>
        </w:rPr>
      </w:pPr>
      <w:r>
        <w:rPr>
          <w:rFonts w:ascii="Tahoma" w:eastAsia="Times New Roman" w:hAnsi="Tahoma" w:cs="Tahoma"/>
          <w:sz w:val="22"/>
          <w:szCs w:val="22"/>
          <w:lang w:val="en-AU"/>
        </w:rPr>
        <w:t>The Local Government Association of</w:t>
      </w:r>
      <w:r w:rsidR="00D733EB" w:rsidRPr="00D733EB">
        <w:rPr>
          <w:rFonts w:ascii="Tahoma" w:eastAsia="Times New Roman" w:hAnsi="Tahoma" w:cs="Tahoma"/>
          <w:sz w:val="22"/>
          <w:szCs w:val="22"/>
          <w:lang w:val="en-AU"/>
        </w:rPr>
        <w:t xml:space="preserve"> South Australia</w:t>
      </w:r>
      <w:r>
        <w:rPr>
          <w:rFonts w:ascii="Tahoma" w:eastAsia="Times New Roman" w:hAnsi="Tahoma" w:cs="Tahoma"/>
          <w:sz w:val="22"/>
          <w:szCs w:val="22"/>
          <w:lang w:val="en-AU"/>
        </w:rPr>
        <w:t xml:space="preserve"> (LGASA) introduced</w:t>
      </w:r>
      <w:r w:rsidR="00D733EB" w:rsidRPr="00D733EB">
        <w:rPr>
          <w:rFonts w:ascii="Tahoma" w:eastAsia="Times New Roman" w:hAnsi="Tahoma" w:cs="Tahoma"/>
          <w:sz w:val="22"/>
          <w:szCs w:val="22"/>
          <w:lang w:val="en-AU"/>
        </w:rPr>
        <w:t xml:space="preserve"> the Comparative Performance Measurement (CPM) </w:t>
      </w:r>
      <w:r>
        <w:rPr>
          <w:rFonts w:ascii="Tahoma" w:eastAsia="Times New Roman" w:hAnsi="Tahoma" w:cs="Tahoma"/>
          <w:sz w:val="22"/>
          <w:szCs w:val="22"/>
          <w:lang w:val="en-AU"/>
        </w:rPr>
        <w:t xml:space="preserve">which </w:t>
      </w:r>
      <w:r w:rsidR="00D733EB" w:rsidRPr="00D733EB">
        <w:rPr>
          <w:rFonts w:ascii="Tahoma" w:eastAsia="Times New Roman" w:hAnsi="Tahoma" w:cs="Tahoma"/>
          <w:sz w:val="22"/>
          <w:szCs w:val="22"/>
          <w:lang w:val="en-AU"/>
        </w:rPr>
        <w:t>places an increasing emphasis on organisations adopting measures to monitor, over time, their performance against strategic directions. Nineteen performance measures were developed with data sourced from the LGA</w:t>
      </w:r>
      <w:r>
        <w:rPr>
          <w:rFonts w:ascii="Tahoma" w:eastAsia="Times New Roman" w:hAnsi="Tahoma" w:cs="Tahoma"/>
          <w:sz w:val="22"/>
          <w:szCs w:val="22"/>
          <w:lang w:val="en-AU"/>
        </w:rPr>
        <w:t>SA</w:t>
      </w:r>
      <w:r w:rsidR="00D733EB" w:rsidRPr="00D733EB">
        <w:rPr>
          <w:rFonts w:ascii="Tahoma" w:eastAsia="Times New Roman" w:hAnsi="Tahoma" w:cs="Tahoma"/>
          <w:sz w:val="22"/>
          <w:szCs w:val="22"/>
          <w:lang w:val="en-AU"/>
        </w:rPr>
        <w:t>, Valuer-General, State Ombudsman, Australian Bureau of Statistics, S</w:t>
      </w:r>
      <w:r>
        <w:rPr>
          <w:rFonts w:ascii="Tahoma" w:eastAsia="Times New Roman" w:hAnsi="Tahoma" w:cs="Tahoma"/>
          <w:sz w:val="22"/>
          <w:szCs w:val="22"/>
          <w:lang w:val="en-AU"/>
        </w:rPr>
        <w:t>outh Australian</w:t>
      </w:r>
      <w:r w:rsidR="00D733EB" w:rsidRPr="00D733EB">
        <w:rPr>
          <w:rFonts w:ascii="Tahoma" w:eastAsia="Times New Roman" w:hAnsi="Tahoma" w:cs="Tahoma"/>
          <w:sz w:val="22"/>
          <w:szCs w:val="22"/>
          <w:lang w:val="en-AU"/>
        </w:rPr>
        <w:t xml:space="preserve"> Local Government Grants Commission, the State Electoral Commission, </w:t>
      </w:r>
      <w:r>
        <w:rPr>
          <w:rFonts w:ascii="Tahoma" w:eastAsia="Times New Roman" w:hAnsi="Tahoma" w:cs="Tahoma"/>
          <w:sz w:val="22"/>
          <w:szCs w:val="22"/>
          <w:lang w:val="en-AU"/>
        </w:rPr>
        <w:t>c</w:t>
      </w:r>
      <w:r w:rsidR="00D733EB" w:rsidRPr="00D733EB">
        <w:rPr>
          <w:rFonts w:ascii="Tahoma" w:eastAsia="Times New Roman" w:hAnsi="Tahoma" w:cs="Tahoma"/>
          <w:sz w:val="22"/>
          <w:szCs w:val="22"/>
          <w:lang w:val="en-AU"/>
        </w:rPr>
        <w:t xml:space="preserve">ouncils and </w:t>
      </w:r>
      <w:r>
        <w:rPr>
          <w:rFonts w:ascii="Tahoma" w:eastAsia="Times New Roman" w:hAnsi="Tahoma" w:cs="Tahoma"/>
          <w:sz w:val="22"/>
          <w:szCs w:val="22"/>
          <w:lang w:val="en-AU"/>
        </w:rPr>
        <w:t>a</w:t>
      </w:r>
      <w:r w:rsidRPr="00D733EB">
        <w:rPr>
          <w:rFonts w:ascii="Tahoma" w:eastAsia="Times New Roman" w:hAnsi="Tahoma" w:cs="Tahoma"/>
          <w:sz w:val="22"/>
          <w:szCs w:val="22"/>
          <w:lang w:val="en-AU"/>
        </w:rPr>
        <w:t xml:space="preserve"> </w:t>
      </w:r>
      <w:r w:rsidR="00D733EB" w:rsidRPr="00D733EB">
        <w:rPr>
          <w:rFonts w:ascii="Tahoma" w:eastAsia="Times New Roman" w:hAnsi="Tahoma" w:cs="Tahoma"/>
          <w:sz w:val="22"/>
          <w:szCs w:val="22"/>
          <w:lang w:val="en-AU"/>
        </w:rPr>
        <w:t>community survey conducted by Roy Morgan Research. The project provides a foundation for continuous improvement in South Australian Local Government and assist</w:t>
      </w:r>
      <w:r>
        <w:rPr>
          <w:rFonts w:ascii="Tahoma" w:eastAsia="Times New Roman" w:hAnsi="Tahoma" w:cs="Tahoma"/>
          <w:sz w:val="22"/>
          <w:szCs w:val="22"/>
          <w:lang w:val="en-AU"/>
        </w:rPr>
        <w:t>s c</w:t>
      </w:r>
      <w:r w:rsidR="00D733EB" w:rsidRPr="00D733EB">
        <w:rPr>
          <w:rFonts w:ascii="Tahoma" w:eastAsia="Times New Roman" w:hAnsi="Tahoma" w:cs="Tahoma"/>
          <w:sz w:val="22"/>
          <w:szCs w:val="22"/>
          <w:lang w:val="en-AU"/>
        </w:rPr>
        <w:t>ouncils to comply with the relevant Local Government Act requirements and to measure and analyse their performance over time.</w:t>
      </w:r>
    </w:p>
    <w:p w:rsidR="009710DF" w:rsidRPr="00E84DC2" w:rsidRDefault="009710DF" w:rsidP="00A37012">
      <w:pPr>
        <w:rPr>
          <w:rFonts w:ascii="Tahoma" w:eastAsia="Times New Roman" w:hAnsi="Tahoma" w:cs="Tahoma"/>
          <w:sz w:val="22"/>
          <w:szCs w:val="22"/>
          <w:lang w:val="en-AU"/>
        </w:rPr>
      </w:pPr>
    </w:p>
    <w:p w:rsidR="006553D0" w:rsidRPr="00E84DC2" w:rsidRDefault="00D733EB" w:rsidP="00A37012">
      <w:pPr>
        <w:rPr>
          <w:rFonts w:ascii="Tahoma" w:eastAsia="Times New Roman" w:hAnsi="Tahoma" w:cs="Tahoma"/>
          <w:sz w:val="22"/>
          <w:szCs w:val="22"/>
          <w:lang w:val="en-AU"/>
        </w:rPr>
      </w:pPr>
      <w:r w:rsidRPr="00D733EB">
        <w:rPr>
          <w:rFonts w:ascii="Tahoma" w:eastAsia="Times New Roman" w:hAnsi="Tahoma" w:cs="Tahoma"/>
          <w:sz w:val="22"/>
          <w:szCs w:val="22"/>
          <w:lang w:val="en-AU"/>
        </w:rPr>
        <w:t>In Queensland, there is no legislative performance framework included in recent changes to the relevant Act. Instead, the government has taken a cooperative approach using four separate reports on asset management, community engagement, integrated strategic management and sustainability/financial management. Councils are asked to submit reports on these four aspects on a quarterly basis but there are no penalties for non-compliance. Reporting is not mandatory. In its early stages, compliance of around 90 per cent was achieved. The reports are used for giving feedback to councils and provide a state-wide snapshot to the Minister. The reports are not made public.</w:t>
      </w:r>
    </w:p>
    <w:p w:rsidR="00280BC2" w:rsidRPr="00E84DC2" w:rsidRDefault="00280BC2" w:rsidP="00A37012">
      <w:pPr>
        <w:rPr>
          <w:rFonts w:ascii="Tahoma" w:eastAsia="Times New Roman" w:hAnsi="Tahoma" w:cs="Tahoma"/>
          <w:sz w:val="22"/>
          <w:szCs w:val="22"/>
          <w:lang w:val="en-AU"/>
        </w:rPr>
      </w:pPr>
    </w:p>
    <w:p w:rsidR="0084201C" w:rsidRPr="00E84DC2" w:rsidRDefault="00D733EB" w:rsidP="00A37012">
      <w:pPr>
        <w:rPr>
          <w:rFonts w:ascii="Tahoma" w:eastAsia="Times New Roman" w:hAnsi="Tahoma" w:cs="Tahoma"/>
          <w:sz w:val="22"/>
          <w:szCs w:val="22"/>
          <w:lang w:val="en-AU"/>
        </w:rPr>
      </w:pPr>
      <w:r w:rsidRPr="00D733EB">
        <w:rPr>
          <w:rFonts w:ascii="Tahoma" w:eastAsia="Times New Roman" w:hAnsi="Tahoma" w:cs="Tahoma"/>
          <w:sz w:val="22"/>
          <w:szCs w:val="22"/>
          <w:lang w:val="en-AU"/>
        </w:rPr>
        <w:t xml:space="preserve">In Tasmania, the Measuring Council Performance Project provides a comprehensive framework of key performance indicators for councils. Although participation has been on a voluntary basis, all 29 councils have participated. The reporting requirements are relatively low, with 49 indicators measured. </w:t>
      </w:r>
    </w:p>
    <w:p w:rsidR="00DD77C5" w:rsidRPr="00E84DC2" w:rsidRDefault="00DD77C5" w:rsidP="00A37012">
      <w:pPr>
        <w:rPr>
          <w:rFonts w:ascii="Tahoma" w:eastAsia="Times New Roman" w:hAnsi="Tahoma" w:cs="Tahoma"/>
          <w:sz w:val="22"/>
          <w:szCs w:val="22"/>
          <w:lang w:val="en-AU"/>
        </w:rPr>
      </w:pPr>
    </w:p>
    <w:p w:rsidR="00FE72B0" w:rsidRPr="00E84DC2" w:rsidRDefault="00D733EB" w:rsidP="00FE72B0">
      <w:pPr>
        <w:rPr>
          <w:rFonts w:ascii="Tahoma" w:eastAsia="Times New Roman" w:hAnsi="Tahoma" w:cs="Tahoma"/>
          <w:sz w:val="22"/>
          <w:szCs w:val="22"/>
          <w:lang w:val="en-AU"/>
        </w:rPr>
      </w:pPr>
      <w:r w:rsidRPr="00D733EB">
        <w:rPr>
          <w:rFonts w:ascii="Tahoma" w:eastAsia="Times New Roman" w:hAnsi="Tahoma" w:cs="Tahoma"/>
          <w:sz w:val="22"/>
          <w:szCs w:val="22"/>
          <w:lang w:val="en-AU"/>
        </w:rPr>
        <w:t>There have been proposed plans for introducing new performance frameworks in NSW and Western Australia.</w:t>
      </w:r>
      <w:r>
        <w:rPr>
          <w:rStyle w:val="FootnoteReference"/>
          <w:rFonts w:ascii="Tahoma" w:eastAsia="Times New Roman" w:hAnsi="Tahoma" w:cs="Tahoma"/>
          <w:sz w:val="22"/>
          <w:szCs w:val="22"/>
          <w:lang w:val="en-AU"/>
        </w:rPr>
        <w:footnoteReference w:id="30"/>
      </w:r>
      <w:r w:rsidRPr="00D733EB">
        <w:rPr>
          <w:rFonts w:ascii="Tahoma" w:eastAsia="Times New Roman" w:hAnsi="Tahoma" w:cs="Tahoma"/>
          <w:sz w:val="22"/>
          <w:szCs w:val="22"/>
          <w:lang w:val="en-AU"/>
        </w:rPr>
        <w:t xml:space="preserve">  For example, the NSW Government </w:t>
      </w:r>
      <w:r w:rsidRPr="00D733EB">
        <w:rPr>
          <w:rFonts w:ascii="Tahoma" w:eastAsia="Times New Roman" w:hAnsi="Tahoma" w:cs="Tahoma"/>
          <w:sz w:val="22"/>
          <w:szCs w:val="22"/>
        </w:rPr>
        <w:t xml:space="preserve">has started on </w:t>
      </w:r>
      <w:r w:rsidRPr="00D733EB">
        <w:rPr>
          <w:rFonts w:ascii="Tahoma" w:eastAsia="Times New Roman" w:hAnsi="Tahoma" w:cs="Tahoma"/>
          <w:sz w:val="22"/>
          <w:szCs w:val="22"/>
        </w:rPr>
        <w:lastRenderedPageBreak/>
        <w:t xml:space="preserve">work to build a new performance measurement framework for councils that seeks to move away from compliance-based reporting and focus on a small set of core, consistent indicators that will help communities understand how well their council is performing. The new performance measurement framework aims </w:t>
      </w:r>
      <w:r w:rsidRPr="00D733EB">
        <w:rPr>
          <w:rFonts w:ascii="Tahoma" w:eastAsia="Times New Roman" w:hAnsi="Tahoma" w:cs="Tahoma"/>
          <w:sz w:val="22"/>
          <w:szCs w:val="22"/>
          <w:lang w:val="en-AU"/>
        </w:rPr>
        <w:t xml:space="preserve">to build a picture of the financial and governance health of the council and how it delivers functions and services using readily obtainable data and will </w:t>
      </w:r>
      <w:r w:rsidRPr="00D733EB">
        <w:rPr>
          <w:rFonts w:ascii="Tahoma" w:eastAsia="Times New Roman" w:hAnsi="Tahoma" w:cs="Tahoma"/>
          <w:sz w:val="22"/>
          <w:szCs w:val="22"/>
        </w:rPr>
        <w:t>have a strong focus on supporting councils to actively manage and improve their organisation’s performance.</w:t>
      </w:r>
      <w:r>
        <w:rPr>
          <w:rStyle w:val="FootnoteReference"/>
          <w:rFonts w:ascii="Tahoma" w:eastAsia="Times New Roman" w:hAnsi="Tahoma" w:cs="Tahoma"/>
          <w:sz w:val="22"/>
          <w:szCs w:val="22"/>
        </w:rPr>
        <w:t xml:space="preserve"> </w:t>
      </w:r>
      <w:r>
        <w:rPr>
          <w:rStyle w:val="FootnoteReference"/>
          <w:rFonts w:ascii="Tahoma" w:eastAsia="Times New Roman" w:hAnsi="Tahoma" w:cs="Tahoma"/>
          <w:sz w:val="22"/>
          <w:szCs w:val="22"/>
        </w:rPr>
        <w:footnoteReference w:id="31"/>
      </w:r>
    </w:p>
    <w:p w:rsidR="00BB2A07" w:rsidRPr="00E84DC2" w:rsidRDefault="00BB2A07" w:rsidP="00260CA4">
      <w:pPr>
        <w:rPr>
          <w:rFonts w:ascii="Tahoma" w:eastAsia="Times New Roman" w:hAnsi="Tahoma" w:cs="Tahoma"/>
          <w:sz w:val="22"/>
          <w:szCs w:val="22"/>
          <w:lang w:val="en-AU"/>
        </w:rPr>
      </w:pPr>
    </w:p>
    <w:p w:rsidR="00BB2A07" w:rsidRPr="00E84DC2" w:rsidRDefault="00D733EB" w:rsidP="00260CA4">
      <w:pPr>
        <w:rPr>
          <w:rFonts w:ascii="Tahoma" w:eastAsia="Times New Roman" w:hAnsi="Tahoma" w:cs="Tahoma"/>
          <w:sz w:val="22"/>
          <w:szCs w:val="22"/>
          <w:lang w:val="en-AU"/>
        </w:rPr>
      </w:pPr>
      <w:r w:rsidRPr="00D733EB">
        <w:rPr>
          <w:rFonts w:ascii="Tahoma" w:eastAsia="Times New Roman" w:hAnsi="Tahoma" w:cs="Tahoma"/>
          <w:sz w:val="22"/>
          <w:szCs w:val="22"/>
          <w:lang w:val="en-AU"/>
        </w:rPr>
        <w:t>In Canada, local governments must comply with provincial legislation requiring them to implement performance measurement systems. For example, in Ontario, municipalities must report annually on 54 measures of effectiveness and efficiency in 12 key service areas. In British Columbia, municipalities must report against performance measures under the Community Charter, however these are not standardised.</w:t>
      </w:r>
    </w:p>
    <w:p w:rsidR="00F672FE" w:rsidRPr="00E84DC2" w:rsidRDefault="00F672FE" w:rsidP="00260CA4">
      <w:pPr>
        <w:rPr>
          <w:rFonts w:ascii="Tahoma" w:eastAsia="Times New Roman" w:hAnsi="Tahoma" w:cs="Tahoma"/>
          <w:sz w:val="22"/>
          <w:szCs w:val="22"/>
          <w:lang w:val="en-AU"/>
        </w:rPr>
      </w:pPr>
    </w:p>
    <w:p w:rsidR="00F672FE" w:rsidRPr="00E84DC2" w:rsidRDefault="00D733EB" w:rsidP="00260CA4">
      <w:pPr>
        <w:rPr>
          <w:rFonts w:ascii="Tahoma" w:eastAsia="Times New Roman" w:hAnsi="Tahoma" w:cs="Tahoma"/>
          <w:sz w:val="22"/>
          <w:szCs w:val="22"/>
          <w:lang w:val="en-AU"/>
        </w:rPr>
      </w:pPr>
      <w:r w:rsidRPr="00D733EB">
        <w:rPr>
          <w:rFonts w:ascii="Tahoma" w:eastAsia="Times New Roman" w:hAnsi="Tahoma" w:cs="Tahoma"/>
          <w:sz w:val="22"/>
          <w:szCs w:val="22"/>
          <w:lang w:val="en-AU"/>
        </w:rPr>
        <w:t>In New Zealand, the Local Government Act sets out requirements for a good practice integrated framework for planning and performance reporting. These include a requirement to report progress toward achieving community outcomes. A report from the Auditor General in 2008 found that the framework was sound but that significant effort, including external pressure, was necessary to get the results intended.</w:t>
      </w:r>
    </w:p>
    <w:p w:rsidR="00AA2156" w:rsidRPr="00E84DC2" w:rsidRDefault="00AA2156" w:rsidP="00260CA4">
      <w:pPr>
        <w:rPr>
          <w:rFonts w:ascii="Tahoma" w:eastAsia="Times New Roman" w:hAnsi="Tahoma" w:cs="Tahoma"/>
          <w:sz w:val="22"/>
          <w:szCs w:val="22"/>
          <w:lang w:val="en-AU"/>
        </w:rPr>
      </w:pPr>
    </w:p>
    <w:p w:rsidR="00C15B35" w:rsidRPr="00E84DC2" w:rsidRDefault="00D733EB" w:rsidP="00C640EC">
      <w:pPr>
        <w:rPr>
          <w:rFonts w:ascii="Tahoma" w:hAnsi="Tahoma" w:cs="Tahoma"/>
        </w:rPr>
      </w:pPr>
      <w:r w:rsidRPr="00D733EB">
        <w:rPr>
          <w:rFonts w:ascii="Tahoma" w:eastAsia="Times New Roman" w:hAnsi="Tahoma" w:cs="Tahoma"/>
          <w:sz w:val="22"/>
          <w:szCs w:val="22"/>
          <w:lang w:val="en-AU"/>
        </w:rPr>
        <w:t xml:space="preserve">In the United Kingdom, a National Indicator Set (NIS) came into effect in 2008. This is a highly prescriptive approach comprising 198 indicators and is the only set of indicators on which central government manages local government. Performance against each indictor </w:t>
      </w:r>
      <w:r w:rsidR="004B4707">
        <w:rPr>
          <w:rFonts w:ascii="Tahoma" w:eastAsia="Times New Roman" w:hAnsi="Tahoma" w:cs="Tahoma"/>
          <w:sz w:val="22"/>
          <w:szCs w:val="22"/>
          <w:lang w:val="en-AU"/>
        </w:rPr>
        <w:t>was</w:t>
      </w:r>
      <w:r w:rsidR="004B4707" w:rsidRPr="00D733EB">
        <w:rPr>
          <w:rFonts w:ascii="Tahoma" w:eastAsia="Times New Roman" w:hAnsi="Tahoma" w:cs="Tahoma"/>
          <w:sz w:val="22"/>
          <w:szCs w:val="22"/>
          <w:lang w:val="en-AU"/>
        </w:rPr>
        <w:t xml:space="preserve"> </w:t>
      </w:r>
      <w:r w:rsidRPr="00D733EB">
        <w:rPr>
          <w:rFonts w:ascii="Tahoma" w:eastAsia="Times New Roman" w:hAnsi="Tahoma" w:cs="Tahoma"/>
          <w:sz w:val="22"/>
          <w:szCs w:val="22"/>
          <w:lang w:val="en-AU"/>
        </w:rPr>
        <w:t>published annually by the UK Audit Commission.</w:t>
      </w:r>
      <w:r w:rsidR="004B4707">
        <w:rPr>
          <w:rFonts w:ascii="Tahoma" w:eastAsia="Times New Roman" w:hAnsi="Tahoma" w:cs="Tahoma"/>
          <w:sz w:val="22"/>
          <w:szCs w:val="22"/>
          <w:lang w:val="en-AU"/>
        </w:rPr>
        <w:t xml:space="preserve"> This approach was removed by subsequent government as part of red tape reduction programs.</w:t>
      </w:r>
    </w:p>
    <w:p w:rsidR="00994E27" w:rsidRPr="00E84DC2" w:rsidRDefault="00D733EB" w:rsidP="00E84CE8">
      <w:pPr>
        <w:pStyle w:val="Heading2"/>
      </w:pPr>
      <w:bookmarkStart w:id="20" w:name="_Toc379878665"/>
      <w:r w:rsidRPr="00D733EB">
        <w:t>Non-regulatory options</w:t>
      </w:r>
      <w:bookmarkEnd w:id="20"/>
    </w:p>
    <w:p w:rsidR="00994E27" w:rsidRPr="00E84DC2" w:rsidRDefault="00994E27" w:rsidP="00994E27">
      <w:pPr>
        <w:rPr>
          <w:rFonts w:ascii="Tahoma" w:eastAsia="Calibri" w:hAnsi="Tahoma" w:cs="Tahoma"/>
          <w:sz w:val="22"/>
          <w:szCs w:val="22"/>
          <w:lang w:val="en-AU"/>
        </w:rPr>
      </w:pPr>
    </w:p>
    <w:p w:rsidR="00994E27" w:rsidRPr="00E84DC2" w:rsidRDefault="00D733EB" w:rsidP="00994E27">
      <w:pPr>
        <w:rPr>
          <w:rFonts w:ascii="Tahoma" w:eastAsia="Calibri" w:hAnsi="Tahoma" w:cs="Tahoma"/>
          <w:sz w:val="22"/>
          <w:szCs w:val="22"/>
          <w:lang w:val="en-AU"/>
        </w:rPr>
      </w:pPr>
      <w:r w:rsidRPr="00D733EB">
        <w:rPr>
          <w:rFonts w:ascii="Tahoma" w:eastAsia="Calibri" w:hAnsi="Tahoma" w:cs="Tahoma"/>
          <w:sz w:val="22"/>
          <w:szCs w:val="22"/>
          <w:lang w:val="en-AU"/>
        </w:rPr>
        <w:t>The following table considers whether common types of non-regulatory approaches are suitable or feasible in relation to the defined objective.</w:t>
      </w:r>
    </w:p>
    <w:p w:rsidR="00994E27" w:rsidRPr="00E84DC2" w:rsidRDefault="00994E27" w:rsidP="00994E27">
      <w:pPr>
        <w:rPr>
          <w:rFonts w:ascii="Tahoma" w:eastAsia="Calibri" w:hAnsi="Tahoma" w:cs="Tahoma"/>
          <w:sz w:val="22"/>
          <w:szCs w:val="22"/>
          <w:lang w:val="en-AU"/>
        </w:rPr>
      </w:pPr>
    </w:p>
    <w:p w:rsidR="00994E27" w:rsidRPr="00E84DC2" w:rsidRDefault="00D733EB" w:rsidP="00785B04">
      <w:pPr>
        <w:spacing w:after="40"/>
        <w:jc w:val="center"/>
        <w:rPr>
          <w:rFonts w:ascii="Tahoma" w:eastAsia="Calibri" w:hAnsi="Tahoma" w:cs="Tahoma"/>
          <w:b/>
          <w:sz w:val="22"/>
          <w:szCs w:val="22"/>
          <w:lang w:val="en-AU"/>
        </w:rPr>
      </w:pPr>
      <w:r w:rsidRPr="00D733EB">
        <w:rPr>
          <w:rFonts w:ascii="Tahoma" w:eastAsia="Calibri" w:hAnsi="Tahoma" w:cs="Tahoma"/>
          <w:b/>
          <w:sz w:val="22"/>
          <w:szCs w:val="22"/>
          <w:lang w:val="en-AU"/>
        </w:rPr>
        <w:t>Figure 4A</w:t>
      </w:r>
      <w:r w:rsidRPr="00D733EB">
        <w:rPr>
          <w:rFonts w:ascii="Tahoma" w:eastAsia="Calibri" w:hAnsi="Tahoma" w:cs="Tahoma"/>
          <w:b/>
          <w:sz w:val="22"/>
          <w:szCs w:val="22"/>
          <w:lang w:val="en-AU"/>
        </w:rPr>
        <w:br/>
        <w:t>Non-</w:t>
      </w:r>
      <w:r w:rsidRPr="00D733EB">
        <w:rPr>
          <w:rFonts w:ascii="Tahoma" w:hAnsi="Tahoma" w:cs="Tahoma"/>
          <w:b/>
          <w:sz w:val="22"/>
          <w:szCs w:val="22"/>
          <w:lang w:val="en-AU"/>
        </w:rPr>
        <w:t>regulatory</w:t>
      </w:r>
      <w:r w:rsidRPr="00D733EB">
        <w:rPr>
          <w:rFonts w:ascii="Tahoma" w:eastAsia="Calibri" w:hAnsi="Tahoma" w:cs="Tahoma"/>
          <w:b/>
          <w:sz w:val="22"/>
          <w:szCs w:val="22"/>
          <w:lang w:val="en-AU"/>
        </w:rPr>
        <w:t xml:space="preserve"> options</w:t>
      </w:r>
    </w:p>
    <w:p w:rsidR="00785B04" w:rsidRPr="00E84DC2" w:rsidRDefault="00785B04" w:rsidP="00994E27">
      <w:pPr>
        <w:spacing w:after="40"/>
        <w:rPr>
          <w:rFonts w:ascii="Tahoma" w:eastAsia="Calibri" w:hAnsi="Tahoma" w:cs="Tahoma"/>
          <w:b/>
          <w:sz w:val="8"/>
          <w:szCs w:val="8"/>
          <w:lang w:val="en-AU"/>
        </w:rPr>
      </w:pPr>
    </w:p>
    <w:tbl>
      <w:tblPr>
        <w:tblStyle w:val="LightList-Accent11"/>
        <w:tblW w:w="0" w:type="auto"/>
        <w:tblLook w:val="04A0" w:firstRow="1" w:lastRow="0" w:firstColumn="1" w:lastColumn="0" w:noHBand="0" w:noVBand="1"/>
      </w:tblPr>
      <w:tblGrid>
        <w:gridCol w:w="4258"/>
        <w:gridCol w:w="4258"/>
      </w:tblGrid>
      <w:tr w:rsidR="00994E27" w:rsidRPr="00E84DC2" w:rsidTr="0071439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258" w:type="dxa"/>
          </w:tcPr>
          <w:p w:rsidR="00994E27" w:rsidRPr="00E84DC2" w:rsidRDefault="00D733EB" w:rsidP="00994E27">
            <w:pPr>
              <w:spacing w:before="40" w:after="60"/>
              <w:rPr>
                <w:rFonts w:ascii="Tahoma" w:eastAsia="Calibri" w:hAnsi="Tahoma" w:cs="Tahoma"/>
                <w:color w:val="auto"/>
                <w:sz w:val="20"/>
                <w:szCs w:val="20"/>
                <w:lang w:val="en-AU"/>
              </w:rPr>
            </w:pPr>
            <w:r w:rsidRPr="00D733EB">
              <w:rPr>
                <w:rFonts w:ascii="Tahoma" w:eastAsia="Calibri" w:hAnsi="Tahoma" w:cs="Tahoma"/>
                <w:sz w:val="20"/>
                <w:szCs w:val="20"/>
                <w:lang w:val="en-AU"/>
              </w:rPr>
              <w:t>Non-regulatory option</w:t>
            </w:r>
          </w:p>
        </w:tc>
        <w:tc>
          <w:tcPr>
            <w:tcW w:w="4258" w:type="dxa"/>
          </w:tcPr>
          <w:p w:rsidR="00994E27" w:rsidRPr="00E84DC2" w:rsidRDefault="00D733EB" w:rsidP="00994E27">
            <w:pPr>
              <w:spacing w:before="40" w:after="60"/>
              <w:cnfStyle w:val="100000000000" w:firstRow="1" w:lastRow="0" w:firstColumn="0" w:lastColumn="0" w:oddVBand="0" w:evenVBand="0" w:oddHBand="0" w:evenHBand="0" w:firstRowFirstColumn="0" w:firstRowLastColumn="0" w:lastRowFirstColumn="0" w:lastRowLastColumn="0"/>
              <w:rPr>
                <w:rFonts w:ascii="Tahoma" w:eastAsia="Calibri" w:hAnsi="Tahoma" w:cs="Tahoma"/>
                <w:color w:val="auto"/>
                <w:sz w:val="20"/>
                <w:szCs w:val="20"/>
                <w:lang w:val="en-AU"/>
              </w:rPr>
            </w:pPr>
            <w:r w:rsidRPr="00D733EB">
              <w:rPr>
                <w:rFonts w:ascii="Tahoma" w:eastAsia="Calibri" w:hAnsi="Tahoma" w:cs="Tahoma"/>
                <w:sz w:val="20"/>
                <w:szCs w:val="20"/>
                <w:lang w:val="en-AU"/>
              </w:rPr>
              <w:t>Assessment</w:t>
            </w:r>
          </w:p>
        </w:tc>
      </w:tr>
      <w:tr w:rsidR="00994E27" w:rsidRPr="00E84DC2" w:rsidTr="00785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rsidR="00994E27" w:rsidRPr="00E84DC2" w:rsidRDefault="00D733EB" w:rsidP="00994E27">
            <w:pPr>
              <w:spacing w:before="40" w:after="60"/>
              <w:rPr>
                <w:rFonts w:ascii="Tahoma" w:eastAsia="Calibri" w:hAnsi="Tahoma" w:cs="Tahoma"/>
                <w:sz w:val="20"/>
                <w:szCs w:val="20"/>
                <w:lang w:val="en-AU"/>
              </w:rPr>
            </w:pPr>
            <w:r w:rsidRPr="00D733EB">
              <w:rPr>
                <w:rFonts w:ascii="Tahoma" w:eastAsia="Calibri" w:hAnsi="Tahoma" w:cs="Tahoma"/>
                <w:sz w:val="20"/>
                <w:szCs w:val="20"/>
                <w:lang w:val="en-AU"/>
              </w:rPr>
              <w:t>Self-regulation, quasi-regulation or co</w:t>
            </w:r>
            <w:r w:rsidRPr="00D733EB">
              <w:rPr>
                <w:rFonts w:ascii="Tahoma" w:eastAsia="Calibri" w:hAnsi="Tahoma" w:cs="Tahoma"/>
                <w:sz w:val="20"/>
                <w:szCs w:val="20"/>
                <w:lang w:val="en-AU"/>
              </w:rPr>
              <w:noBreakHyphen/>
              <w:t>regulation</w:t>
            </w:r>
          </w:p>
        </w:tc>
        <w:tc>
          <w:tcPr>
            <w:tcW w:w="4258" w:type="dxa"/>
          </w:tcPr>
          <w:p w:rsidR="00994E27" w:rsidRPr="00E84DC2" w:rsidRDefault="00D733EB" w:rsidP="00994E27">
            <w:pPr>
              <w:spacing w:before="40" w:after="60"/>
              <w:cnfStyle w:val="000000100000" w:firstRow="0" w:lastRow="0" w:firstColumn="0" w:lastColumn="0" w:oddVBand="0" w:evenVBand="0" w:oddHBand="1" w:evenHBand="0" w:firstRowFirstColumn="0" w:firstRowLastColumn="0" w:lastRowFirstColumn="0" w:lastRowLastColumn="0"/>
              <w:rPr>
                <w:rFonts w:ascii="Tahoma" w:eastAsia="Calibri" w:hAnsi="Tahoma" w:cs="Tahoma"/>
                <w:sz w:val="20"/>
                <w:szCs w:val="20"/>
                <w:lang w:val="en-AU"/>
              </w:rPr>
            </w:pPr>
            <w:r w:rsidRPr="00D733EB">
              <w:rPr>
                <w:rFonts w:ascii="Tahoma" w:eastAsia="Calibri" w:hAnsi="Tahoma" w:cs="Tahoma"/>
                <w:sz w:val="20"/>
                <w:szCs w:val="20"/>
                <w:lang w:val="en-AU"/>
              </w:rPr>
              <w:t>Possible. This option is assessed below.</w:t>
            </w:r>
          </w:p>
        </w:tc>
      </w:tr>
      <w:tr w:rsidR="00994E27" w:rsidRPr="00E84DC2" w:rsidTr="00785B04">
        <w:tc>
          <w:tcPr>
            <w:cnfStyle w:val="001000000000" w:firstRow="0" w:lastRow="0" w:firstColumn="1" w:lastColumn="0" w:oddVBand="0" w:evenVBand="0" w:oddHBand="0" w:evenHBand="0" w:firstRowFirstColumn="0" w:firstRowLastColumn="0" w:lastRowFirstColumn="0" w:lastRowLastColumn="0"/>
            <w:tcW w:w="4258" w:type="dxa"/>
          </w:tcPr>
          <w:p w:rsidR="00994E27" w:rsidRPr="00E84DC2" w:rsidRDefault="00D733EB" w:rsidP="00994E27">
            <w:pPr>
              <w:spacing w:before="40" w:after="60"/>
              <w:rPr>
                <w:rFonts w:ascii="Tahoma" w:eastAsia="Calibri" w:hAnsi="Tahoma" w:cs="Tahoma"/>
                <w:sz w:val="20"/>
                <w:szCs w:val="20"/>
                <w:lang w:val="en-AU"/>
              </w:rPr>
            </w:pPr>
            <w:r w:rsidRPr="00D733EB">
              <w:rPr>
                <w:rFonts w:ascii="Tahoma" w:eastAsia="Calibri" w:hAnsi="Tahoma" w:cs="Tahoma"/>
                <w:sz w:val="20"/>
                <w:szCs w:val="20"/>
                <w:lang w:val="en-AU"/>
              </w:rPr>
              <w:t>Increased enforcement of existing provisions</w:t>
            </w:r>
          </w:p>
        </w:tc>
        <w:tc>
          <w:tcPr>
            <w:tcW w:w="4258" w:type="dxa"/>
          </w:tcPr>
          <w:p w:rsidR="00994E27" w:rsidRPr="00E84DC2" w:rsidRDefault="00D733EB" w:rsidP="00994E27">
            <w:pPr>
              <w:spacing w:before="40" w:after="60"/>
              <w:cnfStyle w:val="000000000000" w:firstRow="0" w:lastRow="0" w:firstColumn="0" w:lastColumn="0" w:oddVBand="0" w:evenVBand="0" w:oddHBand="0" w:evenHBand="0" w:firstRowFirstColumn="0" w:firstRowLastColumn="0" w:lastRowFirstColumn="0" w:lastRowLastColumn="0"/>
              <w:rPr>
                <w:rFonts w:ascii="Tahoma" w:eastAsia="Calibri" w:hAnsi="Tahoma" w:cs="Tahoma"/>
                <w:sz w:val="20"/>
                <w:szCs w:val="20"/>
                <w:lang w:val="en-AU"/>
              </w:rPr>
            </w:pPr>
            <w:r w:rsidRPr="00D733EB">
              <w:rPr>
                <w:rFonts w:ascii="Tahoma" w:eastAsia="Calibri" w:hAnsi="Tahoma" w:cs="Tahoma"/>
                <w:sz w:val="20"/>
                <w:szCs w:val="20"/>
                <w:lang w:val="en-AU"/>
              </w:rPr>
              <w:t>Not relevant to the objectives.</w:t>
            </w:r>
          </w:p>
        </w:tc>
      </w:tr>
      <w:tr w:rsidR="00994E27" w:rsidRPr="00E84DC2" w:rsidTr="00785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rsidR="00994E27" w:rsidRPr="00E84DC2" w:rsidRDefault="00D733EB" w:rsidP="00994E27">
            <w:pPr>
              <w:spacing w:before="40" w:after="60"/>
              <w:rPr>
                <w:rFonts w:ascii="Tahoma" w:eastAsia="Calibri" w:hAnsi="Tahoma" w:cs="Tahoma"/>
                <w:sz w:val="20"/>
                <w:szCs w:val="20"/>
                <w:lang w:val="en-AU"/>
              </w:rPr>
            </w:pPr>
            <w:r w:rsidRPr="00D733EB">
              <w:rPr>
                <w:rFonts w:ascii="Tahoma" w:eastAsia="Calibri" w:hAnsi="Tahoma" w:cs="Tahoma"/>
                <w:sz w:val="20"/>
                <w:szCs w:val="20"/>
                <w:lang w:val="en-AU"/>
              </w:rPr>
              <w:t>Extending the coverage of existing legislation</w:t>
            </w:r>
          </w:p>
        </w:tc>
        <w:tc>
          <w:tcPr>
            <w:tcW w:w="4258" w:type="dxa"/>
          </w:tcPr>
          <w:p w:rsidR="00994E27" w:rsidRPr="00E84DC2" w:rsidRDefault="00D733EB" w:rsidP="00994E27">
            <w:pPr>
              <w:spacing w:before="40" w:after="60"/>
              <w:cnfStyle w:val="000000100000" w:firstRow="0" w:lastRow="0" w:firstColumn="0" w:lastColumn="0" w:oddVBand="0" w:evenVBand="0" w:oddHBand="1" w:evenHBand="0" w:firstRowFirstColumn="0" w:firstRowLastColumn="0" w:lastRowFirstColumn="0" w:lastRowLastColumn="0"/>
              <w:rPr>
                <w:rFonts w:ascii="Tahoma" w:eastAsia="Calibri" w:hAnsi="Tahoma" w:cs="Tahoma"/>
                <w:sz w:val="20"/>
                <w:szCs w:val="20"/>
                <w:lang w:val="en-AU"/>
              </w:rPr>
            </w:pPr>
            <w:r w:rsidRPr="00D733EB">
              <w:rPr>
                <w:rFonts w:ascii="Tahoma" w:eastAsia="Calibri" w:hAnsi="Tahoma" w:cs="Tahoma"/>
                <w:sz w:val="20"/>
                <w:szCs w:val="20"/>
                <w:lang w:val="en-AU"/>
              </w:rPr>
              <w:t>Not relevant. The proposed Regulations are to give operational effect to the Act, as amended.</w:t>
            </w:r>
          </w:p>
        </w:tc>
      </w:tr>
      <w:tr w:rsidR="00994E27" w:rsidRPr="00E84DC2" w:rsidTr="00785B04">
        <w:tc>
          <w:tcPr>
            <w:cnfStyle w:val="001000000000" w:firstRow="0" w:lastRow="0" w:firstColumn="1" w:lastColumn="0" w:oddVBand="0" w:evenVBand="0" w:oddHBand="0" w:evenHBand="0" w:firstRowFirstColumn="0" w:firstRowLastColumn="0" w:lastRowFirstColumn="0" w:lastRowLastColumn="0"/>
            <w:tcW w:w="4258" w:type="dxa"/>
          </w:tcPr>
          <w:p w:rsidR="00994E27" w:rsidRPr="00E84DC2" w:rsidRDefault="00D733EB" w:rsidP="00994E27">
            <w:pPr>
              <w:spacing w:before="40" w:after="60"/>
              <w:rPr>
                <w:rFonts w:ascii="Tahoma" w:eastAsia="Calibri" w:hAnsi="Tahoma" w:cs="Tahoma"/>
                <w:sz w:val="20"/>
                <w:szCs w:val="20"/>
                <w:lang w:val="en-AU"/>
              </w:rPr>
            </w:pPr>
            <w:r w:rsidRPr="00D733EB">
              <w:rPr>
                <w:rFonts w:ascii="Tahoma" w:eastAsia="Calibri" w:hAnsi="Tahoma" w:cs="Tahoma"/>
                <w:sz w:val="20"/>
                <w:szCs w:val="20"/>
                <w:lang w:val="en-AU"/>
              </w:rPr>
              <w:t>Removing other legislative impediments</w:t>
            </w:r>
          </w:p>
        </w:tc>
        <w:tc>
          <w:tcPr>
            <w:tcW w:w="4258" w:type="dxa"/>
          </w:tcPr>
          <w:p w:rsidR="00994E27" w:rsidRPr="00E84DC2" w:rsidRDefault="00D733EB" w:rsidP="00994E27">
            <w:pPr>
              <w:spacing w:before="40" w:after="60"/>
              <w:cnfStyle w:val="000000000000" w:firstRow="0" w:lastRow="0" w:firstColumn="0" w:lastColumn="0" w:oddVBand="0" w:evenVBand="0" w:oddHBand="0" w:evenHBand="0" w:firstRowFirstColumn="0" w:firstRowLastColumn="0" w:lastRowFirstColumn="0" w:lastRowLastColumn="0"/>
              <w:rPr>
                <w:rFonts w:ascii="Tahoma" w:eastAsia="Calibri" w:hAnsi="Tahoma" w:cs="Tahoma"/>
                <w:sz w:val="20"/>
                <w:szCs w:val="20"/>
                <w:lang w:val="en-AU"/>
              </w:rPr>
            </w:pPr>
            <w:r w:rsidRPr="00D733EB">
              <w:rPr>
                <w:rFonts w:ascii="Tahoma" w:eastAsia="Calibri" w:hAnsi="Tahoma" w:cs="Tahoma"/>
                <w:sz w:val="20"/>
                <w:szCs w:val="20"/>
                <w:lang w:val="en-AU"/>
              </w:rPr>
              <w:t>Not relevant.</w:t>
            </w:r>
          </w:p>
        </w:tc>
      </w:tr>
      <w:tr w:rsidR="00994E27" w:rsidRPr="00E84DC2" w:rsidTr="00785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rsidR="00994E27" w:rsidRPr="00E84DC2" w:rsidRDefault="00D733EB" w:rsidP="00994E27">
            <w:pPr>
              <w:spacing w:before="40" w:after="60"/>
              <w:rPr>
                <w:rFonts w:ascii="Tahoma" w:eastAsia="Calibri" w:hAnsi="Tahoma" w:cs="Tahoma"/>
                <w:sz w:val="20"/>
                <w:szCs w:val="20"/>
                <w:lang w:val="en-AU"/>
              </w:rPr>
            </w:pPr>
            <w:r w:rsidRPr="00D733EB">
              <w:rPr>
                <w:rFonts w:ascii="Tahoma" w:eastAsia="Calibri" w:hAnsi="Tahoma" w:cs="Tahoma"/>
                <w:sz w:val="20"/>
                <w:szCs w:val="20"/>
                <w:lang w:val="en-AU"/>
              </w:rPr>
              <w:lastRenderedPageBreak/>
              <w:t>Rewarding good behaviour</w:t>
            </w:r>
          </w:p>
        </w:tc>
        <w:tc>
          <w:tcPr>
            <w:tcW w:w="4258" w:type="dxa"/>
          </w:tcPr>
          <w:p w:rsidR="00994E27" w:rsidRPr="00E84DC2" w:rsidRDefault="00D733EB" w:rsidP="00994E27">
            <w:pPr>
              <w:spacing w:before="40" w:after="60"/>
              <w:cnfStyle w:val="000000100000" w:firstRow="0" w:lastRow="0" w:firstColumn="0" w:lastColumn="0" w:oddVBand="0" w:evenVBand="0" w:oddHBand="1" w:evenHBand="0" w:firstRowFirstColumn="0" w:firstRowLastColumn="0" w:lastRowFirstColumn="0" w:lastRowLastColumn="0"/>
              <w:rPr>
                <w:rFonts w:ascii="Tahoma" w:eastAsia="Calibri" w:hAnsi="Tahoma" w:cs="Tahoma"/>
                <w:sz w:val="20"/>
                <w:szCs w:val="20"/>
                <w:lang w:val="en-AU"/>
              </w:rPr>
            </w:pPr>
            <w:r w:rsidRPr="00D733EB">
              <w:rPr>
                <w:rFonts w:ascii="Tahoma" w:eastAsia="Calibri" w:hAnsi="Tahoma" w:cs="Tahoma"/>
                <w:sz w:val="20"/>
                <w:szCs w:val="20"/>
                <w:lang w:val="en-AU"/>
              </w:rPr>
              <w:t>Theoretically, incentives could be created by linking councils’ reporting to funding, rather than through regulation. However, this requires a detailed consideration of the impact on other policy objectives outside the scope of this RIS. It is generally undesirable to use one objective to leverage another, as a consequence may be that neither is achieved as intended.</w:t>
            </w:r>
          </w:p>
        </w:tc>
      </w:tr>
      <w:tr w:rsidR="00994E27" w:rsidRPr="00E84DC2" w:rsidTr="00785B04">
        <w:tc>
          <w:tcPr>
            <w:cnfStyle w:val="001000000000" w:firstRow="0" w:lastRow="0" w:firstColumn="1" w:lastColumn="0" w:oddVBand="0" w:evenVBand="0" w:oddHBand="0" w:evenHBand="0" w:firstRowFirstColumn="0" w:firstRowLastColumn="0" w:lastRowFirstColumn="0" w:lastRowLastColumn="0"/>
            <w:tcW w:w="4258" w:type="dxa"/>
          </w:tcPr>
          <w:p w:rsidR="00994E27" w:rsidRPr="00E84DC2" w:rsidRDefault="00D733EB" w:rsidP="00994E27">
            <w:pPr>
              <w:spacing w:before="40" w:after="60"/>
              <w:rPr>
                <w:rFonts w:ascii="Tahoma" w:eastAsia="Calibri" w:hAnsi="Tahoma" w:cs="Tahoma"/>
                <w:sz w:val="20"/>
                <w:szCs w:val="20"/>
                <w:lang w:val="en-AU"/>
              </w:rPr>
            </w:pPr>
            <w:r w:rsidRPr="00D733EB">
              <w:rPr>
                <w:rFonts w:ascii="Tahoma" w:eastAsia="Calibri" w:hAnsi="Tahoma" w:cs="Tahoma"/>
                <w:sz w:val="20"/>
                <w:szCs w:val="20"/>
                <w:lang w:val="en-AU"/>
              </w:rPr>
              <w:t>Negative licensing</w:t>
            </w:r>
          </w:p>
        </w:tc>
        <w:tc>
          <w:tcPr>
            <w:tcW w:w="4258" w:type="dxa"/>
          </w:tcPr>
          <w:p w:rsidR="00994E27" w:rsidRPr="00E84DC2" w:rsidRDefault="00D733EB" w:rsidP="00994E27">
            <w:pPr>
              <w:spacing w:before="40" w:after="60"/>
              <w:cnfStyle w:val="000000000000" w:firstRow="0" w:lastRow="0" w:firstColumn="0" w:lastColumn="0" w:oddVBand="0" w:evenVBand="0" w:oddHBand="0" w:evenHBand="0" w:firstRowFirstColumn="0" w:firstRowLastColumn="0" w:lastRowFirstColumn="0" w:lastRowLastColumn="0"/>
              <w:rPr>
                <w:rFonts w:ascii="Tahoma" w:eastAsia="Calibri" w:hAnsi="Tahoma" w:cs="Tahoma"/>
                <w:sz w:val="20"/>
                <w:szCs w:val="20"/>
                <w:lang w:val="en-AU"/>
              </w:rPr>
            </w:pPr>
            <w:r w:rsidRPr="00D733EB">
              <w:rPr>
                <w:rFonts w:ascii="Tahoma" w:eastAsia="Calibri" w:hAnsi="Tahoma" w:cs="Tahoma"/>
                <w:sz w:val="20"/>
                <w:szCs w:val="20"/>
                <w:lang w:val="en-AU"/>
              </w:rPr>
              <w:t xml:space="preserve">Not applicable. </w:t>
            </w:r>
          </w:p>
        </w:tc>
      </w:tr>
      <w:tr w:rsidR="00994E27" w:rsidRPr="00E84DC2" w:rsidTr="00785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rsidR="00994E27" w:rsidRPr="00E84DC2" w:rsidRDefault="00D733EB" w:rsidP="00994E27">
            <w:pPr>
              <w:spacing w:before="40" w:after="60"/>
              <w:rPr>
                <w:rFonts w:ascii="Tahoma" w:eastAsia="Calibri" w:hAnsi="Tahoma" w:cs="Tahoma"/>
                <w:sz w:val="20"/>
                <w:szCs w:val="20"/>
                <w:lang w:val="en-AU"/>
              </w:rPr>
            </w:pPr>
            <w:r w:rsidRPr="00D733EB">
              <w:rPr>
                <w:rFonts w:ascii="Tahoma" w:eastAsia="Calibri" w:hAnsi="Tahoma" w:cs="Tahoma"/>
                <w:sz w:val="20"/>
                <w:szCs w:val="20"/>
                <w:lang w:val="en-AU"/>
              </w:rPr>
              <w:t>Public information and education campaigns</w:t>
            </w:r>
          </w:p>
        </w:tc>
        <w:tc>
          <w:tcPr>
            <w:tcW w:w="4258" w:type="dxa"/>
          </w:tcPr>
          <w:p w:rsidR="00994E27" w:rsidRPr="00E84DC2" w:rsidRDefault="00D733EB" w:rsidP="00994E27">
            <w:pPr>
              <w:spacing w:before="40" w:after="60"/>
              <w:cnfStyle w:val="000000100000" w:firstRow="0" w:lastRow="0" w:firstColumn="0" w:lastColumn="0" w:oddVBand="0" w:evenVBand="0" w:oddHBand="1" w:evenHBand="0" w:firstRowFirstColumn="0" w:firstRowLastColumn="0" w:lastRowFirstColumn="0" w:lastRowLastColumn="0"/>
              <w:rPr>
                <w:rFonts w:ascii="Tahoma" w:eastAsia="Calibri" w:hAnsi="Tahoma" w:cs="Tahoma"/>
                <w:sz w:val="20"/>
                <w:szCs w:val="20"/>
                <w:lang w:val="en-AU"/>
              </w:rPr>
            </w:pPr>
            <w:r w:rsidRPr="00D733EB">
              <w:rPr>
                <w:rFonts w:ascii="Tahoma" w:eastAsia="Calibri" w:hAnsi="Tahoma" w:cs="Tahoma"/>
                <w:sz w:val="20"/>
                <w:szCs w:val="20"/>
                <w:lang w:val="en-AU"/>
              </w:rPr>
              <w:t>This could be part of a voluntary approach assessed below.</w:t>
            </w:r>
          </w:p>
        </w:tc>
      </w:tr>
      <w:tr w:rsidR="00994E27" w:rsidRPr="00E84DC2" w:rsidTr="00785B04">
        <w:tc>
          <w:tcPr>
            <w:cnfStyle w:val="001000000000" w:firstRow="0" w:lastRow="0" w:firstColumn="1" w:lastColumn="0" w:oddVBand="0" w:evenVBand="0" w:oddHBand="0" w:evenHBand="0" w:firstRowFirstColumn="0" w:firstRowLastColumn="0" w:lastRowFirstColumn="0" w:lastRowLastColumn="0"/>
            <w:tcW w:w="4258" w:type="dxa"/>
          </w:tcPr>
          <w:p w:rsidR="00994E27" w:rsidRPr="00E84DC2" w:rsidRDefault="00D733EB" w:rsidP="00994E27">
            <w:pPr>
              <w:spacing w:before="40" w:after="60"/>
              <w:rPr>
                <w:rFonts w:ascii="Tahoma" w:eastAsia="Calibri" w:hAnsi="Tahoma" w:cs="Tahoma"/>
                <w:sz w:val="20"/>
                <w:szCs w:val="20"/>
                <w:lang w:val="en-AU"/>
              </w:rPr>
            </w:pPr>
            <w:r w:rsidRPr="00D733EB">
              <w:rPr>
                <w:rFonts w:ascii="Tahoma" w:eastAsia="Calibri" w:hAnsi="Tahoma" w:cs="Tahoma"/>
                <w:sz w:val="20"/>
                <w:szCs w:val="20"/>
                <w:lang w:val="en-AU"/>
              </w:rPr>
              <w:t>Information disclosure</w:t>
            </w:r>
          </w:p>
        </w:tc>
        <w:tc>
          <w:tcPr>
            <w:tcW w:w="4258" w:type="dxa"/>
          </w:tcPr>
          <w:p w:rsidR="00994E27" w:rsidRPr="00E84DC2" w:rsidRDefault="00D733EB" w:rsidP="00994E27">
            <w:pPr>
              <w:spacing w:before="40" w:after="60"/>
              <w:cnfStyle w:val="000000000000" w:firstRow="0" w:lastRow="0" w:firstColumn="0" w:lastColumn="0" w:oddVBand="0" w:evenVBand="0" w:oddHBand="0" w:evenHBand="0" w:firstRowFirstColumn="0" w:firstRowLastColumn="0" w:lastRowFirstColumn="0" w:lastRowLastColumn="0"/>
              <w:rPr>
                <w:rFonts w:ascii="Tahoma" w:eastAsia="Calibri" w:hAnsi="Tahoma" w:cs="Tahoma"/>
                <w:sz w:val="20"/>
                <w:szCs w:val="20"/>
                <w:lang w:val="en-AU"/>
              </w:rPr>
            </w:pPr>
            <w:r w:rsidRPr="00D733EB">
              <w:rPr>
                <w:rFonts w:ascii="Tahoma" w:eastAsia="Calibri" w:hAnsi="Tahoma" w:cs="Tahoma"/>
                <w:sz w:val="20"/>
                <w:szCs w:val="20"/>
                <w:lang w:val="en-AU"/>
              </w:rPr>
              <w:t>This could be part of a voluntary approach assessed below.</w:t>
            </w:r>
          </w:p>
        </w:tc>
      </w:tr>
      <w:tr w:rsidR="00994E27" w:rsidRPr="00E84DC2" w:rsidTr="00785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rsidR="00994E27" w:rsidRPr="00E84DC2" w:rsidRDefault="00D733EB" w:rsidP="00994E27">
            <w:pPr>
              <w:spacing w:before="40" w:after="60"/>
              <w:rPr>
                <w:rFonts w:ascii="Tahoma" w:eastAsia="Calibri" w:hAnsi="Tahoma" w:cs="Tahoma"/>
                <w:sz w:val="20"/>
                <w:szCs w:val="20"/>
                <w:lang w:val="en-AU"/>
              </w:rPr>
            </w:pPr>
            <w:r w:rsidRPr="00D733EB">
              <w:rPr>
                <w:rFonts w:ascii="Tahoma" w:eastAsia="Calibri" w:hAnsi="Tahoma" w:cs="Tahoma"/>
                <w:sz w:val="20"/>
                <w:szCs w:val="20"/>
                <w:lang w:val="en-AU"/>
              </w:rPr>
              <w:t>Market-based instruments (e.g. taxes, subsidies, user charges, tradeable permits)</w:t>
            </w:r>
          </w:p>
        </w:tc>
        <w:tc>
          <w:tcPr>
            <w:tcW w:w="4258" w:type="dxa"/>
          </w:tcPr>
          <w:p w:rsidR="00994E27" w:rsidRPr="00E84DC2" w:rsidRDefault="00D733EB" w:rsidP="00994E27">
            <w:pPr>
              <w:spacing w:before="40" w:after="60"/>
              <w:cnfStyle w:val="000000100000" w:firstRow="0" w:lastRow="0" w:firstColumn="0" w:lastColumn="0" w:oddVBand="0" w:evenVBand="0" w:oddHBand="1" w:evenHBand="0" w:firstRowFirstColumn="0" w:firstRowLastColumn="0" w:lastRowFirstColumn="0" w:lastRowLastColumn="0"/>
              <w:rPr>
                <w:rFonts w:ascii="Tahoma" w:eastAsia="Calibri" w:hAnsi="Tahoma" w:cs="Tahoma"/>
                <w:sz w:val="20"/>
                <w:szCs w:val="20"/>
                <w:lang w:val="en-AU"/>
              </w:rPr>
            </w:pPr>
            <w:r w:rsidRPr="00D733EB">
              <w:rPr>
                <w:rFonts w:ascii="Tahoma" w:eastAsia="Calibri" w:hAnsi="Tahoma" w:cs="Tahoma"/>
                <w:sz w:val="20"/>
                <w:szCs w:val="20"/>
                <w:lang w:val="en-AU"/>
              </w:rPr>
              <w:t>Not applicable.</w:t>
            </w:r>
          </w:p>
        </w:tc>
      </w:tr>
    </w:tbl>
    <w:p w:rsidR="00DC3D24" w:rsidRPr="00E84DC2" w:rsidRDefault="00D733EB" w:rsidP="00E84CE8">
      <w:pPr>
        <w:pStyle w:val="Heading2"/>
      </w:pPr>
      <w:bookmarkStart w:id="21" w:name="_Toc377647875"/>
      <w:bookmarkStart w:id="22" w:name="_Toc379878666"/>
      <w:bookmarkEnd w:id="21"/>
      <w:r w:rsidRPr="00D733EB">
        <w:t>Options assessed in this RIS</w:t>
      </w:r>
      <w:bookmarkEnd w:id="22"/>
    </w:p>
    <w:p w:rsidR="00DC3D24" w:rsidRPr="00E84DC2" w:rsidRDefault="00DC3D24" w:rsidP="00994E27">
      <w:pPr>
        <w:rPr>
          <w:rFonts w:ascii="Tahoma" w:eastAsia="Calibri" w:hAnsi="Tahoma" w:cs="Tahoma"/>
          <w:sz w:val="22"/>
          <w:szCs w:val="22"/>
          <w:lang w:val="en-AU"/>
        </w:rPr>
      </w:pPr>
    </w:p>
    <w:p w:rsidR="00C8259C" w:rsidRPr="00E84DC2" w:rsidRDefault="00D733EB" w:rsidP="0046660B">
      <w:pPr>
        <w:rPr>
          <w:rFonts w:ascii="Tahoma" w:eastAsia="Calibri" w:hAnsi="Tahoma" w:cs="Tahoma"/>
          <w:sz w:val="22"/>
          <w:szCs w:val="22"/>
          <w:lang w:val="en-AU"/>
        </w:rPr>
      </w:pPr>
      <w:r w:rsidRPr="00D733EB">
        <w:rPr>
          <w:rFonts w:ascii="Tahoma" w:eastAsia="Calibri" w:hAnsi="Tahoma" w:cs="Tahoma"/>
          <w:sz w:val="22"/>
          <w:szCs w:val="22"/>
          <w:lang w:val="en-AU"/>
        </w:rPr>
        <w:t>Drawing from the approaches in other jurisdictions, the alternative options identified for assessment in the RIS are:</w:t>
      </w:r>
    </w:p>
    <w:p w:rsidR="00370858" w:rsidRPr="00E84DC2" w:rsidRDefault="00D733EB">
      <w:pPr>
        <w:pStyle w:val="ListParagraph"/>
        <w:rPr>
          <w:rFonts w:ascii="Tahoma" w:hAnsi="Tahoma" w:cs="Tahoma"/>
        </w:rPr>
      </w:pPr>
      <w:r w:rsidRPr="00D733EB">
        <w:rPr>
          <w:rFonts w:ascii="Tahoma" w:eastAsia="Times New Roman" w:hAnsi="Tahoma" w:cs="Tahoma"/>
          <w:lang w:val="en-AU"/>
        </w:rPr>
        <w:t xml:space="preserve">a </w:t>
      </w:r>
      <w:r w:rsidRPr="00D733EB">
        <w:rPr>
          <w:rFonts w:ascii="Tahoma" w:hAnsi="Tahoma" w:cs="Tahoma"/>
        </w:rPr>
        <w:t>voluntary system, where the same reporting requirements were used, but only as recommended reporting, not mandatory</w:t>
      </w:r>
      <w:r w:rsidR="004B4707">
        <w:rPr>
          <w:rFonts w:ascii="Tahoma" w:hAnsi="Tahoma" w:cs="Tahoma"/>
        </w:rPr>
        <w:t>;</w:t>
      </w:r>
    </w:p>
    <w:p w:rsidR="00370858" w:rsidRPr="00E84DC2" w:rsidRDefault="00D733EB">
      <w:pPr>
        <w:pStyle w:val="ListParagraph"/>
        <w:rPr>
          <w:rFonts w:ascii="Tahoma" w:hAnsi="Tahoma" w:cs="Tahoma"/>
        </w:rPr>
      </w:pPr>
      <w:r w:rsidRPr="00D733EB">
        <w:rPr>
          <w:rFonts w:ascii="Tahoma" w:hAnsi="Tahoma" w:cs="Tahoma"/>
        </w:rPr>
        <w:t>a principles-based approach, where the intent and purpose of a better reporting approach is set by the state government, but individual councils continue to develop their own indicators and measures for reporting</w:t>
      </w:r>
      <w:r w:rsidR="004B4707">
        <w:rPr>
          <w:rFonts w:ascii="Tahoma" w:hAnsi="Tahoma" w:cs="Tahoma"/>
        </w:rPr>
        <w:t>; and</w:t>
      </w:r>
    </w:p>
    <w:p w:rsidR="00370858" w:rsidRPr="00E84DC2" w:rsidRDefault="00D733EB">
      <w:pPr>
        <w:pStyle w:val="ListParagraph"/>
        <w:rPr>
          <w:rFonts w:ascii="Tahoma" w:eastAsia="Calibri" w:hAnsi="Tahoma" w:cs="Tahoma"/>
          <w:lang w:val="en-AU"/>
        </w:rPr>
      </w:pPr>
      <w:r w:rsidRPr="00D733EB">
        <w:rPr>
          <w:rFonts w:ascii="Tahoma" w:eastAsia="Calibri" w:hAnsi="Tahoma" w:cs="Tahoma"/>
        </w:rPr>
        <w:t>a mo</w:t>
      </w:r>
      <w:r w:rsidRPr="00D733EB">
        <w:rPr>
          <w:rFonts w:ascii="Tahoma" w:hAnsi="Tahoma" w:cs="Tahoma"/>
          <w:lang w:val="en-AU"/>
        </w:rPr>
        <w:t>re extensive regime with an expanded set of indicators.</w:t>
      </w:r>
    </w:p>
    <w:p w:rsidR="00986350" w:rsidRPr="00E84DC2" w:rsidRDefault="00D733EB" w:rsidP="00D45580">
      <w:pPr>
        <w:pStyle w:val="Heading3"/>
        <w:rPr>
          <w:rFonts w:ascii="Tahoma" w:eastAsia="Calibri" w:hAnsi="Tahoma" w:cs="Tahoma"/>
          <w:color w:val="auto"/>
        </w:rPr>
      </w:pPr>
      <w:r w:rsidRPr="00D733EB">
        <w:rPr>
          <w:rFonts w:ascii="Tahoma" w:hAnsi="Tahoma" w:cs="Tahoma"/>
          <w:color w:val="auto"/>
        </w:rPr>
        <w:t>A voluntary approach</w:t>
      </w:r>
    </w:p>
    <w:p w:rsidR="00930BAD" w:rsidRPr="00E84DC2" w:rsidRDefault="00930BAD" w:rsidP="005034DF">
      <w:pPr>
        <w:rPr>
          <w:rFonts w:ascii="Tahoma" w:eastAsia="Calibri" w:hAnsi="Tahoma" w:cs="Tahoma"/>
          <w:sz w:val="22"/>
          <w:szCs w:val="22"/>
          <w:lang w:val="en-AU"/>
        </w:rPr>
      </w:pPr>
    </w:p>
    <w:p w:rsidR="007C46A1" w:rsidRPr="00E84DC2" w:rsidRDefault="00D733EB" w:rsidP="005034DF">
      <w:pPr>
        <w:rPr>
          <w:rFonts w:ascii="Tahoma" w:eastAsia="Calibri" w:hAnsi="Tahoma" w:cs="Tahoma"/>
          <w:sz w:val="22"/>
          <w:szCs w:val="22"/>
          <w:lang w:val="en-AU"/>
        </w:rPr>
      </w:pPr>
      <w:r w:rsidRPr="00D733EB">
        <w:rPr>
          <w:rFonts w:ascii="Tahoma" w:eastAsia="Calibri" w:hAnsi="Tahoma" w:cs="Tahoma"/>
          <w:sz w:val="22"/>
          <w:szCs w:val="22"/>
          <w:lang w:val="en-AU"/>
        </w:rPr>
        <w:t>This is a non-regulatory approach. Under this option, the Victorian Government would publish ‘best practice’ reporting requirements, including the set of performance indicators in the proposed Regulations. Compliance would not be mandatory, with local councils able to choose their own reporting. Measures would not be required to be audited. Councils would therefore be able to choose which data would be most value-adding to their decision making, reducing the risk of measuring a large number of indicators of limited relevance to the council.</w:t>
      </w:r>
    </w:p>
    <w:p w:rsidR="005576AE" w:rsidRPr="00E84DC2" w:rsidRDefault="005576AE" w:rsidP="005034DF">
      <w:pPr>
        <w:rPr>
          <w:rFonts w:ascii="Tahoma" w:eastAsia="Calibri" w:hAnsi="Tahoma" w:cs="Tahoma"/>
          <w:sz w:val="22"/>
          <w:szCs w:val="22"/>
          <w:lang w:val="en-AU"/>
        </w:rPr>
      </w:pPr>
    </w:p>
    <w:p w:rsidR="00CE5566" w:rsidRPr="00E84DC2" w:rsidRDefault="00D733EB" w:rsidP="005034DF">
      <w:pPr>
        <w:rPr>
          <w:rFonts w:ascii="Tahoma" w:eastAsia="Calibri" w:hAnsi="Tahoma" w:cs="Tahoma"/>
          <w:sz w:val="22"/>
          <w:szCs w:val="22"/>
          <w:lang w:val="en-AU"/>
        </w:rPr>
      </w:pPr>
      <w:r w:rsidRPr="00D733EB">
        <w:rPr>
          <w:rFonts w:ascii="Tahoma" w:eastAsia="Calibri" w:hAnsi="Tahoma" w:cs="Tahoma"/>
          <w:sz w:val="22"/>
          <w:szCs w:val="22"/>
          <w:lang w:val="en-AU"/>
        </w:rPr>
        <w:t>Under this option, LGV would provide assistance and guidance to councils, however there would no enforcement as such, given the scheme would be voluntary. To achieve an outcome consistent with the proposed Regulations, significant effort would be required from LGV to work with individual councils on understanding why they were not reporting against best practice. Despite this additional effort by LGV, there would likely be a material number of councils that did not align to best practice, making this option overall less effective than the proposed Regulations in terms of comprehensiveness and consistency.</w:t>
      </w:r>
    </w:p>
    <w:p w:rsidR="00A7689C" w:rsidRPr="00E84DC2" w:rsidRDefault="00A7689C" w:rsidP="005034DF">
      <w:pPr>
        <w:rPr>
          <w:rFonts w:ascii="Tahoma" w:eastAsia="Calibri" w:hAnsi="Tahoma" w:cs="Tahoma"/>
          <w:sz w:val="22"/>
          <w:szCs w:val="22"/>
          <w:lang w:val="en-AU"/>
        </w:rPr>
      </w:pPr>
    </w:p>
    <w:p w:rsidR="007C46A1" w:rsidRPr="00E84DC2" w:rsidRDefault="00D733EB" w:rsidP="005034DF">
      <w:pPr>
        <w:rPr>
          <w:rFonts w:ascii="Tahoma" w:eastAsia="Calibri" w:hAnsi="Tahoma" w:cs="Tahoma"/>
          <w:sz w:val="22"/>
          <w:szCs w:val="22"/>
          <w:lang w:val="en-AU"/>
        </w:rPr>
      </w:pPr>
      <w:r w:rsidRPr="00D733EB">
        <w:rPr>
          <w:rFonts w:ascii="Tahoma" w:eastAsia="Calibri" w:hAnsi="Tahoma" w:cs="Tahoma"/>
          <w:sz w:val="22"/>
          <w:szCs w:val="22"/>
          <w:lang w:val="en-AU"/>
        </w:rPr>
        <w:lastRenderedPageBreak/>
        <w:t xml:space="preserve">If all councils follow the best practice, the results would be similar to the proposed Regulations, however the lack of having measures audited means that assurance of the data is less. The more likely outcome is that some councils would depart from the recommended reporting framework, reducing the ability to compare data across councils. Further, there will be an incentive for councils to report different measures over time if performance declines. </w:t>
      </w:r>
    </w:p>
    <w:p w:rsidR="005576AE" w:rsidRPr="00E84DC2" w:rsidRDefault="005576AE" w:rsidP="005034DF">
      <w:pPr>
        <w:rPr>
          <w:rFonts w:ascii="Tahoma" w:eastAsia="Calibri" w:hAnsi="Tahoma" w:cs="Tahoma"/>
          <w:sz w:val="22"/>
          <w:szCs w:val="22"/>
          <w:lang w:val="en-AU"/>
        </w:rPr>
      </w:pPr>
    </w:p>
    <w:p w:rsidR="005576AE" w:rsidRPr="00E84DC2" w:rsidRDefault="00D733EB" w:rsidP="005576AE">
      <w:pPr>
        <w:rPr>
          <w:rFonts w:ascii="Tahoma" w:eastAsia="Calibri" w:hAnsi="Tahoma" w:cs="Tahoma"/>
          <w:sz w:val="22"/>
          <w:szCs w:val="22"/>
          <w:lang w:val="en-AU"/>
        </w:rPr>
      </w:pPr>
      <w:r w:rsidRPr="00D733EB">
        <w:rPr>
          <w:rFonts w:ascii="Tahoma" w:eastAsia="Calibri" w:hAnsi="Tahoma" w:cs="Tahoma"/>
          <w:sz w:val="22"/>
          <w:szCs w:val="22"/>
          <w:lang w:val="en-AU"/>
        </w:rPr>
        <w:t>It is also of note that the ESC trialled a voluntary approach as part of earlier efforts to introduce a comparative reporting framework for local government. In their final report, ESC recommended that the framework be given effect through legislation to ensure full participation by Victoria’s 79 councils.</w:t>
      </w:r>
      <w:r>
        <w:rPr>
          <w:rStyle w:val="FootnoteReference"/>
          <w:rFonts w:ascii="Tahoma" w:eastAsia="Calibri" w:hAnsi="Tahoma" w:cs="Tahoma"/>
          <w:sz w:val="22"/>
          <w:szCs w:val="22"/>
          <w:lang w:val="en-AU"/>
        </w:rPr>
        <w:footnoteReference w:id="32"/>
      </w:r>
    </w:p>
    <w:p w:rsidR="00930BAD" w:rsidRPr="00E84DC2" w:rsidRDefault="00930BAD" w:rsidP="005034DF">
      <w:pPr>
        <w:rPr>
          <w:rFonts w:ascii="Tahoma" w:eastAsia="Calibri" w:hAnsi="Tahoma" w:cs="Tahoma"/>
          <w:sz w:val="22"/>
          <w:szCs w:val="22"/>
          <w:lang w:val="en-AU"/>
        </w:rPr>
      </w:pPr>
    </w:p>
    <w:p w:rsidR="005034DF" w:rsidRPr="00E84DC2" w:rsidRDefault="00D733EB" w:rsidP="005034DF">
      <w:pPr>
        <w:pStyle w:val="EPANormal"/>
        <w:jc w:val="center"/>
        <w:rPr>
          <w:rFonts w:ascii="Tahoma" w:eastAsia="Calibri" w:hAnsi="Tahoma" w:cs="Tahoma"/>
          <w:b/>
          <w:sz w:val="22"/>
          <w:szCs w:val="22"/>
        </w:rPr>
      </w:pPr>
      <w:r w:rsidRPr="00D733EB">
        <w:rPr>
          <w:rFonts w:ascii="Tahoma" w:eastAsia="Calibri" w:hAnsi="Tahoma" w:cs="Tahoma"/>
          <w:b/>
          <w:sz w:val="22"/>
          <w:szCs w:val="22"/>
        </w:rPr>
        <w:t>Figure 4B</w:t>
      </w:r>
      <w:r w:rsidRPr="00D733EB">
        <w:rPr>
          <w:rFonts w:ascii="Tahoma" w:eastAsia="Calibri" w:hAnsi="Tahoma" w:cs="Tahoma"/>
          <w:b/>
          <w:sz w:val="22"/>
          <w:szCs w:val="22"/>
        </w:rPr>
        <w:br/>
        <w:t>A voluntary approach – Multi-criteria analysis</w:t>
      </w:r>
    </w:p>
    <w:p w:rsidR="005034DF" w:rsidRPr="00E84DC2" w:rsidRDefault="005034DF" w:rsidP="005034DF">
      <w:pPr>
        <w:pStyle w:val="EPANormal"/>
        <w:rPr>
          <w:rFonts w:ascii="Tahoma" w:eastAsia="Calibri" w:hAnsi="Tahoma" w:cs="Tahoma"/>
          <w:sz w:val="4"/>
          <w:szCs w:val="4"/>
        </w:rPr>
      </w:pPr>
    </w:p>
    <w:tbl>
      <w:tblPr>
        <w:tblStyle w:val="LightList-Accent11"/>
        <w:tblW w:w="0" w:type="auto"/>
        <w:tblLook w:val="04A0" w:firstRow="1" w:lastRow="0" w:firstColumn="1" w:lastColumn="0" w:noHBand="0" w:noVBand="1"/>
      </w:tblPr>
      <w:tblGrid>
        <w:gridCol w:w="2838"/>
        <w:gridCol w:w="4641"/>
        <w:gridCol w:w="1037"/>
      </w:tblGrid>
      <w:tr w:rsidR="005034DF" w:rsidRPr="00E84DC2" w:rsidTr="00503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5034DF" w:rsidRPr="00E84DC2" w:rsidRDefault="00D733EB" w:rsidP="005034DF">
            <w:pPr>
              <w:pStyle w:val="EPANormal"/>
              <w:rPr>
                <w:rFonts w:ascii="Tahoma" w:eastAsia="Calibri" w:hAnsi="Tahoma" w:cs="Tahoma"/>
                <w:color w:val="auto"/>
                <w:sz w:val="20"/>
              </w:rPr>
            </w:pPr>
            <w:r w:rsidRPr="00D733EB">
              <w:rPr>
                <w:rFonts w:ascii="Tahoma" w:eastAsia="Calibri" w:hAnsi="Tahoma" w:cs="Tahoma"/>
                <w:sz w:val="20"/>
              </w:rPr>
              <w:t>Criterion</w:t>
            </w:r>
          </w:p>
        </w:tc>
        <w:tc>
          <w:tcPr>
            <w:tcW w:w="4641" w:type="dxa"/>
          </w:tcPr>
          <w:p w:rsidR="005034DF" w:rsidRPr="00E84DC2" w:rsidRDefault="00D733EB" w:rsidP="005034DF">
            <w:pPr>
              <w:pStyle w:val="EPANormal"/>
              <w:cnfStyle w:val="100000000000" w:firstRow="1" w:lastRow="0" w:firstColumn="0" w:lastColumn="0" w:oddVBand="0" w:evenVBand="0" w:oddHBand="0" w:evenHBand="0" w:firstRowFirstColumn="0" w:firstRowLastColumn="0" w:lastRowFirstColumn="0" w:lastRowLastColumn="0"/>
              <w:rPr>
                <w:rFonts w:ascii="Tahoma" w:eastAsia="Calibri" w:hAnsi="Tahoma" w:cs="Tahoma"/>
                <w:color w:val="auto"/>
                <w:sz w:val="20"/>
              </w:rPr>
            </w:pPr>
            <w:r w:rsidRPr="00D733EB">
              <w:rPr>
                <w:rFonts w:ascii="Tahoma" w:eastAsia="Calibri" w:hAnsi="Tahoma" w:cs="Tahoma"/>
                <w:sz w:val="20"/>
              </w:rPr>
              <w:t>Assessment</w:t>
            </w:r>
          </w:p>
        </w:tc>
        <w:tc>
          <w:tcPr>
            <w:tcW w:w="1037" w:type="dxa"/>
          </w:tcPr>
          <w:p w:rsidR="005034DF" w:rsidRPr="00E84DC2" w:rsidRDefault="00D733EB" w:rsidP="005034DF">
            <w:pPr>
              <w:pStyle w:val="EPANormal"/>
              <w:jc w:val="center"/>
              <w:cnfStyle w:val="100000000000" w:firstRow="1" w:lastRow="0" w:firstColumn="0" w:lastColumn="0" w:oddVBand="0" w:evenVBand="0" w:oddHBand="0" w:evenHBand="0" w:firstRowFirstColumn="0" w:firstRowLastColumn="0" w:lastRowFirstColumn="0" w:lastRowLastColumn="0"/>
              <w:rPr>
                <w:rFonts w:ascii="Tahoma" w:eastAsia="Calibri" w:hAnsi="Tahoma" w:cs="Tahoma"/>
                <w:color w:val="auto"/>
                <w:sz w:val="20"/>
              </w:rPr>
            </w:pPr>
            <w:r w:rsidRPr="00D733EB">
              <w:rPr>
                <w:rFonts w:ascii="Tahoma" w:eastAsia="Calibri" w:hAnsi="Tahoma" w:cs="Tahoma"/>
                <w:sz w:val="20"/>
              </w:rPr>
              <w:t>Score</w:t>
            </w:r>
          </w:p>
        </w:tc>
      </w:tr>
      <w:tr w:rsidR="005034DF" w:rsidRPr="00E84DC2" w:rsidTr="00503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5034DF" w:rsidRPr="00E84DC2" w:rsidRDefault="00D733EB" w:rsidP="005034DF">
            <w:pPr>
              <w:pStyle w:val="EPANormal"/>
              <w:rPr>
                <w:rFonts w:ascii="Tahoma" w:eastAsia="Calibri" w:hAnsi="Tahoma" w:cs="Tahoma"/>
                <w:b w:val="0"/>
                <w:sz w:val="20"/>
              </w:rPr>
            </w:pPr>
            <w:r w:rsidRPr="00D733EB">
              <w:rPr>
                <w:rFonts w:ascii="Tahoma" w:eastAsia="Calibri" w:hAnsi="Tahoma" w:cs="Tahoma"/>
                <w:sz w:val="20"/>
              </w:rPr>
              <w:t>Improved transparency and accountability of local councils. This is achieved if reported information is comprehensive, relevant and appropriate, as well as easy to access and understand. (30%)</w:t>
            </w:r>
          </w:p>
        </w:tc>
        <w:tc>
          <w:tcPr>
            <w:tcW w:w="4641" w:type="dxa"/>
          </w:tcPr>
          <w:p w:rsidR="005034DF" w:rsidRPr="00E84DC2" w:rsidRDefault="00D733EB" w:rsidP="005034DF">
            <w:pPr>
              <w:pStyle w:val="EPANormal"/>
              <w:cnfStyle w:val="000000100000" w:firstRow="0" w:lastRow="0" w:firstColumn="0" w:lastColumn="0" w:oddVBand="0" w:evenVBand="0" w:oddHBand="1" w:evenHBand="0" w:firstRowFirstColumn="0" w:firstRowLastColumn="0" w:lastRowFirstColumn="0" w:lastRowLastColumn="0"/>
              <w:rPr>
                <w:rFonts w:ascii="Tahoma" w:eastAsia="Calibri" w:hAnsi="Tahoma" w:cs="Tahoma"/>
                <w:sz w:val="20"/>
              </w:rPr>
            </w:pPr>
            <w:r w:rsidRPr="00D733EB">
              <w:rPr>
                <w:rFonts w:ascii="Tahoma" w:eastAsia="Calibri" w:hAnsi="Tahoma" w:cs="Tahoma"/>
                <w:sz w:val="20"/>
              </w:rPr>
              <w:t>There would be a high level of improved transparency, although less than the proposed Regulations.</w:t>
            </w:r>
          </w:p>
        </w:tc>
        <w:tc>
          <w:tcPr>
            <w:tcW w:w="1037" w:type="dxa"/>
          </w:tcPr>
          <w:p w:rsidR="005034DF" w:rsidRPr="00E84DC2" w:rsidRDefault="00D733EB" w:rsidP="005034DF">
            <w:pPr>
              <w:pStyle w:val="EPANormal"/>
              <w:jc w:val="center"/>
              <w:cnfStyle w:val="000000100000" w:firstRow="0" w:lastRow="0" w:firstColumn="0" w:lastColumn="0" w:oddVBand="0" w:evenVBand="0" w:oddHBand="1" w:evenHBand="0" w:firstRowFirstColumn="0" w:firstRowLastColumn="0" w:lastRowFirstColumn="0" w:lastRowLastColumn="0"/>
              <w:rPr>
                <w:rFonts w:ascii="Tahoma" w:eastAsia="Calibri" w:hAnsi="Tahoma" w:cs="Tahoma"/>
                <w:sz w:val="20"/>
              </w:rPr>
            </w:pPr>
            <w:r w:rsidRPr="00D733EB">
              <w:rPr>
                <w:rFonts w:ascii="Tahoma" w:eastAsia="Calibri" w:hAnsi="Tahoma" w:cs="Tahoma"/>
                <w:sz w:val="20"/>
              </w:rPr>
              <w:t>40</w:t>
            </w:r>
          </w:p>
        </w:tc>
      </w:tr>
      <w:tr w:rsidR="005034DF" w:rsidRPr="00E84DC2" w:rsidTr="005034DF">
        <w:tc>
          <w:tcPr>
            <w:cnfStyle w:val="001000000000" w:firstRow="0" w:lastRow="0" w:firstColumn="1" w:lastColumn="0" w:oddVBand="0" w:evenVBand="0" w:oddHBand="0" w:evenHBand="0" w:firstRowFirstColumn="0" w:firstRowLastColumn="0" w:lastRowFirstColumn="0" w:lastRowLastColumn="0"/>
            <w:tcW w:w="2838" w:type="dxa"/>
          </w:tcPr>
          <w:p w:rsidR="005034DF" w:rsidRPr="00E84DC2" w:rsidRDefault="00D733EB" w:rsidP="005034DF">
            <w:pPr>
              <w:pStyle w:val="EPANormal"/>
              <w:rPr>
                <w:rFonts w:ascii="Tahoma" w:eastAsia="Calibri" w:hAnsi="Tahoma" w:cs="Tahoma"/>
                <w:sz w:val="20"/>
              </w:rPr>
            </w:pPr>
            <w:r w:rsidRPr="00D733EB">
              <w:rPr>
                <w:rFonts w:ascii="Tahoma" w:eastAsia="Calibri" w:hAnsi="Tahoma" w:cs="Tahoma"/>
                <w:sz w:val="20"/>
              </w:rPr>
              <w:t>Increases focus on continuous improvements in council effectiveness and efficiency. This is achieved where information is consistent across councils, robust, and reflects the quantity, quality, timeliness and costs of services. (20%)</w:t>
            </w:r>
          </w:p>
        </w:tc>
        <w:tc>
          <w:tcPr>
            <w:tcW w:w="4641" w:type="dxa"/>
          </w:tcPr>
          <w:p w:rsidR="005034DF" w:rsidRPr="00E84DC2" w:rsidRDefault="00DC14B1" w:rsidP="005576AE">
            <w:pPr>
              <w:pStyle w:val="EPANormal"/>
              <w:cnfStyle w:val="000000000000" w:firstRow="0" w:lastRow="0" w:firstColumn="0" w:lastColumn="0" w:oddVBand="0" w:evenVBand="0" w:oddHBand="0" w:evenHBand="0" w:firstRowFirstColumn="0" w:firstRowLastColumn="0" w:lastRowFirstColumn="0" w:lastRowLastColumn="0"/>
              <w:rPr>
                <w:rFonts w:ascii="Tahoma" w:eastAsia="Calibri" w:hAnsi="Tahoma" w:cs="Tahoma"/>
                <w:sz w:val="20"/>
              </w:rPr>
            </w:pPr>
            <w:r w:rsidRPr="00E84DC2">
              <w:rPr>
                <w:rFonts w:ascii="Tahoma" w:eastAsia="Calibri" w:hAnsi="Tahoma" w:cs="Tahoma"/>
                <w:sz w:val="20"/>
              </w:rPr>
              <w:t>There would be a low level of improvement on the incentives and ability to pursue efficiency improvements as councils may avoid reporting on areas where performance was low. The avoided reporting will tend to be in areas where improvement is most needed. Lack of consistent approach across councils will limit the ability to benchmark across councils.</w:t>
            </w:r>
          </w:p>
        </w:tc>
        <w:tc>
          <w:tcPr>
            <w:tcW w:w="1037" w:type="dxa"/>
          </w:tcPr>
          <w:p w:rsidR="005034DF" w:rsidRPr="00E84DC2" w:rsidRDefault="00D733EB" w:rsidP="005034DF">
            <w:pPr>
              <w:pStyle w:val="EPANormal"/>
              <w:jc w:val="center"/>
              <w:cnfStyle w:val="000000000000" w:firstRow="0" w:lastRow="0" w:firstColumn="0" w:lastColumn="0" w:oddVBand="0" w:evenVBand="0" w:oddHBand="0" w:evenHBand="0" w:firstRowFirstColumn="0" w:firstRowLastColumn="0" w:lastRowFirstColumn="0" w:lastRowLastColumn="0"/>
              <w:rPr>
                <w:rFonts w:ascii="Tahoma" w:eastAsia="Calibri" w:hAnsi="Tahoma" w:cs="Tahoma"/>
                <w:sz w:val="20"/>
              </w:rPr>
            </w:pPr>
            <w:r w:rsidRPr="00D733EB">
              <w:rPr>
                <w:rFonts w:ascii="Tahoma" w:eastAsia="Calibri" w:hAnsi="Tahoma" w:cs="Tahoma"/>
                <w:sz w:val="20"/>
              </w:rPr>
              <w:t>30</w:t>
            </w:r>
          </w:p>
        </w:tc>
      </w:tr>
      <w:tr w:rsidR="005034DF" w:rsidRPr="00E84DC2" w:rsidTr="00503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5034DF" w:rsidRPr="00E84DC2" w:rsidRDefault="00D733EB" w:rsidP="005034DF">
            <w:pPr>
              <w:pStyle w:val="EPANormal"/>
              <w:rPr>
                <w:rFonts w:ascii="Tahoma" w:eastAsia="Calibri" w:hAnsi="Tahoma" w:cs="Tahoma"/>
                <w:b w:val="0"/>
                <w:sz w:val="20"/>
              </w:rPr>
            </w:pPr>
            <w:r w:rsidRPr="00D733EB">
              <w:rPr>
                <w:rFonts w:ascii="Tahoma" w:eastAsia="Calibri" w:hAnsi="Tahoma" w:cs="Tahoma"/>
                <w:sz w:val="20"/>
              </w:rPr>
              <w:t>Costs of providing information. (50%)</w:t>
            </w:r>
          </w:p>
        </w:tc>
        <w:tc>
          <w:tcPr>
            <w:tcW w:w="4641" w:type="dxa"/>
          </w:tcPr>
          <w:p w:rsidR="005034DF" w:rsidRPr="00E84DC2" w:rsidRDefault="00D733EB" w:rsidP="008D70DC">
            <w:pPr>
              <w:pStyle w:val="EPANormal"/>
              <w:cnfStyle w:val="000000100000" w:firstRow="0" w:lastRow="0" w:firstColumn="0" w:lastColumn="0" w:oddVBand="0" w:evenVBand="0" w:oddHBand="1" w:evenHBand="0" w:firstRowFirstColumn="0" w:firstRowLastColumn="0" w:lastRowFirstColumn="0" w:lastRowLastColumn="0"/>
              <w:rPr>
                <w:rFonts w:ascii="Tahoma" w:eastAsia="Calibri" w:hAnsi="Tahoma" w:cs="Tahoma"/>
                <w:sz w:val="20"/>
              </w:rPr>
            </w:pPr>
            <w:r w:rsidRPr="00D733EB">
              <w:rPr>
                <w:rFonts w:ascii="Tahoma" w:eastAsia="Calibri" w:hAnsi="Tahoma" w:cs="Tahoma"/>
                <w:sz w:val="20"/>
              </w:rPr>
              <w:t>There is a small incremental cost to local councils. This would be less than the proposed Regulations as councils can adapt their reporting to be more targeted to their ability to collect.</w:t>
            </w:r>
          </w:p>
        </w:tc>
        <w:tc>
          <w:tcPr>
            <w:tcW w:w="1037" w:type="dxa"/>
          </w:tcPr>
          <w:p w:rsidR="005034DF" w:rsidRPr="00E84DC2" w:rsidRDefault="00D733EB" w:rsidP="005034DF">
            <w:pPr>
              <w:pStyle w:val="EPANormal"/>
              <w:jc w:val="center"/>
              <w:cnfStyle w:val="000000100000" w:firstRow="0" w:lastRow="0" w:firstColumn="0" w:lastColumn="0" w:oddVBand="0" w:evenVBand="0" w:oddHBand="1" w:evenHBand="0" w:firstRowFirstColumn="0" w:firstRowLastColumn="0" w:lastRowFirstColumn="0" w:lastRowLastColumn="0"/>
              <w:rPr>
                <w:rFonts w:ascii="Tahoma" w:eastAsia="Calibri" w:hAnsi="Tahoma" w:cs="Tahoma"/>
                <w:sz w:val="20"/>
              </w:rPr>
            </w:pPr>
            <w:r w:rsidRPr="00D733EB">
              <w:rPr>
                <w:rFonts w:ascii="Tahoma" w:eastAsia="Calibri" w:hAnsi="Tahoma" w:cs="Tahoma"/>
                <w:sz w:val="20"/>
              </w:rPr>
              <w:t>-30</w:t>
            </w:r>
          </w:p>
        </w:tc>
      </w:tr>
      <w:tr w:rsidR="005034DF" w:rsidRPr="00E84DC2" w:rsidTr="005034DF">
        <w:tc>
          <w:tcPr>
            <w:cnfStyle w:val="001000000000" w:firstRow="0" w:lastRow="0" w:firstColumn="1" w:lastColumn="0" w:oddVBand="0" w:evenVBand="0" w:oddHBand="0" w:evenHBand="0" w:firstRowFirstColumn="0" w:firstRowLastColumn="0" w:lastRowFirstColumn="0" w:lastRowLastColumn="0"/>
            <w:tcW w:w="2838" w:type="dxa"/>
          </w:tcPr>
          <w:p w:rsidR="005034DF" w:rsidRPr="00E84DC2" w:rsidRDefault="00D733EB" w:rsidP="005034DF">
            <w:pPr>
              <w:pStyle w:val="EPANormal"/>
              <w:rPr>
                <w:rFonts w:ascii="Tahoma" w:eastAsia="Calibri" w:hAnsi="Tahoma" w:cs="Tahoma"/>
                <w:sz w:val="20"/>
              </w:rPr>
            </w:pPr>
            <w:r w:rsidRPr="00D733EB">
              <w:rPr>
                <w:rFonts w:ascii="Tahoma" w:eastAsia="Calibri" w:hAnsi="Tahoma" w:cs="Tahoma"/>
                <w:sz w:val="20"/>
              </w:rPr>
              <w:t>TOTAL SCORE (weighted)</w:t>
            </w:r>
          </w:p>
        </w:tc>
        <w:tc>
          <w:tcPr>
            <w:tcW w:w="4641" w:type="dxa"/>
          </w:tcPr>
          <w:p w:rsidR="005034DF" w:rsidRPr="00E84DC2" w:rsidRDefault="005034DF" w:rsidP="005034DF">
            <w:pPr>
              <w:pStyle w:val="EPANormal"/>
              <w:cnfStyle w:val="000000000000" w:firstRow="0" w:lastRow="0" w:firstColumn="0" w:lastColumn="0" w:oddVBand="0" w:evenVBand="0" w:oddHBand="0" w:evenHBand="0" w:firstRowFirstColumn="0" w:firstRowLastColumn="0" w:lastRowFirstColumn="0" w:lastRowLastColumn="0"/>
              <w:rPr>
                <w:rFonts w:ascii="Tahoma" w:eastAsia="Calibri" w:hAnsi="Tahoma" w:cs="Tahoma"/>
                <w:sz w:val="20"/>
              </w:rPr>
            </w:pPr>
          </w:p>
        </w:tc>
        <w:tc>
          <w:tcPr>
            <w:tcW w:w="1037" w:type="dxa"/>
          </w:tcPr>
          <w:p w:rsidR="005034DF" w:rsidRPr="00E84DC2" w:rsidRDefault="00D733EB" w:rsidP="005034DF">
            <w:pPr>
              <w:pStyle w:val="EPANormal"/>
              <w:jc w:val="center"/>
              <w:cnfStyle w:val="000000000000" w:firstRow="0" w:lastRow="0" w:firstColumn="0" w:lastColumn="0" w:oddVBand="0" w:evenVBand="0" w:oddHBand="0" w:evenHBand="0" w:firstRowFirstColumn="0" w:firstRowLastColumn="0" w:lastRowFirstColumn="0" w:lastRowLastColumn="0"/>
              <w:rPr>
                <w:rFonts w:ascii="Tahoma" w:eastAsia="Calibri" w:hAnsi="Tahoma" w:cs="Tahoma"/>
                <w:b/>
                <w:sz w:val="20"/>
              </w:rPr>
            </w:pPr>
            <w:r w:rsidRPr="00D733EB">
              <w:rPr>
                <w:rFonts w:ascii="Tahoma" w:eastAsia="Calibri" w:hAnsi="Tahoma" w:cs="Tahoma"/>
                <w:b/>
                <w:sz w:val="20"/>
              </w:rPr>
              <w:t>8</w:t>
            </w:r>
          </w:p>
        </w:tc>
      </w:tr>
    </w:tbl>
    <w:p w:rsidR="003D2F37" w:rsidRPr="00E84DC2" w:rsidRDefault="00D733EB" w:rsidP="00D45580">
      <w:pPr>
        <w:pStyle w:val="Heading3"/>
        <w:rPr>
          <w:rFonts w:ascii="Tahoma" w:eastAsia="Calibri" w:hAnsi="Tahoma" w:cs="Tahoma"/>
          <w:color w:val="auto"/>
        </w:rPr>
      </w:pPr>
      <w:r w:rsidRPr="00D733EB">
        <w:rPr>
          <w:rFonts w:ascii="Tahoma" w:hAnsi="Tahoma" w:cs="Tahoma"/>
          <w:color w:val="auto"/>
        </w:rPr>
        <w:t>A principles-based approach</w:t>
      </w:r>
    </w:p>
    <w:p w:rsidR="003D2F37" w:rsidRPr="00E84DC2" w:rsidRDefault="003D2F37" w:rsidP="003D2F37">
      <w:pPr>
        <w:rPr>
          <w:rFonts w:ascii="Tahoma" w:eastAsia="Calibri" w:hAnsi="Tahoma" w:cs="Tahoma"/>
          <w:sz w:val="22"/>
          <w:szCs w:val="22"/>
          <w:lang w:val="en-AU"/>
        </w:rPr>
      </w:pPr>
    </w:p>
    <w:p w:rsidR="007E3D03" w:rsidRPr="00E84DC2" w:rsidRDefault="00D733EB" w:rsidP="003D2F37">
      <w:pPr>
        <w:rPr>
          <w:rFonts w:ascii="Tahoma" w:eastAsia="Calibri" w:hAnsi="Tahoma" w:cs="Tahoma"/>
          <w:sz w:val="22"/>
          <w:szCs w:val="22"/>
          <w:lang w:val="en-AU"/>
        </w:rPr>
      </w:pPr>
      <w:r w:rsidRPr="00D733EB">
        <w:rPr>
          <w:rFonts w:ascii="Tahoma" w:eastAsia="Calibri" w:hAnsi="Tahoma" w:cs="Tahoma"/>
          <w:sz w:val="22"/>
          <w:szCs w:val="22"/>
          <w:lang w:val="en-AU"/>
        </w:rPr>
        <w:t>This is a regulatory approach. New regulations could be put in place to explicitly require councils to develop their own set of performance indicators and measures, with the regulations setting out the principles for reporting along with scope and type of indicators that must be used. Councils would therefore be able to choose which data would be most value-adding to their decision making, reducing the risk of measuring a large number of indicators of limited relevance to the council.</w:t>
      </w:r>
    </w:p>
    <w:p w:rsidR="003D2F37" w:rsidRPr="00E84DC2" w:rsidRDefault="003D2F37" w:rsidP="003D2F37">
      <w:pPr>
        <w:rPr>
          <w:rFonts w:ascii="Tahoma" w:eastAsia="Calibri" w:hAnsi="Tahoma" w:cs="Tahoma"/>
          <w:sz w:val="22"/>
          <w:szCs w:val="22"/>
          <w:lang w:val="en-AU"/>
        </w:rPr>
      </w:pPr>
    </w:p>
    <w:p w:rsidR="003D2F37" w:rsidRPr="00E84DC2" w:rsidRDefault="00D733EB" w:rsidP="003D2F37">
      <w:pPr>
        <w:rPr>
          <w:rFonts w:ascii="Tahoma" w:eastAsia="Calibri" w:hAnsi="Tahoma" w:cs="Tahoma"/>
          <w:sz w:val="22"/>
          <w:szCs w:val="22"/>
          <w:lang w:val="en-AU"/>
        </w:rPr>
      </w:pPr>
      <w:r w:rsidRPr="00D733EB">
        <w:rPr>
          <w:rFonts w:ascii="Tahoma" w:eastAsia="Calibri" w:hAnsi="Tahoma" w:cs="Tahoma"/>
          <w:sz w:val="22"/>
          <w:szCs w:val="22"/>
          <w:lang w:val="en-AU"/>
        </w:rPr>
        <w:t xml:space="preserve">Councils would develop their own indicators, which would mean there is unlikely to be sufficient consistency across entities to allow comparison and benchmarking. As </w:t>
      </w:r>
      <w:r w:rsidRPr="00D733EB">
        <w:rPr>
          <w:rFonts w:ascii="Tahoma" w:eastAsia="Calibri" w:hAnsi="Tahoma" w:cs="Tahoma"/>
          <w:sz w:val="22"/>
          <w:szCs w:val="22"/>
          <w:lang w:val="en-AU"/>
        </w:rPr>
        <w:lastRenderedPageBreak/>
        <w:t>with the voluntary approach, there may also be scope for councils to not report on areas where performance is low or needs more attention.</w:t>
      </w:r>
    </w:p>
    <w:p w:rsidR="000A4AC5" w:rsidRPr="00E84DC2" w:rsidRDefault="000A4AC5" w:rsidP="003D2F37">
      <w:pPr>
        <w:rPr>
          <w:rFonts w:ascii="Tahoma" w:eastAsia="Calibri" w:hAnsi="Tahoma" w:cs="Tahoma"/>
          <w:sz w:val="22"/>
          <w:szCs w:val="22"/>
          <w:lang w:val="en-AU"/>
        </w:rPr>
      </w:pPr>
    </w:p>
    <w:p w:rsidR="000A4AC5" w:rsidRPr="00E84DC2" w:rsidRDefault="00D733EB" w:rsidP="003D2F37">
      <w:pPr>
        <w:rPr>
          <w:rFonts w:ascii="Tahoma" w:eastAsia="Calibri" w:hAnsi="Tahoma" w:cs="Tahoma"/>
          <w:sz w:val="22"/>
          <w:szCs w:val="22"/>
          <w:lang w:val="en-AU"/>
        </w:rPr>
      </w:pPr>
      <w:r w:rsidRPr="00D733EB">
        <w:rPr>
          <w:rFonts w:ascii="Tahoma" w:eastAsia="Calibri" w:hAnsi="Tahoma" w:cs="Tahoma"/>
          <w:sz w:val="22"/>
          <w:szCs w:val="22"/>
          <w:lang w:val="en-AU"/>
        </w:rPr>
        <w:t>LGV would be able to provide guidance and support to councils in developing indicators, however enforcement would be limited given councils would have some discretion as to how they choose to implement the principles.</w:t>
      </w:r>
    </w:p>
    <w:p w:rsidR="00512CA5" w:rsidRDefault="00512CA5">
      <w:pPr>
        <w:pStyle w:val="EPANormal"/>
        <w:rPr>
          <w:rFonts w:ascii="Tahoma" w:eastAsia="Calibri" w:hAnsi="Tahoma" w:cs="Tahoma"/>
          <w:b/>
          <w:sz w:val="22"/>
          <w:szCs w:val="22"/>
        </w:rPr>
      </w:pPr>
    </w:p>
    <w:p w:rsidR="003D2F37" w:rsidRPr="00E84DC2" w:rsidRDefault="00D733EB" w:rsidP="003D2F37">
      <w:pPr>
        <w:pStyle w:val="EPANormal"/>
        <w:jc w:val="center"/>
        <w:rPr>
          <w:rFonts w:ascii="Tahoma" w:eastAsia="Calibri" w:hAnsi="Tahoma" w:cs="Tahoma"/>
          <w:b/>
          <w:sz w:val="22"/>
          <w:szCs w:val="22"/>
        </w:rPr>
      </w:pPr>
      <w:r w:rsidRPr="00D733EB">
        <w:rPr>
          <w:rFonts w:ascii="Tahoma" w:eastAsia="Calibri" w:hAnsi="Tahoma" w:cs="Tahoma"/>
          <w:b/>
          <w:sz w:val="22"/>
          <w:szCs w:val="22"/>
        </w:rPr>
        <w:t>Figure 4C</w:t>
      </w:r>
      <w:r w:rsidRPr="00D733EB">
        <w:rPr>
          <w:rFonts w:ascii="Tahoma" w:eastAsia="Calibri" w:hAnsi="Tahoma" w:cs="Tahoma"/>
          <w:b/>
          <w:sz w:val="22"/>
          <w:szCs w:val="22"/>
        </w:rPr>
        <w:br/>
        <w:t>A principles-based approach – Multi-criteria analysis</w:t>
      </w:r>
    </w:p>
    <w:p w:rsidR="003D2F37" w:rsidRPr="00E84DC2" w:rsidRDefault="003D2F37" w:rsidP="003D2F37">
      <w:pPr>
        <w:pStyle w:val="EPANormal"/>
        <w:rPr>
          <w:rFonts w:ascii="Tahoma" w:eastAsia="Calibri" w:hAnsi="Tahoma" w:cs="Tahoma"/>
          <w:sz w:val="4"/>
          <w:szCs w:val="4"/>
        </w:rPr>
      </w:pPr>
    </w:p>
    <w:tbl>
      <w:tblPr>
        <w:tblStyle w:val="LightList-Accent11"/>
        <w:tblW w:w="0" w:type="auto"/>
        <w:tblLook w:val="04A0" w:firstRow="1" w:lastRow="0" w:firstColumn="1" w:lastColumn="0" w:noHBand="0" w:noVBand="1"/>
      </w:tblPr>
      <w:tblGrid>
        <w:gridCol w:w="2838"/>
        <w:gridCol w:w="4641"/>
        <w:gridCol w:w="1037"/>
      </w:tblGrid>
      <w:tr w:rsidR="003D2F37" w:rsidRPr="00E84DC2" w:rsidTr="003D2F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3D2F37" w:rsidRPr="00E84DC2" w:rsidRDefault="00D733EB" w:rsidP="003D2F37">
            <w:pPr>
              <w:pStyle w:val="EPANormal"/>
              <w:rPr>
                <w:rFonts w:ascii="Tahoma" w:eastAsia="Calibri" w:hAnsi="Tahoma" w:cs="Tahoma"/>
                <w:color w:val="auto"/>
                <w:sz w:val="20"/>
              </w:rPr>
            </w:pPr>
            <w:r w:rsidRPr="00D733EB">
              <w:rPr>
                <w:rFonts w:ascii="Tahoma" w:eastAsia="Calibri" w:hAnsi="Tahoma" w:cs="Tahoma"/>
                <w:sz w:val="20"/>
              </w:rPr>
              <w:t>Criterion</w:t>
            </w:r>
          </w:p>
        </w:tc>
        <w:tc>
          <w:tcPr>
            <w:tcW w:w="4641" w:type="dxa"/>
          </w:tcPr>
          <w:p w:rsidR="003D2F37" w:rsidRPr="00E84DC2" w:rsidRDefault="00D733EB" w:rsidP="003D2F37">
            <w:pPr>
              <w:pStyle w:val="EPANormal"/>
              <w:cnfStyle w:val="100000000000" w:firstRow="1" w:lastRow="0" w:firstColumn="0" w:lastColumn="0" w:oddVBand="0" w:evenVBand="0" w:oddHBand="0" w:evenHBand="0" w:firstRowFirstColumn="0" w:firstRowLastColumn="0" w:lastRowFirstColumn="0" w:lastRowLastColumn="0"/>
              <w:rPr>
                <w:rFonts w:ascii="Tahoma" w:eastAsia="Calibri" w:hAnsi="Tahoma" w:cs="Tahoma"/>
                <w:color w:val="auto"/>
                <w:sz w:val="20"/>
              </w:rPr>
            </w:pPr>
            <w:r w:rsidRPr="00D733EB">
              <w:rPr>
                <w:rFonts w:ascii="Tahoma" w:eastAsia="Calibri" w:hAnsi="Tahoma" w:cs="Tahoma"/>
                <w:sz w:val="20"/>
              </w:rPr>
              <w:t>Assessment</w:t>
            </w:r>
          </w:p>
        </w:tc>
        <w:tc>
          <w:tcPr>
            <w:tcW w:w="1037" w:type="dxa"/>
          </w:tcPr>
          <w:p w:rsidR="003D2F37" w:rsidRPr="00E84DC2" w:rsidRDefault="00D733EB" w:rsidP="003D2F37">
            <w:pPr>
              <w:pStyle w:val="EPANormal"/>
              <w:jc w:val="center"/>
              <w:cnfStyle w:val="100000000000" w:firstRow="1" w:lastRow="0" w:firstColumn="0" w:lastColumn="0" w:oddVBand="0" w:evenVBand="0" w:oddHBand="0" w:evenHBand="0" w:firstRowFirstColumn="0" w:firstRowLastColumn="0" w:lastRowFirstColumn="0" w:lastRowLastColumn="0"/>
              <w:rPr>
                <w:rFonts w:ascii="Tahoma" w:eastAsia="Calibri" w:hAnsi="Tahoma" w:cs="Tahoma"/>
                <w:color w:val="auto"/>
                <w:sz w:val="20"/>
              </w:rPr>
            </w:pPr>
            <w:r w:rsidRPr="00D733EB">
              <w:rPr>
                <w:rFonts w:ascii="Tahoma" w:eastAsia="Calibri" w:hAnsi="Tahoma" w:cs="Tahoma"/>
                <w:sz w:val="20"/>
              </w:rPr>
              <w:t>Score</w:t>
            </w:r>
          </w:p>
        </w:tc>
      </w:tr>
      <w:tr w:rsidR="003D2F37" w:rsidRPr="00E84DC2" w:rsidTr="003D2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3D2F37" w:rsidRPr="00E84DC2" w:rsidRDefault="00D733EB" w:rsidP="003D2F37">
            <w:pPr>
              <w:pStyle w:val="EPANormal"/>
              <w:rPr>
                <w:rFonts w:ascii="Tahoma" w:eastAsia="Calibri" w:hAnsi="Tahoma" w:cs="Tahoma"/>
                <w:b w:val="0"/>
                <w:sz w:val="20"/>
              </w:rPr>
            </w:pPr>
            <w:r w:rsidRPr="00D733EB">
              <w:rPr>
                <w:rFonts w:ascii="Tahoma" w:eastAsia="Calibri" w:hAnsi="Tahoma" w:cs="Tahoma"/>
                <w:sz w:val="20"/>
              </w:rPr>
              <w:t>Improved transparency and accountability of local councils. This is achieved if reported information is comprehensive, relevant and appropriate, as well as easy to access and understand. (30%)</w:t>
            </w:r>
          </w:p>
        </w:tc>
        <w:tc>
          <w:tcPr>
            <w:tcW w:w="4641" w:type="dxa"/>
          </w:tcPr>
          <w:p w:rsidR="003D2F37" w:rsidRPr="00E84DC2" w:rsidRDefault="00D733EB" w:rsidP="003D2F37">
            <w:pPr>
              <w:pStyle w:val="EPANormal"/>
              <w:cnfStyle w:val="000000100000" w:firstRow="0" w:lastRow="0" w:firstColumn="0" w:lastColumn="0" w:oddVBand="0" w:evenVBand="0" w:oddHBand="1" w:evenHBand="0" w:firstRowFirstColumn="0" w:firstRowLastColumn="0" w:lastRowFirstColumn="0" w:lastRowLastColumn="0"/>
              <w:rPr>
                <w:rFonts w:ascii="Tahoma" w:eastAsia="Calibri" w:hAnsi="Tahoma" w:cs="Tahoma"/>
                <w:sz w:val="20"/>
              </w:rPr>
            </w:pPr>
            <w:r w:rsidRPr="00D733EB">
              <w:rPr>
                <w:rFonts w:ascii="Tahoma" w:eastAsia="Calibri" w:hAnsi="Tahoma" w:cs="Tahoma"/>
                <w:sz w:val="20"/>
              </w:rPr>
              <w:t>Assuming there would be sufficient enforcement and monitoring to ensure alignment to the principles, this option would add considerably to improved transparency and accountability (above the base case), albeit less than the proposed Regulations.</w:t>
            </w:r>
          </w:p>
        </w:tc>
        <w:tc>
          <w:tcPr>
            <w:tcW w:w="1037" w:type="dxa"/>
          </w:tcPr>
          <w:p w:rsidR="003D2F37" w:rsidRPr="00E84DC2" w:rsidRDefault="00D733EB" w:rsidP="003D2F37">
            <w:pPr>
              <w:pStyle w:val="EPANormal"/>
              <w:jc w:val="center"/>
              <w:cnfStyle w:val="000000100000" w:firstRow="0" w:lastRow="0" w:firstColumn="0" w:lastColumn="0" w:oddVBand="0" w:evenVBand="0" w:oddHBand="1" w:evenHBand="0" w:firstRowFirstColumn="0" w:firstRowLastColumn="0" w:lastRowFirstColumn="0" w:lastRowLastColumn="0"/>
              <w:rPr>
                <w:rFonts w:ascii="Tahoma" w:eastAsia="Calibri" w:hAnsi="Tahoma" w:cs="Tahoma"/>
                <w:sz w:val="20"/>
              </w:rPr>
            </w:pPr>
            <w:r w:rsidRPr="00D733EB">
              <w:rPr>
                <w:rFonts w:ascii="Tahoma" w:eastAsia="Calibri" w:hAnsi="Tahoma" w:cs="Tahoma"/>
                <w:sz w:val="20"/>
              </w:rPr>
              <w:t>60</w:t>
            </w:r>
          </w:p>
        </w:tc>
      </w:tr>
      <w:tr w:rsidR="003D2F37" w:rsidRPr="00E84DC2" w:rsidTr="003D2F37">
        <w:tc>
          <w:tcPr>
            <w:cnfStyle w:val="001000000000" w:firstRow="0" w:lastRow="0" w:firstColumn="1" w:lastColumn="0" w:oddVBand="0" w:evenVBand="0" w:oddHBand="0" w:evenHBand="0" w:firstRowFirstColumn="0" w:firstRowLastColumn="0" w:lastRowFirstColumn="0" w:lastRowLastColumn="0"/>
            <w:tcW w:w="2838" w:type="dxa"/>
          </w:tcPr>
          <w:p w:rsidR="003D2F37" w:rsidRPr="00E84DC2" w:rsidRDefault="00D733EB" w:rsidP="003D2F37">
            <w:pPr>
              <w:pStyle w:val="EPANormal"/>
              <w:rPr>
                <w:rFonts w:ascii="Tahoma" w:eastAsia="Calibri" w:hAnsi="Tahoma" w:cs="Tahoma"/>
                <w:sz w:val="20"/>
              </w:rPr>
            </w:pPr>
            <w:r w:rsidRPr="00D733EB">
              <w:rPr>
                <w:rFonts w:ascii="Tahoma" w:eastAsia="Calibri" w:hAnsi="Tahoma" w:cs="Tahoma"/>
                <w:sz w:val="20"/>
              </w:rPr>
              <w:t>Increases focus on continuous improvements in council effectiveness and efficiency. This is achieved where information is consistent across councils, robust, and reflects the quantity, quality, timeliness and costs of services. (20%)</w:t>
            </w:r>
          </w:p>
        </w:tc>
        <w:tc>
          <w:tcPr>
            <w:tcW w:w="4641" w:type="dxa"/>
          </w:tcPr>
          <w:p w:rsidR="003D2F37" w:rsidRPr="00E84DC2" w:rsidRDefault="00DC14B1" w:rsidP="005576AE">
            <w:pPr>
              <w:pStyle w:val="EPANormal"/>
              <w:cnfStyle w:val="000000000000" w:firstRow="0" w:lastRow="0" w:firstColumn="0" w:lastColumn="0" w:oddVBand="0" w:evenVBand="0" w:oddHBand="0" w:evenHBand="0" w:firstRowFirstColumn="0" w:firstRowLastColumn="0" w:lastRowFirstColumn="0" w:lastRowLastColumn="0"/>
              <w:rPr>
                <w:rFonts w:ascii="Tahoma" w:eastAsia="Calibri" w:hAnsi="Tahoma" w:cs="Tahoma"/>
                <w:sz w:val="20"/>
              </w:rPr>
            </w:pPr>
            <w:r w:rsidRPr="00E84DC2">
              <w:rPr>
                <w:rFonts w:ascii="Tahoma" w:eastAsia="Calibri" w:hAnsi="Tahoma" w:cs="Tahoma"/>
                <w:sz w:val="20"/>
              </w:rPr>
              <w:t xml:space="preserve">There would be a low level of improvement on the incentives and ability to pursue efficiency improvements as councils may avoid reporting on areas where performance was low. The avoided reporting will tend to be in areas where improvement is most needed. Lack of consistent approach across </w:t>
            </w:r>
            <w:r w:rsidR="00D733EB" w:rsidRPr="00D733EB">
              <w:rPr>
                <w:rFonts w:ascii="Tahoma" w:eastAsia="Calibri" w:hAnsi="Tahoma" w:cs="Tahoma"/>
                <w:sz w:val="20"/>
              </w:rPr>
              <w:t>councils will limit the ability to benchmark across councils.</w:t>
            </w:r>
          </w:p>
        </w:tc>
        <w:tc>
          <w:tcPr>
            <w:tcW w:w="1037" w:type="dxa"/>
          </w:tcPr>
          <w:p w:rsidR="003D2F37" w:rsidRPr="00E84DC2" w:rsidRDefault="00D733EB" w:rsidP="003D2F37">
            <w:pPr>
              <w:pStyle w:val="EPANormal"/>
              <w:jc w:val="center"/>
              <w:cnfStyle w:val="000000000000" w:firstRow="0" w:lastRow="0" w:firstColumn="0" w:lastColumn="0" w:oddVBand="0" w:evenVBand="0" w:oddHBand="0" w:evenHBand="0" w:firstRowFirstColumn="0" w:firstRowLastColumn="0" w:lastRowFirstColumn="0" w:lastRowLastColumn="0"/>
              <w:rPr>
                <w:rFonts w:ascii="Tahoma" w:eastAsia="Calibri" w:hAnsi="Tahoma" w:cs="Tahoma"/>
                <w:sz w:val="20"/>
              </w:rPr>
            </w:pPr>
            <w:r w:rsidRPr="00D733EB">
              <w:rPr>
                <w:rFonts w:ascii="Tahoma" w:eastAsia="Calibri" w:hAnsi="Tahoma" w:cs="Tahoma"/>
                <w:sz w:val="20"/>
              </w:rPr>
              <w:t>30</w:t>
            </w:r>
          </w:p>
        </w:tc>
      </w:tr>
      <w:tr w:rsidR="003D2F37" w:rsidRPr="00E84DC2" w:rsidTr="003D2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3D2F37" w:rsidRPr="00E84DC2" w:rsidRDefault="00D733EB" w:rsidP="003D2F37">
            <w:pPr>
              <w:pStyle w:val="EPANormal"/>
              <w:rPr>
                <w:rFonts w:ascii="Tahoma" w:eastAsia="Calibri" w:hAnsi="Tahoma" w:cs="Tahoma"/>
                <w:b w:val="0"/>
                <w:sz w:val="20"/>
              </w:rPr>
            </w:pPr>
            <w:r w:rsidRPr="00D733EB">
              <w:rPr>
                <w:rFonts w:ascii="Tahoma" w:eastAsia="Calibri" w:hAnsi="Tahoma" w:cs="Tahoma"/>
                <w:sz w:val="20"/>
              </w:rPr>
              <w:t>Costs of providing information. (50%)</w:t>
            </w:r>
          </w:p>
        </w:tc>
        <w:tc>
          <w:tcPr>
            <w:tcW w:w="4641" w:type="dxa"/>
          </w:tcPr>
          <w:p w:rsidR="003D2F37" w:rsidRPr="00E84DC2" w:rsidRDefault="00D733EB" w:rsidP="003D2F37">
            <w:pPr>
              <w:pStyle w:val="EPANormal"/>
              <w:cnfStyle w:val="000000100000" w:firstRow="0" w:lastRow="0" w:firstColumn="0" w:lastColumn="0" w:oddVBand="0" w:evenVBand="0" w:oddHBand="1" w:evenHBand="0" w:firstRowFirstColumn="0" w:firstRowLastColumn="0" w:lastRowFirstColumn="0" w:lastRowLastColumn="0"/>
              <w:rPr>
                <w:rFonts w:ascii="Tahoma" w:eastAsia="Calibri" w:hAnsi="Tahoma" w:cs="Tahoma"/>
                <w:sz w:val="20"/>
              </w:rPr>
            </w:pPr>
            <w:r w:rsidRPr="00D733EB">
              <w:rPr>
                <w:rFonts w:ascii="Tahoma" w:eastAsia="Calibri" w:hAnsi="Tahoma" w:cs="Tahoma"/>
                <w:sz w:val="20"/>
              </w:rPr>
              <w:t>There would be modest costs to this option. Councils would need to spend some time and effort in developing their own indicators and regularly review these for their relevant to the mandatory principles.</w:t>
            </w:r>
          </w:p>
        </w:tc>
        <w:tc>
          <w:tcPr>
            <w:tcW w:w="1037" w:type="dxa"/>
          </w:tcPr>
          <w:p w:rsidR="003D2F37" w:rsidRPr="00E84DC2" w:rsidRDefault="00D733EB" w:rsidP="003D2F37">
            <w:pPr>
              <w:pStyle w:val="EPANormal"/>
              <w:jc w:val="center"/>
              <w:cnfStyle w:val="000000100000" w:firstRow="0" w:lastRow="0" w:firstColumn="0" w:lastColumn="0" w:oddVBand="0" w:evenVBand="0" w:oddHBand="1" w:evenHBand="0" w:firstRowFirstColumn="0" w:firstRowLastColumn="0" w:lastRowFirstColumn="0" w:lastRowLastColumn="0"/>
              <w:rPr>
                <w:rFonts w:ascii="Tahoma" w:eastAsia="Calibri" w:hAnsi="Tahoma" w:cs="Tahoma"/>
                <w:sz w:val="20"/>
              </w:rPr>
            </w:pPr>
            <w:r w:rsidRPr="00D733EB">
              <w:rPr>
                <w:rFonts w:ascii="Tahoma" w:eastAsia="Calibri" w:hAnsi="Tahoma" w:cs="Tahoma"/>
                <w:sz w:val="20"/>
              </w:rPr>
              <w:t>-40</w:t>
            </w:r>
          </w:p>
        </w:tc>
      </w:tr>
      <w:tr w:rsidR="003D2F37" w:rsidRPr="00E84DC2" w:rsidTr="003D2F37">
        <w:tc>
          <w:tcPr>
            <w:cnfStyle w:val="001000000000" w:firstRow="0" w:lastRow="0" w:firstColumn="1" w:lastColumn="0" w:oddVBand="0" w:evenVBand="0" w:oddHBand="0" w:evenHBand="0" w:firstRowFirstColumn="0" w:firstRowLastColumn="0" w:lastRowFirstColumn="0" w:lastRowLastColumn="0"/>
            <w:tcW w:w="2838" w:type="dxa"/>
          </w:tcPr>
          <w:p w:rsidR="003D2F37" w:rsidRPr="00E84DC2" w:rsidRDefault="00D733EB" w:rsidP="003D2F37">
            <w:pPr>
              <w:pStyle w:val="EPANormal"/>
              <w:rPr>
                <w:rFonts w:ascii="Tahoma" w:eastAsia="Calibri" w:hAnsi="Tahoma" w:cs="Tahoma"/>
                <w:sz w:val="20"/>
              </w:rPr>
            </w:pPr>
            <w:r w:rsidRPr="00D733EB">
              <w:rPr>
                <w:rFonts w:ascii="Tahoma" w:eastAsia="Calibri" w:hAnsi="Tahoma" w:cs="Tahoma"/>
                <w:sz w:val="20"/>
              </w:rPr>
              <w:t>TOTAL SCORE (weighted)</w:t>
            </w:r>
          </w:p>
        </w:tc>
        <w:tc>
          <w:tcPr>
            <w:tcW w:w="4641" w:type="dxa"/>
          </w:tcPr>
          <w:p w:rsidR="003D2F37" w:rsidRPr="00E84DC2" w:rsidRDefault="003D2F37" w:rsidP="003D2F37">
            <w:pPr>
              <w:pStyle w:val="EPANormal"/>
              <w:cnfStyle w:val="000000000000" w:firstRow="0" w:lastRow="0" w:firstColumn="0" w:lastColumn="0" w:oddVBand="0" w:evenVBand="0" w:oddHBand="0" w:evenHBand="0" w:firstRowFirstColumn="0" w:firstRowLastColumn="0" w:lastRowFirstColumn="0" w:lastRowLastColumn="0"/>
              <w:rPr>
                <w:rFonts w:ascii="Tahoma" w:eastAsia="Calibri" w:hAnsi="Tahoma" w:cs="Tahoma"/>
                <w:sz w:val="20"/>
              </w:rPr>
            </w:pPr>
          </w:p>
        </w:tc>
        <w:tc>
          <w:tcPr>
            <w:tcW w:w="1037" w:type="dxa"/>
          </w:tcPr>
          <w:p w:rsidR="003D2F37" w:rsidRPr="00E84DC2" w:rsidRDefault="00D733EB" w:rsidP="003D2F37">
            <w:pPr>
              <w:pStyle w:val="EPANormal"/>
              <w:jc w:val="center"/>
              <w:cnfStyle w:val="000000000000" w:firstRow="0" w:lastRow="0" w:firstColumn="0" w:lastColumn="0" w:oddVBand="0" w:evenVBand="0" w:oddHBand="0" w:evenHBand="0" w:firstRowFirstColumn="0" w:firstRowLastColumn="0" w:lastRowFirstColumn="0" w:lastRowLastColumn="0"/>
              <w:rPr>
                <w:rFonts w:ascii="Tahoma" w:eastAsia="Calibri" w:hAnsi="Tahoma" w:cs="Tahoma"/>
                <w:b/>
                <w:sz w:val="20"/>
              </w:rPr>
            </w:pPr>
            <w:r w:rsidRPr="00D733EB">
              <w:rPr>
                <w:rFonts w:ascii="Tahoma" w:eastAsia="Calibri" w:hAnsi="Tahoma" w:cs="Tahoma"/>
                <w:b/>
                <w:sz w:val="20"/>
              </w:rPr>
              <w:t>4</w:t>
            </w:r>
          </w:p>
        </w:tc>
      </w:tr>
    </w:tbl>
    <w:p w:rsidR="00243050" w:rsidRPr="00E84DC2" w:rsidRDefault="00D733EB" w:rsidP="00D45580">
      <w:pPr>
        <w:pStyle w:val="Heading3"/>
        <w:rPr>
          <w:rFonts w:ascii="Tahoma" w:eastAsia="Calibri" w:hAnsi="Tahoma" w:cs="Tahoma"/>
          <w:color w:val="auto"/>
        </w:rPr>
      </w:pPr>
      <w:r w:rsidRPr="00D733EB">
        <w:rPr>
          <w:rFonts w:ascii="Tahoma" w:hAnsi="Tahoma" w:cs="Tahoma"/>
          <w:color w:val="auto"/>
        </w:rPr>
        <w:t>A more comprehensive approach</w:t>
      </w:r>
    </w:p>
    <w:p w:rsidR="00243050" w:rsidRPr="00E84DC2" w:rsidRDefault="00243050" w:rsidP="00243050">
      <w:pPr>
        <w:rPr>
          <w:rFonts w:ascii="Tahoma" w:eastAsia="Calibri" w:hAnsi="Tahoma" w:cs="Tahoma"/>
          <w:sz w:val="22"/>
          <w:szCs w:val="22"/>
          <w:lang w:val="en-AU"/>
        </w:rPr>
      </w:pPr>
    </w:p>
    <w:p w:rsidR="008523E6" w:rsidRPr="00E84DC2" w:rsidRDefault="00D733EB" w:rsidP="00243050">
      <w:pPr>
        <w:rPr>
          <w:rFonts w:ascii="Tahoma" w:eastAsia="Calibri" w:hAnsi="Tahoma" w:cs="Tahoma"/>
          <w:sz w:val="22"/>
          <w:szCs w:val="22"/>
          <w:lang w:val="en-AU"/>
        </w:rPr>
      </w:pPr>
      <w:r w:rsidRPr="00D733EB">
        <w:rPr>
          <w:rFonts w:ascii="Tahoma" w:eastAsia="Calibri" w:hAnsi="Tahoma" w:cs="Tahoma"/>
          <w:sz w:val="22"/>
          <w:szCs w:val="22"/>
          <w:lang w:val="en-AU"/>
        </w:rPr>
        <w:t xml:space="preserve">This would be a more onerous and prescriptive approach to ensure that much more information about councils </w:t>
      </w:r>
      <w:r w:rsidR="006B0C1F">
        <w:rPr>
          <w:rFonts w:ascii="Tahoma" w:eastAsia="Calibri" w:hAnsi="Tahoma" w:cs="Tahoma"/>
          <w:sz w:val="22"/>
          <w:szCs w:val="22"/>
          <w:lang w:val="en-AU"/>
        </w:rPr>
        <w:t xml:space="preserve">performance </w:t>
      </w:r>
      <w:r w:rsidRPr="00D733EB">
        <w:rPr>
          <w:rFonts w:ascii="Tahoma" w:eastAsia="Calibri" w:hAnsi="Tahoma" w:cs="Tahoma"/>
          <w:sz w:val="22"/>
          <w:szCs w:val="22"/>
          <w:lang w:val="en-AU"/>
        </w:rPr>
        <w:t>is provided to the community. The range of indicators and measures would be expanded, many more of which would be required to be audited, reducing council discretion on what it may choose to report on.</w:t>
      </w:r>
    </w:p>
    <w:p w:rsidR="006A766E" w:rsidRPr="00E84DC2" w:rsidRDefault="006A766E" w:rsidP="00243050">
      <w:pPr>
        <w:rPr>
          <w:rFonts w:ascii="Tahoma" w:eastAsia="Calibri" w:hAnsi="Tahoma" w:cs="Tahoma"/>
          <w:sz w:val="22"/>
          <w:szCs w:val="22"/>
          <w:lang w:val="en-AU"/>
        </w:rPr>
      </w:pPr>
    </w:p>
    <w:p w:rsidR="006A766E" w:rsidRPr="00E84DC2" w:rsidRDefault="00D733EB" w:rsidP="00243050">
      <w:pPr>
        <w:rPr>
          <w:rFonts w:ascii="Tahoma" w:eastAsia="Calibri" w:hAnsi="Tahoma" w:cs="Tahoma"/>
          <w:sz w:val="22"/>
          <w:szCs w:val="22"/>
          <w:lang w:val="en-AU"/>
        </w:rPr>
      </w:pPr>
      <w:r w:rsidRPr="00D733EB">
        <w:rPr>
          <w:rFonts w:ascii="Tahoma" w:eastAsia="Calibri" w:hAnsi="Tahoma" w:cs="Tahoma"/>
          <w:sz w:val="22"/>
          <w:szCs w:val="22"/>
          <w:lang w:val="en-AU"/>
        </w:rPr>
        <w:t xml:space="preserve">For purposes of comparison with a feasible example, this option includes reporting against a further 34 indicators </w:t>
      </w:r>
      <w:r w:rsidRPr="00D733EB">
        <w:rPr>
          <w:rFonts w:ascii="Tahoma" w:hAnsi="Tahoma" w:cs="Tahoma"/>
          <w:bCs/>
          <w:sz w:val="22"/>
          <w:szCs w:val="22"/>
          <w:lang w:val="en-AU"/>
        </w:rPr>
        <w:t xml:space="preserve">(21 service performance and 13 financial performance) </w:t>
      </w:r>
      <w:r w:rsidR="006A766E" w:rsidRPr="00E84DC2">
        <w:rPr>
          <w:rFonts w:ascii="Tahoma" w:eastAsia="Calibri" w:hAnsi="Tahoma" w:cs="Tahoma"/>
          <w:sz w:val="22"/>
          <w:szCs w:val="22"/>
          <w:lang w:val="en-AU"/>
        </w:rPr>
        <w:t>that were initially part of the indicator set but removed b</w:t>
      </w:r>
      <w:r w:rsidRPr="00D733EB">
        <w:rPr>
          <w:rFonts w:ascii="Tahoma" w:hAnsi="Tahoma" w:cs="Tahoma"/>
          <w:bCs/>
          <w:sz w:val="22"/>
          <w:szCs w:val="22"/>
          <w:lang w:val="en-AU"/>
        </w:rPr>
        <w:t xml:space="preserve">etween the first </w:t>
      </w:r>
      <w:r w:rsidR="006B0C1F">
        <w:rPr>
          <w:rFonts w:ascii="Tahoma" w:hAnsi="Tahoma" w:cs="Tahoma"/>
          <w:bCs/>
          <w:sz w:val="22"/>
          <w:szCs w:val="22"/>
          <w:lang w:val="en-AU"/>
        </w:rPr>
        <w:t xml:space="preserve">phase of the </w:t>
      </w:r>
      <w:r w:rsidRPr="00D733EB">
        <w:rPr>
          <w:rFonts w:ascii="Tahoma" w:hAnsi="Tahoma" w:cs="Tahoma"/>
          <w:bCs/>
          <w:sz w:val="22"/>
          <w:szCs w:val="22"/>
          <w:lang w:val="en-AU"/>
        </w:rPr>
        <w:t xml:space="preserve">pilot </w:t>
      </w:r>
      <w:r w:rsidR="006B0C1F">
        <w:rPr>
          <w:rFonts w:ascii="Tahoma" w:hAnsi="Tahoma" w:cs="Tahoma"/>
          <w:bCs/>
          <w:sz w:val="22"/>
          <w:szCs w:val="22"/>
          <w:lang w:val="en-AU"/>
        </w:rPr>
        <w:t xml:space="preserve">program </w:t>
      </w:r>
      <w:r w:rsidRPr="00D733EB">
        <w:rPr>
          <w:rFonts w:ascii="Tahoma" w:hAnsi="Tahoma" w:cs="Tahoma"/>
          <w:bCs/>
          <w:sz w:val="22"/>
          <w:szCs w:val="22"/>
          <w:lang w:val="en-AU"/>
        </w:rPr>
        <w:t xml:space="preserve">and the </w:t>
      </w:r>
      <w:r w:rsidR="006B0C1F">
        <w:rPr>
          <w:rFonts w:ascii="Tahoma" w:hAnsi="Tahoma" w:cs="Tahoma"/>
          <w:bCs/>
          <w:sz w:val="22"/>
          <w:szCs w:val="22"/>
          <w:lang w:val="en-AU"/>
        </w:rPr>
        <w:t>proposed</w:t>
      </w:r>
      <w:r w:rsidR="006B0C1F" w:rsidRPr="00D733EB">
        <w:rPr>
          <w:rFonts w:ascii="Tahoma" w:hAnsi="Tahoma" w:cs="Tahoma"/>
          <w:bCs/>
          <w:sz w:val="22"/>
          <w:szCs w:val="22"/>
          <w:lang w:val="en-AU"/>
        </w:rPr>
        <w:t xml:space="preserve"> </w:t>
      </w:r>
      <w:r w:rsidR="006B0C1F">
        <w:rPr>
          <w:rFonts w:ascii="Tahoma" w:hAnsi="Tahoma" w:cs="Tahoma"/>
          <w:bCs/>
          <w:sz w:val="22"/>
          <w:szCs w:val="22"/>
          <w:lang w:val="en-AU"/>
        </w:rPr>
        <w:t>R</w:t>
      </w:r>
      <w:r w:rsidRPr="00D733EB">
        <w:rPr>
          <w:rFonts w:ascii="Tahoma" w:hAnsi="Tahoma" w:cs="Tahoma"/>
          <w:bCs/>
          <w:sz w:val="22"/>
          <w:szCs w:val="22"/>
          <w:lang w:val="en-AU"/>
        </w:rPr>
        <w:t>egulations.</w:t>
      </w:r>
      <w:r w:rsidRPr="00D733EB">
        <w:rPr>
          <w:rStyle w:val="FootnoteReference"/>
          <w:rFonts w:ascii="Tahoma" w:hAnsi="Tahoma" w:cs="Tahoma"/>
          <w:bCs/>
          <w:sz w:val="22"/>
          <w:szCs w:val="22"/>
          <w:lang w:val="en-AU"/>
        </w:rPr>
        <w:footnoteReference w:id="33"/>
      </w:r>
      <w:r w:rsidRPr="00D733EB">
        <w:rPr>
          <w:rFonts w:ascii="Tahoma" w:hAnsi="Tahoma" w:cs="Tahoma"/>
          <w:bCs/>
          <w:sz w:val="22"/>
          <w:szCs w:val="22"/>
          <w:lang w:val="en-AU"/>
        </w:rPr>
        <w:t xml:space="preserve"> These additional </w:t>
      </w:r>
      <w:r w:rsidRPr="00D733EB">
        <w:rPr>
          <w:rFonts w:ascii="Tahoma" w:hAnsi="Tahoma" w:cs="Tahoma"/>
          <w:bCs/>
          <w:sz w:val="22"/>
          <w:szCs w:val="22"/>
          <w:lang w:val="en-AU"/>
        </w:rPr>
        <w:lastRenderedPageBreak/>
        <w:t xml:space="preserve">indicators covered services areas including libraries, sports grounds, governance (use of conduct panels), street sweeping, immunisation, as well a number of further financial performance indicators. </w:t>
      </w:r>
    </w:p>
    <w:p w:rsidR="008523E6" w:rsidRPr="00E84DC2" w:rsidRDefault="008523E6" w:rsidP="00243050">
      <w:pPr>
        <w:rPr>
          <w:rFonts w:ascii="Tahoma" w:eastAsia="Calibri" w:hAnsi="Tahoma" w:cs="Tahoma"/>
          <w:sz w:val="22"/>
          <w:szCs w:val="22"/>
          <w:lang w:val="en-AU"/>
        </w:rPr>
      </w:pPr>
    </w:p>
    <w:p w:rsidR="004A452C" w:rsidRPr="00E84DC2" w:rsidRDefault="00D733EB" w:rsidP="00243050">
      <w:pPr>
        <w:rPr>
          <w:rFonts w:ascii="Tahoma" w:eastAsia="Calibri" w:hAnsi="Tahoma" w:cs="Tahoma"/>
          <w:sz w:val="22"/>
          <w:szCs w:val="22"/>
          <w:lang w:val="en-AU"/>
        </w:rPr>
      </w:pPr>
      <w:r w:rsidRPr="00D733EB">
        <w:rPr>
          <w:rFonts w:ascii="Tahoma" w:eastAsia="Calibri" w:hAnsi="Tahoma" w:cs="Tahoma"/>
          <w:sz w:val="22"/>
          <w:szCs w:val="22"/>
          <w:lang w:val="en-AU"/>
        </w:rPr>
        <w:t>The benefits of this approach are clearly</w:t>
      </w:r>
      <w:r w:rsidR="006B0C1F">
        <w:rPr>
          <w:rFonts w:ascii="Tahoma" w:eastAsia="Calibri" w:hAnsi="Tahoma" w:cs="Tahoma"/>
          <w:sz w:val="22"/>
          <w:szCs w:val="22"/>
          <w:lang w:val="en-AU"/>
        </w:rPr>
        <w:t xml:space="preserve"> improved</w:t>
      </w:r>
      <w:r w:rsidRPr="00D733EB">
        <w:rPr>
          <w:rFonts w:ascii="Tahoma" w:eastAsia="Calibri" w:hAnsi="Tahoma" w:cs="Tahoma"/>
          <w:sz w:val="22"/>
          <w:szCs w:val="22"/>
          <w:lang w:val="en-AU"/>
        </w:rPr>
        <w:t xml:space="preserve"> transparency and potential for better service delivery. However, it comes at a cost. As shown in the assessment below, the cost is high in terms of collecting and auditing a greater range of data, but also would be seen to be out of proportion with intervention needed.</w:t>
      </w:r>
    </w:p>
    <w:p w:rsidR="004A452C" w:rsidRPr="00E84DC2" w:rsidRDefault="004A452C" w:rsidP="00243050">
      <w:pPr>
        <w:rPr>
          <w:rFonts w:ascii="Tahoma" w:eastAsia="Calibri" w:hAnsi="Tahoma" w:cs="Tahoma"/>
          <w:sz w:val="22"/>
          <w:szCs w:val="22"/>
          <w:lang w:val="en-AU"/>
        </w:rPr>
      </w:pPr>
    </w:p>
    <w:p w:rsidR="00243050" w:rsidRPr="00E84DC2" w:rsidRDefault="00D733EB" w:rsidP="00243050">
      <w:pPr>
        <w:rPr>
          <w:rFonts w:ascii="Tahoma" w:eastAsia="Calibri" w:hAnsi="Tahoma" w:cs="Tahoma"/>
          <w:sz w:val="22"/>
          <w:szCs w:val="22"/>
          <w:lang w:val="en-AU"/>
        </w:rPr>
      </w:pPr>
      <w:r w:rsidRPr="00D733EB">
        <w:rPr>
          <w:rFonts w:ascii="Tahoma" w:eastAsia="Calibri" w:hAnsi="Tahoma" w:cs="Tahoma"/>
          <w:sz w:val="22"/>
          <w:szCs w:val="22"/>
          <w:lang w:val="en-AU"/>
        </w:rPr>
        <w:t xml:space="preserve">The costs of this option would be not only higher for councils due to the increased number of indicators (with the additional indicators being more likely to require new measurement and recording burdens on councils), but would also lead to substantially higher audit costs (with the additional indicators being more difficult to audit) and higher costs for government (LGV would provide guidance on the indicators similar to the proposed Regulations, however the scale and nature of indicators would lead to a higher level of enforcement activities to check that the requirements are being complied with). </w:t>
      </w:r>
    </w:p>
    <w:p w:rsidR="00C42FA0" w:rsidRPr="00E84DC2" w:rsidRDefault="00C42FA0" w:rsidP="00243050">
      <w:pPr>
        <w:rPr>
          <w:rFonts w:ascii="Tahoma" w:eastAsia="Calibri" w:hAnsi="Tahoma" w:cs="Tahoma"/>
          <w:sz w:val="22"/>
          <w:szCs w:val="22"/>
          <w:lang w:val="en-AU"/>
        </w:rPr>
      </w:pPr>
    </w:p>
    <w:p w:rsidR="00C42FA0" w:rsidRPr="00E84DC2" w:rsidRDefault="00D733EB" w:rsidP="00243050">
      <w:pPr>
        <w:rPr>
          <w:rFonts w:ascii="Tahoma" w:eastAsia="Calibri" w:hAnsi="Tahoma" w:cs="Tahoma"/>
          <w:sz w:val="22"/>
          <w:szCs w:val="22"/>
          <w:lang w:val="en-AU"/>
        </w:rPr>
      </w:pPr>
      <w:r w:rsidRPr="00D733EB">
        <w:rPr>
          <w:rFonts w:ascii="Tahoma" w:eastAsia="Calibri" w:hAnsi="Tahoma" w:cs="Tahoma"/>
          <w:sz w:val="22"/>
          <w:szCs w:val="22"/>
          <w:lang w:val="en-AU"/>
        </w:rPr>
        <w:t>Based on feedback through the development and pilot stages of the framework, this option is likely to exhibit the risk identified previously by VAGO – that a compliance-centric approach will likely result in large volumes of information being produced that was of limited value.</w:t>
      </w:r>
    </w:p>
    <w:p w:rsidR="001F2CDB" w:rsidRPr="00E84DC2" w:rsidRDefault="001F2CDB" w:rsidP="00243050">
      <w:pPr>
        <w:rPr>
          <w:rFonts w:ascii="Tahoma" w:eastAsia="Calibri" w:hAnsi="Tahoma" w:cs="Tahoma"/>
          <w:sz w:val="22"/>
          <w:szCs w:val="22"/>
          <w:lang w:val="en-AU"/>
        </w:rPr>
      </w:pPr>
    </w:p>
    <w:p w:rsidR="001F2CDB" w:rsidRPr="00E84DC2" w:rsidRDefault="00D733EB" w:rsidP="00243050">
      <w:pPr>
        <w:rPr>
          <w:rFonts w:ascii="Tahoma" w:eastAsia="Calibri" w:hAnsi="Tahoma" w:cs="Tahoma"/>
          <w:sz w:val="22"/>
          <w:szCs w:val="22"/>
          <w:lang w:val="en-AU"/>
        </w:rPr>
      </w:pPr>
      <w:r w:rsidRPr="00D733EB">
        <w:rPr>
          <w:rFonts w:ascii="Tahoma" w:eastAsia="Calibri" w:hAnsi="Tahoma" w:cs="Tahoma"/>
          <w:sz w:val="22"/>
          <w:szCs w:val="22"/>
          <w:lang w:val="en-AU"/>
        </w:rPr>
        <w:t>Indeed, this option is likely to be poorly targeted, as the reasons for why the number of indicators was scaled back in the pilot and consultation phases was due to the individual indicators being identified as relating to activities that occur infrequently, being costly to measure given its importance, difficulties in collecting data and measurement, lack of a standard methodology for measurement, and views on relevance. These are reflected in the scores below.</w:t>
      </w:r>
    </w:p>
    <w:p w:rsidR="00243050" w:rsidRPr="00E84DC2" w:rsidRDefault="00243050" w:rsidP="00243050">
      <w:pPr>
        <w:rPr>
          <w:rFonts w:ascii="Tahoma" w:eastAsia="Calibri" w:hAnsi="Tahoma" w:cs="Tahoma"/>
          <w:sz w:val="22"/>
          <w:szCs w:val="22"/>
          <w:lang w:val="en-AU"/>
        </w:rPr>
      </w:pPr>
    </w:p>
    <w:p w:rsidR="00243050" w:rsidRPr="00E84DC2" w:rsidRDefault="00D733EB" w:rsidP="00243050">
      <w:pPr>
        <w:pStyle w:val="EPANormal"/>
        <w:jc w:val="center"/>
        <w:rPr>
          <w:rFonts w:ascii="Tahoma" w:eastAsia="Calibri" w:hAnsi="Tahoma" w:cs="Tahoma"/>
          <w:b/>
          <w:sz w:val="22"/>
          <w:szCs w:val="22"/>
        </w:rPr>
      </w:pPr>
      <w:r w:rsidRPr="00D733EB">
        <w:rPr>
          <w:rFonts w:ascii="Tahoma" w:eastAsia="Calibri" w:hAnsi="Tahoma" w:cs="Tahoma"/>
          <w:b/>
          <w:sz w:val="22"/>
          <w:szCs w:val="22"/>
        </w:rPr>
        <w:t>Figure 4D</w:t>
      </w:r>
      <w:r w:rsidRPr="00D733EB">
        <w:rPr>
          <w:rFonts w:ascii="Tahoma" w:eastAsia="Calibri" w:hAnsi="Tahoma" w:cs="Tahoma"/>
          <w:b/>
          <w:sz w:val="22"/>
          <w:szCs w:val="22"/>
        </w:rPr>
        <w:br/>
        <w:t>A more prescriptive approach – Multi-criteria analysis</w:t>
      </w:r>
    </w:p>
    <w:p w:rsidR="00243050" w:rsidRPr="00E84DC2" w:rsidRDefault="00243050" w:rsidP="00243050">
      <w:pPr>
        <w:pStyle w:val="EPANormal"/>
        <w:rPr>
          <w:rFonts w:ascii="Tahoma" w:eastAsia="Calibri" w:hAnsi="Tahoma" w:cs="Tahoma"/>
          <w:sz w:val="4"/>
          <w:szCs w:val="4"/>
        </w:rPr>
      </w:pPr>
    </w:p>
    <w:tbl>
      <w:tblPr>
        <w:tblStyle w:val="LightList-Accent11"/>
        <w:tblW w:w="0" w:type="auto"/>
        <w:tblLook w:val="04A0" w:firstRow="1" w:lastRow="0" w:firstColumn="1" w:lastColumn="0" w:noHBand="0" w:noVBand="1"/>
      </w:tblPr>
      <w:tblGrid>
        <w:gridCol w:w="2838"/>
        <w:gridCol w:w="4641"/>
        <w:gridCol w:w="1037"/>
      </w:tblGrid>
      <w:tr w:rsidR="00243050" w:rsidRPr="00E84DC2" w:rsidTr="00797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243050" w:rsidRPr="00E84DC2" w:rsidRDefault="00D733EB" w:rsidP="007971D3">
            <w:pPr>
              <w:pStyle w:val="EPANormal"/>
              <w:rPr>
                <w:rFonts w:ascii="Tahoma" w:eastAsia="Calibri" w:hAnsi="Tahoma" w:cs="Tahoma"/>
                <w:color w:val="auto"/>
                <w:sz w:val="20"/>
              </w:rPr>
            </w:pPr>
            <w:r w:rsidRPr="00D733EB">
              <w:rPr>
                <w:rFonts w:ascii="Tahoma" w:eastAsia="Calibri" w:hAnsi="Tahoma" w:cs="Tahoma"/>
                <w:sz w:val="20"/>
              </w:rPr>
              <w:t>Criterion</w:t>
            </w:r>
          </w:p>
        </w:tc>
        <w:tc>
          <w:tcPr>
            <w:tcW w:w="4641" w:type="dxa"/>
          </w:tcPr>
          <w:p w:rsidR="00243050" w:rsidRPr="00E84DC2" w:rsidRDefault="00D733EB" w:rsidP="007971D3">
            <w:pPr>
              <w:pStyle w:val="EPANormal"/>
              <w:cnfStyle w:val="100000000000" w:firstRow="1" w:lastRow="0" w:firstColumn="0" w:lastColumn="0" w:oddVBand="0" w:evenVBand="0" w:oddHBand="0" w:evenHBand="0" w:firstRowFirstColumn="0" w:firstRowLastColumn="0" w:lastRowFirstColumn="0" w:lastRowLastColumn="0"/>
              <w:rPr>
                <w:rFonts w:ascii="Tahoma" w:eastAsia="Calibri" w:hAnsi="Tahoma" w:cs="Tahoma"/>
                <w:color w:val="auto"/>
                <w:sz w:val="20"/>
              </w:rPr>
            </w:pPr>
            <w:r w:rsidRPr="00D733EB">
              <w:rPr>
                <w:rFonts w:ascii="Tahoma" w:eastAsia="Calibri" w:hAnsi="Tahoma" w:cs="Tahoma"/>
                <w:sz w:val="20"/>
              </w:rPr>
              <w:t>Assessment</w:t>
            </w:r>
          </w:p>
        </w:tc>
        <w:tc>
          <w:tcPr>
            <w:tcW w:w="1037" w:type="dxa"/>
          </w:tcPr>
          <w:p w:rsidR="00243050" w:rsidRPr="00E84DC2" w:rsidRDefault="00D733EB" w:rsidP="007971D3">
            <w:pPr>
              <w:pStyle w:val="EPANormal"/>
              <w:jc w:val="center"/>
              <w:cnfStyle w:val="100000000000" w:firstRow="1" w:lastRow="0" w:firstColumn="0" w:lastColumn="0" w:oddVBand="0" w:evenVBand="0" w:oddHBand="0" w:evenHBand="0" w:firstRowFirstColumn="0" w:firstRowLastColumn="0" w:lastRowFirstColumn="0" w:lastRowLastColumn="0"/>
              <w:rPr>
                <w:rFonts w:ascii="Tahoma" w:eastAsia="Calibri" w:hAnsi="Tahoma" w:cs="Tahoma"/>
                <w:color w:val="auto"/>
                <w:sz w:val="20"/>
              </w:rPr>
            </w:pPr>
            <w:r w:rsidRPr="00D733EB">
              <w:rPr>
                <w:rFonts w:ascii="Tahoma" w:eastAsia="Calibri" w:hAnsi="Tahoma" w:cs="Tahoma"/>
                <w:sz w:val="20"/>
              </w:rPr>
              <w:t>Score</w:t>
            </w:r>
          </w:p>
        </w:tc>
      </w:tr>
      <w:tr w:rsidR="00243050" w:rsidRPr="00E84DC2" w:rsidTr="00797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243050" w:rsidRPr="00E84DC2" w:rsidRDefault="00D733EB" w:rsidP="007971D3">
            <w:pPr>
              <w:pStyle w:val="EPANormal"/>
              <w:rPr>
                <w:rFonts w:ascii="Tahoma" w:eastAsia="Calibri" w:hAnsi="Tahoma" w:cs="Tahoma"/>
                <w:b w:val="0"/>
                <w:sz w:val="20"/>
              </w:rPr>
            </w:pPr>
            <w:r w:rsidRPr="00D733EB">
              <w:rPr>
                <w:rFonts w:ascii="Tahoma" w:eastAsia="Calibri" w:hAnsi="Tahoma" w:cs="Tahoma"/>
                <w:sz w:val="20"/>
              </w:rPr>
              <w:t>Improved transparency and accountability of local councils. This is achieved if reported information is comprehensive, relevant and appropriate, as well as easy to access and understand. (30%)</w:t>
            </w:r>
          </w:p>
        </w:tc>
        <w:tc>
          <w:tcPr>
            <w:tcW w:w="4641" w:type="dxa"/>
          </w:tcPr>
          <w:p w:rsidR="00243050" w:rsidRPr="00E84DC2" w:rsidRDefault="00D733EB" w:rsidP="006615C0">
            <w:pPr>
              <w:pStyle w:val="EPANormal"/>
              <w:cnfStyle w:val="000000100000" w:firstRow="0" w:lastRow="0" w:firstColumn="0" w:lastColumn="0" w:oddVBand="0" w:evenVBand="0" w:oddHBand="1" w:evenHBand="0" w:firstRowFirstColumn="0" w:firstRowLastColumn="0" w:lastRowFirstColumn="0" w:lastRowLastColumn="0"/>
              <w:rPr>
                <w:rFonts w:ascii="Tahoma" w:eastAsia="Calibri" w:hAnsi="Tahoma" w:cs="Tahoma"/>
                <w:sz w:val="20"/>
              </w:rPr>
            </w:pPr>
            <w:r w:rsidRPr="00D733EB">
              <w:rPr>
                <w:rFonts w:ascii="Tahoma" w:eastAsia="Calibri" w:hAnsi="Tahoma" w:cs="Tahoma"/>
                <w:sz w:val="20"/>
              </w:rPr>
              <w:t>There would be a very high level of improved transparency, as the indicators could go to a much wider and more detailed view on council activities.</w:t>
            </w:r>
          </w:p>
        </w:tc>
        <w:tc>
          <w:tcPr>
            <w:tcW w:w="1037" w:type="dxa"/>
          </w:tcPr>
          <w:p w:rsidR="00243050" w:rsidRPr="00E84DC2" w:rsidRDefault="00D733EB" w:rsidP="007971D3">
            <w:pPr>
              <w:pStyle w:val="EPANormal"/>
              <w:jc w:val="center"/>
              <w:cnfStyle w:val="000000100000" w:firstRow="0" w:lastRow="0" w:firstColumn="0" w:lastColumn="0" w:oddVBand="0" w:evenVBand="0" w:oddHBand="1" w:evenHBand="0" w:firstRowFirstColumn="0" w:firstRowLastColumn="0" w:lastRowFirstColumn="0" w:lastRowLastColumn="0"/>
              <w:rPr>
                <w:rFonts w:ascii="Tahoma" w:eastAsia="Calibri" w:hAnsi="Tahoma" w:cs="Tahoma"/>
                <w:sz w:val="20"/>
              </w:rPr>
            </w:pPr>
            <w:r w:rsidRPr="00D733EB">
              <w:rPr>
                <w:rFonts w:ascii="Tahoma" w:eastAsia="Calibri" w:hAnsi="Tahoma" w:cs="Tahoma"/>
                <w:sz w:val="20"/>
              </w:rPr>
              <w:t>90</w:t>
            </w:r>
          </w:p>
        </w:tc>
      </w:tr>
      <w:tr w:rsidR="00243050" w:rsidRPr="00E84DC2" w:rsidTr="007971D3">
        <w:tc>
          <w:tcPr>
            <w:cnfStyle w:val="001000000000" w:firstRow="0" w:lastRow="0" w:firstColumn="1" w:lastColumn="0" w:oddVBand="0" w:evenVBand="0" w:oddHBand="0" w:evenHBand="0" w:firstRowFirstColumn="0" w:firstRowLastColumn="0" w:lastRowFirstColumn="0" w:lastRowLastColumn="0"/>
            <w:tcW w:w="2838" w:type="dxa"/>
          </w:tcPr>
          <w:p w:rsidR="00243050" w:rsidRPr="00E84DC2" w:rsidRDefault="00D733EB" w:rsidP="007971D3">
            <w:pPr>
              <w:pStyle w:val="EPANormal"/>
              <w:rPr>
                <w:rFonts w:ascii="Tahoma" w:eastAsia="Calibri" w:hAnsi="Tahoma" w:cs="Tahoma"/>
                <w:b w:val="0"/>
                <w:sz w:val="20"/>
              </w:rPr>
            </w:pPr>
            <w:r w:rsidRPr="00D733EB">
              <w:rPr>
                <w:rFonts w:ascii="Tahoma" w:eastAsia="Calibri" w:hAnsi="Tahoma" w:cs="Tahoma"/>
                <w:sz w:val="20"/>
              </w:rPr>
              <w:t xml:space="preserve">Increases focus on continuous improvements in council effectiveness and efficiency. This is achieved where information is consistent </w:t>
            </w:r>
            <w:r w:rsidRPr="00D733EB">
              <w:rPr>
                <w:rFonts w:ascii="Tahoma" w:eastAsia="Calibri" w:hAnsi="Tahoma" w:cs="Tahoma"/>
                <w:sz w:val="20"/>
              </w:rPr>
              <w:lastRenderedPageBreak/>
              <w:t>across councils, robust, and reflects the quantity, quality, timeliness and costs of services. (20%)</w:t>
            </w:r>
          </w:p>
        </w:tc>
        <w:tc>
          <w:tcPr>
            <w:tcW w:w="4641" w:type="dxa"/>
          </w:tcPr>
          <w:p w:rsidR="00243050" w:rsidRPr="00E84DC2" w:rsidRDefault="00D733EB" w:rsidP="002173F8">
            <w:pPr>
              <w:pStyle w:val="EPANormal"/>
              <w:cnfStyle w:val="000000000000" w:firstRow="0" w:lastRow="0" w:firstColumn="0" w:lastColumn="0" w:oddVBand="0" w:evenVBand="0" w:oddHBand="0" w:evenHBand="0" w:firstRowFirstColumn="0" w:firstRowLastColumn="0" w:lastRowFirstColumn="0" w:lastRowLastColumn="0"/>
              <w:rPr>
                <w:rFonts w:ascii="Tahoma" w:eastAsia="Calibri" w:hAnsi="Tahoma" w:cs="Tahoma"/>
                <w:sz w:val="20"/>
              </w:rPr>
            </w:pPr>
            <w:r w:rsidRPr="00D733EB">
              <w:rPr>
                <w:rFonts w:ascii="Tahoma" w:eastAsia="Calibri" w:hAnsi="Tahoma" w:cs="Tahoma"/>
                <w:sz w:val="20"/>
              </w:rPr>
              <w:lastRenderedPageBreak/>
              <w:t>There would be a high level of improvement on the incentives and ability to pursue efficiency improvements.</w:t>
            </w:r>
          </w:p>
        </w:tc>
        <w:tc>
          <w:tcPr>
            <w:tcW w:w="1037" w:type="dxa"/>
          </w:tcPr>
          <w:p w:rsidR="00243050" w:rsidRPr="00E84DC2" w:rsidRDefault="00D733EB" w:rsidP="007971D3">
            <w:pPr>
              <w:pStyle w:val="EPANormal"/>
              <w:jc w:val="center"/>
              <w:cnfStyle w:val="000000000000" w:firstRow="0" w:lastRow="0" w:firstColumn="0" w:lastColumn="0" w:oddVBand="0" w:evenVBand="0" w:oddHBand="0" w:evenHBand="0" w:firstRowFirstColumn="0" w:firstRowLastColumn="0" w:lastRowFirstColumn="0" w:lastRowLastColumn="0"/>
              <w:rPr>
                <w:rFonts w:ascii="Tahoma" w:eastAsia="Calibri" w:hAnsi="Tahoma" w:cs="Tahoma"/>
                <w:sz w:val="20"/>
              </w:rPr>
            </w:pPr>
            <w:r w:rsidRPr="00D733EB">
              <w:rPr>
                <w:rFonts w:ascii="Tahoma" w:eastAsia="Calibri" w:hAnsi="Tahoma" w:cs="Tahoma"/>
                <w:sz w:val="20"/>
              </w:rPr>
              <w:t>70</w:t>
            </w:r>
          </w:p>
        </w:tc>
      </w:tr>
      <w:tr w:rsidR="00243050" w:rsidRPr="00E84DC2" w:rsidTr="00797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243050" w:rsidRPr="00E84DC2" w:rsidRDefault="00D733EB" w:rsidP="007971D3">
            <w:pPr>
              <w:pStyle w:val="EPANormal"/>
              <w:rPr>
                <w:rFonts w:ascii="Tahoma" w:eastAsia="Calibri" w:hAnsi="Tahoma" w:cs="Tahoma"/>
                <w:b w:val="0"/>
                <w:sz w:val="20"/>
              </w:rPr>
            </w:pPr>
            <w:r w:rsidRPr="00D733EB">
              <w:rPr>
                <w:rFonts w:ascii="Tahoma" w:eastAsia="Calibri" w:hAnsi="Tahoma" w:cs="Tahoma"/>
                <w:sz w:val="20"/>
              </w:rPr>
              <w:lastRenderedPageBreak/>
              <w:t>Costs of providing information. (50%)</w:t>
            </w:r>
          </w:p>
        </w:tc>
        <w:tc>
          <w:tcPr>
            <w:tcW w:w="4641" w:type="dxa"/>
          </w:tcPr>
          <w:p w:rsidR="00243050" w:rsidRPr="00E84DC2" w:rsidRDefault="00D733EB" w:rsidP="0048796E">
            <w:pPr>
              <w:pStyle w:val="EPANormal"/>
              <w:cnfStyle w:val="000000100000" w:firstRow="0" w:lastRow="0" w:firstColumn="0" w:lastColumn="0" w:oddVBand="0" w:evenVBand="0" w:oddHBand="1" w:evenHBand="0" w:firstRowFirstColumn="0" w:firstRowLastColumn="0" w:lastRowFirstColumn="0" w:lastRowLastColumn="0"/>
              <w:rPr>
                <w:rFonts w:ascii="Tahoma" w:eastAsia="Calibri" w:hAnsi="Tahoma" w:cs="Tahoma"/>
                <w:sz w:val="20"/>
              </w:rPr>
            </w:pPr>
            <w:r w:rsidRPr="00D733EB">
              <w:rPr>
                <w:rFonts w:ascii="Tahoma" w:eastAsia="Calibri" w:hAnsi="Tahoma" w:cs="Tahoma"/>
                <w:sz w:val="20"/>
              </w:rPr>
              <w:t>There would be a high cost of collecting and reporting information. The number of indicators measured would be about 50% higher than the proposed Regulations. As the performance measures represent the largest component of the costs of the Regulations, a more prescriptive approach would lead to a substantial increase in overall cost. Further, the additional indicators to be measured under this option would be more timely (and hence more costly) to collect – as found in earlier stages of development, many of these additional measures require information not currently collected in any form by councils, so councils would need to create new data collection mechanisms. Overall, the costs related to the performance measures under this option could easily be more than double the corresponding costs of the proposed Regulations. Audit costs may also be more than proportionally higher for the additional measures.</w:t>
            </w:r>
          </w:p>
        </w:tc>
        <w:tc>
          <w:tcPr>
            <w:tcW w:w="1037" w:type="dxa"/>
          </w:tcPr>
          <w:p w:rsidR="00243050" w:rsidRPr="00E84DC2" w:rsidRDefault="00D733EB" w:rsidP="002D3215">
            <w:pPr>
              <w:pStyle w:val="EPANormal"/>
              <w:jc w:val="center"/>
              <w:cnfStyle w:val="000000100000" w:firstRow="0" w:lastRow="0" w:firstColumn="0" w:lastColumn="0" w:oddVBand="0" w:evenVBand="0" w:oddHBand="1" w:evenHBand="0" w:firstRowFirstColumn="0" w:firstRowLastColumn="0" w:lastRowFirstColumn="0" w:lastRowLastColumn="0"/>
              <w:rPr>
                <w:rFonts w:ascii="Tahoma" w:eastAsia="Calibri" w:hAnsi="Tahoma" w:cs="Tahoma"/>
                <w:sz w:val="20"/>
              </w:rPr>
            </w:pPr>
            <w:r w:rsidRPr="00D733EB">
              <w:rPr>
                <w:rFonts w:ascii="Tahoma" w:eastAsia="Calibri" w:hAnsi="Tahoma" w:cs="Tahoma"/>
                <w:sz w:val="20"/>
              </w:rPr>
              <w:t>-75</w:t>
            </w:r>
          </w:p>
        </w:tc>
      </w:tr>
      <w:tr w:rsidR="00243050" w:rsidRPr="00E84DC2" w:rsidTr="007971D3">
        <w:tc>
          <w:tcPr>
            <w:cnfStyle w:val="001000000000" w:firstRow="0" w:lastRow="0" w:firstColumn="1" w:lastColumn="0" w:oddVBand="0" w:evenVBand="0" w:oddHBand="0" w:evenHBand="0" w:firstRowFirstColumn="0" w:firstRowLastColumn="0" w:lastRowFirstColumn="0" w:lastRowLastColumn="0"/>
            <w:tcW w:w="2838" w:type="dxa"/>
          </w:tcPr>
          <w:p w:rsidR="00243050" w:rsidRPr="00E84DC2" w:rsidRDefault="00D733EB" w:rsidP="007971D3">
            <w:pPr>
              <w:pStyle w:val="EPANormal"/>
              <w:rPr>
                <w:rFonts w:ascii="Tahoma" w:eastAsia="Calibri" w:hAnsi="Tahoma" w:cs="Tahoma"/>
                <w:sz w:val="20"/>
              </w:rPr>
            </w:pPr>
            <w:r w:rsidRPr="00D733EB">
              <w:rPr>
                <w:rFonts w:ascii="Tahoma" w:eastAsia="Calibri" w:hAnsi="Tahoma" w:cs="Tahoma"/>
                <w:sz w:val="20"/>
              </w:rPr>
              <w:t>TOTAL SCORE (weighted)</w:t>
            </w:r>
          </w:p>
        </w:tc>
        <w:tc>
          <w:tcPr>
            <w:tcW w:w="4641" w:type="dxa"/>
          </w:tcPr>
          <w:p w:rsidR="00243050" w:rsidRPr="00E84DC2" w:rsidRDefault="00243050" w:rsidP="007971D3">
            <w:pPr>
              <w:pStyle w:val="EPANormal"/>
              <w:cnfStyle w:val="000000000000" w:firstRow="0" w:lastRow="0" w:firstColumn="0" w:lastColumn="0" w:oddVBand="0" w:evenVBand="0" w:oddHBand="0" w:evenHBand="0" w:firstRowFirstColumn="0" w:firstRowLastColumn="0" w:lastRowFirstColumn="0" w:lastRowLastColumn="0"/>
              <w:rPr>
                <w:rFonts w:ascii="Tahoma" w:eastAsia="Calibri" w:hAnsi="Tahoma" w:cs="Tahoma"/>
                <w:sz w:val="20"/>
              </w:rPr>
            </w:pPr>
          </w:p>
        </w:tc>
        <w:tc>
          <w:tcPr>
            <w:tcW w:w="1037" w:type="dxa"/>
          </w:tcPr>
          <w:p w:rsidR="00243050" w:rsidRPr="00E84DC2" w:rsidRDefault="00D733EB" w:rsidP="007971D3">
            <w:pPr>
              <w:pStyle w:val="EPANormal"/>
              <w:jc w:val="center"/>
              <w:cnfStyle w:val="000000000000" w:firstRow="0" w:lastRow="0" w:firstColumn="0" w:lastColumn="0" w:oddVBand="0" w:evenVBand="0" w:oddHBand="0" w:evenHBand="0" w:firstRowFirstColumn="0" w:firstRowLastColumn="0" w:lastRowFirstColumn="0" w:lastRowLastColumn="0"/>
              <w:rPr>
                <w:rFonts w:ascii="Tahoma" w:eastAsia="Calibri" w:hAnsi="Tahoma" w:cs="Tahoma"/>
                <w:b/>
                <w:sz w:val="20"/>
              </w:rPr>
            </w:pPr>
            <w:r w:rsidRPr="00D733EB">
              <w:rPr>
                <w:rFonts w:ascii="Tahoma" w:eastAsia="Calibri" w:hAnsi="Tahoma" w:cs="Tahoma"/>
                <w:b/>
                <w:sz w:val="20"/>
              </w:rPr>
              <w:t>3.5</w:t>
            </w:r>
          </w:p>
        </w:tc>
      </w:tr>
    </w:tbl>
    <w:p w:rsidR="00243050" w:rsidRPr="00E84DC2" w:rsidRDefault="00D733EB" w:rsidP="00E84CE8">
      <w:pPr>
        <w:pStyle w:val="Heading2"/>
      </w:pPr>
      <w:bookmarkStart w:id="23" w:name="_Toc379878667"/>
      <w:r w:rsidRPr="00D733EB">
        <w:t>Conclusion on alternative options</w:t>
      </w:r>
      <w:bookmarkEnd w:id="23"/>
    </w:p>
    <w:p w:rsidR="00B22622" w:rsidRPr="00E84DC2" w:rsidRDefault="00B22622" w:rsidP="00D55F34">
      <w:pPr>
        <w:rPr>
          <w:rFonts w:ascii="Tahoma" w:eastAsia="Calibri" w:hAnsi="Tahoma" w:cs="Tahoma"/>
          <w:sz w:val="22"/>
          <w:szCs w:val="22"/>
          <w:lang w:val="en-AU"/>
        </w:rPr>
      </w:pPr>
    </w:p>
    <w:p w:rsidR="00B22622" w:rsidRPr="00E84DC2" w:rsidRDefault="00D733EB" w:rsidP="00D55F34">
      <w:pPr>
        <w:rPr>
          <w:rFonts w:ascii="Tahoma" w:eastAsia="Calibri" w:hAnsi="Tahoma" w:cs="Tahoma"/>
          <w:sz w:val="22"/>
          <w:szCs w:val="22"/>
          <w:lang w:val="en-AU"/>
        </w:rPr>
      </w:pPr>
      <w:r w:rsidRPr="00D733EB">
        <w:rPr>
          <w:rFonts w:ascii="Tahoma" w:eastAsia="Calibri" w:hAnsi="Tahoma" w:cs="Tahoma"/>
          <w:sz w:val="22"/>
          <w:szCs w:val="22"/>
          <w:lang w:val="en-AU"/>
        </w:rPr>
        <w:t>The above assessment of alternative options indicate that, while all the alternative approaches are likely to offer a net benefit above the base case, none offer a better overall assessment than the proposed Regulations.</w:t>
      </w:r>
    </w:p>
    <w:p w:rsidR="00930BAD" w:rsidRPr="00E84DC2" w:rsidRDefault="00930BAD" w:rsidP="00930BAD">
      <w:pPr>
        <w:tabs>
          <w:tab w:val="num" w:pos="0"/>
        </w:tabs>
        <w:rPr>
          <w:rFonts w:ascii="Tahoma" w:eastAsia="Calibri" w:hAnsi="Tahoma" w:cs="Tahoma"/>
          <w:lang w:val="en-AU"/>
        </w:rPr>
      </w:pPr>
    </w:p>
    <w:p w:rsidR="00370858" w:rsidRPr="00E84DC2" w:rsidRDefault="00D733EB">
      <w:pPr>
        <w:jc w:val="center"/>
        <w:rPr>
          <w:rFonts w:ascii="Tahoma" w:eastAsia="Calibri" w:hAnsi="Tahoma" w:cs="Tahoma"/>
          <w:b/>
          <w:lang w:val="en-AU"/>
        </w:rPr>
      </w:pPr>
      <w:r w:rsidRPr="00D733EB">
        <w:rPr>
          <w:rFonts w:ascii="Tahoma" w:eastAsia="Calibri" w:hAnsi="Tahoma" w:cs="Tahoma"/>
          <w:b/>
          <w:sz w:val="22"/>
          <w:szCs w:val="22"/>
          <w:lang w:val="en-AU"/>
        </w:rPr>
        <w:t>Figure 4E</w:t>
      </w:r>
      <w:r w:rsidRPr="00D733EB">
        <w:rPr>
          <w:rFonts w:ascii="Tahoma" w:eastAsia="Calibri" w:hAnsi="Tahoma" w:cs="Tahoma"/>
          <w:b/>
          <w:sz w:val="22"/>
          <w:szCs w:val="22"/>
          <w:lang w:val="en-AU"/>
        </w:rPr>
        <w:br/>
        <w:t>Summary of Multi-criteria analysis results</w:t>
      </w:r>
    </w:p>
    <w:p w:rsidR="00370858" w:rsidRPr="00E84DC2" w:rsidRDefault="00370858">
      <w:pPr>
        <w:jc w:val="center"/>
        <w:rPr>
          <w:rFonts w:ascii="Tahoma" w:eastAsia="Calibri" w:hAnsi="Tahoma" w:cs="Tahoma"/>
          <w:b/>
          <w:sz w:val="8"/>
          <w:szCs w:val="8"/>
          <w:lang w:val="en-AU"/>
        </w:rPr>
      </w:pPr>
    </w:p>
    <w:tbl>
      <w:tblPr>
        <w:tblStyle w:val="LightList-Accent11"/>
        <w:tblW w:w="8472" w:type="dxa"/>
        <w:tblLook w:val="04A0" w:firstRow="1" w:lastRow="0" w:firstColumn="1" w:lastColumn="0" w:noHBand="0" w:noVBand="1"/>
      </w:tblPr>
      <w:tblGrid>
        <w:gridCol w:w="2832"/>
        <w:gridCol w:w="1412"/>
        <w:gridCol w:w="1408"/>
        <w:gridCol w:w="1407"/>
        <w:gridCol w:w="1413"/>
      </w:tblGrid>
      <w:tr w:rsidR="00F134D3" w:rsidRPr="00E84DC2" w:rsidTr="00F134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F134D3" w:rsidRPr="00E84DC2" w:rsidRDefault="00D733EB" w:rsidP="00F02AE9">
            <w:pPr>
              <w:pStyle w:val="EPANormal"/>
              <w:rPr>
                <w:rFonts w:ascii="Tahoma" w:eastAsia="Calibri" w:hAnsi="Tahoma" w:cs="Tahoma"/>
                <w:color w:val="auto"/>
                <w:sz w:val="20"/>
              </w:rPr>
            </w:pPr>
            <w:r w:rsidRPr="00D733EB">
              <w:rPr>
                <w:rFonts w:ascii="Tahoma" w:eastAsia="Calibri" w:hAnsi="Tahoma" w:cs="Tahoma"/>
                <w:sz w:val="20"/>
              </w:rPr>
              <w:t>Criterion</w:t>
            </w:r>
          </w:p>
        </w:tc>
        <w:tc>
          <w:tcPr>
            <w:tcW w:w="1408" w:type="dxa"/>
          </w:tcPr>
          <w:p w:rsidR="00F134D3" w:rsidRPr="00E84DC2" w:rsidRDefault="00D733EB" w:rsidP="00F02AE9">
            <w:pPr>
              <w:pStyle w:val="EPANormal"/>
              <w:jc w:val="center"/>
              <w:cnfStyle w:val="100000000000" w:firstRow="1" w:lastRow="0" w:firstColumn="0" w:lastColumn="0" w:oddVBand="0" w:evenVBand="0" w:oddHBand="0" w:evenHBand="0" w:firstRowFirstColumn="0" w:firstRowLastColumn="0" w:lastRowFirstColumn="0" w:lastRowLastColumn="0"/>
              <w:rPr>
                <w:rFonts w:ascii="Tahoma" w:eastAsia="Calibri" w:hAnsi="Tahoma" w:cs="Tahoma"/>
                <w:color w:val="auto"/>
                <w:sz w:val="20"/>
              </w:rPr>
            </w:pPr>
            <w:r w:rsidRPr="00D733EB">
              <w:rPr>
                <w:rFonts w:ascii="Tahoma" w:eastAsia="Calibri" w:hAnsi="Tahoma" w:cs="Tahoma"/>
                <w:sz w:val="20"/>
              </w:rPr>
              <w:t>Proposed Regulations</w:t>
            </w:r>
          </w:p>
        </w:tc>
        <w:tc>
          <w:tcPr>
            <w:tcW w:w="1409" w:type="dxa"/>
          </w:tcPr>
          <w:p w:rsidR="00F134D3" w:rsidRPr="00E84DC2" w:rsidRDefault="00D733EB" w:rsidP="00F02AE9">
            <w:pPr>
              <w:pStyle w:val="EPANormal"/>
              <w:jc w:val="center"/>
              <w:cnfStyle w:val="100000000000" w:firstRow="1" w:lastRow="0" w:firstColumn="0" w:lastColumn="0" w:oddVBand="0" w:evenVBand="0" w:oddHBand="0" w:evenHBand="0" w:firstRowFirstColumn="0" w:firstRowLastColumn="0" w:lastRowFirstColumn="0" w:lastRowLastColumn="0"/>
              <w:rPr>
                <w:rFonts w:ascii="Tahoma" w:eastAsia="Calibri" w:hAnsi="Tahoma" w:cs="Tahoma"/>
                <w:color w:val="auto"/>
                <w:sz w:val="20"/>
              </w:rPr>
            </w:pPr>
            <w:r w:rsidRPr="00D733EB">
              <w:rPr>
                <w:rFonts w:ascii="Tahoma" w:eastAsia="Calibri" w:hAnsi="Tahoma" w:cs="Tahoma"/>
                <w:sz w:val="20"/>
              </w:rPr>
              <w:t>Voluntary Approach</w:t>
            </w:r>
          </w:p>
        </w:tc>
        <w:tc>
          <w:tcPr>
            <w:tcW w:w="1408" w:type="dxa"/>
          </w:tcPr>
          <w:p w:rsidR="00F134D3" w:rsidRPr="00E84DC2" w:rsidRDefault="00D733EB" w:rsidP="00F02AE9">
            <w:pPr>
              <w:pStyle w:val="EPANormal"/>
              <w:jc w:val="center"/>
              <w:cnfStyle w:val="100000000000" w:firstRow="1" w:lastRow="0" w:firstColumn="0" w:lastColumn="0" w:oddVBand="0" w:evenVBand="0" w:oddHBand="0" w:evenHBand="0" w:firstRowFirstColumn="0" w:firstRowLastColumn="0" w:lastRowFirstColumn="0" w:lastRowLastColumn="0"/>
              <w:rPr>
                <w:rFonts w:ascii="Tahoma" w:eastAsia="Calibri" w:hAnsi="Tahoma" w:cs="Tahoma"/>
                <w:color w:val="auto"/>
                <w:sz w:val="20"/>
              </w:rPr>
            </w:pPr>
            <w:r w:rsidRPr="00D733EB">
              <w:rPr>
                <w:rFonts w:ascii="Tahoma" w:eastAsia="Calibri" w:hAnsi="Tahoma" w:cs="Tahoma"/>
                <w:sz w:val="20"/>
              </w:rPr>
              <w:t>Principles Approach</w:t>
            </w:r>
          </w:p>
        </w:tc>
        <w:tc>
          <w:tcPr>
            <w:tcW w:w="1409" w:type="dxa"/>
          </w:tcPr>
          <w:p w:rsidR="00F134D3" w:rsidRPr="00E84DC2" w:rsidRDefault="00D733EB" w:rsidP="00F02AE9">
            <w:pPr>
              <w:pStyle w:val="EPANormal"/>
              <w:jc w:val="center"/>
              <w:cnfStyle w:val="100000000000" w:firstRow="1" w:lastRow="0" w:firstColumn="0" w:lastColumn="0" w:oddVBand="0" w:evenVBand="0" w:oddHBand="0" w:evenHBand="0" w:firstRowFirstColumn="0" w:firstRowLastColumn="0" w:lastRowFirstColumn="0" w:lastRowLastColumn="0"/>
              <w:rPr>
                <w:rFonts w:ascii="Tahoma" w:eastAsia="Calibri" w:hAnsi="Tahoma" w:cs="Tahoma"/>
                <w:color w:val="auto"/>
                <w:sz w:val="20"/>
              </w:rPr>
            </w:pPr>
            <w:r w:rsidRPr="00D733EB">
              <w:rPr>
                <w:rFonts w:ascii="Tahoma" w:eastAsia="Calibri" w:hAnsi="Tahoma" w:cs="Tahoma"/>
                <w:sz w:val="20"/>
              </w:rPr>
              <w:t>More Prescriptive</w:t>
            </w:r>
          </w:p>
        </w:tc>
      </w:tr>
      <w:tr w:rsidR="00F134D3" w:rsidRPr="00E84DC2" w:rsidTr="00F1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F134D3" w:rsidRPr="00E84DC2" w:rsidRDefault="00D733EB" w:rsidP="00F02AE9">
            <w:pPr>
              <w:pStyle w:val="EPANormal"/>
              <w:rPr>
                <w:rFonts w:ascii="Tahoma" w:eastAsia="Calibri" w:hAnsi="Tahoma" w:cs="Tahoma"/>
                <w:b w:val="0"/>
                <w:sz w:val="20"/>
              </w:rPr>
            </w:pPr>
            <w:r w:rsidRPr="00D733EB">
              <w:rPr>
                <w:rFonts w:ascii="Tahoma" w:eastAsia="Calibri" w:hAnsi="Tahoma" w:cs="Tahoma"/>
                <w:sz w:val="20"/>
              </w:rPr>
              <w:t>Improved transparency and accountability of local councils. This is achieved if reported information is comprehensive, relevant and appropriate, as well as easy to access and understand. (30%)</w:t>
            </w:r>
          </w:p>
        </w:tc>
        <w:tc>
          <w:tcPr>
            <w:tcW w:w="1408" w:type="dxa"/>
          </w:tcPr>
          <w:p w:rsidR="00F134D3" w:rsidRPr="00E84DC2" w:rsidRDefault="00D733EB" w:rsidP="00F02AE9">
            <w:pPr>
              <w:pStyle w:val="EPANormal"/>
              <w:jc w:val="center"/>
              <w:cnfStyle w:val="000000100000" w:firstRow="0" w:lastRow="0" w:firstColumn="0" w:lastColumn="0" w:oddVBand="0" w:evenVBand="0" w:oddHBand="1" w:evenHBand="0" w:firstRowFirstColumn="0" w:firstRowLastColumn="0" w:lastRowFirstColumn="0" w:lastRowLastColumn="0"/>
              <w:rPr>
                <w:rFonts w:ascii="Tahoma" w:eastAsia="Calibri" w:hAnsi="Tahoma" w:cs="Tahoma"/>
                <w:sz w:val="20"/>
              </w:rPr>
            </w:pPr>
            <w:r w:rsidRPr="00D733EB">
              <w:rPr>
                <w:rFonts w:ascii="Tahoma" w:eastAsia="Calibri" w:hAnsi="Tahoma" w:cs="Tahoma"/>
                <w:sz w:val="20"/>
              </w:rPr>
              <w:t>80</w:t>
            </w:r>
          </w:p>
        </w:tc>
        <w:tc>
          <w:tcPr>
            <w:tcW w:w="1409" w:type="dxa"/>
          </w:tcPr>
          <w:p w:rsidR="00F134D3" w:rsidRPr="00E84DC2" w:rsidRDefault="00D733EB" w:rsidP="00F02AE9">
            <w:pPr>
              <w:pStyle w:val="EPANormal"/>
              <w:jc w:val="center"/>
              <w:cnfStyle w:val="000000100000" w:firstRow="0" w:lastRow="0" w:firstColumn="0" w:lastColumn="0" w:oddVBand="0" w:evenVBand="0" w:oddHBand="1" w:evenHBand="0" w:firstRowFirstColumn="0" w:firstRowLastColumn="0" w:lastRowFirstColumn="0" w:lastRowLastColumn="0"/>
              <w:rPr>
                <w:rFonts w:ascii="Tahoma" w:eastAsia="Calibri" w:hAnsi="Tahoma" w:cs="Tahoma"/>
                <w:sz w:val="20"/>
              </w:rPr>
            </w:pPr>
            <w:r w:rsidRPr="00D733EB">
              <w:rPr>
                <w:rFonts w:ascii="Tahoma" w:eastAsia="Calibri" w:hAnsi="Tahoma" w:cs="Tahoma"/>
                <w:sz w:val="20"/>
              </w:rPr>
              <w:t>40</w:t>
            </w:r>
          </w:p>
        </w:tc>
        <w:tc>
          <w:tcPr>
            <w:tcW w:w="1408" w:type="dxa"/>
          </w:tcPr>
          <w:p w:rsidR="00F134D3" w:rsidRPr="00E84DC2" w:rsidRDefault="00D733EB" w:rsidP="00F02AE9">
            <w:pPr>
              <w:pStyle w:val="EPANormal"/>
              <w:jc w:val="center"/>
              <w:cnfStyle w:val="000000100000" w:firstRow="0" w:lastRow="0" w:firstColumn="0" w:lastColumn="0" w:oddVBand="0" w:evenVBand="0" w:oddHBand="1" w:evenHBand="0" w:firstRowFirstColumn="0" w:firstRowLastColumn="0" w:lastRowFirstColumn="0" w:lastRowLastColumn="0"/>
              <w:rPr>
                <w:rFonts w:ascii="Tahoma" w:eastAsia="Calibri" w:hAnsi="Tahoma" w:cs="Tahoma"/>
                <w:sz w:val="20"/>
              </w:rPr>
            </w:pPr>
            <w:r w:rsidRPr="00D733EB">
              <w:rPr>
                <w:rFonts w:ascii="Tahoma" w:eastAsia="Calibri" w:hAnsi="Tahoma" w:cs="Tahoma"/>
                <w:sz w:val="20"/>
              </w:rPr>
              <w:t>60</w:t>
            </w:r>
          </w:p>
        </w:tc>
        <w:tc>
          <w:tcPr>
            <w:tcW w:w="1409" w:type="dxa"/>
          </w:tcPr>
          <w:p w:rsidR="00F134D3" w:rsidRPr="00E84DC2" w:rsidRDefault="00D733EB" w:rsidP="00F02AE9">
            <w:pPr>
              <w:pStyle w:val="EPANormal"/>
              <w:jc w:val="center"/>
              <w:cnfStyle w:val="000000100000" w:firstRow="0" w:lastRow="0" w:firstColumn="0" w:lastColumn="0" w:oddVBand="0" w:evenVBand="0" w:oddHBand="1" w:evenHBand="0" w:firstRowFirstColumn="0" w:firstRowLastColumn="0" w:lastRowFirstColumn="0" w:lastRowLastColumn="0"/>
              <w:rPr>
                <w:rFonts w:ascii="Tahoma" w:eastAsia="Calibri" w:hAnsi="Tahoma" w:cs="Tahoma"/>
                <w:sz w:val="20"/>
              </w:rPr>
            </w:pPr>
            <w:r w:rsidRPr="00D733EB">
              <w:rPr>
                <w:rFonts w:ascii="Tahoma" w:eastAsia="Calibri" w:hAnsi="Tahoma" w:cs="Tahoma"/>
                <w:sz w:val="20"/>
              </w:rPr>
              <w:t>90</w:t>
            </w:r>
          </w:p>
        </w:tc>
      </w:tr>
      <w:tr w:rsidR="00F134D3" w:rsidRPr="00E84DC2" w:rsidTr="00F134D3">
        <w:tc>
          <w:tcPr>
            <w:cnfStyle w:val="001000000000" w:firstRow="0" w:lastRow="0" w:firstColumn="1" w:lastColumn="0" w:oddVBand="0" w:evenVBand="0" w:oddHBand="0" w:evenHBand="0" w:firstRowFirstColumn="0" w:firstRowLastColumn="0" w:lastRowFirstColumn="0" w:lastRowLastColumn="0"/>
            <w:tcW w:w="2838" w:type="dxa"/>
          </w:tcPr>
          <w:p w:rsidR="00F134D3" w:rsidRPr="00E84DC2" w:rsidRDefault="00D733EB" w:rsidP="00F02AE9">
            <w:pPr>
              <w:pStyle w:val="EPANormal"/>
              <w:rPr>
                <w:rFonts w:ascii="Tahoma" w:eastAsia="Calibri" w:hAnsi="Tahoma" w:cs="Tahoma"/>
                <w:b w:val="0"/>
                <w:sz w:val="20"/>
              </w:rPr>
            </w:pPr>
            <w:r w:rsidRPr="00D733EB">
              <w:rPr>
                <w:rFonts w:ascii="Tahoma" w:eastAsia="Calibri" w:hAnsi="Tahoma" w:cs="Tahoma"/>
                <w:sz w:val="20"/>
              </w:rPr>
              <w:t>Increases focus on continuous improvements in council effectiveness and efficiency. This is achieved where information is consistent across councils, robust, and reflects the quantity, quality, timeliness and costs of services. (20%)</w:t>
            </w:r>
          </w:p>
        </w:tc>
        <w:tc>
          <w:tcPr>
            <w:tcW w:w="1408" w:type="dxa"/>
          </w:tcPr>
          <w:p w:rsidR="00F134D3" w:rsidRPr="00E84DC2" w:rsidRDefault="00D733EB" w:rsidP="00F02AE9">
            <w:pPr>
              <w:pStyle w:val="EPANormal"/>
              <w:jc w:val="center"/>
              <w:cnfStyle w:val="000000000000" w:firstRow="0" w:lastRow="0" w:firstColumn="0" w:lastColumn="0" w:oddVBand="0" w:evenVBand="0" w:oddHBand="0" w:evenHBand="0" w:firstRowFirstColumn="0" w:firstRowLastColumn="0" w:lastRowFirstColumn="0" w:lastRowLastColumn="0"/>
              <w:rPr>
                <w:rFonts w:ascii="Tahoma" w:eastAsia="Calibri" w:hAnsi="Tahoma" w:cs="Tahoma"/>
                <w:sz w:val="20"/>
              </w:rPr>
            </w:pPr>
            <w:r w:rsidRPr="00D733EB">
              <w:rPr>
                <w:rFonts w:ascii="Tahoma" w:eastAsia="Calibri" w:hAnsi="Tahoma" w:cs="Tahoma"/>
                <w:sz w:val="20"/>
              </w:rPr>
              <w:t>60</w:t>
            </w:r>
          </w:p>
        </w:tc>
        <w:tc>
          <w:tcPr>
            <w:tcW w:w="1409" w:type="dxa"/>
          </w:tcPr>
          <w:p w:rsidR="00F134D3" w:rsidRPr="00E84DC2" w:rsidRDefault="00D733EB" w:rsidP="00F02AE9">
            <w:pPr>
              <w:pStyle w:val="EPANormal"/>
              <w:jc w:val="center"/>
              <w:cnfStyle w:val="000000000000" w:firstRow="0" w:lastRow="0" w:firstColumn="0" w:lastColumn="0" w:oddVBand="0" w:evenVBand="0" w:oddHBand="0" w:evenHBand="0" w:firstRowFirstColumn="0" w:firstRowLastColumn="0" w:lastRowFirstColumn="0" w:lastRowLastColumn="0"/>
              <w:rPr>
                <w:rFonts w:ascii="Tahoma" w:eastAsia="Calibri" w:hAnsi="Tahoma" w:cs="Tahoma"/>
                <w:sz w:val="20"/>
              </w:rPr>
            </w:pPr>
            <w:r w:rsidRPr="00D733EB">
              <w:rPr>
                <w:rFonts w:ascii="Tahoma" w:eastAsia="Calibri" w:hAnsi="Tahoma" w:cs="Tahoma"/>
                <w:sz w:val="20"/>
              </w:rPr>
              <w:t>30</w:t>
            </w:r>
          </w:p>
        </w:tc>
        <w:tc>
          <w:tcPr>
            <w:tcW w:w="1408" w:type="dxa"/>
          </w:tcPr>
          <w:p w:rsidR="00F134D3" w:rsidRPr="00E84DC2" w:rsidRDefault="00D733EB" w:rsidP="00F02AE9">
            <w:pPr>
              <w:pStyle w:val="EPANormal"/>
              <w:jc w:val="center"/>
              <w:cnfStyle w:val="000000000000" w:firstRow="0" w:lastRow="0" w:firstColumn="0" w:lastColumn="0" w:oddVBand="0" w:evenVBand="0" w:oddHBand="0" w:evenHBand="0" w:firstRowFirstColumn="0" w:firstRowLastColumn="0" w:lastRowFirstColumn="0" w:lastRowLastColumn="0"/>
              <w:rPr>
                <w:rFonts w:ascii="Tahoma" w:eastAsia="Calibri" w:hAnsi="Tahoma" w:cs="Tahoma"/>
                <w:sz w:val="20"/>
              </w:rPr>
            </w:pPr>
            <w:r w:rsidRPr="00D733EB">
              <w:rPr>
                <w:rFonts w:ascii="Tahoma" w:eastAsia="Calibri" w:hAnsi="Tahoma" w:cs="Tahoma"/>
                <w:sz w:val="20"/>
              </w:rPr>
              <w:t>30</w:t>
            </w:r>
          </w:p>
        </w:tc>
        <w:tc>
          <w:tcPr>
            <w:tcW w:w="1409" w:type="dxa"/>
          </w:tcPr>
          <w:p w:rsidR="00F134D3" w:rsidRPr="00E84DC2" w:rsidRDefault="00D733EB" w:rsidP="00F02AE9">
            <w:pPr>
              <w:pStyle w:val="EPANormal"/>
              <w:jc w:val="center"/>
              <w:cnfStyle w:val="000000000000" w:firstRow="0" w:lastRow="0" w:firstColumn="0" w:lastColumn="0" w:oddVBand="0" w:evenVBand="0" w:oddHBand="0" w:evenHBand="0" w:firstRowFirstColumn="0" w:firstRowLastColumn="0" w:lastRowFirstColumn="0" w:lastRowLastColumn="0"/>
              <w:rPr>
                <w:rFonts w:ascii="Tahoma" w:eastAsia="Calibri" w:hAnsi="Tahoma" w:cs="Tahoma"/>
                <w:sz w:val="20"/>
              </w:rPr>
            </w:pPr>
            <w:r w:rsidRPr="00D733EB">
              <w:rPr>
                <w:rFonts w:ascii="Tahoma" w:eastAsia="Calibri" w:hAnsi="Tahoma" w:cs="Tahoma"/>
                <w:sz w:val="20"/>
              </w:rPr>
              <w:t>70</w:t>
            </w:r>
          </w:p>
        </w:tc>
      </w:tr>
      <w:tr w:rsidR="00F134D3" w:rsidRPr="00E84DC2" w:rsidTr="00F1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F134D3" w:rsidRPr="00E84DC2" w:rsidRDefault="00D733EB" w:rsidP="00F02AE9">
            <w:pPr>
              <w:pStyle w:val="EPANormal"/>
              <w:rPr>
                <w:rFonts w:ascii="Tahoma" w:eastAsia="Calibri" w:hAnsi="Tahoma" w:cs="Tahoma"/>
                <w:b w:val="0"/>
                <w:sz w:val="20"/>
              </w:rPr>
            </w:pPr>
            <w:r w:rsidRPr="00D733EB">
              <w:rPr>
                <w:rFonts w:ascii="Tahoma" w:eastAsia="Calibri" w:hAnsi="Tahoma" w:cs="Tahoma"/>
                <w:sz w:val="20"/>
              </w:rPr>
              <w:lastRenderedPageBreak/>
              <w:t>Costs of providing information. (50%)</w:t>
            </w:r>
          </w:p>
        </w:tc>
        <w:tc>
          <w:tcPr>
            <w:tcW w:w="1408" w:type="dxa"/>
          </w:tcPr>
          <w:p w:rsidR="00F134D3" w:rsidRPr="00E84DC2" w:rsidRDefault="00D733EB" w:rsidP="00F02AE9">
            <w:pPr>
              <w:pStyle w:val="EPANormal"/>
              <w:jc w:val="center"/>
              <w:cnfStyle w:val="000000100000" w:firstRow="0" w:lastRow="0" w:firstColumn="0" w:lastColumn="0" w:oddVBand="0" w:evenVBand="0" w:oddHBand="1" w:evenHBand="0" w:firstRowFirstColumn="0" w:firstRowLastColumn="0" w:lastRowFirstColumn="0" w:lastRowLastColumn="0"/>
              <w:rPr>
                <w:rFonts w:ascii="Tahoma" w:eastAsia="Calibri" w:hAnsi="Tahoma" w:cs="Tahoma"/>
                <w:sz w:val="20"/>
              </w:rPr>
            </w:pPr>
            <w:r w:rsidRPr="00D733EB">
              <w:rPr>
                <w:rFonts w:ascii="Tahoma" w:eastAsia="Calibri" w:hAnsi="Tahoma" w:cs="Tahoma"/>
                <w:sz w:val="20"/>
              </w:rPr>
              <w:t>-50</w:t>
            </w:r>
          </w:p>
        </w:tc>
        <w:tc>
          <w:tcPr>
            <w:tcW w:w="1409" w:type="dxa"/>
          </w:tcPr>
          <w:p w:rsidR="00F134D3" w:rsidRPr="00E84DC2" w:rsidRDefault="00D733EB" w:rsidP="00F02AE9">
            <w:pPr>
              <w:pStyle w:val="EPANormal"/>
              <w:jc w:val="center"/>
              <w:cnfStyle w:val="000000100000" w:firstRow="0" w:lastRow="0" w:firstColumn="0" w:lastColumn="0" w:oddVBand="0" w:evenVBand="0" w:oddHBand="1" w:evenHBand="0" w:firstRowFirstColumn="0" w:firstRowLastColumn="0" w:lastRowFirstColumn="0" w:lastRowLastColumn="0"/>
              <w:rPr>
                <w:rFonts w:ascii="Tahoma" w:eastAsia="Calibri" w:hAnsi="Tahoma" w:cs="Tahoma"/>
                <w:sz w:val="20"/>
              </w:rPr>
            </w:pPr>
            <w:r w:rsidRPr="00D733EB">
              <w:rPr>
                <w:rFonts w:ascii="Tahoma" w:eastAsia="Calibri" w:hAnsi="Tahoma" w:cs="Tahoma"/>
                <w:sz w:val="20"/>
              </w:rPr>
              <w:t>-</w:t>
            </w:r>
            <w:r w:rsidR="007E24A7">
              <w:rPr>
                <w:rFonts w:ascii="Tahoma" w:eastAsia="Calibri" w:hAnsi="Tahoma" w:cs="Tahoma"/>
                <w:sz w:val="20"/>
              </w:rPr>
              <w:t>3</w:t>
            </w:r>
            <w:r w:rsidR="00DC14B1" w:rsidRPr="00E84DC2">
              <w:rPr>
                <w:rFonts w:ascii="Tahoma" w:eastAsia="Calibri" w:hAnsi="Tahoma" w:cs="Tahoma"/>
                <w:sz w:val="20"/>
              </w:rPr>
              <w:t>0</w:t>
            </w:r>
          </w:p>
        </w:tc>
        <w:tc>
          <w:tcPr>
            <w:tcW w:w="1408" w:type="dxa"/>
          </w:tcPr>
          <w:p w:rsidR="00F134D3" w:rsidRPr="00E84DC2" w:rsidRDefault="00DC14B1" w:rsidP="00F02AE9">
            <w:pPr>
              <w:pStyle w:val="EPANormal"/>
              <w:jc w:val="center"/>
              <w:cnfStyle w:val="000000100000" w:firstRow="0" w:lastRow="0" w:firstColumn="0" w:lastColumn="0" w:oddVBand="0" w:evenVBand="0" w:oddHBand="1" w:evenHBand="0" w:firstRowFirstColumn="0" w:firstRowLastColumn="0" w:lastRowFirstColumn="0" w:lastRowLastColumn="0"/>
              <w:rPr>
                <w:rFonts w:ascii="Tahoma" w:eastAsia="Calibri" w:hAnsi="Tahoma" w:cs="Tahoma"/>
                <w:sz w:val="20"/>
              </w:rPr>
            </w:pPr>
            <w:r w:rsidRPr="00E84DC2">
              <w:rPr>
                <w:rFonts w:ascii="Tahoma" w:eastAsia="Calibri" w:hAnsi="Tahoma" w:cs="Tahoma"/>
                <w:sz w:val="20"/>
              </w:rPr>
              <w:t>-40</w:t>
            </w:r>
          </w:p>
        </w:tc>
        <w:tc>
          <w:tcPr>
            <w:tcW w:w="1409" w:type="dxa"/>
          </w:tcPr>
          <w:p w:rsidR="00F134D3" w:rsidRPr="00E84DC2" w:rsidRDefault="00D733EB" w:rsidP="002D3215">
            <w:pPr>
              <w:pStyle w:val="EPANormal"/>
              <w:jc w:val="center"/>
              <w:cnfStyle w:val="000000100000" w:firstRow="0" w:lastRow="0" w:firstColumn="0" w:lastColumn="0" w:oddVBand="0" w:evenVBand="0" w:oddHBand="1" w:evenHBand="0" w:firstRowFirstColumn="0" w:firstRowLastColumn="0" w:lastRowFirstColumn="0" w:lastRowLastColumn="0"/>
              <w:rPr>
                <w:rFonts w:ascii="Tahoma" w:eastAsia="Calibri" w:hAnsi="Tahoma" w:cs="Tahoma"/>
                <w:sz w:val="20"/>
              </w:rPr>
            </w:pPr>
            <w:r w:rsidRPr="00D733EB">
              <w:rPr>
                <w:rFonts w:ascii="Tahoma" w:eastAsia="Calibri" w:hAnsi="Tahoma" w:cs="Tahoma"/>
                <w:sz w:val="20"/>
              </w:rPr>
              <w:t>-75</w:t>
            </w:r>
          </w:p>
        </w:tc>
      </w:tr>
      <w:tr w:rsidR="00F134D3" w:rsidRPr="00E84DC2" w:rsidTr="00F134D3">
        <w:tc>
          <w:tcPr>
            <w:cnfStyle w:val="001000000000" w:firstRow="0" w:lastRow="0" w:firstColumn="1" w:lastColumn="0" w:oddVBand="0" w:evenVBand="0" w:oddHBand="0" w:evenHBand="0" w:firstRowFirstColumn="0" w:firstRowLastColumn="0" w:lastRowFirstColumn="0" w:lastRowLastColumn="0"/>
            <w:tcW w:w="2838" w:type="dxa"/>
          </w:tcPr>
          <w:p w:rsidR="00F134D3" w:rsidRPr="00E84DC2" w:rsidRDefault="00D733EB" w:rsidP="00F02AE9">
            <w:pPr>
              <w:pStyle w:val="EPANormal"/>
              <w:rPr>
                <w:rFonts w:ascii="Tahoma" w:eastAsia="Calibri" w:hAnsi="Tahoma" w:cs="Tahoma"/>
                <w:sz w:val="20"/>
              </w:rPr>
            </w:pPr>
            <w:r w:rsidRPr="00D733EB">
              <w:rPr>
                <w:rFonts w:ascii="Tahoma" w:eastAsia="Calibri" w:hAnsi="Tahoma" w:cs="Tahoma"/>
                <w:sz w:val="20"/>
              </w:rPr>
              <w:t>TOTAL SCORE (weighted)</w:t>
            </w:r>
          </w:p>
        </w:tc>
        <w:tc>
          <w:tcPr>
            <w:tcW w:w="1408" w:type="dxa"/>
          </w:tcPr>
          <w:p w:rsidR="00F134D3" w:rsidRPr="00E84DC2" w:rsidRDefault="00D733EB" w:rsidP="00F02AE9">
            <w:pPr>
              <w:pStyle w:val="EPANormal"/>
              <w:jc w:val="center"/>
              <w:cnfStyle w:val="000000000000" w:firstRow="0" w:lastRow="0" w:firstColumn="0" w:lastColumn="0" w:oddVBand="0" w:evenVBand="0" w:oddHBand="0" w:evenHBand="0" w:firstRowFirstColumn="0" w:firstRowLastColumn="0" w:lastRowFirstColumn="0" w:lastRowLastColumn="0"/>
              <w:rPr>
                <w:rFonts w:ascii="Tahoma" w:eastAsia="Calibri" w:hAnsi="Tahoma" w:cs="Tahoma"/>
                <w:b/>
                <w:sz w:val="20"/>
              </w:rPr>
            </w:pPr>
            <w:r w:rsidRPr="00D733EB">
              <w:rPr>
                <w:rFonts w:ascii="Tahoma" w:eastAsia="Calibri" w:hAnsi="Tahoma" w:cs="Tahoma"/>
                <w:b/>
                <w:sz w:val="20"/>
              </w:rPr>
              <w:t>11</w:t>
            </w:r>
          </w:p>
        </w:tc>
        <w:tc>
          <w:tcPr>
            <w:tcW w:w="1409" w:type="dxa"/>
          </w:tcPr>
          <w:p w:rsidR="00F134D3" w:rsidRPr="00E84DC2" w:rsidRDefault="00D733EB" w:rsidP="00F02AE9">
            <w:pPr>
              <w:pStyle w:val="EPANormal"/>
              <w:jc w:val="center"/>
              <w:cnfStyle w:val="000000000000" w:firstRow="0" w:lastRow="0" w:firstColumn="0" w:lastColumn="0" w:oddVBand="0" w:evenVBand="0" w:oddHBand="0" w:evenHBand="0" w:firstRowFirstColumn="0" w:firstRowLastColumn="0" w:lastRowFirstColumn="0" w:lastRowLastColumn="0"/>
              <w:rPr>
                <w:rFonts w:ascii="Tahoma" w:eastAsia="Calibri" w:hAnsi="Tahoma" w:cs="Tahoma"/>
                <w:b/>
                <w:sz w:val="20"/>
              </w:rPr>
            </w:pPr>
            <w:r w:rsidRPr="00D733EB">
              <w:rPr>
                <w:rFonts w:ascii="Tahoma" w:eastAsia="Calibri" w:hAnsi="Tahoma" w:cs="Tahoma"/>
                <w:b/>
                <w:sz w:val="20"/>
              </w:rPr>
              <w:t>8</w:t>
            </w:r>
          </w:p>
        </w:tc>
        <w:tc>
          <w:tcPr>
            <w:tcW w:w="1408" w:type="dxa"/>
          </w:tcPr>
          <w:p w:rsidR="00F134D3" w:rsidRPr="00E84DC2" w:rsidRDefault="00D733EB" w:rsidP="00F02AE9">
            <w:pPr>
              <w:pStyle w:val="EPANormal"/>
              <w:jc w:val="center"/>
              <w:cnfStyle w:val="000000000000" w:firstRow="0" w:lastRow="0" w:firstColumn="0" w:lastColumn="0" w:oddVBand="0" w:evenVBand="0" w:oddHBand="0" w:evenHBand="0" w:firstRowFirstColumn="0" w:firstRowLastColumn="0" w:lastRowFirstColumn="0" w:lastRowLastColumn="0"/>
              <w:rPr>
                <w:rFonts w:ascii="Tahoma" w:eastAsia="Calibri" w:hAnsi="Tahoma" w:cs="Tahoma"/>
                <w:b/>
                <w:sz w:val="20"/>
              </w:rPr>
            </w:pPr>
            <w:r w:rsidRPr="00D733EB">
              <w:rPr>
                <w:rFonts w:ascii="Tahoma" w:eastAsia="Calibri" w:hAnsi="Tahoma" w:cs="Tahoma"/>
                <w:b/>
                <w:sz w:val="20"/>
              </w:rPr>
              <w:t>4</w:t>
            </w:r>
          </w:p>
        </w:tc>
        <w:tc>
          <w:tcPr>
            <w:tcW w:w="1409" w:type="dxa"/>
          </w:tcPr>
          <w:p w:rsidR="00F134D3" w:rsidRPr="00E84DC2" w:rsidRDefault="00D733EB" w:rsidP="00F02AE9">
            <w:pPr>
              <w:pStyle w:val="EPANormal"/>
              <w:jc w:val="center"/>
              <w:cnfStyle w:val="000000000000" w:firstRow="0" w:lastRow="0" w:firstColumn="0" w:lastColumn="0" w:oddVBand="0" w:evenVBand="0" w:oddHBand="0" w:evenHBand="0" w:firstRowFirstColumn="0" w:firstRowLastColumn="0" w:lastRowFirstColumn="0" w:lastRowLastColumn="0"/>
              <w:rPr>
                <w:rFonts w:ascii="Tahoma" w:eastAsia="Calibri" w:hAnsi="Tahoma" w:cs="Tahoma"/>
                <w:b/>
                <w:sz w:val="20"/>
              </w:rPr>
            </w:pPr>
            <w:r w:rsidRPr="00D733EB">
              <w:rPr>
                <w:rFonts w:ascii="Tahoma" w:eastAsia="Calibri" w:hAnsi="Tahoma" w:cs="Tahoma"/>
                <w:b/>
                <w:sz w:val="20"/>
              </w:rPr>
              <w:t>3.5</w:t>
            </w:r>
          </w:p>
        </w:tc>
      </w:tr>
    </w:tbl>
    <w:p w:rsidR="00930BAD" w:rsidRPr="00E84DC2" w:rsidRDefault="00930BAD" w:rsidP="00C3402D">
      <w:pPr>
        <w:pStyle w:val="ListParagraph"/>
        <w:rPr>
          <w:rFonts w:ascii="Tahoma" w:hAnsi="Tahoma" w:cs="Tahoma"/>
          <w:lang w:val="en-AU"/>
        </w:rPr>
        <w:sectPr w:rsidR="00930BAD" w:rsidRPr="00E84DC2" w:rsidSect="00BB4E63">
          <w:headerReference w:type="default" r:id="rId29"/>
          <w:pgSz w:w="11900" w:h="16840"/>
          <w:pgMar w:top="1440" w:right="1800" w:bottom="1440" w:left="1800" w:header="708" w:footer="708" w:gutter="0"/>
          <w:cols w:space="708"/>
          <w:titlePg/>
          <w:docGrid w:linePitch="360"/>
        </w:sectPr>
      </w:pPr>
    </w:p>
    <w:p w:rsidR="00C8259C" w:rsidRPr="00E84DC2" w:rsidRDefault="00D733EB" w:rsidP="00E84CE8">
      <w:pPr>
        <w:pStyle w:val="Heading1"/>
      </w:pPr>
      <w:bookmarkStart w:id="24" w:name="_Toc379878668"/>
      <w:r w:rsidRPr="00D733EB">
        <w:lastRenderedPageBreak/>
        <w:t>IMPLEMENTATION AND ENFORCEMENT</w:t>
      </w:r>
      <w:bookmarkEnd w:id="24"/>
    </w:p>
    <w:p w:rsidR="00BE37E6" w:rsidRPr="00E84DC2" w:rsidRDefault="00BE37E6" w:rsidP="00BE37E6">
      <w:pPr>
        <w:rPr>
          <w:rFonts w:ascii="Tahoma" w:hAnsi="Tahoma" w:cs="Tahoma"/>
          <w:lang w:val="en-AU"/>
        </w:rPr>
      </w:pPr>
    </w:p>
    <w:p w:rsidR="003757B3" w:rsidRPr="00E84DC2" w:rsidRDefault="00D733EB" w:rsidP="00BE37E6">
      <w:pPr>
        <w:pBdr>
          <w:top w:val="single" w:sz="4" w:space="1" w:color="auto"/>
          <w:left w:val="single" w:sz="4" w:space="4" w:color="auto"/>
          <w:bottom w:val="single" w:sz="4" w:space="1" w:color="auto"/>
          <w:right w:val="single" w:sz="4" w:space="4" w:color="auto"/>
        </w:pBdr>
        <w:shd w:val="clear" w:color="auto" w:fill="C6D9F1"/>
        <w:spacing w:after="100"/>
        <w:rPr>
          <w:rFonts w:ascii="Tahoma" w:eastAsia="Calibri" w:hAnsi="Tahoma" w:cs="Tahoma"/>
          <w:b/>
          <w:i/>
          <w:sz w:val="22"/>
          <w:szCs w:val="22"/>
          <w:lang w:val="en-AU"/>
        </w:rPr>
      </w:pPr>
      <w:r w:rsidRPr="00D733EB">
        <w:rPr>
          <w:rFonts w:ascii="Tahoma" w:eastAsia="Calibri" w:hAnsi="Tahoma" w:cs="Tahoma"/>
          <w:b/>
          <w:i/>
          <w:sz w:val="22"/>
          <w:szCs w:val="22"/>
          <w:lang w:val="en-AU"/>
        </w:rPr>
        <w:t>Key points</w:t>
      </w:r>
    </w:p>
    <w:p w:rsidR="00BE37E6" w:rsidRPr="00E84DC2" w:rsidRDefault="00D733EB" w:rsidP="00D45580">
      <w:pPr>
        <w:pStyle w:val="ListParagraph"/>
        <w:numPr>
          <w:ilvl w:val="0"/>
          <w:numId w:val="29"/>
        </w:numPr>
        <w:pBdr>
          <w:top w:val="single" w:sz="4" w:space="1" w:color="auto"/>
          <w:left w:val="single" w:sz="4" w:space="4" w:color="auto"/>
          <w:bottom w:val="single" w:sz="4" w:space="1" w:color="auto"/>
          <w:right w:val="single" w:sz="4" w:space="4" w:color="auto"/>
        </w:pBdr>
        <w:shd w:val="clear" w:color="auto" w:fill="C6D9F1"/>
        <w:spacing w:after="100"/>
        <w:rPr>
          <w:rFonts w:ascii="Tahoma" w:hAnsi="Tahoma" w:cs="Tahoma"/>
          <w:lang w:val="en-AU"/>
        </w:rPr>
      </w:pPr>
      <w:r w:rsidRPr="00D733EB">
        <w:rPr>
          <w:rFonts w:ascii="Tahoma" w:hAnsi="Tahoma" w:cs="Tahoma"/>
          <w:lang w:val="en-AU"/>
        </w:rPr>
        <w:t>Implementation of the proposed Regulations will continue an extensive collaborative process already underway with local councils and other stakeholders.</w:t>
      </w:r>
    </w:p>
    <w:p w:rsidR="00E05D8D" w:rsidRPr="00E84DC2" w:rsidRDefault="00D733EB" w:rsidP="00D45580">
      <w:pPr>
        <w:pStyle w:val="ListParagraph"/>
        <w:numPr>
          <w:ilvl w:val="0"/>
          <w:numId w:val="29"/>
        </w:numPr>
        <w:pBdr>
          <w:top w:val="single" w:sz="4" w:space="1" w:color="auto"/>
          <w:left w:val="single" w:sz="4" w:space="4" w:color="auto"/>
          <w:bottom w:val="single" w:sz="4" w:space="1" w:color="auto"/>
          <w:right w:val="single" w:sz="4" w:space="4" w:color="auto"/>
        </w:pBdr>
        <w:shd w:val="clear" w:color="auto" w:fill="C6D9F1"/>
        <w:spacing w:after="100"/>
        <w:rPr>
          <w:rFonts w:ascii="Tahoma" w:hAnsi="Tahoma" w:cs="Tahoma"/>
          <w:lang w:val="en-AU"/>
        </w:rPr>
      </w:pPr>
      <w:r w:rsidRPr="00D733EB">
        <w:rPr>
          <w:rFonts w:ascii="Tahoma" w:hAnsi="Tahoma" w:cs="Tahoma"/>
          <w:lang w:val="en-AU"/>
        </w:rPr>
        <w:t>LGV will provide new and updated guidance material to assist local councils with the new requirements, and closely monitor how well the requirements are met.</w:t>
      </w:r>
    </w:p>
    <w:p w:rsidR="00BE37E6" w:rsidRPr="00E84DC2" w:rsidRDefault="00D733EB" w:rsidP="00D45580">
      <w:pPr>
        <w:pStyle w:val="ListParagraph"/>
        <w:numPr>
          <w:ilvl w:val="0"/>
          <w:numId w:val="29"/>
        </w:numPr>
        <w:pBdr>
          <w:top w:val="single" w:sz="4" w:space="1" w:color="auto"/>
          <w:left w:val="single" w:sz="4" w:space="4" w:color="auto"/>
          <w:bottom w:val="single" w:sz="4" w:space="1" w:color="auto"/>
          <w:right w:val="single" w:sz="4" w:space="4" w:color="auto"/>
        </w:pBdr>
        <w:shd w:val="clear" w:color="auto" w:fill="C6D9F1"/>
        <w:spacing w:after="100"/>
        <w:rPr>
          <w:rFonts w:ascii="Tahoma" w:hAnsi="Tahoma" w:cs="Tahoma"/>
          <w:lang w:val="en-AU"/>
        </w:rPr>
      </w:pPr>
      <w:r w:rsidRPr="00D733EB">
        <w:rPr>
          <w:rFonts w:ascii="Tahoma" w:hAnsi="Tahoma" w:cs="Tahoma"/>
          <w:lang w:val="en-AU"/>
        </w:rPr>
        <w:t>As the proposed Regulations deal with what information councils report publicly, compliance will be readily observable by LGV and the public generally. The Auditor-General will also report on compliance in relation to the audited components of the performance reporting framework.</w:t>
      </w:r>
    </w:p>
    <w:p w:rsidR="003757B3" w:rsidRPr="00E84DC2" w:rsidRDefault="003757B3" w:rsidP="00BE37E6">
      <w:pPr>
        <w:pBdr>
          <w:top w:val="single" w:sz="4" w:space="1" w:color="auto"/>
          <w:left w:val="single" w:sz="4" w:space="4" w:color="auto"/>
          <w:bottom w:val="single" w:sz="4" w:space="1" w:color="auto"/>
          <w:right w:val="single" w:sz="4" w:space="4" w:color="auto"/>
        </w:pBdr>
        <w:shd w:val="clear" w:color="auto" w:fill="C6D9F1"/>
        <w:spacing w:after="100"/>
        <w:rPr>
          <w:rFonts w:ascii="Tahoma" w:eastAsia="Calibri" w:hAnsi="Tahoma" w:cs="Tahoma"/>
          <w:sz w:val="6"/>
          <w:szCs w:val="6"/>
          <w:lang w:val="en-AU"/>
        </w:rPr>
      </w:pPr>
    </w:p>
    <w:p w:rsidR="00C8259C" w:rsidRPr="00E84DC2" w:rsidRDefault="00D733EB" w:rsidP="00E84CE8">
      <w:pPr>
        <w:pStyle w:val="Heading2"/>
      </w:pPr>
      <w:bookmarkStart w:id="25" w:name="_Toc379878669"/>
      <w:r w:rsidRPr="00D733EB">
        <w:t>Implementation</w:t>
      </w:r>
      <w:bookmarkEnd w:id="25"/>
    </w:p>
    <w:p w:rsidR="00BE37E6" w:rsidRPr="00E84DC2" w:rsidRDefault="00BE37E6" w:rsidP="00BE37E6">
      <w:pPr>
        <w:rPr>
          <w:rFonts w:ascii="Tahoma" w:hAnsi="Tahoma" w:cs="Tahoma"/>
          <w:lang w:val="en-AU"/>
        </w:rPr>
      </w:pPr>
    </w:p>
    <w:p w:rsidR="00B253CD" w:rsidRPr="00E84DC2" w:rsidRDefault="00D733EB" w:rsidP="00B253CD">
      <w:pPr>
        <w:rPr>
          <w:rFonts w:ascii="Tahoma" w:eastAsia="Calibri" w:hAnsi="Tahoma" w:cs="Tahoma"/>
          <w:sz w:val="22"/>
          <w:szCs w:val="22"/>
          <w:lang w:val="en-AU"/>
        </w:rPr>
      </w:pPr>
      <w:r w:rsidRPr="00D733EB">
        <w:rPr>
          <w:rFonts w:ascii="Tahoma" w:eastAsia="Calibri" w:hAnsi="Tahoma" w:cs="Tahoma"/>
          <w:sz w:val="22"/>
          <w:szCs w:val="22"/>
          <w:lang w:val="en-AU"/>
        </w:rPr>
        <w:t xml:space="preserve">The Local Government Performance Reporting Framework (LGPRF) will be developed and implemented </w:t>
      </w:r>
      <w:r w:rsidR="006B0C1F">
        <w:rPr>
          <w:rFonts w:ascii="Tahoma" w:eastAsia="Calibri" w:hAnsi="Tahoma" w:cs="Tahoma"/>
          <w:sz w:val="22"/>
          <w:szCs w:val="22"/>
          <w:lang w:val="en-AU"/>
        </w:rPr>
        <w:t xml:space="preserve">by LGV </w:t>
      </w:r>
      <w:r w:rsidRPr="00D733EB">
        <w:rPr>
          <w:rFonts w:ascii="Tahoma" w:eastAsia="Calibri" w:hAnsi="Tahoma" w:cs="Tahoma"/>
          <w:sz w:val="22"/>
          <w:szCs w:val="22"/>
          <w:lang w:val="en-AU"/>
        </w:rPr>
        <w:t>in five stages over 2012-13 and 2013-14 in close collaboration with the local government sector and as shown in Figure 5A. The LGPRF will become mandatory for implementation by councils as part of the planning and reporting cycle in 2014-15.</w:t>
      </w:r>
    </w:p>
    <w:p w:rsidR="00A41120" w:rsidRPr="00E84DC2" w:rsidRDefault="00A41120" w:rsidP="00B253CD">
      <w:pPr>
        <w:rPr>
          <w:rFonts w:ascii="Tahoma" w:eastAsia="Calibri" w:hAnsi="Tahoma" w:cs="Tahoma"/>
          <w:sz w:val="22"/>
          <w:szCs w:val="22"/>
          <w:lang w:val="en-AU"/>
        </w:rPr>
      </w:pPr>
    </w:p>
    <w:p w:rsidR="00A41120" w:rsidRPr="00E84DC2" w:rsidRDefault="00D733EB" w:rsidP="00A41120">
      <w:pPr>
        <w:jc w:val="center"/>
        <w:rPr>
          <w:rFonts w:ascii="Tahoma" w:eastAsia="Calibri" w:hAnsi="Tahoma" w:cs="Tahoma"/>
          <w:b/>
          <w:sz w:val="22"/>
          <w:szCs w:val="22"/>
          <w:lang w:val="en-AU"/>
        </w:rPr>
      </w:pPr>
      <w:r w:rsidRPr="00D733EB">
        <w:rPr>
          <w:rFonts w:ascii="Tahoma" w:eastAsia="Calibri" w:hAnsi="Tahoma" w:cs="Tahoma"/>
          <w:b/>
          <w:sz w:val="22"/>
          <w:szCs w:val="22"/>
          <w:lang w:val="en-AU"/>
        </w:rPr>
        <w:t>Figure 5A</w:t>
      </w:r>
      <w:r w:rsidRPr="00D733EB">
        <w:rPr>
          <w:rFonts w:ascii="Tahoma" w:eastAsia="Calibri" w:hAnsi="Tahoma" w:cs="Tahoma"/>
          <w:b/>
          <w:sz w:val="22"/>
          <w:szCs w:val="22"/>
          <w:lang w:val="en-AU"/>
        </w:rPr>
        <w:br/>
        <w:t>Implementation of the Local Government Performance Reporting Framework</w:t>
      </w:r>
    </w:p>
    <w:p w:rsidR="0060160F" w:rsidRPr="00E84DC2" w:rsidRDefault="0060160F" w:rsidP="00A41120">
      <w:pPr>
        <w:jc w:val="center"/>
        <w:rPr>
          <w:rFonts w:ascii="Tahoma" w:eastAsia="Calibri" w:hAnsi="Tahoma" w:cs="Tahoma"/>
          <w:b/>
          <w:sz w:val="8"/>
          <w:szCs w:val="8"/>
          <w:lang w:val="en-AU"/>
        </w:rPr>
      </w:pPr>
    </w:p>
    <w:p w:rsidR="00B253CD" w:rsidRPr="00E84DC2" w:rsidRDefault="00512CA5" w:rsidP="00A41120">
      <w:pPr>
        <w:jc w:val="center"/>
        <w:rPr>
          <w:rFonts w:ascii="Tahoma" w:eastAsia="Calibri" w:hAnsi="Tahoma" w:cs="Tahoma"/>
          <w:sz w:val="22"/>
          <w:szCs w:val="22"/>
          <w:lang w:val="en-AU"/>
        </w:rPr>
      </w:pPr>
      <w:r>
        <w:rPr>
          <w:rFonts w:ascii="Tahoma" w:hAnsi="Tahoma" w:cs="Tahoma"/>
          <w:noProof/>
          <w:lang w:val="en-AU" w:eastAsia="en-AU"/>
        </w:rPr>
        <w:drawing>
          <wp:inline distT="0" distB="0" distL="0" distR="0">
            <wp:extent cx="3763433" cy="2200037"/>
            <wp:effectExtent l="0" t="0" r="0" b="1016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64139" cy="2200450"/>
                    </a:xfrm>
                    <a:prstGeom prst="rect">
                      <a:avLst/>
                    </a:prstGeom>
                    <a:noFill/>
                    <a:ln>
                      <a:noFill/>
                    </a:ln>
                  </pic:spPr>
                </pic:pic>
              </a:graphicData>
            </a:graphic>
          </wp:inline>
        </w:drawing>
      </w:r>
    </w:p>
    <w:p w:rsidR="0060160F" w:rsidRPr="00E84DC2" w:rsidRDefault="00D733EB" w:rsidP="00B07B57">
      <w:pPr>
        <w:rPr>
          <w:rFonts w:ascii="Tahoma" w:eastAsia="Calibri" w:hAnsi="Tahoma" w:cs="Tahoma"/>
          <w:sz w:val="22"/>
          <w:szCs w:val="22"/>
          <w:lang w:val="en-AU"/>
        </w:rPr>
      </w:pPr>
      <w:r w:rsidRPr="00D733EB">
        <w:rPr>
          <w:rFonts w:ascii="Tahoma" w:eastAsia="Calibri" w:hAnsi="Tahoma" w:cs="Tahoma"/>
          <w:sz w:val="22"/>
          <w:szCs w:val="22"/>
          <w:lang w:val="en-AU"/>
        </w:rPr>
        <w:t>The timelines are as follows:</w:t>
      </w:r>
    </w:p>
    <w:p w:rsidR="00370858" w:rsidRPr="00E84DC2" w:rsidRDefault="00D733EB">
      <w:pPr>
        <w:pStyle w:val="ListParagraph"/>
        <w:rPr>
          <w:rFonts w:ascii="Tahoma" w:hAnsi="Tahoma" w:cs="Tahoma"/>
        </w:rPr>
      </w:pPr>
      <w:r w:rsidRPr="00D733EB">
        <w:rPr>
          <w:rFonts w:ascii="Tahoma" w:hAnsi="Tahoma" w:cs="Tahoma"/>
        </w:rPr>
        <w:t>Stage 1: indicator development (October 12 - June 13)</w:t>
      </w:r>
    </w:p>
    <w:p w:rsidR="00370858" w:rsidRPr="00E84DC2" w:rsidRDefault="00D733EB">
      <w:pPr>
        <w:pStyle w:val="ListParagraph"/>
        <w:rPr>
          <w:rFonts w:ascii="Tahoma" w:hAnsi="Tahoma" w:cs="Tahoma"/>
        </w:rPr>
      </w:pPr>
      <w:r w:rsidRPr="00D733EB">
        <w:rPr>
          <w:rFonts w:ascii="Tahoma" w:hAnsi="Tahoma" w:cs="Tahoma"/>
        </w:rPr>
        <w:t>Stage 2: pilot program (July 13 - June 14)</w:t>
      </w:r>
    </w:p>
    <w:p w:rsidR="00370858" w:rsidRPr="00E84DC2" w:rsidRDefault="00D733EB">
      <w:pPr>
        <w:pStyle w:val="ListParagraph"/>
        <w:rPr>
          <w:rFonts w:ascii="Tahoma" w:hAnsi="Tahoma" w:cs="Tahoma"/>
        </w:rPr>
      </w:pPr>
      <w:r w:rsidRPr="00D733EB">
        <w:rPr>
          <w:rFonts w:ascii="Tahoma" w:hAnsi="Tahoma" w:cs="Tahoma"/>
        </w:rPr>
        <w:t>Stage 3: enabling legislation (July 13 - June 14 </w:t>
      </w:r>
    </w:p>
    <w:p w:rsidR="00370858" w:rsidRPr="00E84DC2" w:rsidRDefault="00D733EB">
      <w:pPr>
        <w:pStyle w:val="ListParagraph"/>
        <w:rPr>
          <w:rFonts w:ascii="Tahoma" w:hAnsi="Tahoma" w:cs="Tahoma"/>
        </w:rPr>
      </w:pPr>
      <w:r w:rsidRPr="00D733EB">
        <w:rPr>
          <w:rFonts w:ascii="Tahoma" w:hAnsi="Tahoma" w:cs="Tahoma"/>
        </w:rPr>
        <w:t>Stage 4: data collection (July 14 - June 15)</w:t>
      </w:r>
    </w:p>
    <w:p w:rsidR="00370858" w:rsidRPr="00E84DC2" w:rsidRDefault="00D733EB">
      <w:pPr>
        <w:pStyle w:val="ListParagraph"/>
        <w:rPr>
          <w:rFonts w:ascii="Tahoma" w:hAnsi="Tahoma" w:cs="Tahoma"/>
          <w:lang w:val="en-AU"/>
        </w:rPr>
      </w:pPr>
      <w:r w:rsidRPr="00D733EB">
        <w:rPr>
          <w:rFonts w:ascii="Tahoma" w:hAnsi="Tahoma" w:cs="Tahoma"/>
        </w:rPr>
        <w:t>Stage</w:t>
      </w:r>
      <w:r w:rsidRPr="00D733EB">
        <w:rPr>
          <w:rFonts w:ascii="Tahoma" w:hAnsi="Tahoma" w:cs="Tahoma"/>
          <w:lang w:val="en-AU"/>
        </w:rPr>
        <w:t xml:space="preserve"> 5: reporting (July 15 - September 15)</w:t>
      </w:r>
    </w:p>
    <w:p w:rsidR="00A41120" w:rsidRPr="00E84DC2" w:rsidRDefault="00A41120" w:rsidP="00A41120">
      <w:pPr>
        <w:rPr>
          <w:rFonts w:ascii="Tahoma" w:eastAsia="Calibri" w:hAnsi="Tahoma" w:cs="Tahoma"/>
          <w:sz w:val="22"/>
          <w:szCs w:val="22"/>
          <w:lang w:val="en-AU"/>
        </w:rPr>
      </w:pPr>
    </w:p>
    <w:p w:rsidR="00FB73BD" w:rsidRPr="00E84DC2" w:rsidRDefault="00D733EB" w:rsidP="0036499D">
      <w:pPr>
        <w:rPr>
          <w:rFonts w:ascii="Tahoma" w:eastAsia="Calibri" w:hAnsi="Tahoma" w:cs="Tahoma"/>
          <w:sz w:val="22"/>
          <w:szCs w:val="22"/>
          <w:lang w:val="en-AU"/>
        </w:rPr>
      </w:pPr>
      <w:r w:rsidRPr="00D733EB">
        <w:rPr>
          <w:rFonts w:ascii="Tahoma" w:eastAsia="Calibri" w:hAnsi="Tahoma" w:cs="Tahoma"/>
          <w:sz w:val="22"/>
          <w:szCs w:val="22"/>
          <w:lang w:val="en-AU"/>
        </w:rPr>
        <w:t>Stage one is now complete and the pilot program is nearing completion ahead of the full implementation. The pilot program has the following milestones:</w:t>
      </w:r>
    </w:p>
    <w:p w:rsidR="00370858" w:rsidRPr="00E84DC2" w:rsidRDefault="00D733EB">
      <w:pPr>
        <w:pStyle w:val="ListParagraph"/>
        <w:rPr>
          <w:rFonts w:ascii="Tahoma" w:hAnsi="Tahoma" w:cs="Tahoma"/>
        </w:rPr>
      </w:pPr>
      <w:r w:rsidRPr="00D733EB">
        <w:rPr>
          <w:rFonts w:ascii="Tahoma" w:hAnsi="Tahoma" w:cs="Tahoma"/>
        </w:rPr>
        <w:lastRenderedPageBreak/>
        <w:t>initial meeting to outline the pilot program approach and guidance material (July 2013)</w:t>
      </w:r>
    </w:p>
    <w:p w:rsidR="00370858" w:rsidRPr="00E84DC2" w:rsidRDefault="00D733EB">
      <w:pPr>
        <w:pStyle w:val="ListParagraph"/>
        <w:rPr>
          <w:rFonts w:ascii="Tahoma" w:hAnsi="Tahoma" w:cs="Tahoma"/>
        </w:rPr>
      </w:pPr>
      <w:r w:rsidRPr="00D733EB">
        <w:rPr>
          <w:rFonts w:ascii="Tahoma" w:hAnsi="Tahoma" w:cs="Tahoma"/>
        </w:rPr>
        <w:t>first report due to verify data collection and validate indicators and measures (October 2013)</w:t>
      </w:r>
    </w:p>
    <w:p w:rsidR="00370858" w:rsidRPr="00E84DC2" w:rsidRDefault="00D733EB">
      <w:pPr>
        <w:pStyle w:val="ListParagraph"/>
        <w:rPr>
          <w:rFonts w:ascii="Tahoma" w:hAnsi="Tahoma" w:cs="Tahoma"/>
        </w:rPr>
      </w:pPr>
      <w:r w:rsidRPr="00D733EB">
        <w:rPr>
          <w:rFonts w:ascii="Tahoma" w:hAnsi="Tahoma" w:cs="Tahoma"/>
        </w:rPr>
        <w:t>second report due to verify auditability of indicators and evaluate results (February 2014)</w:t>
      </w:r>
    </w:p>
    <w:p w:rsidR="00370858" w:rsidRPr="00E84DC2" w:rsidRDefault="00D733EB">
      <w:pPr>
        <w:pStyle w:val="ListParagraph"/>
        <w:rPr>
          <w:rFonts w:ascii="Tahoma" w:hAnsi="Tahoma" w:cs="Tahoma"/>
        </w:rPr>
      </w:pPr>
      <w:r w:rsidRPr="00D733EB">
        <w:rPr>
          <w:rFonts w:ascii="Tahoma" w:hAnsi="Tahoma" w:cs="Tahoma"/>
        </w:rPr>
        <w:t>finalise guidance material and framework (April 2014)</w:t>
      </w:r>
    </w:p>
    <w:p w:rsidR="00370858" w:rsidRPr="00E84DC2" w:rsidRDefault="00D733EB">
      <w:pPr>
        <w:pStyle w:val="ListParagraph"/>
        <w:rPr>
          <w:rFonts w:ascii="Tahoma" w:hAnsi="Tahoma" w:cs="Tahoma"/>
        </w:rPr>
      </w:pPr>
      <w:r w:rsidRPr="00D733EB">
        <w:rPr>
          <w:rFonts w:ascii="Tahoma" w:hAnsi="Tahoma" w:cs="Tahoma"/>
        </w:rPr>
        <w:t>provide comparative data to participating councils (June 2014).</w:t>
      </w:r>
    </w:p>
    <w:p w:rsidR="009C57F5" w:rsidRPr="00E84DC2" w:rsidRDefault="009C57F5" w:rsidP="009C57F5">
      <w:pPr>
        <w:rPr>
          <w:rFonts w:ascii="Tahoma" w:eastAsia="Calibri" w:hAnsi="Tahoma" w:cs="Tahoma"/>
          <w:sz w:val="22"/>
          <w:szCs w:val="22"/>
          <w:lang w:val="en-AU"/>
        </w:rPr>
      </w:pPr>
    </w:p>
    <w:p w:rsidR="00C3402D" w:rsidRPr="00E84DC2" w:rsidRDefault="00D733EB" w:rsidP="009C57F5">
      <w:pPr>
        <w:rPr>
          <w:rFonts w:ascii="Tahoma" w:eastAsia="Calibri" w:hAnsi="Tahoma" w:cs="Tahoma"/>
          <w:sz w:val="22"/>
          <w:szCs w:val="22"/>
          <w:lang w:val="en-AU"/>
        </w:rPr>
      </w:pPr>
      <w:r w:rsidRPr="00D733EB">
        <w:rPr>
          <w:rFonts w:ascii="Tahoma" w:eastAsia="Calibri" w:hAnsi="Tahoma" w:cs="Tahoma"/>
          <w:sz w:val="22"/>
          <w:szCs w:val="22"/>
          <w:lang w:val="en-AU"/>
        </w:rPr>
        <w:t>All of Victoria’s 79 councils are participating in the second reporting milestone with the objective of preparing their organisation for mandatory reporting in 2014-15 as well as providing final feedback and validation of the proposed indicators and measures.</w:t>
      </w:r>
    </w:p>
    <w:p w:rsidR="00C3402D" w:rsidRPr="00E84DC2" w:rsidRDefault="00C3402D" w:rsidP="009C57F5">
      <w:pPr>
        <w:rPr>
          <w:rFonts w:ascii="Tahoma" w:eastAsia="Calibri" w:hAnsi="Tahoma" w:cs="Tahoma"/>
          <w:sz w:val="22"/>
          <w:szCs w:val="22"/>
          <w:lang w:val="en-AU"/>
        </w:rPr>
      </w:pPr>
    </w:p>
    <w:p w:rsidR="00E50015" w:rsidRPr="00E84DC2" w:rsidRDefault="00D733EB" w:rsidP="009C57F5">
      <w:pPr>
        <w:rPr>
          <w:rFonts w:ascii="Tahoma" w:eastAsia="Calibri" w:hAnsi="Tahoma" w:cs="Tahoma"/>
          <w:sz w:val="22"/>
          <w:szCs w:val="22"/>
          <w:lang w:val="en-AU"/>
        </w:rPr>
      </w:pPr>
      <w:r w:rsidRPr="00D733EB">
        <w:rPr>
          <w:rFonts w:ascii="Tahoma" w:eastAsia="Calibri" w:hAnsi="Tahoma" w:cs="Tahoma"/>
          <w:sz w:val="22"/>
          <w:szCs w:val="22"/>
          <w:lang w:val="en-AU"/>
        </w:rPr>
        <w:t xml:space="preserve">LGV is confident that the extensive consultation undertaken (see Chapter 7 of this RIS) as part of the development of the LGPRF will ensure that all councils are well placed to implement the new requirements. </w:t>
      </w:r>
    </w:p>
    <w:p w:rsidR="00E50015" w:rsidRPr="00E84DC2" w:rsidRDefault="00E50015" w:rsidP="009C57F5">
      <w:pPr>
        <w:rPr>
          <w:rFonts w:ascii="Tahoma" w:eastAsia="Calibri" w:hAnsi="Tahoma" w:cs="Tahoma"/>
          <w:sz w:val="22"/>
          <w:szCs w:val="22"/>
          <w:lang w:val="en-AU"/>
        </w:rPr>
      </w:pPr>
    </w:p>
    <w:p w:rsidR="00C3402D" w:rsidRPr="00E84DC2" w:rsidRDefault="00D733EB" w:rsidP="009C57F5">
      <w:pPr>
        <w:rPr>
          <w:rFonts w:ascii="Tahoma" w:eastAsia="Calibri" w:hAnsi="Tahoma" w:cs="Tahoma"/>
          <w:sz w:val="22"/>
          <w:szCs w:val="22"/>
          <w:lang w:val="en-AU"/>
        </w:rPr>
      </w:pPr>
      <w:r w:rsidRPr="00D733EB">
        <w:rPr>
          <w:rFonts w:ascii="Tahoma" w:eastAsia="Calibri" w:hAnsi="Tahoma" w:cs="Tahoma"/>
          <w:sz w:val="22"/>
          <w:szCs w:val="22"/>
          <w:lang w:val="en-AU"/>
        </w:rPr>
        <w:t>A suite of guidance material, templates and fact sheets is currently being developed and/or updated to assist councils to implement the new planning and reporting requirements. These include the:</w:t>
      </w:r>
    </w:p>
    <w:p w:rsidR="00370858" w:rsidRPr="00E84DC2" w:rsidRDefault="00D733EB">
      <w:pPr>
        <w:pStyle w:val="ListParagraph"/>
        <w:rPr>
          <w:rFonts w:ascii="Tahoma" w:hAnsi="Tahoma" w:cs="Tahoma"/>
          <w:lang w:val="en-AU"/>
        </w:rPr>
      </w:pPr>
      <w:r w:rsidRPr="00D733EB">
        <w:rPr>
          <w:rFonts w:ascii="Tahoma" w:hAnsi="Tahoma" w:cs="Tahoma"/>
          <w:b/>
          <w:i/>
          <w:lang w:val="en-AU"/>
        </w:rPr>
        <w:t>LGPRF Indicator Workbook:</w:t>
      </w:r>
      <w:r w:rsidRPr="00D733EB">
        <w:rPr>
          <w:rFonts w:ascii="Tahoma" w:hAnsi="Tahoma" w:cs="Tahoma"/>
          <w:lang w:val="en-AU"/>
        </w:rPr>
        <w:t xml:space="preserve"> to support councils in their understanding and use of the indicators and measures</w:t>
      </w:r>
    </w:p>
    <w:p w:rsidR="00370858" w:rsidRPr="00E84DC2" w:rsidRDefault="00D733EB">
      <w:pPr>
        <w:pStyle w:val="ListParagraph"/>
        <w:rPr>
          <w:rFonts w:ascii="Tahoma" w:eastAsia="Calibri" w:hAnsi="Tahoma" w:cs="Tahoma"/>
          <w:lang w:val="en-AU"/>
        </w:rPr>
      </w:pPr>
      <w:r w:rsidRPr="00D733EB">
        <w:rPr>
          <w:rFonts w:ascii="Tahoma" w:eastAsia="Calibri" w:hAnsi="Tahoma" w:cs="Tahoma"/>
          <w:b/>
          <w:i/>
          <w:lang w:val="en-AU"/>
        </w:rPr>
        <w:t xml:space="preserve">Planning and Reporting Better Practice Guide: </w:t>
      </w:r>
      <w:r w:rsidRPr="00D733EB">
        <w:rPr>
          <w:rFonts w:ascii="Tahoma" w:eastAsia="Calibri" w:hAnsi="Tahoma" w:cs="Tahoma"/>
          <w:lang w:val="en-AU"/>
        </w:rPr>
        <w:t xml:space="preserve">to assist councils in meeting the planning and reporting obligations required by the Act and Regulations. </w:t>
      </w:r>
    </w:p>
    <w:p w:rsidR="00370858" w:rsidRPr="00E84DC2" w:rsidRDefault="00D733EB">
      <w:pPr>
        <w:pStyle w:val="ListParagraph"/>
        <w:rPr>
          <w:rFonts w:ascii="Tahoma" w:eastAsia="Calibri" w:hAnsi="Tahoma" w:cs="Tahoma"/>
          <w:i/>
          <w:lang w:val="en-AU"/>
        </w:rPr>
      </w:pPr>
      <w:r w:rsidRPr="00D733EB">
        <w:rPr>
          <w:rFonts w:ascii="Tahoma" w:eastAsia="Calibri" w:hAnsi="Tahoma" w:cs="Tahoma"/>
          <w:b/>
          <w:i/>
          <w:lang w:val="en-AU"/>
        </w:rPr>
        <w:t>Model Strategic Resource Plan and Better Practice Guide:</w:t>
      </w:r>
      <w:r w:rsidRPr="00D733EB">
        <w:rPr>
          <w:rFonts w:ascii="Tahoma" w:eastAsia="Calibri" w:hAnsi="Tahoma" w:cs="Tahoma"/>
          <w:i/>
          <w:lang w:val="en-AU"/>
        </w:rPr>
        <w:t xml:space="preserve"> </w:t>
      </w:r>
      <w:r w:rsidRPr="00D733EB">
        <w:rPr>
          <w:rFonts w:ascii="Tahoma" w:eastAsia="Calibri" w:hAnsi="Tahoma" w:cs="Tahoma"/>
          <w:lang w:val="en-AU"/>
        </w:rPr>
        <w:t>to provide guidance on the development of the 4-year strategic resource plan</w:t>
      </w:r>
    </w:p>
    <w:p w:rsidR="00370858" w:rsidRPr="00E84DC2" w:rsidRDefault="00D733EB">
      <w:pPr>
        <w:pStyle w:val="ListParagraph"/>
        <w:rPr>
          <w:rFonts w:ascii="Tahoma" w:eastAsia="Calibri" w:hAnsi="Tahoma" w:cs="Tahoma"/>
          <w:i/>
          <w:lang w:val="en-AU"/>
        </w:rPr>
      </w:pPr>
      <w:r w:rsidRPr="00D733EB">
        <w:rPr>
          <w:rFonts w:ascii="Tahoma" w:eastAsia="Calibri" w:hAnsi="Tahoma" w:cs="Tahoma"/>
          <w:b/>
          <w:i/>
          <w:lang w:val="en-AU"/>
        </w:rPr>
        <w:t>Model Financial Report:</w:t>
      </w:r>
      <w:r w:rsidRPr="00D733EB">
        <w:rPr>
          <w:rFonts w:ascii="Tahoma" w:eastAsia="Calibri" w:hAnsi="Tahoma" w:cs="Tahoma"/>
          <w:lang w:val="en-AU"/>
        </w:rPr>
        <w:t xml:space="preserve"> to provide guidance on the development of financial statements for the annual report in accordance with the Australian Accounting Standards and other relevant legislation </w:t>
      </w:r>
    </w:p>
    <w:p w:rsidR="00370858" w:rsidRPr="00E84DC2" w:rsidRDefault="00D733EB">
      <w:pPr>
        <w:pStyle w:val="ListParagraph"/>
        <w:rPr>
          <w:rFonts w:ascii="Tahoma" w:hAnsi="Tahoma" w:cs="Tahoma"/>
          <w:lang w:val="en-AU"/>
        </w:rPr>
      </w:pPr>
      <w:r w:rsidRPr="00D733EB">
        <w:rPr>
          <w:rFonts w:ascii="Tahoma" w:eastAsia="Calibri" w:hAnsi="Tahoma" w:cs="Tahoma"/>
          <w:b/>
          <w:i/>
          <w:lang w:val="en-AU"/>
        </w:rPr>
        <w:t xml:space="preserve">Model Performance Statement and Model Report of Operations: </w:t>
      </w:r>
      <w:r w:rsidRPr="00D733EB">
        <w:rPr>
          <w:rFonts w:ascii="Tahoma" w:eastAsia="Calibri" w:hAnsi="Tahoma" w:cs="Tahoma"/>
          <w:lang w:val="en-AU"/>
        </w:rPr>
        <w:t>to provide guidance on reporting against the LGPRF in councils’ annual report including better practice guidance on audit evidence.</w:t>
      </w:r>
    </w:p>
    <w:p w:rsidR="00E50015" w:rsidRPr="00E84DC2" w:rsidRDefault="00E50015" w:rsidP="00F40554">
      <w:pPr>
        <w:rPr>
          <w:rFonts w:ascii="Tahoma" w:eastAsia="Calibri" w:hAnsi="Tahoma" w:cs="Tahoma"/>
          <w:sz w:val="22"/>
          <w:szCs w:val="22"/>
          <w:lang w:val="en-AU"/>
        </w:rPr>
      </w:pPr>
    </w:p>
    <w:p w:rsidR="00807895" w:rsidRPr="00E84DC2" w:rsidRDefault="00D733EB" w:rsidP="00F40554">
      <w:pPr>
        <w:rPr>
          <w:rFonts w:ascii="Tahoma" w:eastAsia="Calibri" w:hAnsi="Tahoma" w:cs="Tahoma"/>
          <w:sz w:val="22"/>
          <w:szCs w:val="22"/>
          <w:lang w:val="en-AU"/>
        </w:rPr>
      </w:pPr>
      <w:r w:rsidRPr="00D733EB">
        <w:rPr>
          <w:rFonts w:ascii="Tahoma" w:eastAsia="Calibri" w:hAnsi="Tahoma" w:cs="Tahoma"/>
          <w:sz w:val="22"/>
          <w:szCs w:val="22"/>
          <w:lang w:val="en-AU"/>
        </w:rPr>
        <w:t xml:space="preserve">LGV will also provide input to the 2014 version of the </w:t>
      </w:r>
      <w:r w:rsidRPr="00D733EB">
        <w:rPr>
          <w:rFonts w:ascii="Tahoma" w:eastAsia="Calibri" w:hAnsi="Tahoma" w:cs="Tahoma"/>
          <w:i/>
          <w:sz w:val="22"/>
          <w:szCs w:val="22"/>
          <w:lang w:val="en-AU"/>
        </w:rPr>
        <w:t>Victorian City Council Model Budget</w:t>
      </w:r>
      <w:r w:rsidRPr="00D733EB">
        <w:rPr>
          <w:rFonts w:ascii="Tahoma" w:eastAsia="Calibri" w:hAnsi="Tahoma" w:cs="Tahoma"/>
          <w:sz w:val="22"/>
          <w:szCs w:val="22"/>
          <w:lang w:val="en-AU"/>
        </w:rPr>
        <w:t xml:space="preserve"> which is used by a majority of councils to develop their annual budget.</w:t>
      </w:r>
    </w:p>
    <w:p w:rsidR="00E50015" w:rsidRPr="00E84DC2" w:rsidRDefault="00E50015" w:rsidP="00F40554">
      <w:pPr>
        <w:rPr>
          <w:rFonts w:ascii="Tahoma" w:eastAsia="Calibri" w:hAnsi="Tahoma" w:cs="Tahoma"/>
          <w:sz w:val="22"/>
          <w:szCs w:val="22"/>
          <w:lang w:val="en-AU"/>
        </w:rPr>
      </w:pPr>
    </w:p>
    <w:p w:rsidR="00807895" w:rsidRPr="00E84DC2" w:rsidRDefault="00D733EB" w:rsidP="00F40554">
      <w:pPr>
        <w:rPr>
          <w:rFonts w:ascii="Tahoma" w:eastAsia="Calibri" w:hAnsi="Tahoma" w:cs="Tahoma"/>
          <w:sz w:val="22"/>
          <w:szCs w:val="22"/>
          <w:lang w:val="en-AU"/>
        </w:rPr>
      </w:pPr>
      <w:r w:rsidRPr="00D733EB">
        <w:rPr>
          <w:rFonts w:ascii="Tahoma" w:eastAsia="Calibri" w:hAnsi="Tahoma" w:cs="Tahoma"/>
          <w:sz w:val="22"/>
          <w:szCs w:val="22"/>
          <w:lang w:val="en-AU"/>
        </w:rPr>
        <w:t>LGV will continue to work in partnership with the sector to ensure key issues highlighted in the consultations along with specific guidance on the changes to the legislative framework are incorporated into new and existing guidance material.</w:t>
      </w:r>
    </w:p>
    <w:p w:rsidR="001D1E8B" w:rsidRPr="00E84DC2" w:rsidRDefault="001D1E8B" w:rsidP="00F40554">
      <w:pPr>
        <w:rPr>
          <w:rFonts w:ascii="Tahoma" w:eastAsia="Calibri" w:hAnsi="Tahoma" w:cs="Tahoma"/>
          <w:sz w:val="22"/>
          <w:szCs w:val="22"/>
          <w:lang w:val="en-AU"/>
        </w:rPr>
      </w:pPr>
    </w:p>
    <w:p w:rsidR="001D1E8B" w:rsidRDefault="00D733EB" w:rsidP="00F40554">
      <w:pPr>
        <w:rPr>
          <w:rFonts w:ascii="Tahoma" w:eastAsia="Calibri" w:hAnsi="Tahoma" w:cs="Tahoma"/>
          <w:sz w:val="22"/>
          <w:szCs w:val="22"/>
          <w:lang w:val="en-AU"/>
        </w:rPr>
      </w:pPr>
      <w:r w:rsidRPr="00D733EB">
        <w:rPr>
          <w:rFonts w:ascii="Tahoma" w:eastAsia="Calibri" w:hAnsi="Tahoma" w:cs="Tahoma"/>
          <w:sz w:val="22"/>
          <w:szCs w:val="22"/>
          <w:lang w:val="en-AU"/>
        </w:rPr>
        <w:t>An evaluation strategy is being developed as part of the overall planning and reporting framework, which will allow LGV to track progress and take any further actions to ensure the effectiveness and efficiency of the framework. The proposed Regulations will sunset after ten years, at which point a further impact assessment will be undertaken to determine whether the Regulations remain appropriate.</w:t>
      </w:r>
    </w:p>
    <w:p w:rsidR="007E24A7" w:rsidRPr="00E84DC2" w:rsidRDefault="007E24A7" w:rsidP="00F40554">
      <w:pPr>
        <w:rPr>
          <w:rFonts w:ascii="Tahoma" w:eastAsia="Calibri" w:hAnsi="Tahoma" w:cs="Tahoma"/>
          <w:sz w:val="22"/>
          <w:szCs w:val="22"/>
          <w:lang w:val="en-AU"/>
        </w:rPr>
      </w:pPr>
    </w:p>
    <w:p w:rsidR="00F40554" w:rsidRPr="00E84DC2" w:rsidRDefault="00D733EB" w:rsidP="00E84CE8">
      <w:pPr>
        <w:pStyle w:val="Heading2"/>
      </w:pPr>
      <w:bookmarkStart w:id="26" w:name="_Toc379878670"/>
      <w:r w:rsidRPr="00D733EB">
        <w:lastRenderedPageBreak/>
        <w:t>Enforcement</w:t>
      </w:r>
      <w:bookmarkEnd w:id="26"/>
    </w:p>
    <w:p w:rsidR="00F40554" w:rsidRPr="00E84DC2" w:rsidRDefault="00F40554" w:rsidP="00F40554">
      <w:pPr>
        <w:rPr>
          <w:rFonts w:ascii="Tahoma" w:eastAsia="Calibri" w:hAnsi="Tahoma" w:cs="Tahoma"/>
          <w:sz w:val="22"/>
          <w:szCs w:val="22"/>
          <w:lang w:val="en-AU"/>
        </w:rPr>
      </w:pPr>
    </w:p>
    <w:p w:rsidR="00F672BA" w:rsidRPr="00E84DC2" w:rsidRDefault="00DC14B1" w:rsidP="00F40554">
      <w:pPr>
        <w:rPr>
          <w:rFonts w:ascii="Tahoma" w:eastAsia="Times New Roman" w:hAnsi="Tahoma" w:cs="Tahoma"/>
          <w:sz w:val="22"/>
          <w:szCs w:val="22"/>
          <w:lang w:val="en-AU"/>
        </w:rPr>
      </w:pPr>
      <w:r w:rsidRPr="00E84DC2">
        <w:rPr>
          <w:rFonts w:ascii="Tahoma" w:eastAsia="Times New Roman" w:hAnsi="Tahoma" w:cs="Tahoma"/>
          <w:sz w:val="22"/>
          <w:szCs w:val="22"/>
          <w:lang w:val="en-AU"/>
        </w:rPr>
        <w:t>From financial year 2014-15 onwards, VAGO will issue an audit opinion that addresses the fair presentation, relevance and appropriateness of the performance indicators. Where this statement is not met, a qualified audit opinion ma</w:t>
      </w:r>
      <w:r w:rsidR="00D733EB" w:rsidRPr="00D733EB">
        <w:rPr>
          <w:rFonts w:ascii="Tahoma" w:eastAsia="Times New Roman" w:hAnsi="Tahoma" w:cs="Tahoma"/>
          <w:sz w:val="22"/>
          <w:szCs w:val="22"/>
          <w:lang w:val="en-AU"/>
        </w:rPr>
        <w:t>y be issued on the performance statement. LGV has continued to consult with VAGO to ensure that the performance indicators meet the test of relevance and appropriateness for audit purposes. This means that councils compliance with the audited elements of the Regulations will be detailed in each council’s annual report.</w:t>
      </w:r>
    </w:p>
    <w:p w:rsidR="006F6A4C" w:rsidRPr="00E84DC2" w:rsidRDefault="006F6A4C" w:rsidP="00F40554">
      <w:pPr>
        <w:rPr>
          <w:rFonts w:ascii="Tahoma" w:eastAsia="Times New Roman" w:hAnsi="Tahoma" w:cs="Tahoma"/>
          <w:sz w:val="22"/>
          <w:szCs w:val="22"/>
          <w:lang w:val="en-AU"/>
        </w:rPr>
      </w:pPr>
    </w:p>
    <w:p w:rsidR="006F6A4C" w:rsidRPr="00E84DC2" w:rsidRDefault="00D733EB" w:rsidP="00F40554">
      <w:pPr>
        <w:rPr>
          <w:rFonts w:ascii="Tahoma" w:eastAsia="Calibri" w:hAnsi="Tahoma" w:cs="Tahoma"/>
          <w:sz w:val="22"/>
          <w:szCs w:val="22"/>
          <w:lang w:val="en-GB" w:eastAsia="en-US"/>
        </w:rPr>
      </w:pPr>
      <w:r w:rsidRPr="00D733EB">
        <w:rPr>
          <w:rFonts w:ascii="Tahoma" w:eastAsia="Calibri" w:hAnsi="Tahoma" w:cs="Tahoma"/>
          <w:sz w:val="22"/>
          <w:szCs w:val="22"/>
          <w:lang w:val="en-GB" w:eastAsia="en-US"/>
        </w:rPr>
        <w:t xml:space="preserve">The Local Government Investigations and Compliance Inspectorate will also have a role in monitoring compliance with the </w:t>
      </w:r>
      <w:r w:rsidRPr="00D733EB">
        <w:rPr>
          <w:rFonts w:ascii="Tahoma" w:eastAsia="Calibri" w:hAnsi="Tahoma" w:cs="Tahoma"/>
          <w:i/>
          <w:sz w:val="22"/>
          <w:szCs w:val="22"/>
          <w:lang w:val="en-GB" w:eastAsia="en-US"/>
        </w:rPr>
        <w:t>Local Government Act 1989</w:t>
      </w:r>
      <w:r w:rsidRPr="00D733EB">
        <w:rPr>
          <w:rFonts w:ascii="Tahoma" w:eastAsia="Calibri" w:hAnsi="Tahoma" w:cs="Tahoma"/>
          <w:sz w:val="22"/>
          <w:szCs w:val="22"/>
          <w:lang w:val="en-GB" w:eastAsia="en-US"/>
        </w:rPr>
        <w:t xml:space="preserve"> and proposed Regulations in accordance with their compliance audit function.</w:t>
      </w:r>
    </w:p>
    <w:p w:rsidR="006F6A4C" w:rsidRPr="00E84DC2" w:rsidRDefault="006F6A4C" w:rsidP="00F40554">
      <w:pPr>
        <w:rPr>
          <w:rFonts w:ascii="Tahoma" w:eastAsia="Times New Roman" w:hAnsi="Tahoma" w:cs="Tahoma"/>
          <w:sz w:val="22"/>
          <w:szCs w:val="22"/>
          <w:lang w:val="en-AU"/>
        </w:rPr>
      </w:pPr>
    </w:p>
    <w:p w:rsidR="00D16DE5" w:rsidRPr="00E84DC2" w:rsidRDefault="00D733EB" w:rsidP="00F40554">
      <w:pPr>
        <w:rPr>
          <w:rFonts w:ascii="Tahoma" w:eastAsia="Times New Roman" w:hAnsi="Tahoma" w:cs="Tahoma"/>
          <w:sz w:val="22"/>
          <w:szCs w:val="22"/>
          <w:lang w:val="en-AU"/>
        </w:rPr>
      </w:pPr>
      <w:r w:rsidRPr="00D733EB">
        <w:rPr>
          <w:rFonts w:ascii="Tahoma" w:eastAsia="Times New Roman" w:hAnsi="Tahoma" w:cs="Tahoma"/>
          <w:sz w:val="22"/>
          <w:szCs w:val="22"/>
          <w:lang w:val="en-AU"/>
        </w:rPr>
        <w:t>For the non-audited reporting requirements, compliance will be monitored by LGV. LGV will then be able to work directly with councils to assist with compliance.</w:t>
      </w:r>
    </w:p>
    <w:p w:rsidR="00350D16" w:rsidRPr="00E84DC2" w:rsidRDefault="00350D16" w:rsidP="00F40554">
      <w:pPr>
        <w:rPr>
          <w:rFonts w:ascii="Tahoma" w:eastAsia="Times New Roman" w:hAnsi="Tahoma" w:cs="Tahoma"/>
          <w:sz w:val="22"/>
          <w:szCs w:val="22"/>
          <w:lang w:val="en-AU"/>
        </w:rPr>
      </w:pPr>
    </w:p>
    <w:p w:rsidR="00655EC9" w:rsidRPr="00E84DC2" w:rsidRDefault="00D733EB" w:rsidP="00FB73BD">
      <w:pPr>
        <w:rPr>
          <w:rFonts w:ascii="Tahoma" w:eastAsia="Times New Roman" w:hAnsi="Tahoma" w:cs="Tahoma"/>
          <w:sz w:val="22"/>
          <w:szCs w:val="22"/>
          <w:lang w:val="en-AU"/>
        </w:rPr>
      </w:pPr>
      <w:r w:rsidRPr="00D733EB">
        <w:rPr>
          <w:rFonts w:ascii="Tahoma" w:eastAsia="Times New Roman" w:hAnsi="Tahoma" w:cs="Tahoma"/>
          <w:sz w:val="22"/>
          <w:szCs w:val="22"/>
          <w:lang w:val="en-AU"/>
        </w:rPr>
        <w:t>All elements of the proposed Regulations relate to public reporting, and as such, there is expected to be additional scrutiny from the public where relevant information is not reported.</w:t>
      </w:r>
    </w:p>
    <w:p w:rsidR="006F6A4C" w:rsidRPr="00E84DC2" w:rsidRDefault="006F6A4C" w:rsidP="00FB73BD">
      <w:pPr>
        <w:rPr>
          <w:rFonts w:ascii="Tahoma" w:eastAsia="Times New Roman" w:hAnsi="Tahoma" w:cs="Tahoma"/>
          <w:sz w:val="22"/>
          <w:szCs w:val="22"/>
          <w:lang w:val="en-AU"/>
        </w:rPr>
      </w:pPr>
    </w:p>
    <w:p w:rsidR="00A07CB3" w:rsidRPr="00E84DC2" w:rsidRDefault="00A07CB3" w:rsidP="00A07CB3">
      <w:pPr>
        <w:rPr>
          <w:rFonts w:ascii="Tahoma" w:hAnsi="Tahoma" w:cs="Tahoma"/>
          <w:lang w:val="en-AU"/>
        </w:rPr>
      </w:pPr>
    </w:p>
    <w:p w:rsidR="00512CA5" w:rsidRDefault="00512CA5" w:rsidP="00E84CE8">
      <w:pPr>
        <w:pStyle w:val="Heading1"/>
        <w:sectPr w:rsidR="00512CA5" w:rsidSect="00BB4E63">
          <w:headerReference w:type="default" r:id="rId31"/>
          <w:pgSz w:w="11900" w:h="16840"/>
          <w:pgMar w:top="1440" w:right="1800" w:bottom="1440" w:left="1800" w:header="708" w:footer="708" w:gutter="0"/>
          <w:cols w:space="708"/>
          <w:titlePg/>
          <w:docGrid w:linePitch="360"/>
        </w:sectPr>
      </w:pPr>
    </w:p>
    <w:p w:rsidR="00AC3CBA" w:rsidRDefault="00D733EB">
      <w:pPr>
        <w:pStyle w:val="Heading1"/>
      </w:pPr>
      <w:bookmarkStart w:id="27" w:name="_Toc379878671"/>
      <w:r w:rsidRPr="00D733EB">
        <w:lastRenderedPageBreak/>
        <w:t>IMPACTS ON COMPETITION</w:t>
      </w:r>
      <w:bookmarkEnd w:id="27"/>
    </w:p>
    <w:p w:rsidR="00B43FC9" w:rsidRPr="00E84DC2" w:rsidRDefault="00B43FC9" w:rsidP="00B43FC9">
      <w:pPr>
        <w:rPr>
          <w:rFonts w:ascii="Tahoma" w:eastAsia="Calibri" w:hAnsi="Tahoma" w:cs="Tahoma"/>
          <w:sz w:val="22"/>
          <w:szCs w:val="22"/>
          <w:lang w:val="en-AU"/>
        </w:rPr>
      </w:pPr>
    </w:p>
    <w:p w:rsidR="001D576F" w:rsidRPr="00E84DC2" w:rsidRDefault="00D733EB" w:rsidP="00B43FC9">
      <w:pPr>
        <w:rPr>
          <w:rFonts w:ascii="Tahoma" w:eastAsia="Times New Roman" w:hAnsi="Tahoma" w:cs="Tahoma"/>
          <w:sz w:val="22"/>
          <w:szCs w:val="22"/>
          <w:lang w:val="en-AU"/>
        </w:rPr>
      </w:pPr>
      <w:r w:rsidRPr="00D733EB">
        <w:rPr>
          <w:rFonts w:ascii="Tahoma" w:eastAsia="Times New Roman" w:hAnsi="Tahoma" w:cs="Tahoma"/>
          <w:sz w:val="22"/>
          <w:szCs w:val="22"/>
          <w:lang w:val="en-AU"/>
        </w:rPr>
        <w:t>This section of the RIS discusses the impact of the proposed Regulations on competition. A measure is likely to have an impact on competition if any of the questions in Figure 6A can be answered in the affirmative.</w:t>
      </w:r>
    </w:p>
    <w:p w:rsidR="000A32B0" w:rsidRPr="00E84DC2" w:rsidRDefault="000A32B0" w:rsidP="00B43FC9">
      <w:pPr>
        <w:rPr>
          <w:rFonts w:ascii="Tahoma" w:eastAsia="Times New Roman" w:hAnsi="Tahoma" w:cs="Tahoma"/>
          <w:sz w:val="22"/>
          <w:szCs w:val="22"/>
          <w:lang w:val="en-AU"/>
        </w:rPr>
      </w:pPr>
    </w:p>
    <w:p w:rsidR="000A32B0" w:rsidRPr="00E84DC2" w:rsidRDefault="00D733EB" w:rsidP="000A32B0">
      <w:pPr>
        <w:jc w:val="center"/>
        <w:rPr>
          <w:rFonts w:ascii="Tahoma" w:eastAsia="Times New Roman" w:hAnsi="Tahoma" w:cs="Tahoma"/>
          <w:b/>
          <w:sz w:val="22"/>
          <w:szCs w:val="22"/>
          <w:lang w:val="en-AU"/>
        </w:rPr>
      </w:pPr>
      <w:r w:rsidRPr="00D733EB">
        <w:rPr>
          <w:rFonts w:ascii="Tahoma" w:eastAsia="Times New Roman" w:hAnsi="Tahoma" w:cs="Tahoma"/>
          <w:b/>
          <w:sz w:val="22"/>
          <w:szCs w:val="22"/>
          <w:lang w:val="en-AU"/>
        </w:rPr>
        <w:t>Figure 6A</w:t>
      </w:r>
      <w:r w:rsidRPr="00D733EB">
        <w:rPr>
          <w:rFonts w:ascii="Tahoma" w:eastAsia="Times New Roman" w:hAnsi="Tahoma" w:cs="Tahoma"/>
          <w:b/>
          <w:sz w:val="22"/>
          <w:szCs w:val="22"/>
          <w:lang w:val="en-AU"/>
        </w:rPr>
        <w:br/>
        <w:t>Competition questions</w:t>
      </w:r>
    </w:p>
    <w:p w:rsidR="001D576F" w:rsidRPr="00E84DC2" w:rsidRDefault="001D576F" w:rsidP="00B43FC9">
      <w:pPr>
        <w:rPr>
          <w:rFonts w:ascii="Tahoma" w:eastAsia="Calibri" w:hAnsi="Tahoma" w:cs="Tahoma"/>
          <w:sz w:val="8"/>
          <w:szCs w:val="8"/>
          <w:lang w:val="en-AU"/>
        </w:rPr>
      </w:pPr>
    </w:p>
    <w:tbl>
      <w:tblPr>
        <w:tblStyle w:val="LightList-Accent11"/>
        <w:tblW w:w="0" w:type="auto"/>
        <w:tblLook w:val="04A0" w:firstRow="1" w:lastRow="0" w:firstColumn="1" w:lastColumn="0" w:noHBand="0" w:noVBand="1"/>
      </w:tblPr>
      <w:tblGrid>
        <w:gridCol w:w="6062"/>
        <w:gridCol w:w="2454"/>
      </w:tblGrid>
      <w:tr w:rsidR="001D576F" w:rsidRPr="00E84DC2" w:rsidTr="000A32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2" w:type="dxa"/>
          </w:tcPr>
          <w:p w:rsidR="001D576F" w:rsidRPr="00E84DC2" w:rsidRDefault="00D733EB" w:rsidP="00B43FC9">
            <w:pPr>
              <w:rPr>
                <w:rFonts w:ascii="Tahoma" w:eastAsia="Calibri" w:hAnsi="Tahoma" w:cs="Tahoma"/>
                <w:color w:val="auto"/>
                <w:sz w:val="20"/>
                <w:szCs w:val="20"/>
                <w:lang w:val="en-AU"/>
              </w:rPr>
            </w:pPr>
            <w:r w:rsidRPr="00D733EB">
              <w:rPr>
                <w:rFonts w:ascii="Tahoma" w:eastAsia="Calibri" w:hAnsi="Tahoma" w:cs="Tahoma"/>
                <w:sz w:val="20"/>
                <w:szCs w:val="20"/>
                <w:lang w:val="en-AU"/>
              </w:rPr>
              <w:t>Test question</w:t>
            </w:r>
          </w:p>
        </w:tc>
        <w:tc>
          <w:tcPr>
            <w:tcW w:w="2454" w:type="dxa"/>
          </w:tcPr>
          <w:p w:rsidR="001D576F" w:rsidRPr="00E84DC2" w:rsidRDefault="00D733EB" w:rsidP="005E7F80">
            <w:pPr>
              <w:jc w:val="center"/>
              <w:cnfStyle w:val="100000000000" w:firstRow="1" w:lastRow="0" w:firstColumn="0" w:lastColumn="0" w:oddVBand="0" w:evenVBand="0" w:oddHBand="0" w:evenHBand="0" w:firstRowFirstColumn="0" w:firstRowLastColumn="0" w:lastRowFirstColumn="0" w:lastRowLastColumn="0"/>
              <w:rPr>
                <w:rFonts w:ascii="Tahoma" w:eastAsia="Calibri" w:hAnsi="Tahoma" w:cs="Tahoma"/>
                <w:color w:val="auto"/>
                <w:sz w:val="20"/>
                <w:szCs w:val="20"/>
                <w:lang w:val="en-AU"/>
              </w:rPr>
            </w:pPr>
            <w:r w:rsidRPr="00D733EB">
              <w:rPr>
                <w:rFonts w:ascii="Tahoma" w:eastAsia="Calibri" w:hAnsi="Tahoma" w:cs="Tahoma"/>
                <w:sz w:val="20"/>
                <w:szCs w:val="20"/>
                <w:lang w:val="en-AU"/>
              </w:rPr>
              <w:t>Assessment</w:t>
            </w:r>
          </w:p>
        </w:tc>
      </w:tr>
      <w:tr w:rsidR="001D576F" w:rsidRPr="00E84DC2" w:rsidTr="000A3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2" w:type="dxa"/>
          </w:tcPr>
          <w:p w:rsidR="001D576F" w:rsidRPr="00E84DC2" w:rsidRDefault="00D733EB" w:rsidP="004E2EA0">
            <w:pPr>
              <w:spacing w:before="40" w:after="60"/>
              <w:rPr>
                <w:rFonts w:ascii="Tahoma" w:eastAsia="Times New Roman" w:hAnsi="Tahoma" w:cs="Tahoma"/>
                <w:b w:val="0"/>
                <w:sz w:val="20"/>
                <w:szCs w:val="20"/>
                <w:lang w:val="en-AU"/>
              </w:rPr>
            </w:pPr>
            <w:r w:rsidRPr="00D733EB">
              <w:rPr>
                <w:rFonts w:ascii="Tahoma" w:eastAsia="Times New Roman" w:hAnsi="Tahoma" w:cs="Tahoma"/>
                <w:sz w:val="20"/>
                <w:szCs w:val="20"/>
                <w:lang w:val="en-AU"/>
              </w:rPr>
              <w:t xml:space="preserve">Is the proposed measure likely to affect the market structure of the affected sector(s) – i.e. will it reduce the number of participants in the market, or increase the size of incumbent firms? </w:t>
            </w:r>
          </w:p>
        </w:tc>
        <w:tc>
          <w:tcPr>
            <w:tcW w:w="2454" w:type="dxa"/>
          </w:tcPr>
          <w:p w:rsidR="001D576F" w:rsidRPr="00E84DC2" w:rsidRDefault="00D733EB" w:rsidP="005E7F80">
            <w:pPr>
              <w:spacing w:before="40" w:after="60"/>
              <w:jc w:val="center"/>
              <w:cnfStyle w:val="000000100000" w:firstRow="0" w:lastRow="0" w:firstColumn="0" w:lastColumn="0" w:oddVBand="0" w:evenVBand="0" w:oddHBand="1" w:evenHBand="0" w:firstRowFirstColumn="0" w:firstRowLastColumn="0" w:lastRowFirstColumn="0" w:lastRowLastColumn="0"/>
              <w:rPr>
                <w:rFonts w:ascii="Tahoma" w:eastAsia="Calibri" w:hAnsi="Tahoma" w:cs="Tahoma"/>
                <w:sz w:val="20"/>
                <w:szCs w:val="20"/>
                <w:lang w:val="en-AU"/>
              </w:rPr>
            </w:pPr>
            <w:r w:rsidRPr="00D733EB">
              <w:rPr>
                <w:rFonts w:ascii="Tahoma" w:eastAsia="Calibri" w:hAnsi="Tahoma" w:cs="Tahoma"/>
                <w:sz w:val="20"/>
                <w:szCs w:val="20"/>
                <w:lang w:val="en-AU"/>
              </w:rPr>
              <w:t>No</w:t>
            </w:r>
          </w:p>
        </w:tc>
      </w:tr>
      <w:tr w:rsidR="001D576F" w:rsidRPr="00E84DC2" w:rsidTr="000A32B0">
        <w:tc>
          <w:tcPr>
            <w:cnfStyle w:val="001000000000" w:firstRow="0" w:lastRow="0" w:firstColumn="1" w:lastColumn="0" w:oddVBand="0" w:evenVBand="0" w:oddHBand="0" w:evenHBand="0" w:firstRowFirstColumn="0" w:firstRowLastColumn="0" w:lastRowFirstColumn="0" w:lastRowLastColumn="0"/>
            <w:tcW w:w="6062" w:type="dxa"/>
          </w:tcPr>
          <w:p w:rsidR="001D576F" w:rsidRPr="00E84DC2" w:rsidRDefault="00D733EB" w:rsidP="004E2EA0">
            <w:pPr>
              <w:spacing w:before="40" w:after="60"/>
              <w:rPr>
                <w:rFonts w:ascii="Tahoma" w:eastAsia="Times New Roman" w:hAnsi="Tahoma" w:cs="Tahoma"/>
                <w:b w:val="0"/>
                <w:sz w:val="20"/>
                <w:szCs w:val="20"/>
                <w:lang w:val="en-AU"/>
              </w:rPr>
            </w:pPr>
            <w:r w:rsidRPr="00D733EB">
              <w:rPr>
                <w:rFonts w:ascii="Tahoma" w:eastAsia="Times New Roman" w:hAnsi="Tahoma" w:cs="Tahoma"/>
                <w:sz w:val="20"/>
                <w:szCs w:val="20"/>
                <w:lang w:val="en-AU"/>
              </w:rPr>
              <w:t>Will it be more difficult for new firms or individuals to enter the industry after the imposition of the proposed measure?</w:t>
            </w:r>
          </w:p>
        </w:tc>
        <w:tc>
          <w:tcPr>
            <w:tcW w:w="2454" w:type="dxa"/>
          </w:tcPr>
          <w:p w:rsidR="001D576F" w:rsidRPr="00E84DC2" w:rsidRDefault="00D733EB" w:rsidP="005E7F80">
            <w:pPr>
              <w:spacing w:before="40" w:after="60"/>
              <w:jc w:val="center"/>
              <w:cnfStyle w:val="000000000000" w:firstRow="0" w:lastRow="0" w:firstColumn="0" w:lastColumn="0" w:oddVBand="0" w:evenVBand="0" w:oddHBand="0" w:evenHBand="0" w:firstRowFirstColumn="0" w:firstRowLastColumn="0" w:lastRowFirstColumn="0" w:lastRowLastColumn="0"/>
              <w:rPr>
                <w:rFonts w:ascii="Tahoma" w:eastAsia="Calibri" w:hAnsi="Tahoma" w:cs="Tahoma"/>
                <w:sz w:val="20"/>
                <w:szCs w:val="20"/>
                <w:lang w:val="en-AU"/>
              </w:rPr>
            </w:pPr>
            <w:r w:rsidRPr="00D733EB">
              <w:rPr>
                <w:rFonts w:ascii="Tahoma" w:eastAsia="Calibri" w:hAnsi="Tahoma" w:cs="Tahoma"/>
                <w:sz w:val="20"/>
                <w:szCs w:val="20"/>
                <w:lang w:val="en-AU"/>
              </w:rPr>
              <w:t>No</w:t>
            </w:r>
          </w:p>
        </w:tc>
      </w:tr>
      <w:tr w:rsidR="001D576F" w:rsidRPr="00E84DC2" w:rsidTr="000A3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2" w:type="dxa"/>
          </w:tcPr>
          <w:p w:rsidR="001D576F" w:rsidRPr="00E84DC2" w:rsidRDefault="00D733EB" w:rsidP="004E2EA0">
            <w:pPr>
              <w:spacing w:before="40" w:after="60"/>
              <w:rPr>
                <w:rFonts w:ascii="Tahoma" w:eastAsia="Times New Roman" w:hAnsi="Tahoma" w:cs="Tahoma"/>
                <w:b w:val="0"/>
                <w:sz w:val="20"/>
                <w:szCs w:val="20"/>
                <w:lang w:val="en-AU"/>
              </w:rPr>
            </w:pPr>
            <w:r w:rsidRPr="00D733EB">
              <w:rPr>
                <w:rFonts w:ascii="Tahoma" w:eastAsia="Times New Roman" w:hAnsi="Tahoma" w:cs="Tahoma"/>
                <w:sz w:val="20"/>
                <w:szCs w:val="20"/>
                <w:lang w:val="en-AU"/>
              </w:rPr>
              <w:t>Will the costs/benefits associated with the proposed measure affect some firms or individuals substantially more than others (e.g. small firms, part-time participants in occupations etc)?</w:t>
            </w:r>
          </w:p>
        </w:tc>
        <w:tc>
          <w:tcPr>
            <w:tcW w:w="2454" w:type="dxa"/>
          </w:tcPr>
          <w:p w:rsidR="001D576F" w:rsidRPr="00E84DC2" w:rsidRDefault="00D733EB" w:rsidP="005E7F80">
            <w:pPr>
              <w:spacing w:before="40" w:after="60"/>
              <w:jc w:val="center"/>
              <w:cnfStyle w:val="000000100000" w:firstRow="0" w:lastRow="0" w:firstColumn="0" w:lastColumn="0" w:oddVBand="0" w:evenVBand="0" w:oddHBand="1" w:evenHBand="0" w:firstRowFirstColumn="0" w:firstRowLastColumn="0" w:lastRowFirstColumn="0" w:lastRowLastColumn="0"/>
              <w:rPr>
                <w:rFonts w:ascii="Tahoma" w:eastAsia="Calibri" w:hAnsi="Tahoma" w:cs="Tahoma"/>
                <w:sz w:val="20"/>
                <w:szCs w:val="20"/>
                <w:lang w:val="en-AU"/>
              </w:rPr>
            </w:pPr>
            <w:r w:rsidRPr="00D733EB">
              <w:rPr>
                <w:rFonts w:ascii="Tahoma" w:eastAsia="Calibri" w:hAnsi="Tahoma" w:cs="Tahoma"/>
                <w:sz w:val="20"/>
                <w:szCs w:val="20"/>
                <w:lang w:val="en-AU"/>
              </w:rPr>
              <w:t>No</w:t>
            </w:r>
          </w:p>
        </w:tc>
      </w:tr>
      <w:tr w:rsidR="001D576F" w:rsidRPr="00E84DC2" w:rsidTr="000A32B0">
        <w:tc>
          <w:tcPr>
            <w:cnfStyle w:val="001000000000" w:firstRow="0" w:lastRow="0" w:firstColumn="1" w:lastColumn="0" w:oddVBand="0" w:evenVBand="0" w:oddHBand="0" w:evenHBand="0" w:firstRowFirstColumn="0" w:firstRowLastColumn="0" w:lastRowFirstColumn="0" w:lastRowLastColumn="0"/>
            <w:tcW w:w="6062" w:type="dxa"/>
          </w:tcPr>
          <w:p w:rsidR="001D576F" w:rsidRPr="00E84DC2" w:rsidRDefault="00D733EB" w:rsidP="004E2EA0">
            <w:pPr>
              <w:spacing w:before="40" w:after="60"/>
              <w:rPr>
                <w:rFonts w:ascii="Tahoma" w:eastAsia="Times New Roman" w:hAnsi="Tahoma" w:cs="Tahoma"/>
                <w:b w:val="0"/>
                <w:sz w:val="20"/>
                <w:szCs w:val="20"/>
                <w:lang w:val="en-AU"/>
              </w:rPr>
            </w:pPr>
            <w:r w:rsidRPr="00D733EB">
              <w:rPr>
                <w:rFonts w:ascii="Tahoma" w:eastAsia="Times New Roman" w:hAnsi="Tahoma" w:cs="Tahoma"/>
                <w:sz w:val="20"/>
                <w:szCs w:val="20"/>
                <w:lang w:val="en-AU"/>
              </w:rPr>
              <w:t>Will the proposed measure restrict the ability of businesses to choose the price, quality, range or location of their products?</w:t>
            </w:r>
          </w:p>
        </w:tc>
        <w:tc>
          <w:tcPr>
            <w:tcW w:w="2454" w:type="dxa"/>
          </w:tcPr>
          <w:p w:rsidR="001D576F" w:rsidRPr="00E84DC2" w:rsidRDefault="00D733EB" w:rsidP="005E7F80">
            <w:pPr>
              <w:spacing w:before="40" w:after="60"/>
              <w:jc w:val="center"/>
              <w:cnfStyle w:val="000000000000" w:firstRow="0" w:lastRow="0" w:firstColumn="0" w:lastColumn="0" w:oddVBand="0" w:evenVBand="0" w:oddHBand="0" w:evenHBand="0" w:firstRowFirstColumn="0" w:firstRowLastColumn="0" w:lastRowFirstColumn="0" w:lastRowLastColumn="0"/>
              <w:rPr>
                <w:rFonts w:ascii="Tahoma" w:eastAsia="Calibri" w:hAnsi="Tahoma" w:cs="Tahoma"/>
                <w:sz w:val="20"/>
                <w:szCs w:val="20"/>
                <w:lang w:val="en-AU"/>
              </w:rPr>
            </w:pPr>
            <w:r w:rsidRPr="00D733EB">
              <w:rPr>
                <w:rFonts w:ascii="Tahoma" w:eastAsia="Calibri" w:hAnsi="Tahoma" w:cs="Tahoma"/>
                <w:sz w:val="20"/>
                <w:szCs w:val="20"/>
                <w:lang w:val="en-AU"/>
              </w:rPr>
              <w:t>No</w:t>
            </w:r>
          </w:p>
        </w:tc>
      </w:tr>
      <w:tr w:rsidR="001D576F" w:rsidRPr="00E84DC2" w:rsidTr="000A3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2" w:type="dxa"/>
          </w:tcPr>
          <w:p w:rsidR="001D576F" w:rsidRPr="00E84DC2" w:rsidRDefault="00D733EB" w:rsidP="004E2EA0">
            <w:pPr>
              <w:spacing w:before="40" w:after="60"/>
              <w:rPr>
                <w:rFonts w:ascii="Tahoma" w:eastAsia="Times New Roman" w:hAnsi="Tahoma" w:cs="Tahoma"/>
                <w:b w:val="0"/>
                <w:sz w:val="20"/>
                <w:szCs w:val="20"/>
                <w:lang w:val="en-AU"/>
              </w:rPr>
            </w:pPr>
            <w:r w:rsidRPr="00D733EB">
              <w:rPr>
                <w:rFonts w:ascii="Tahoma" w:eastAsia="Times New Roman" w:hAnsi="Tahoma" w:cs="Tahoma"/>
                <w:sz w:val="20"/>
                <w:szCs w:val="20"/>
                <w:lang w:val="en-AU"/>
              </w:rPr>
              <w:t>Will the proposed measure lead to higher ongoing costs for new entrants that existing firms do not have to meet?</w:t>
            </w:r>
          </w:p>
        </w:tc>
        <w:tc>
          <w:tcPr>
            <w:tcW w:w="2454" w:type="dxa"/>
          </w:tcPr>
          <w:p w:rsidR="001D576F" w:rsidRPr="00E84DC2" w:rsidRDefault="00D733EB" w:rsidP="005E7F80">
            <w:pPr>
              <w:spacing w:before="40" w:after="60"/>
              <w:jc w:val="center"/>
              <w:cnfStyle w:val="000000100000" w:firstRow="0" w:lastRow="0" w:firstColumn="0" w:lastColumn="0" w:oddVBand="0" w:evenVBand="0" w:oddHBand="1" w:evenHBand="0" w:firstRowFirstColumn="0" w:firstRowLastColumn="0" w:lastRowFirstColumn="0" w:lastRowLastColumn="0"/>
              <w:rPr>
                <w:rFonts w:ascii="Tahoma" w:eastAsia="Calibri" w:hAnsi="Tahoma" w:cs="Tahoma"/>
                <w:sz w:val="20"/>
                <w:szCs w:val="20"/>
                <w:lang w:val="en-AU"/>
              </w:rPr>
            </w:pPr>
            <w:r w:rsidRPr="00D733EB">
              <w:rPr>
                <w:rFonts w:ascii="Tahoma" w:eastAsia="Calibri" w:hAnsi="Tahoma" w:cs="Tahoma"/>
                <w:sz w:val="20"/>
                <w:szCs w:val="20"/>
                <w:lang w:val="en-AU"/>
              </w:rPr>
              <w:t>No</w:t>
            </w:r>
          </w:p>
        </w:tc>
      </w:tr>
      <w:tr w:rsidR="001D576F" w:rsidRPr="00E84DC2" w:rsidTr="000A32B0">
        <w:tc>
          <w:tcPr>
            <w:cnfStyle w:val="001000000000" w:firstRow="0" w:lastRow="0" w:firstColumn="1" w:lastColumn="0" w:oddVBand="0" w:evenVBand="0" w:oddHBand="0" w:evenHBand="0" w:firstRowFirstColumn="0" w:firstRowLastColumn="0" w:lastRowFirstColumn="0" w:lastRowLastColumn="0"/>
            <w:tcW w:w="6062" w:type="dxa"/>
          </w:tcPr>
          <w:p w:rsidR="001D576F" w:rsidRPr="00E84DC2" w:rsidRDefault="00D733EB" w:rsidP="004E2EA0">
            <w:pPr>
              <w:spacing w:before="40" w:after="60"/>
              <w:rPr>
                <w:rFonts w:ascii="Tahoma" w:eastAsia="Times New Roman" w:hAnsi="Tahoma" w:cs="Tahoma"/>
                <w:b w:val="0"/>
                <w:sz w:val="20"/>
                <w:szCs w:val="20"/>
                <w:lang w:val="en-AU"/>
              </w:rPr>
            </w:pPr>
            <w:r w:rsidRPr="00D733EB">
              <w:rPr>
                <w:rFonts w:ascii="Tahoma" w:eastAsia="Times New Roman" w:hAnsi="Tahoma" w:cs="Tahoma"/>
                <w:sz w:val="20"/>
                <w:szCs w:val="20"/>
                <w:lang w:val="en-AU"/>
              </w:rPr>
              <w:t>Is the ability or incentive to innovate or develop new products or services likely to be affected by the proposed measure?</w:t>
            </w:r>
          </w:p>
        </w:tc>
        <w:tc>
          <w:tcPr>
            <w:tcW w:w="2454" w:type="dxa"/>
          </w:tcPr>
          <w:p w:rsidR="001D576F" w:rsidRPr="00E84DC2" w:rsidRDefault="00D733EB" w:rsidP="005E7F80">
            <w:pPr>
              <w:spacing w:before="40" w:after="60"/>
              <w:jc w:val="center"/>
              <w:cnfStyle w:val="000000000000" w:firstRow="0" w:lastRow="0" w:firstColumn="0" w:lastColumn="0" w:oddVBand="0" w:evenVBand="0" w:oddHBand="0" w:evenHBand="0" w:firstRowFirstColumn="0" w:firstRowLastColumn="0" w:lastRowFirstColumn="0" w:lastRowLastColumn="0"/>
              <w:rPr>
                <w:rFonts w:ascii="Tahoma" w:eastAsia="Calibri" w:hAnsi="Tahoma" w:cs="Tahoma"/>
                <w:sz w:val="20"/>
                <w:szCs w:val="20"/>
                <w:lang w:val="en-AU"/>
              </w:rPr>
            </w:pPr>
            <w:r w:rsidRPr="00D733EB">
              <w:rPr>
                <w:rFonts w:ascii="Tahoma" w:eastAsia="Calibri" w:hAnsi="Tahoma" w:cs="Tahoma"/>
                <w:sz w:val="20"/>
                <w:szCs w:val="20"/>
                <w:lang w:val="en-AU"/>
              </w:rPr>
              <w:t>No</w:t>
            </w:r>
          </w:p>
        </w:tc>
      </w:tr>
    </w:tbl>
    <w:p w:rsidR="001D576F" w:rsidRPr="00E84DC2" w:rsidRDefault="001D576F" w:rsidP="00B43FC9">
      <w:pPr>
        <w:rPr>
          <w:rFonts w:ascii="Tahoma" w:eastAsia="Calibri" w:hAnsi="Tahoma" w:cs="Tahoma"/>
          <w:sz w:val="22"/>
          <w:szCs w:val="22"/>
          <w:lang w:val="en-AU"/>
        </w:rPr>
      </w:pPr>
    </w:p>
    <w:p w:rsidR="00BE37E6" w:rsidRPr="00E84DC2" w:rsidRDefault="00D733EB" w:rsidP="00B43FC9">
      <w:pPr>
        <w:rPr>
          <w:rFonts w:ascii="Tahoma" w:eastAsia="Calibri" w:hAnsi="Tahoma" w:cs="Tahoma"/>
          <w:sz w:val="22"/>
          <w:szCs w:val="22"/>
          <w:lang w:val="en-AU"/>
        </w:rPr>
      </w:pPr>
      <w:r w:rsidRPr="00D733EB">
        <w:rPr>
          <w:rFonts w:ascii="Tahoma" w:eastAsia="Calibri" w:hAnsi="Tahoma" w:cs="Tahoma"/>
          <w:sz w:val="22"/>
          <w:szCs w:val="22"/>
          <w:lang w:val="en-AU"/>
        </w:rPr>
        <w:t>As the proposed Regulations impact directly on councils, which are public authorities, they will not have any impact on market structures. Overall, the proposed Regulations are assessed as not restricting competition.</w:t>
      </w:r>
    </w:p>
    <w:p w:rsidR="00BE37E6" w:rsidRPr="00E84DC2" w:rsidRDefault="00BE37E6" w:rsidP="00B43FC9">
      <w:pPr>
        <w:rPr>
          <w:rFonts w:ascii="Tahoma" w:eastAsia="Calibri" w:hAnsi="Tahoma" w:cs="Tahoma"/>
          <w:sz w:val="22"/>
          <w:szCs w:val="22"/>
          <w:lang w:val="en-AU"/>
        </w:rPr>
      </w:pPr>
    </w:p>
    <w:p w:rsidR="004C2628" w:rsidRPr="00E84DC2" w:rsidRDefault="004C2628" w:rsidP="002D7AFA">
      <w:pPr>
        <w:ind w:left="720" w:hanging="360"/>
        <w:rPr>
          <w:rFonts w:ascii="Tahoma" w:hAnsi="Tahoma" w:cs="Tahoma"/>
          <w:lang w:val="en-AU"/>
        </w:rPr>
      </w:pPr>
    </w:p>
    <w:p w:rsidR="00F67D72" w:rsidRPr="00E84DC2" w:rsidRDefault="00F67D72" w:rsidP="00B43FC9">
      <w:pPr>
        <w:rPr>
          <w:rFonts w:ascii="Tahoma" w:eastAsia="Times New Roman" w:hAnsi="Tahoma" w:cs="Tahoma"/>
          <w:sz w:val="22"/>
          <w:szCs w:val="22"/>
          <w:lang w:val="en-AU"/>
        </w:rPr>
        <w:sectPr w:rsidR="00F67D72" w:rsidRPr="00E84DC2" w:rsidSect="00BB4E63">
          <w:headerReference w:type="default" r:id="rId32"/>
          <w:pgSz w:w="11900" w:h="16840"/>
          <w:pgMar w:top="1440" w:right="1800" w:bottom="1440" w:left="1800" w:header="708" w:footer="708" w:gutter="0"/>
          <w:cols w:space="708"/>
          <w:titlePg/>
          <w:docGrid w:linePitch="360"/>
        </w:sectPr>
      </w:pPr>
    </w:p>
    <w:p w:rsidR="00B43FC9" w:rsidRPr="00E84DC2" w:rsidRDefault="00D733EB" w:rsidP="00E84CE8">
      <w:pPr>
        <w:pStyle w:val="Heading1"/>
      </w:pPr>
      <w:bookmarkStart w:id="28" w:name="_Toc379878672"/>
      <w:r w:rsidRPr="00D733EB">
        <w:lastRenderedPageBreak/>
        <w:t>CONSULTATION</w:t>
      </w:r>
      <w:bookmarkEnd w:id="28"/>
    </w:p>
    <w:p w:rsidR="00B43FC9" w:rsidRPr="00E84DC2" w:rsidRDefault="00B43FC9" w:rsidP="00B43FC9">
      <w:pPr>
        <w:rPr>
          <w:rFonts w:ascii="Tahoma" w:eastAsia="Times New Roman" w:hAnsi="Tahoma" w:cs="Tahoma"/>
          <w:sz w:val="22"/>
          <w:szCs w:val="22"/>
          <w:lang w:val="en-AU"/>
        </w:rPr>
      </w:pPr>
    </w:p>
    <w:p w:rsidR="00E8235E" w:rsidRPr="00E84DC2" w:rsidRDefault="00D733EB" w:rsidP="00E8235E">
      <w:pPr>
        <w:pBdr>
          <w:top w:val="single" w:sz="4" w:space="1" w:color="auto"/>
          <w:left w:val="single" w:sz="4" w:space="4" w:color="auto"/>
          <w:bottom w:val="single" w:sz="4" w:space="1" w:color="auto"/>
          <w:right w:val="single" w:sz="4" w:space="4" w:color="auto"/>
        </w:pBdr>
        <w:shd w:val="clear" w:color="auto" w:fill="C6D9F1"/>
        <w:spacing w:after="100"/>
        <w:rPr>
          <w:rFonts w:ascii="Tahoma" w:eastAsia="Calibri" w:hAnsi="Tahoma" w:cs="Tahoma"/>
          <w:b/>
          <w:i/>
          <w:sz w:val="22"/>
          <w:szCs w:val="22"/>
          <w:lang w:val="en-AU"/>
        </w:rPr>
      </w:pPr>
      <w:r w:rsidRPr="00D733EB">
        <w:rPr>
          <w:rFonts w:ascii="Tahoma" w:eastAsia="Calibri" w:hAnsi="Tahoma" w:cs="Tahoma"/>
          <w:b/>
          <w:i/>
          <w:sz w:val="22"/>
          <w:szCs w:val="22"/>
          <w:lang w:val="en-AU"/>
        </w:rPr>
        <w:t>Key points</w:t>
      </w:r>
    </w:p>
    <w:p w:rsidR="00E8235E" w:rsidRPr="00E84DC2" w:rsidRDefault="00D733EB" w:rsidP="006F6A4C">
      <w:pPr>
        <w:pStyle w:val="ListParagraph"/>
        <w:numPr>
          <w:ilvl w:val="0"/>
          <w:numId w:val="29"/>
        </w:numPr>
        <w:pBdr>
          <w:top w:val="single" w:sz="4" w:space="1" w:color="auto"/>
          <w:left w:val="single" w:sz="4" w:space="4" w:color="auto"/>
          <w:bottom w:val="single" w:sz="4" w:space="1" w:color="auto"/>
          <w:right w:val="single" w:sz="4" w:space="4" w:color="auto"/>
        </w:pBdr>
        <w:shd w:val="clear" w:color="auto" w:fill="C6D9F1"/>
        <w:spacing w:after="100"/>
        <w:rPr>
          <w:rFonts w:ascii="Tahoma" w:hAnsi="Tahoma" w:cs="Tahoma"/>
          <w:lang w:val="en-AU"/>
        </w:rPr>
      </w:pPr>
      <w:r w:rsidRPr="00D733EB">
        <w:rPr>
          <w:rFonts w:ascii="Tahoma" w:hAnsi="Tahoma" w:cs="Tahoma"/>
          <w:lang w:val="en-AU"/>
        </w:rPr>
        <w:t>There has been extensive consultation with local councils and other stakeholders in relation to the proposed Regulations and in particular the new performance reporting framework.</w:t>
      </w:r>
    </w:p>
    <w:p w:rsidR="0074041C" w:rsidRPr="00E84DC2" w:rsidRDefault="00D733EB" w:rsidP="006F6A4C">
      <w:pPr>
        <w:pStyle w:val="ListParagraph"/>
        <w:numPr>
          <w:ilvl w:val="0"/>
          <w:numId w:val="29"/>
        </w:numPr>
        <w:pBdr>
          <w:top w:val="single" w:sz="4" w:space="1" w:color="auto"/>
          <w:left w:val="single" w:sz="4" w:space="4" w:color="auto"/>
          <w:bottom w:val="single" w:sz="4" w:space="1" w:color="auto"/>
          <w:right w:val="single" w:sz="4" w:space="4" w:color="auto"/>
        </w:pBdr>
        <w:shd w:val="clear" w:color="auto" w:fill="C6D9F1"/>
        <w:spacing w:after="100"/>
        <w:rPr>
          <w:rFonts w:ascii="Tahoma" w:hAnsi="Tahoma" w:cs="Tahoma"/>
          <w:lang w:val="en-AU"/>
        </w:rPr>
      </w:pPr>
      <w:r w:rsidRPr="00D733EB">
        <w:rPr>
          <w:rFonts w:ascii="Tahoma" w:hAnsi="Tahoma" w:cs="Tahoma"/>
          <w:lang w:val="en-AU"/>
        </w:rPr>
        <w:t>There is general support among councils for the introduction of a standard set of performance indicators.</w:t>
      </w:r>
    </w:p>
    <w:p w:rsidR="00434705" w:rsidRPr="00E84DC2" w:rsidRDefault="00D733EB" w:rsidP="006F6A4C">
      <w:pPr>
        <w:pStyle w:val="ListParagraph"/>
        <w:numPr>
          <w:ilvl w:val="0"/>
          <w:numId w:val="29"/>
        </w:numPr>
        <w:pBdr>
          <w:top w:val="single" w:sz="4" w:space="1" w:color="auto"/>
          <w:left w:val="single" w:sz="4" w:space="4" w:color="auto"/>
          <w:bottom w:val="single" w:sz="4" w:space="1" w:color="auto"/>
          <w:right w:val="single" w:sz="4" w:space="4" w:color="auto"/>
        </w:pBdr>
        <w:shd w:val="clear" w:color="auto" w:fill="C6D9F1"/>
        <w:spacing w:after="100"/>
        <w:rPr>
          <w:rFonts w:ascii="Tahoma" w:hAnsi="Tahoma" w:cs="Tahoma"/>
          <w:lang w:val="en-AU"/>
        </w:rPr>
      </w:pPr>
      <w:r w:rsidRPr="00D733EB">
        <w:rPr>
          <w:rFonts w:ascii="Tahoma" w:hAnsi="Tahoma" w:cs="Tahoma"/>
          <w:lang w:val="en-AU"/>
        </w:rPr>
        <w:t>All 79 Victorian councils are voluntarily participating in the second reporting trial for the pilot program.</w:t>
      </w:r>
    </w:p>
    <w:p w:rsidR="0074041C" w:rsidRPr="00E84DC2" w:rsidRDefault="00D733EB" w:rsidP="006F6A4C">
      <w:pPr>
        <w:pStyle w:val="ListParagraph"/>
        <w:numPr>
          <w:ilvl w:val="0"/>
          <w:numId w:val="29"/>
        </w:numPr>
        <w:pBdr>
          <w:top w:val="single" w:sz="4" w:space="1" w:color="auto"/>
          <w:left w:val="single" w:sz="4" w:space="4" w:color="auto"/>
          <w:bottom w:val="single" w:sz="4" w:space="1" w:color="auto"/>
          <w:right w:val="single" w:sz="4" w:space="4" w:color="auto"/>
        </w:pBdr>
        <w:shd w:val="clear" w:color="auto" w:fill="C6D9F1"/>
        <w:spacing w:after="100"/>
        <w:rPr>
          <w:rFonts w:ascii="Tahoma" w:hAnsi="Tahoma" w:cs="Tahoma"/>
          <w:lang w:val="en-AU"/>
        </w:rPr>
      </w:pPr>
      <w:r w:rsidRPr="00D733EB">
        <w:rPr>
          <w:rFonts w:ascii="Tahoma" w:hAnsi="Tahoma" w:cs="Tahoma"/>
          <w:lang w:val="en-AU"/>
        </w:rPr>
        <w:t>The report requirements in the proposed Regulations has been refined over the past 12 months through close interaction with councils, including through a pilot program, surveys and written submissions.</w:t>
      </w:r>
    </w:p>
    <w:p w:rsidR="00E9659C" w:rsidRPr="00E84DC2" w:rsidRDefault="00E9659C" w:rsidP="00E9659C">
      <w:pPr>
        <w:pBdr>
          <w:top w:val="single" w:sz="4" w:space="1" w:color="auto"/>
          <w:left w:val="single" w:sz="4" w:space="4" w:color="auto"/>
          <w:bottom w:val="single" w:sz="4" w:space="1" w:color="auto"/>
          <w:right w:val="single" w:sz="4" w:space="4" w:color="auto"/>
        </w:pBdr>
        <w:shd w:val="clear" w:color="auto" w:fill="C6D9F1"/>
        <w:spacing w:after="100"/>
        <w:rPr>
          <w:rFonts w:ascii="Tahoma" w:eastAsia="Calibri" w:hAnsi="Tahoma" w:cs="Tahoma"/>
          <w:sz w:val="8"/>
          <w:szCs w:val="8"/>
          <w:lang w:val="en-AU"/>
        </w:rPr>
      </w:pPr>
    </w:p>
    <w:p w:rsidR="00E8235E" w:rsidRPr="00E84DC2" w:rsidRDefault="00E8235E" w:rsidP="00B43FC9">
      <w:pPr>
        <w:rPr>
          <w:rFonts w:ascii="Tahoma" w:eastAsia="Times New Roman" w:hAnsi="Tahoma" w:cs="Tahoma"/>
          <w:sz w:val="22"/>
          <w:szCs w:val="22"/>
          <w:lang w:val="en-AU"/>
        </w:rPr>
      </w:pPr>
    </w:p>
    <w:p w:rsidR="00232528" w:rsidRPr="00E84DC2" w:rsidRDefault="00D733EB" w:rsidP="00B43FC9">
      <w:pPr>
        <w:rPr>
          <w:rFonts w:ascii="Tahoma" w:eastAsia="Times New Roman" w:hAnsi="Tahoma" w:cs="Tahoma"/>
          <w:sz w:val="22"/>
          <w:szCs w:val="22"/>
          <w:lang w:val="en-AU"/>
        </w:rPr>
      </w:pPr>
      <w:r w:rsidRPr="00D733EB">
        <w:rPr>
          <w:rFonts w:ascii="Tahoma" w:eastAsia="Times New Roman" w:hAnsi="Tahoma" w:cs="Tahoma"/>
          <w:sz w:val="22"/>
          <w:szCs w:val="22"/>
          <w:lang w:val="en-AU"/>
        </w:rPr>
        <w:t xml:space="preserve">Since commencing work on the LGPRF in 2012, LGV has undertaken a wide ranging consultation process to inform the development of the new </w:t>
      </w:r>
      <w:r w:rsidR="006B0C1F">
        <w:rPr>
          <w:rFonts w:ascii="Tahoma" w:eastAsia="Times New Roman" w:hAnsi="Tahoma" w:cs="Tahoma"/>
          <w:sz w:val="22"/>
          <w:szCs w:val="22"/>
          <w:lang w:val="en-AU"/>
        </w:rPr>
        <w:t xml:space="preserve">planning and </w:t>
      </w:r>
      <w:r w:rsidRPr="00D733EB">
        <w:rPr>
          <w:rFonts w:ascii="Tahoma" w:eastAsia="Times New Roman" w:hAnsi="Tahoma" w:cs="Tahoma"/>
          <w:sz w:val="22"/>
          <w:szCs w:val="22"/>
          <w:lang w:val="en-AU"/>
        </w:rPr>
        <w:t>reporting requirements. This work has focused on the content of the proposed Regulations, the reasons and benefits of change, testing and refining the reporting requirements, trials with a large number of councils, surveys to measure the impact of the proposed reporting requirements, and intensive interviews with a number of councils considered to be representative of the different types across Victoria.</w:t>
      </w:r>
    </w:p>
    <w:p w:rsidR="00CD679D" w:rsidRPr="00E84DC2" w:rsidRDefault="00CD679D" w:rsidP="00B43FC9">
      <w:pPr>
        <w:rPr>
          <w:rFonts w:ascii="Tahoma" w:eastAsia="Times New Roman" w:hAnsi="Tahoma" w:cs="Tahoma"/>
          <w:sz w:val="22"/>
          <w:szCs w:val="22"/>
          <w:lang w:val="en-AU"/>
        </w:rPr>
      </w:pPr>
    </w:p>
    <w:p w:rsidR="004E7A31" w:rsidRPr="00E84DC2" w:rsidRDefault="00D733EB" w:rsidP="00B43FC9">
      <w:pPr>
        <w:rPr>
          <w:rFonts w:ascii="Tahoma" w:eastAsia="Times New Roman" w:hAnsi="Tahoma" w:cs="Tahoma"/>
          <w:sz w:val="22"/>
          <w:szCs w:val="22"/>
          <w:lang w:val="en-AU"/>
        </w:rPr>
      </w:pPr>
      <w:r w:rsidRPr="00D733EB">
        <w:rPr>
          <w:rFonts w:ascii="Tahoma" w:eastAsia="Times New Roman" w:hAnsi="Tahoma" w:cs="Tahoma"/>
          <w:sz w:val="22"/>
          <w:szCs w:val="22"/>
          <w:lang w:val="en-AU"/>
        </w:rPr>
        <w:t>This consultation effort builds on earlier work by the ESC in 2010 that included a number of discussion papers and extensive face to face consultation with councils.</w:t>
      </w:r>
    </w:p>
    <w:p w:rsidR="00082DE2" w:rsidRPr="00E84DC2" w:rsidRDefault="00082DE2" w:rsidP="00B43FC9">
      <w:pPr>
        <w:rPr>
          <w:rFonts w:ascii="Tahoma" w:eastAsia="Times New Roman" w:hAnsi="Tahoma" w:cs="Tahoma"/>
          <w:sz w:val="22"/>
          <w:szCs w:val="22"/>
          <w:lang w:val="en-AU"/>
        </w:rPr>
      </w:pPr>
    </w:p>
    <w:p w:rsidR="001C4964" w:rsidRPr="00E84DC2" w:rsidRDefault="00D733EB" w:rsidP="00041CC0">
      <w:pPr>
        <w:rPr>
          <w:rFonts w:ascii="Tahoma" w:eastAsia="Times New Roman" w:hAnsi="Tahoma" w:cs="Tahoma"/>
          <w:sz w:val="22"/>
          <w:szCs w:val="22"/>
          <w:lang w:val="en-AU"/>
        </w:rPr>
      </w:pPr>
      <w:r w:rsidRPr="00D733EB">
        <w:rPr>
          <w:rFonts w:ascii="Tahoma" w:eastAsia="Times New Roman" w:hAnsi="Tahoma" w:cs="Tahoma"/>
          <w:sz w:val="22"/>
          <w:szCs w:val="22"/>
          <w:lang w:val="en-AU"/>
        </w:rPr>
        <w:t>The development of the LGPRF has been supported by input from three technical working groups, the Local Government Reform Strategy Reference Group and the Local Government Ministerial-Mayors Advisory Panel.  These advisory arrangements involved over 70 local government, academic and subject matter experts representing a wide range of organisations as listed in Figure 7A.</w:t>
      </w:r>
    </w:p>
    <w:p w:rsidR="001C4964" w:rsidRPr="00E84DC2" w:rsidRDefault="001C4964" w:rsidP="00041CC0">
      <w:pPr>
        <w:rPr>
          <w:rFonts w:ascii="Tahoma" w:eastAsia="Times New Roman" w:hAnsi="Tahoma" w:cs="Tahoma"/>
          <w:sz w:val="22"/>
          <w:szCs w:val="22"/>
          <w:lang w:val="en-AU"/>
        </w:rPr>
      </w:pPr>
    </w:p>
    <w:p w:rsidR="001C4964" w:rsidRPr="00E84DC2" w:rsidRDefault="00D733EB" w:rsidP="00030194">
      <w:pPr>
        <w:jc w:val="center"/>
        <w:rPr>
          <w:rFonts w:ascii="Tahoma" w:eastAsia="Times New Roman" w:hAnsi="Tahoma" w:cs="Tahoma"/>
          <w:b/>
          <w:sz w:val="22"/>
          <w:szCs w:val="22"/>
          <w:lang w:val="en-AU"/>
        </w:rPr>
      </w:pPr>
      <w:r w:rsidRPr="00D733EB">
        <w:rPr>
          <w:rFonts w:ascii="Tahoma" w:eastAsia="Times New Roman" w:hAnsi="Tahoma" w:cs="Tahoma"/>
          <w:b/>
          <w:sz w:val="22"/>
          <w:szCs w:val="22"/>
          <w:lang w:val="en-AU"/>
        </w:rPr>
        <w:t>Figure 7A</w:t>
      </w:r>
      <w:r w:rsidRPr="00D733EB">
        <w:rPr>
          <w:rFonts w:ascii="Tahoma" w:eastAsia="Times New Roman" w:hAnsi="Tahoma" w:cs="Tahoma"/>
          <w:b/>
          <w:sz w:val="22"/>
          <w:szCs w:val="22"/>
          <w:lang w:val="en-AU"/>
        </w:rPr>
        <w:br/>
        <w:t>Participation on technical working groups</w:t>
      </w:r>
    </w:p>
    <w:p w:rsidR="007E75AC" w:rsidRPr="00E84DC2" w:rsidRDefault="007E75AC" w:rsidP="00041CC0">
      <w:pPr>
        <w:rPr>
          <w:rFonts w:ascii="Tahoma" w:eastAsia="Times New Roman" w:hAnsi="Tahoma" w:cs="Tahoma"/>
          <w:sz w:val="8"/>
          <w:szCs w:val="8"/>
          <w:lang w:val="en-AU"/>
        </w:rPr>
      </w:pPr>
    </w:p>
    <w:tbl>
      <w:tblPr>
        <w:tblStyle w:val="LightList-Accent11"/>
        <w:tblW w:w="4905" w:type="pct"/>
        <w:tblLook w:val="04A0" w:firstRow="1" w:lastRow="0" w:firstColumn="1" w:lastColumn="0" w:noHBand="0" w:noVBand="1"/>
      </w:tblPr>
      <w:tblGrid>
        <w:gridCol w:w="3928"/>
        <w:gridCol w:w="4426"/>
      </w:tblGrid>
      <w:tr w:rsidR="008321F3" w:rsidRPr="00E84DC2" w:rsidTr="0071439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51" w:type="pct"/>
          </w:tcPr>
          <w:p w:rsidR="008321F3" w:rsidRPr="00E84DC2" w:rsidRDefault="00D733EB" w:rsidP="00094D0F">
            <w:pPr>
              <w:rPr>
                <w:rFonts w:ascii="Tahoma" w:eastAsia="Times New Roman" w:hAnsi="Tahoma" w:cs="Tahoma"/>
                <w:color w:val="auto"/>
                <w:sz w:val="20"/>
                <w:szCs w:val="20"/>
                <w:lang w:val="en-AU"/>
              </w:rPr>
            </w:pPr>
            <w:r w:rsidRPr="00D733EB">
              <w:rPr>
                <w:rFonts w:ascii="Tahoma" w:eastAsia="Times New Roman" w:hAnsi="Tahoma" w:cs="Tahoma"/>
                <w:sz w:val="20"/>
                <w:szCs w:val="20"/>
                <w:lang w:val="en-AU"/>
              </w:rPr>
              <w:t>Local councils</w:t>
            </w:r>
          </w:p>
        </w:tc>
        <w:tc>
          <w:tcPr>
            <w:tcW w:w="2649" w:type="pct"/>
          </w:tcPr>
          <w:p w:rsidR="008321F3" w:rsidRPr="00E84DC2" w:rsidRDefault="00D733EB" w:rsidP="00094D0F">
            <w:pP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auto"/>
                <w:sz w:val="20"/>
                <w:szCs w:val="20"/>
                <w:lang w:val="en-AU"/>
              </w:rPr>
            </w:pPr>
            <w:r w:rsidRPr="00D733EB">
              <w:rPr>
                <w:rFonts w:ascii="Tahoma" w:eastAsia="Times New Roman" w:hAnsi="Tahoma" w:cs="Tahoma"/>
                <w:sz w:val="20"/>
                <w:szCs w:val="20"/>
                <w:lang w:val="en-AU"/>
              </w:rPr>
              <w:t>Other stakeholders</w:t>
            </w:r>
          </w:p>
        </w:tc>
      </w:tr>
      <w:tr w:rsidR="008321F3" w:rsidRPr="00E84DC2" w:rsidTr="007E7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1" w:type="pct"/>
            <w:hideMark/>
          </w:tcPr>
          <w:p w:rsidR="008321F3" w:rsidRPr="00E84DC2" w:rsidRDefault="00D733EB" w:rsidP="00094D0F">
            <w:pPr>
              <w:rPr>
                <w:rFonts w:ascii="Tahoma" w:eastAsia="Times New Roman" w:hAnsi="Tahoma" w:cs="Tahoma"/>
                <w:b w:val="0"/>
                <w:sz w:val="20"/>
                <w:szCs w:val="20"/>
                <w:lang w:val="en-AU"/>
              </w:rPr>
            </w:pPr>
            <w:r w:rsidRPr="00D733EB">
              <w:rPr>
                <w:rFonts w:ascii="Tahoma" w:eastAsia="Times New Roman" w:hAnsi="Tahoma" w:cs="Tahoma"/>
                <w:sz w:val="20"/>
                <w:szCs w:val="20"/>
                <w:lang w:val="en-AU"/>
              </w:rPr>
              <w:t>Banyule City Council</w:t>
            </w:r>
          </w:p>
        </w:tc>
        <w:tc>
          <w:tcPr>
            <w:tcW w:w="2649" w:type="pct"/>
          </w:tcPr>
          <w:p w:rsidR="008321F3" w:rsidRPr="00E84DC2" w:rsidRDefault="00D733EB" w:rsidP="00094D0F">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b/>
                <w:sz w:val="20"/>
                <w:szCs w:val="20"/>
                <w:lang w:val="en-AU"/>
              </w:rPr>
            </w:pPr>
            <w:r w:rsidRPr="00D733EB">
              <w:rPr>
                <w:rFonts w:ascii="Tahoma" w:eastAsia="Times New Roman" w:hAnsi="Tahoma" w:cs="Tahoma"/>
                <w:b/>
                <w:sz w:val="20"/>
                <w:szCs w:val="20"/>
                <w:lang w:val="en-AU"/>
              </w:rPr>
              <w:t>Queensland Treasury Corporation</w:t>
            </w:r>
          </w:p>
        </w:tc>
      </w:tr>
      <w:tr w:rsidR="008321F3" w:rsidRPr="00E84DC2" w:rsidTr="007E75AC">
        <w:tc>
          <w:tcPr>
            <w:cnfStyle w:val="001000000000" w:firstRow="0" w:lastRow="0" w:firstColumn="1" w:lastColumn="0" w:oddVBand="0" w:evenVBand="0" w:oddHBand="0" w:evenHBand="0" w:firstRowFirstColumn="0" w:firstRowLastColumn="0" w:lastRowFirstColumn="0" w:lastRowLastColumn="0"/>
            <w:tcW w:w="2351" w:type="pct"/>
            <w:hideMark/>
          </w:tcPr>
          <w:p w:rsidR="008321F3" w:rsidRPr="00E84DC2" w:rsidRDefault="00D733EB" w:rsidP="00094D0F">
            <w:pPr>
              <w:rPr>
                <w:rFonts w:ascii="Tahoma" w:eastAsia="Times New Roman" w:hAnsi="Tahoma" w:cs="Tahoma"/>
                <w:b w:val="0"/>
                <w:sz w:val="20"/>
                <w:szCs w:val="20"/>
                <w:lang w:val="en-AU"/>
              </w:rPr>
            </w:pPr>
            <w:r w:rsidRPr="00D733EB">
              <w:rPr>
                <w:rFonts w:ascii="Tahoma" w:eastAsia="Times New Roman" w:hAnsi="Tahoma" w:cs="Tahoma"/>
                <w:sz w:val="20"/>
                <w:szCs w:val="20"/>
                <w:lang w:val="en-AU"/>
              </w:rPr>
              <w:t>Yarra Ranges City Council</w:t>
            </w:r>
          </w:p>
        </w:tc>
        <w:tc>
          <w:tcPr>
            <w:tcW w:w="2649" w:type="pct"/>
          </w:tcPr>
          <w:p w:rsidR="008321F3" w:rsidRPr="00E84DC2" w:rsidRDefault="00D733EB" w:rsidP="00094D0F">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
                <w:sz w:val="20"/>
                <w:szCs w:val="20"/>
                <w:lang w:val="en-AU"/>
              </w:rPr>
            </w:pPr>
            <w:r w:rsidRPr="00D733EB">
              <w:rPr>
                <w:rFonts w:ascii="Tahoma" w:eastAsia="Times New Roman" w:hAnsi="Tahoma" w:cs="Tahoma"/>
                <w:b/>
                <w:sz w:val="20"/>
                <w:szCs w:val="20"/>
                <w:lang w:val="en-AU"/>
              </w:rPr>
              <w:t>Municipal Association of Victoria</w:t>
            </w:r>
          </w:p>
        </w:tc>
      </w:tr>
      <w:tr w:rsidR="008321F3" w:rsidRPr="00E84DC2" w:rsidTr="007E7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1" w:type="pct"/>
            <w:hideMark/>
          </w:tcPr>
          <w:p w:rsidR="008321F3" w:rsidRPr="00E84DC2" w:rsidRDefault="00D733EB" w:rsidP="00094D0F">
            <w:pPr>
              <w:rPr>
                <w:rFonts w:ascii="Tahoma" w:eastAsia="Times New Roman" w:hAnsi="Tahoma" w:cs="Tahoma"/>
                <w:b w:val="0"/>
                <w:sz w:val="20"/>
                <w:szCs w:val="20"/>
                <w:lang w:val="en-AU"/>
              </w:rPr>
            </w:pPr>
            <w:r w:rsidRPr="00D733EB">
              <w:rPr>
                <w:rFonts w:ascii="Tahoma" w:eastAsia="Times New Roman" w:hAnsi="Tahoma" w:cs="Tahoma"/>
                <w:sz w:val="20"/>
                <w:szCs w:val="20"/>
                <w:lang w:val="en-AU"/>
              </w:rPr>
              <w:t>Monash City Council</w:t>
            </w:r>
          </w:p>
        </w:tc>
        <w:tc>
          <w:tcPr>
            <w:tcW w:w="2649" w:type="pct"/>
          </w:tcPr>
          <w:p w:rsidR="008321F3" w:rsidRPr="00E84DC2" w:rsidRDefault="00D733EB" w:rsidP="00094D0F">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b/>
                <w:sz w:val="20"/>
                <w:szCs w:val="20"/>
                <w:lang w:val="en-AU"/>
              </w:rPr>
            </w:pPr>
            <w:r w:rsidRPr="00D733EB">
              <w:rPr>
                <w:rFonts w:ascii="Tahoma" w:eastAsia="Times New Roman" w:hAnsi="Tahoma" w:cs="Tahoma"/>
                <w:b/>
                <w:sz w:val="20"/>
                <w:szCs w:val="20"/>
                <w:lang w:val="en-AU"/>
              </w:rPr>
              <w:t>Division of Local Government (NSW)</w:t>
            </w:r>
          </w:p>
        </w:tc>
      </w:tr>
      <w:tr w:rsidR="008321F3" w:rsidRPr="00E84DC2" w:rsidTr="007E75AC">
        <w:tc>
          <w:tcPr>
            <w:cnfStyle w:val="001000000000" w:firstRow="0" w:lastRow="0" w:firstColumn="1" w:lastColumn="0" w:oddVBand="0" w:evenVBand="0" w:oddHBand="0" w:evenHBand="0" w:firstRowFirstColumn="0" w:firstRowLastColumn="0" w:lastRowFirstColumn="0" w:lastRowLastColumn="0"/>
            <w:tcW w:w="2351" w:type="pct"/>
            <w:hideMark/>
          </w:tcPr>
          <w:p w:rsidR="008321F3" w:rsidRPr="00E84DC2" w:rsidRDefault="00D733EB" w:rsidP="00094D0F">
            <w:pPr>
              <w:rPr>
                <w:rFonts w:ascii="Tahoma" w:eastAsia="Times New Roman" w:hAnsi="Tahoma" w:cs="Tahoma"/>
                <w:b w:val="0"/>
                <w:sz w:val="20"/>
                <w:szCs w:val="20"/>
                <w:lang w:val="en-AU"/>
              </w:rPr>
            </w:pPr>
            <w:r w:rsidRPr="00D733EB">
              <w:rPr>
                <w:rFonts w:ascii="Tahoma" w:eastAsia="Times New Roman" w:hAnsi="Tahoma" w:cs="Tahoma"/>
                <w:sz w:val="20"/>
                <w:szCs w:val="20"/>
                <w:lang w:val="en-AU"/>
              </w:rPr>
              <w:t>Melton City Council</w:t>
            </w:r>
          </w:p>
        </w:tc>
        <w:tc>
          <w:tcPr>
            <w:tcW w:w="2649" w:type="pct"/>
          </w:tcPr>
          <w:p w:rsidR="008321F3" w:rsidRPr="00E84DC2" w:rsidRDefault="00D733EB" w:rsidP="00094D0F">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
                <w:sz w:val="20"/>
                <w:szCs w:val="20"/>
                <w:lang w:val="en-AU"/>
              </w:rPr>
            </w:pPr>
            <w:r w:rsidRPr="00D733EB">
              <w:rPr>
                <w:rFonts w:ascii="Tahoma" w:eastAsia="Times New Roman" w:hAnsi="Tahoma" w:cs="Tahoma"/>
                <w:b/>
                <w:sz w:val="20"/>
                <w:szCs w:val="20"/>
                <w:lang w:val="en-AU"/>
              </w:rPr>
              <w:t>Civic Ways</w:t>
            </w:r>
          </w:p>
        </w:tc>
      </w:tr>
      <w:tr w:rsidR="008321F3" w:rsidRPr="00E84DC2" w:rsidTr="007E7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1" w:type="pct"/>
            <w:hideMark/>
          </w:tcPr>
          <w:p w:rsidR="008321F3" w:rsidRPr="00E84DC2" w:rsidRDefault="00D733EB" w:rsidP="00094D0F">
            <w:pPr>
              <w:rPr>
                <w:rFonts w:ascii="Tahoma" w:eastAsia="Times New Roman" w:hAnsi="Tahoma" w:cs="Tahoma"/>
                <w:b w:val="0"/>
                <w:sz w:val="20"/>
                <w:szCs w:val="20"/>
                <w:lang w:val="en-AU"/>
              </w:rPr>
            </w:pPr>
            <w:r w:rsidRPr="00D733EB">
              <w:rPr>
                <w:rFonts w:ascii="Tahoma" w:eastAsia="Times New Roman" w:hAnsi="Tahoma" w:cs="Tahoma"/>
                <w:sz w:val="20"/>
                <w:szCs w:val="20"/>
                <w:lang w:val="en-AU"/>
              </w:rPr>
              <w:t>Boroondara City Council</w:t>
            </w:r>
          </w:p>
        </w:tc>
        <w:tc>
          <w:tcPr>
            <w:tcW w:w="2649" w:type="pct"/>
          </w:tcPr>
          <w:p w:rsidR="008321F3" w:rsidRPr="00E84DC2" w:rsidRDefault="00D733EB" w:rsidP="00094D0F">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b/>
                <w:sz w:val="20"/>
                <w:szCs w:val="20"/>
                <w:lang w:val="en-AU"/>
              </w:rPr>
            </w:pPr>
            <w:r w:rsidRPr="00D733EB">
              <w:rPr>
                <w:rFonts w:ascii="Tahoma" w:eastAsia="Times New Roman" w:hAnsi="Tahoma" w:cs="Tahoma"/>
                <w:b/>
                <w:sz w:val="20"/>
                <w:szCs w:val="20"/>
                <w:lang w:val="en-AU"/>
              </w:rPr>
              <w:t>UTS Centre for Local Government</w:t>
            </w:r>
          </w:p>
        </w:tc>
      </w:tr>
      <w:tr w:rsidR="008321F3" w:rsidRPr="00E84DC2" w:rsidTr="007E75AC">
        <w:tc>
          <w:tcPr>
            <w:cnfStyle w:val="001000000000" w:firstRow="0" w:lastRow="0" w:firstColumn="1" w:lastColumn="0" w:oddVBand="0" w:evenVBand="0" w:oddHBand="0" w:evenHBand="0" w:firstRowFirstColumn="0" w:firstRowLastColumn="0" w:lastRowFirstColumn="0" w:lastRowLastColumn="0"/>
            <w:tcW w:w="2351" w:type="pct"/>
            <w:hideMark/>
          </w:tcPr>
          <w:p w:rsidR="008321F3" w:rsidRPr="00E84DC2" w:rsidRDefault="00D733EB" w:rsidP="00094D0F">
            <w:pPr>
              <w:rPr>
                <w:rFonts w:ascii="Tahoma" w:eastAsia="Times New Roman" w:hAnsi="Tahoma" w:cs="Tahoma"/>
                <w:b w:val="0"/>
                <w:sz w:val="20"/>
                <w:szCs w:val="20"/>
                <w:lang w:val="en-AU"/>
              </w:rPr>
            </w:pPr>
            <w:r w:rsidRPr="00D733EB">
              <w:rPr>
                <w:rFonts w:ascii="Tahoma" w:eastAsia="Times New Roman" w:hAnsi="Tahoma" w:cs="Tahoma"/>
                <w:sz w:val="20"/>
                <w:szCs w:val="20"/>
                <w:lang w:val="en-AU"/>
              </w:rPr>
              <w:t>Colac Otway Shire</w:t>
            </w:r>
          </w:p>
        </w:tc>
        <w:tc>
          <w:tcPr>
            <w:tcW w:w="2649" w:type="pct"/>
          </w:tcPr>
          <w:p w:rsidR="008321F3" w:rsidRPr="00E84DC2" w:rsidRDefault="00D733EB" w:rsidP="00094D0F">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
                <w:sz w:val="20"/>
                <w:szCs w:val="20"/>
                <w:lang w:val="en-AU"/>
              </w:rPr>
            </w:pPr>
            <w:r w:rsidRPr="00D733EB">
              <w:rPr>
                <w:rFonts w:ascii="Tahoma" w:eastAsia="Times New Roman" w:hAnsi="Tahoma" w:cs="Tahoma"/>
                <w:b/>
                <w:sz w:val="20"/>
                <w:szCs w:val="20"/>
                <w:lang w:val="en-AU"/>
              </w:rPr>
              <w:t>JAC Comrie Pty Ltd</w:t>
            </w:r>
          </w:p>
        </w:tc>
      </w:tr>
      <w:tr w:rsidR="008321F3" w:rsidRPr="00E84DC2" w:rsidTr="007E7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1" w:type="pct"/>
            <w:hideMark/>
          </w:tcPr>
          <w:p w:rsidR="008321F3" w:rsidRPr="00E84DC2" w:rsidRDefault="00D733EB" w:rsidP="00094D0F">
            <w:pPr>
              <w:rPr>
                <w:rFonts w:ascii="Tahoma" w:eastAsia="Times New Roman" w:hAnsi="Tahoma" w:cs="Tahoma"/>
                <w:b w:val="0"/>
                <w:sz w:val="20"/>
                <w:szCs w:val="20"/>
                <w:lang w:val="en-AU"/>
              </w:rPr>
            </w:pPr>
            <w:r w:rsidRPr="00D733EB">
              <w:rPr>
                <w:rFonts w:ascii="Tahoma" w:eastAsia="Times New Roman" w:hAnsi="Tahoma" w:cs="Tahoma"/>
                <w:sz w:val="20"/>
                <w:szCs w:val="20"/>
                <w:lang w:val="en-AU"/>
              </w:rPr>
              <w:t>Mount Alexander Shire Council</w:t>
            </w:r>
          </w:p>
        </w:tc>
        <w:tc>
          <w:tcPr>
            <w:tcW w:w="2649" w:type="pct"/>
          </w:tcPr>
          <w:p w:rsidR="008321F3" w:rsidRPr="00E84DC2" w:rsidRDefault="00D733EB" w:rsidP="00094D0F">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b/>
                <w:sz w:val="20"/>
                <w:szCs w:val="20"/>
                <w:lang w:val="en-AU"/>
              </w:rPr>
            </w:pPr>
            <w:r w:rsidRPr="00D733EB">
              <w:rPr>
                <w:rFonts w:ascii="Tahoma" w:eastAsia="Times New Roman" w:hAnsi="Tahoma" w:cs="Tahoma"/>
                <w:b/>
                <w:sz w:val="20"/>
                <w:szCs w:val="20"/>
                <w:lang w:val="en-AU"/>
              </w:rPr>
              <w:t>Jeff Rorda and Associates</w:t>
            </w:r>
          </w:p>
        </w:tc>
      </w:tr>
      <w:tr w:rsidR="008321F3" w:rsidRPr="00E84DC2" w:rsidTr="007E75AC">
        <w:tc>
          <w:tcPr>
            <w:cnfStyle w:val="001000000000" w:firstRow="0" w:lastRow="0" w:firstColumn="1" w:lastColumn="0" w:oddVBand="0" w:evenVBand="0" w:oddHBand="0" w:evenHBand="0" w:firstRowFirstColumn="0" w:firstRowLastColumn="0" w:lastRowFirstColumn="0" w:lastRowLastColumn="0"/>
            <w:tcW w:w="2351" w:type="pct"/>
            <w:hideMark/>
          </w:tcPr>
          <w:p w:rsidR="008321F3" w:rsidRPr="00E84DC2" w:rsidRDefault="00D733EB" w:rsidP="00094D0F">
            <w:pPr>
              <w:rPr>
                <w:rFonts w:ascii="Tahoma" w:eastAsia="Times New Roman" w:hAnsi="Tahoma" w:cs="Tahoma"/>
                <w:b w:val="0"/>
                <w:sz w:val="20"/>
                <w:szCs w:val="20"/>
                <w:lang w:val="en-AU"/>
              </w:rPr>
            </w:pPr>
            <w:r w:rsidRPr="00D733EB">
              <w:rPr>
                <w:rFonts w:ascii="Tahoma" w:eastAsia="Times New Roman" w:hAnsi="Tahoma" w:cs="Tahoma"/>
                <w:sz w:val="20"/>
                <w:szCs w:val="20"/>
                <w:lang w:val="en-AU"/>
              </w:rPr>
              <w:t>Maribyrnong City Council</w:t>
            </w:r>
          </w:p>
        </w:tc>
        <w:tc>
          <w:tcPr>
            <w:tcW w:w="2649" w:type="pct"/>
          </w:tcPr>
          <w:p w:rsidR="008321F3" w:rsidRPr="00E84DC2" w:rsidRDefault="00D733EB" w:rsidP="00094D0F">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
                <w:sz w:val="20"/>
                <w:szCs w:val="20"/>
                <w:lang w:val="en-AU"/>
              </w:rPr>
            </w:pPr>
            <w:r w:rsidRPr="00D733EB">
              <w:rPr>
                <w:rFonts w:ascii="Tahoma" w:eastAsia="Times New Roman" w:hAnsi="Tahoma" w:cs="Tahoma"/>
                <w:b/>
                <w:sz w:val="20"/>
                <w:szCs w:val="20"/>
                <w:lang w:val="en-AU"/>
              </w:rPr>
              <w:t>Merv and Rohan Whelan</w:t>
            </w:r>
          </w:p>
        </w:tc>
      </w:tr>
      <w:tr w:rsidR="008321F3" w:rsidRPr="00E84DC2" w:rsidTr="007E7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1" w:type="pct"/>
            <w:hideMark/>
          </w:tcPr>
          <w:p w:rsidR="008321F3" w:rsidRPr="00E84DC2" w:rsidRDefault="00D733EB" w:rsidP="00094D0F">
            <w:pPr>
              <w:rPr>
                <w:rFonts w:ascii="Tahoma" w:eastAsia="Times New Roman" w:hAnsi="Tahoma" w:cs="Tahoma"/>
                <w:b w:val="0"/>
                <w:sz w:val="20"/>
                <w:szCs w:val="20"/>
                <w:lang w:val="en-AU"/>
              </w:rPr>
            </w:pPr>
            <w:r w:rsidRPr="00D733EB">
              <w:rPr>
                <w:rFonts w:ascii="Tahoma" w:eastAsia="Times New Roman" w:hAnsi="Tahoma" w:cs="Tahoma"/>
                <w:sz w:val="20"/>
                <w:szCs w:val="20"/>
                <w:lang w:val="en-AU"/>
              </w:rPr>
              <w:t>Melbourne City Council</w:t>
            </w:r>
          </w:p>
        </w:tc>
        <w:tc>
          <w:tcPr>
            <w:tcW w:w="2649" w:type="pct"/>
          </w:tcPr>
          <w:p w:rsidR="008321F3" w:rsidRPr="00E84DC2" w:rsidRDefault="00D733EB" w:rsidP="00094D0F">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b/>
                <w:sz w:val="20"/>
                <w:szCs w:val="20"/>
                <w:lang w:val="en-AU"/>
              </w:rPr>
            </w:pPr>
            <w:r w:rsidRPr="00D733EB">
              <w:rPr>
                <w:rFonts w:ascii="Tahoma" w:eastAsia="Times New Roman" w:hAnsi="Tahoma" w:cs="Tahoma"/>
                <w:b/>
                <w:sz w:val="20"/>
                <w:szCs w:val="20"/>
                <w:lang w:val="en-AU"/>
              </w:rPr>
              <w:t>Victorian Auditor-General's Office</w:t>
            </w:r>
          </w:p>
        </w:tc>
      </w:tr>
      <w:tr w:rsidR="008321F3" w:rsidRPr="00E84DC2" w:rsidTr="007E75AC">
        <w:tc>
          <w:tcPr>
            <w:cnfStyle w:val="001000000000" w:firstRow="0" w:lastRow="0" w:firstColumn="1" w:lastColumn="0" w:oddVBand="0" w:evenVBand="0" w:oddHBand="0" w:evenHBand="0" w:firstRowFirstColumn="0" w:firstRowLastColumn="0" w:lastRowFirstColumn="0" w:lastRowLastColumn="0"/>
            <w:tcW w:w="2351" w:type="pct"/>
            <w:hideMark/>
          </w:tcPr>
          <w:p w:rsidR="008321F3" w:rsidRPr="00E84DC2" w:rsidRDefault="00D733EB" w:rsidP="00094D0F">
            <w:pPr>
              <w:rPr>
                <w:rFonts w:ascii="Tahoma" w:eastAsia="Times New Roman" w:hAnsi="Tahoma" w:cs="Tahoma"/>
                <w:b w:val="0"/>
                <w:sz w:val="20"/>
                <w:szCs w:val="20"/>
                <w:lang w:val="en-AU"/>
              </w:rPr>
            </w:pPr>
            <w:r w:rsidRPr="00D733EB">
              <w:rPr>
                <w:rFonts w:ascii="Tahoma" w:eastAsia="Times New Roman" w:hAnsi="Tahoma" w:cs="Tahoma"/>
                <w:sz w:val="20"/>
                <w:szCs w:val="20"/>
                <w:lang w:val="en-AU"/>
              </w:rPr>
              <w:t>Casey City Council</w:t>
            </w:r>
          </w:p>
        </w:tc>
        <w:tc>
          <w:tcPr>
            <w:tcW w:w="2649" w:type="pct"/>
          </w:tcPr>
          <w:p w:rsidR="008321F3" w:rsidRPr="00E84DC2" w:rsidRDefault="00D733EB" w:rsidP="00094D0F">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
                <w:sz w:val="20"/>
                <w:szCs w:val="20"/>
                <w:lang w:val="en-AU"/>
              </w:rPr>
            </w:pPr>
            <w:r w:rsidRPr="00D733EB">
              <w:rPr>
                <w:rFonts w:ascii="Tahoma" w:eastAsia="Times New Roman" w:hAnsi="Tahoma" w:cs="Tahoma"/>
                <w:b/>
                <w:sz w:val="20"/>
                <w:szCs w:val="20"/>
                <w:lang w:val="en-AU"/>
              </w:rPr>
              <w:t>LaTrobe University Centre for Public Sector Governance, Accountability and Performance</w:t>
            </w:r>
          </w:p>
        </w:tc>
      </w:tr>
      <w:tr w:rsidR="008321F3" w:rsidRPr="00E84DC2" w:rsidTr="007E7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1" w:type="pct"/>
            <w:hideMark/>
          </w:tcPr>
          <w:p w:rsidR="008321F3" w:rsidRPr="00E84DC2" w:rsidRDefault="00D733EB" w:rsidP="00094D0F">
            <w:pPr>
              <w:rPr>
                <w:rFonts w:ascii="Tahoma" w:eastAsia="Times New Roman" w:hAnsi="Tahoma" w:cs="Tahoma"/>
                <w:b w:val="0"/>
                <w:sz w:val="20"/>
                <w:szCs w:val="20"/>
                <w:lang w:val="en-AU"/>
              </w:rPr>
            </w:pPr>
            <w:r w:rsidRPr="00D733EB">
              <w:rPr>
                <w:rFonts w:ascii="Tahoma" w:eastAsia="Times New Roman" w:hAnsi="Tahoma" w:cs="Tahoma"/>
                <w:sz w:val="20"/>
                <w:szCs w:val="20"/>
                <w:lang w:val="en-AU"/>
              </w:rPr>
              <w:t>Latrobe City Council</w:t>
            </w:r>
          </w:p>
        </w:tc>
        <w:tc>
          <w:tcPr>
            <w:tcW w:w="2649" w:type="pct"/>
          </w:tcPr>
          <w:p w:rsidR="008321F3" w:rsidRPr="00E84DC2" w:rsidRDefault="00D733EB" w:rsidP="00094D0F">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b/>
                <w:sz w:val="20"/>
                <w:szCs w:val="20"/>
                <w:lang w:val="en-AU"/>
              </w:rPr>
            </w:pPr>
            <w:r w:rsidRPr="00D733EB">
              <w:rPr>
                <w:rFonts w:ascii="Tahoma" w:eastAsia="Times New Roman" w:hAnsi="Tahoma" w:cs="Tahoma"/>
                <w:b/>
                <w:sz w:val="20"/>
                <w:szCs w:val="20"/>
                <w:lang w:val="en-AU"/>
              </w:rPr>
              <w:t>Victorian Local Governance Association</w:t>
            </w:r>
          </w:p>
        </w:tc>
      </w:tr>
      <w:tr w:rsidR="008321F3" w:rsidRPr="00E84DC2" w:rsidTr="007E75AC">
        <w:tc>
          <w:tcPr>
            <w:cnfStyle w:val="001000000000" w:firstRow="0" w:lastRow="0" w:firstColumn="1" w:lastColumn="0" w:oddVBand="0" w:evenVBand="0" w:oddHBand="0" w:evenHBand="0" w:firstRowFirstColumn="0" w:firstRowLastColumn="0" w:lastRowFirstColumn="0" w:lastRowLastColumn="0"/>
            <w:tcW w:w="2351" w:type="pct"/>
            <w:hideMark/>
          </w:tcPr>
          <w:p w:rsidR="008321F3" w:rsidRPr="00E84DC2" w:rsidRDefault="00D733EB" w:rsidP="00094D0F">
            <w:pPr>
              <w:rPr>
                <w:rFonts w:ascii="Tahoma" w:eastAsia="Times New Roman" w:hAnsi="Tahoma" w:cs="Tahoma"/>
                <w:b w:val="0"/>
                <w:sz w:val="20"/>
                <w:szCs w:val="20"/>
                <w:lang w:val="en-AU"/>
              </w:rPr>
            </w:pPr>
            <w:r w:rsidRPr="00D733EB">
              <w:rPr>
                <w:rFonts w:ascii="Tahoma" w:eastAsia="Times New Roman" w:hAnsi="Tahoma" w:cs="Tahoma"/>
                <w:sz w:val="20"/>
                <w:szCs w:val="20"/>
                <w:lang w:val="en-AU"/>
              </w:rPr>
              <w:lastRenderedPageBreak/>
              <w:t>Wyndham City Council</w:t>
            </w:r>
          </w:p>
        </w:tc>
        <w:tc>
          <w:tcPr>
            <w:tcW w:w="2649" w:type="pct"/>
          </w:tcPr>
          <w:p w:rsidR="008321F3" w:rsidRPr="00E84DC2" w:rsidRDefault="00D733EB" w:rsidP="00094D0F">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
                <w:sz w:val="20"/>
                <w:szCs w:val="20"/>
                <w:lang w:val="en-AU"/>
              </w:rPr>
            </w:pPr>
            <w:r w:rsidRPr="00D733EB">
              <w:rPr>
                <w:rFonts w:ascii="Tahoma" w:eastAsia="Times New Roman" w:hAnsi="Tahoma" w:cs="Tahoma"/>
                <w:b/>
                <w:sz w:val="20"/>
                <w:szCs w:val="20"/>
                <w:lang w:val="en-AU"/>
              </w:rPr>
              <w:t>Australian Centre of Excellence for Local Government</w:t>
            </w:r>
          </w:p>
        </w:tc>
      </w:tr>
      <w:tr w:rsidR="008321F3" w:rsidRPr="00E84DC2" w:rsidTr="007E7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1" w:type="pct"/>
            <w:hideMark/>
          </w:tcPr>
          <w:p w:rsidR="008321F3" w:rsidRPr="00E84DC2" w:rsidRDefault="00D733EB" w:rsidP="00094D0F">
            <w:pPr>
              <w:rPr>
                <w:rFonts w:ascii="Tahoma" w:eastAsia="Times New Roman" w:hAnsi="Tahoma" w:cs="Tahoma"/>
                <w:b w:val="0"/>
                <w:sz w:val="20"/>
                <w:szCs w:val="20"/>
                <w:lang w:val="en-AU"/>
              </w:rPr>
            </w:pPr>
            <w:r w:rsidRPr="00D733EB">
              <w:rPr>
                <w:rFonts w:ascii="Tahoma" w:eastAsia="Times New Roman" w:hAnsi="Tahoma" w:cs="Tahoma"/>
                <w:sz w:val="20"/>
                <w:szCs w:val="20"/>
                <w:lang w:val="en-AU"/>
              </w:rPr>
              <w:t>Hume City Council</w:t>
            </w:r>
          </w:p>
        </w:tc>
        <w:tc>
          <w:tcPr>
            <w:tcW w:w="2649" w:type="pct"/>
          </w:tcPr>
          <w:p w:rsidR="008321F3" w:rsidRPr="00E84DC2" w:rsidRDefault="00D733EB" w:rsidP="00094D0F">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b/>
                <w:sz w:val="20"/>
                <w:szCs w:val="20"/>
                <w:lang w:val="en-AU"/>
              </w:rPr>
            </w:pPr>
            <w:r w:rsidRPr="00D733EB">
              <w:rPr>
                <w:rFonts w:ascii="Tahoma" w:eastAsia="Times New Roman" w:hAnsi="Tahoma" w:cs="Tahoma"/>
                <w:b/>
                <w:sz w:val="20"/>
                <w:szCs w:val="20"/>
                <w:lang w:val="en-AU"/>
              </w:rPr>
              <w:t>Essential Services Commission</w:t>
            </w:r>
          </w:p>
        </w:tc>
      </w:tr>
      <w:tr w:rsidR="008321F3" w:rsidRPr="00E84DC2" w:rsidTr="007E75AC">
        <w:tc>
          <w:tcPr>
            <w:cnfStyle w:val="001000000000" w:firstRow="0" w:lastRow="0" w:firstColumn="1" w:lastColumn="0" w:oddVBand="0" w:evenVBand="0" w:oddHBand="0" w:evenHBand="0" w:firstRowFirstColumn="0" w:firstRowLastColumn="0" w:lastRowFirstColumn="0" w:lastRowLastColumn="0"/>
            <w:tcW w:w="2351" w:type="pct"/>
            <w:hideMark/>
          </w:tcPr>
          <w:p w:rsidR="008321F3" w:rsidRPr="00E84DC2" w:rsidRDefault="00D733EB" w:rsidP="00094D0F">
            <w:pPr>
              <w:rPr>
                <w:rFonts w:ascii="Tahoma" w:eastAsia="Times New Roman" w:hAnsi="Tahoma" w:cs="Tahoma"/>
                <w:b w:val="0"/>
                <w:sz w:val="20"/>
                <w:szCs w:val="20"/>
                <w:lang w:val="en-AU"/>
              </w:rPr>
            </w:pPr>
            <w:r w:rsidRPr="00D733EB">
              <w:rPr>
                <w:rFonts w:ascii="Tahoma" w:eastAsia="Times New Roman" w:hAnsi="Tahoma" w:cs="Tahoma"/>
                <w:sz w:val="20"/>
                <w:szCs w:val="20"/>
                <w:lang w:val="en-AU"/>
              </w:rPr>
              <w:t>Port Phillip City Council</w:t>
            </w:r>
          </w:p>
        </w:tc>
        <w:tc>
          <w:tcPr>
            <w:tcW w:w="2649" w:type="pct"/>
          </w:tcPr>
          <w:p w:rsidR="008321F3" w:rsidRPr="00E84DC2" w:rsidRDefault="008321F3" w:rsidP="00094D0F">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20"/>
                <w:szCs w:val="20"/>
                <w:lang w:val="en-AU"/>
              </w:rPr>
            </w:pPr>
          </w:p>
        </w:tc>
      </w:tr>
      <w:tr w:rsidR="008321F3" w:rsidRPr="00E84DC2" w:rsidTr="007E7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1" w:type="pct"/>
            <w:hideMark/>
          </w:tcPr>
          <w:p w:rsidR="008321F3" w:rsidRPr="00E84DC2" w:rsidRDefault="00D733EB" w:rsidP="00094D0F">
            <w:pPr>
              <w:rPr>
                <w:rFonts w:ascii="Tahoma" w:eastAsia="Times New Roman" w:hAnsi="Tahoma" w:cs="Tahoma"/>
                <w:b w:val="0"/>
                <w:sz w:val="20"/>
                <w:szCs w:val="20"/>
                <w:lang w:val="en-AU"/>
              </w:rPr>
            </w:pPr>
            <w:r w:rsidRPr="00D733EB">
              <w:rPr>
                <w:rFonts w:ascii="Tahoma" w:eastAsia="Times New Roman" w:hAnsi="Tahoma" w:cs="Tahoma"/>
                <w:sz w:val="20"/>
                <w:szCs w:val="20"/>
                <w:lang w:val="en-AU"/>
              </w:rPr>
              <w:t>Strathbogie Shire Council</w:t>
            </w:r>
          </w:p>
        </w:tc>
        <w:tc>
          <w:tcPr>
            <w:tcW w:w="2649" w:type="pct"/>
          </w:tcPr>
          <w:p w:rsidR="008321F3" w:rsidRPr="00E84DC2" w:rsidRDefault="008321F3" w:rsidP="00094D0F">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sz w:val="20"/>
                <w:szCs w:val="20"/>
                <w:lang w:val="en-AU"/>
              </w:rPr>
            </w:pPr>
          </w:p>
        </w:tc>
      </w:tr>
      <w:tr w:rsidR="008321F3" w:rsidRPr="00E84DC2" w:rsidTr="007E75AC">
        <w:tc>
          <w:tcPr>
            <w:cnfStyle w:val="001000000000" w:firstRow="0" w:lastRow="0" w:firstColumn="1" w:lastColumn="0" w:oddVBand="0" w:evenVBand="0" w:oddHBand="0" w:evenHBand="0" w:firstRowFirstColumn="0" w:firstRowLastColumn="0" w:lastRowFirstColumn="0" w:lastRowLastColumn="0"/>
            <w:tcW w:w="2351" w:type="pct"/>
            <w:hideMark/>
          </w:tcPr>
          <w:p w:rsidR="008321F3" w:rsidRPr="00E84DC2" w:rsidRDefault="00D733EB" w:rsidP="00094D0F">
            <w:pPr>
              <w:rPr>
                <w:rFonts w:ascii="Tahoma" w:eastAsia="Times New Roman" w:hAnsi="Tahoma" w:cs="Tahoma"/>
                <w:b w:val="0"/>
                <w:sz w:val="20"/>
                <w:szCs w:val="20"/>
                <w:lang w:val="en-AU"/>
              </w:rPr>
            </w:pPr>
            <w:r w:rsidRPr="00D733EB">
              <w:rPr>
                <w:rFonts w:ascii="Tahoma" w:eastAsia="Times New Roman" w:hAnsi="Tahoma" w:cs="Tahoma"/>
                <w:sz w:val="20"/>
                <w:szCs w:val="20"/>
                <w:lang w:val="en-AU"/>
              </w:rPr>
              <w:t>Maroondah City Council</w:t>
            </w:r>
          </w:p>
        </w:tc>
        <w:tc>
          <w:tcPr>
            <w:tcW w:w="2649" w:type="pct"/>
          </w:tcPr>
          <w:p w:rsidR="008321F3" w:rsidRPr="00E84DC2" w:rsidRDefault="008321F3" w:rsidP="00094D0F">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20"/>
                <w:szCs w:val="20"/>
                <w:lang w:val="en-AU"/>
              </w:rPr>
            </w:pPr>
          </w:p>
        </w:tc>
      </w:tr>
      <w:tr w:rsidR="008321F3" w:rsidRPr="00E84DC2" w:rsidTr="007E7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1" w:type="pct"/>
            <w:hideMark/>
          </w:tcPr>
          <w:p w:rsidR="008321F3" w:rsidRPr="00E84DC2" w:rsidRDefault="00D733EB" w:rsidP="00094D0F">
            <w:pPr>
              <w:rPr>
                <w:rFonts w:ascii="Tahoma" w:eastAsia="Times New Roman" w:hAnsi="Tahoma" w:cs="Tahoma"/>
                <w:b w:val="0"/>
                <w:sz w:val="20"/>
                <w:szCs w:val="20"/>
                <w:lang w:val="en-AU"/>
              </w:rPr>
            </w:pPr>
            <w:r w:rsidRPr="00D733EB">
              <w:rPr>
                <w:rFonts w:ascii="Tahoma" w:eastAsia="Times New Roman" w:hAnsi="Tahoma" w:cs="Tahoma"/>
                <w:sz w:val="20"/>
                <w:szCs w:val="20"/>
                <w:lang w:val="en-AU"/>
              </w:rPr>
              <w:t>Darebin City Council</w:t>
            </w:r>
          </w:p>
        </w:tc>
        <w:tc>
          <w:tcPr>
            <w:tcW w:w="2649" w:type="pct"/>
          </w:tcPr>
          <w:p w:rsidR="008321F3" w:rsidRPr="00E84DC2" w:rsidRDefault="008321F3" w:rsidP="00094D0F">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sz w:val="20"/>
                <w:szCs w:val="20"/>
                <w:lang w:val="en-AU"/>
              </w:rPr>
            </w:pPr>
          </w:p>
        </w:tc>
      </w:tr>
      <w:tr w:rsidR="008321F3" w:rsidRPr="00E84DC2" w:rsidTr="007E75AC">
        <w:tc>
          <w:tcPr>
            <w:cnfStyle w:val="001000000000" w:firstRow="0" w:lastRow="0" w:firstColumn="1" w:lastColumn="0" w:oddVBand="0" w:evenVBand="0" w:oddHBand="0" w:evenHBand="0" w:firstRowFirstColumn="0" w:firstRowLastColumn="0" w:lastRowFirstColumn="0" w:lastRowLastColumn="0"/>
            <w:tcW w:w="2351" w:type="pct"/>
            <w:hideMark/>
          </w:tcPr>
          <w:p w:rsidR="008321F3" w:rsidRPr="00E84DC2" w:rsidRDefault="00D733EB" w:rsidP="00094D0F">
            <w:pPr>
              <w:rPr>
                <w:rFonts w:ascii="Tahoma" w:eastAsia="Times New Roman" w:hAnsi="Tahoma" w:cs="Tahoma"/>
                <w:b w:val="0"/>
                <w:sz w:val="20"/>
                <w:szCs w:val="20"/>
                <w:lang w:val="en-AU"/>
              </w:rPr>
            </w:pPr>
            <w:r w:rsidRPr="00D733EB">
              <w:rPr>
                <w:rFonts w:ascii="Tahoma" w:eastAsia="Times New Roman" w:hAnsi="Tahoma" w:cs="Tahoma"/>
                <w:sz w:val="20"/>
                <w:szCs w:val="20"/>
                <w:lang w:val="en-AU"/>
              </w:rPr>
              <w:t>Ballarat Rural City Council</w:t>
            </w:r>
          </w:p>
        </w:tc>
        <w:tc>
          <w:tcPr>
            <w:tcW w:w="2649" w:type="pct"/>
          </w:tcPr>
          <w:p w:rsidR="008321F3" w:rsidRPr="00E84DC2" w:rsidRDefault="008321F3" w:rsidP="00094D0F">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20"/>
                <w:szCs w:val="20"/>
                <w:lang w:val="en-AU"/>
              </w:rPr>
            </w:pPr>
          </w:p>
        </w:tc>
      </w:tr>
      <w:tr w:rsidR="008321F3" w:rsidRPr="00E84DC2" w:rsidTr="007E7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1" w:type="pct"/>
            <w:hideMark/>
          </w:tcPr>
          <w:p w:rsidR="008321F3" w:rsidRPr="00E84DC2" w:rsidRDefault="00D733EB" w:rsidP="00094D0F">
            <w:pPr>
              <w:rPr>
                <w:rFonts w:ascii="Tahoma" w:eastAsia="Times New Roman" w:hAnsi="Tahoma" w:cs="Tahoma"/>
                <w:b w:val="0"/>
                <w:sz w:val="20"/>
                <w:szCs w:val="20"/>
                <w:lang w:val="en-AU"/>
              </w:rPr>
            </w:pPr>
            <w:r w:rsidRPr="00D733EB">
              <w:rPr>
                <w:rFonts w:ascii="Tahoma" w:eastAsia="Times New Roman" w:hAnsi="Tahoma" w:cs="Tahoma"/>
                <w:sz w:val="20"/>
                <w:szCs w:val="20"/>
                <w:lang w:val="en-AU"/>
              </w:rPr>
              <w:t>Colac Otway Shire Council</w:t>
            </w:r>
          </w:p>
        </w:tc>
        <w:tc>
          <w:tcPr>
            <w:tcW w:w="2649" w:type="pct"/>
          </w:tcPr>
          <w:p w:rsidR="008321F3" w:rsidRPr="00E84DC2" w:rsidRDefault="008321F3" w:rsidP="00094D0F">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sz w:val="20"/>
                <w:szCs w:val="20"/>
                <w:lang w:val="en-AU"/>
              </w:rPr>
            </w:pPr>
          </w:p>
        </w:tc>
      </w:tr>
      <w:tr w:rsidR="008321F3" w:rsidRPr="00E84DC2" w:rsidTr="007E75AC">
        <w:tc>
          <w:tcPr>
            <w:cnfStyle w:val="001000000000" w:firstRow="0" w:lastRow="0" w:firstColumn="1" w:lastColumn="0" w:oddVBand="0" w:evenVBand="0" w:oddHBand="0" w:evenHBand="0" w:firstRowFirstColumn="0" w:firstRowLastColumn="0" w:lastRowFirstColumn="0" w:lastRowLastColumn="0"/>
            <w:tcW w:w="2351" w:type="pct"/>
          </w:tcPr>
          <w:p w:rsidR="008321F3" w:rsidRPr="00E84DC2" w:rsidRDefault="00D733EB" w:rsidP="00094D0F">
            <w:pPr>
              <w:rPr>
                <w:rFonts w:ascii="Tahoma" w:eastAsia="Times New Roman" w:hAnsi="Tahoma" w:cs="Tahoma"/>
                <w:b w:val="0"/>
                <w:sz w:val="20"/>
                <w:szCs w:val="20"/>
                <w:lang w:val="en-AU"/>
              </w:rPr>
            </w:pPr>
            <w:r w:rsidRPr="00D733EB">
              <w:rPr>
                <w:rFonts w:ascii="Tahoma" w:eastAsia="Times New Roman" w:hAnsi="Tahoma" w:cs="Tahoma"/>
                <w:sz w:val="20"/>
                <w:szCs w:val="20"/>
                <w:lang w:val="en-AU"/>
              </w:rPr>
              <w:t>Geelong City Council</w:t>
            </w:r>
          </w:p>
        </w:tc>
        <w:tc>
          <w:tcPr>
            <w:tcW w:w="2649" w:type="pct"/>
          </w:tcPr>
          <w:p w:rsidR="008321F3" w:rsidRPr="00E84DC2" w:rsidRDefault="008321F3" w:rsidP="00094D0F">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20"/>
                <w:szCs w:val="20"/>
                <w:lang w:val="en-AU"/>
              </w:rPr>
            </w:pPr>
          </w:p>
        </w:tc>
      </w:tr>
      <w:tr w:rsidR="007E75AC" w:rsidRPr="00E84DC2" w:rsidTr="007E7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1" w:type="pct"/>
          </w:tcPr>
          <w:p w:rsidR="007E75AC" w:rsidRPr="00E84DC2" w:rsidRDefault="00D733EB" w:rsidP="00094D0F">
            <w:pPr>
              <w:rPr>
                <w:rFonts w:ascii="Tahoma" w:eastAsia="Times New Roman" w:hAnsi="Tahoma" w:cs="Tahoma"/>
                <w:b w:val="0"/>
                <w:sz w:val="20"/>
                <w:szCs w:val="20"/>
                <w:lang w:val="en-AU"/>
              </w:rPr>
            </w:pPr>
            <w:r w:rsidRPr="00D733EB">
              <w:rPr>
                <w:rFonts w:ascii="Tahoma" w:eastAsia="Times New Roman" w:hAnsi="Tahoma" w:cs="Tahoma"/>
                <w:sz w:val="20"/>
                <w:szCs w:val="20"/>
                <w:lang w:val="en-AU"/>
              </w:rPr>
              <w:t>Mansfield Shire Council</w:t>
            </w:r>
          </w:p>
        </w:tc>
        <w:tc>
          <w:tcPr>
            <w:tcW w:w="2649" w:type="pct"/>
          </w:tcPr>
          <w:p w:rsidR="007E75AC" w:rsidRPr="00E84DC2" w:rsidRDefault="007E75AC" w:rsidP="00094D0F">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sz w:val="20"/>
                <w:szCs w:val="20"/>
                <w:lang w:val="en-AU"/>
              </w:rPr>
            </w:pPr>
          </w:p>
        </w:tc>
      </w:tr>
      <w:tr w:rsidR="007E75AC" w:rsidRPr="00E84DC2" w:rsidTr="007E75AC">
        <w:tc>
          <w:tcPr>
            <w:cnfStyle w:val="001000000000" w:firstRow="0" w:lastRow="0" w:firstColumn="1" w:lastColumn="0" w:oddVBand="0" w:evenVBand="0" w:oddHBand="0" w:evenHBand="0" w:firstRowFirstColumn="0" w:firstRowLastColumn="0" w:lastRowFirstColumn="0" w:lastRowLastColumn="0"/>
            <w:tcW w:w="2351" w:type="pct"/>
          </w:tcPr>
          <w:p w:rsidR="007E75AC" w:rsidRPr="00E84DC2" w:rsidRDefault="00D733EB" w:rsidP="00094D0F">
            <w:pPr>
              <w:rPr>
                <w:rFonts w:ascii="Tahoma" w:eastAsia="Times New Roman" w:hAnsi="Tahoma" w:cs="Tahoma"/>
                <w:b w:val="0"/>
                <w:sz w:val="20"/>
                <w:szCs w:val="20"/>
                <w:lang w:val="en-AU"/>
              </w:rPr>
            </w:pPr>
            <w:r w:rsidRPr="00D733EB">
              <w:rPr>
                <w:rFonts w:ascii="Tahoma" w:eastAsia="Times New Roman" w:hAnsi="Tahoma" w:cs="Tahoma"/>
                <w:sz w:val="20"/>
                <w:szCs w:val="20"/>
                <w:lang w:val="en-AU"/>
              </w:rPr>
              <w:t>Moreland City Council</w:t>
            </w:r>
          </w:p>
        </w:tc>
        <w:tc>
          <w:tcPr>
            <w:tcW w:w="2649" w:type="pct"/>
          </w:tcPr>
          <w:p w:rsidR="007E75AC" w:rsidRPr="00E84DC2" w:rsidRDefault="007E75AC" w:rsidP="00094D0F">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20"/>
                <w:szCs w:val="20"/>
                <w:lang w:val="en-AU"/>
              </w:rPr>
            </w:pPr>
          </w:p>
        </w:tc>
      </w:tr>
    </w:tbl>
    <w:p w:rsidR="001A5CE5" w:rsidRPr="00E84DC2" w:rsidRDefault="001A5CE5" w:rsidP="00041CC0">
      <w:pPr>
        <w:rPr>
          <w:rFonts w:ascii="Tahoma" w:eastAsia="Times New Roman" w:hAnsi="Tahoma" w:cs="Tahoma"/>
          <w:sz w:val="22"/>
          <w:szCs w:val="22"/>
          <w:lang w:val="en-AU"/>
        </w:rPr>
      </w:pPr>
    </w:p>
    <w:p w:rsidR="001A5CE5" w:rsidRPr="00E84DC2" w:rsidRDefault="00D733EB" w:rsidP="001A5CE5">
      <w:pPr>
        <w:rPr>
          <w:rFonts w:ascii="Tahoma" w:eastAsia="Times New Roman" w:hAnsi="Tahoma" w:cs="Tahoma"/>
          <w:sz w:val="22"/>
          <w:szCs w:val="22"/>
          <w:lang w:val="en-AU"/>
        </w:rPr>
      </w:pPr>
      <w:r w:rsidRPr="00D733EB">
        <w:rPr>
          <w:rFonts w:ascii="Tahoma" w:eastAsia="Times New Roman" w:hAnsi="Tahoma" w:cs="Tahoma"/>
          <w:sz w:val="22"/>
          <w:szCs w:val="22"/>
          <w:lang w:val="en-AU"/>
        </w:rPr>
        <w:t>LGV produced the two key documents to seek public input to the development of the LGPRF including a:</w:t>
      </w:r>
    </w:p>
    <w:p w:rsidR="001A5CE5" w:rsidRPr="00E84DC2" w:rsidRDefault="00D733EB" w:rsidP="001A5CE5">
      <w:pPr>
        <w:pStyle w:val="ListParagraph"/>
        <w:rPr>
          <w:rFonts w:ascii="Tahoma" w:hAnsi="Tahoma" w:cs="Tahoma"/>
          <w:lang w:val="en-AU"/>
        </w:rPr>
      </w:pPr>
      <w:r w:rsidRPr="00D733EB">
        <w:rPr>
          <w:rFonts w:ascii="Tahoma" w:hAnsi="Tahoma" w:cs="Tahoma"/>
          <w:i/>
        </w:rPr>
        <w:t>Directions</w:t>
      </w:r>
      <w:r w:rsidRPr="00D733EB">
        <w:rPr>
          <w:rFonts w:ascii="Tahoma" w:hAnsi="Tahoma" w:cs="Tahoma"/>
          <w:i/>
          <w:lang w:val="en-AU"/>
        </w:rPr>
        <w:t xml:space="preserve"> Paper</w:t>
      </w:r>
      <w:r w:rsidRPr="00D733EB">
        <w:rPr>
          <w:rFonts w:ascii="Tahoma" w:hAnsi="Tahoma" w:cs="Tahoma"/>
          <w:lang w:val="en-AU"/>
        </w:rPr>
        <w:t xml:space="preserve"> in November 2012 which outlined the objectives as well as the conceptual model proposed to be the basis of performance reporting</w:t>
      </w:r>
      <w:r w:rsidR="006B0C1F">
        <w:rPr>
          <w:rFonts w:ascii="Tahoma" w:hAnsi="Tahoma" w:cs="Tahoma"/>
          <w:lang w:val="en-AU"/>
        </w:rPr>
        <w:t>; and</w:t>
      </w:r>
    </w:p>
    <w:p w:rsidR="001A5CE5" w:rsidRPr="00E84DC2" w:rsidRDefault="00D733EB" w:rsidP="001A5CE5">
      <w:pPr>
        <w:pStyle w:val="ListParagraph"/>
        <w:rPr>
          <w:rFonts w:ascii="Tahoma" w:eastAsia="Times New Roman" w:hAnsi="Tahoma" w:cs="Tahoma"/>
          <w:lang w:val="en-AU"/>
        </w:rPr>
      </w:pPr>
      <w:r w:rsidRPr="00D733EB">
        <w:rPr>
          <w:rFonts w:ascii="Tahoma" w:hAnsi="Tahoma" w:cs="Tahoma"/>
          <w:i/>
        </w:rPr>
        <w:t>Working Paper</w:t>
      </w:r>
      <w:r w:rsidRPr="00D733EB">
        <w:rPr>
          <w:rFonts w:ascii="Tahoma" w:hAnsi="Tahoma" w:cs="Tahoma"/>
        </w:rPr>
        <w:t xml:space="preserve"> in May 2013 outlining the draft framework and indicator sets as part of a regional workshop series to seek feedback on the draft framework and indicators and promote awareness of the pilot</w:t>
      </w:r>
      <w:r w:rsidRPr="00D733EB">
        <w:rPr>
          <w:rFonts w:ascii="Tahoma" w:eastAsia="Times New Roman" w:hAnsi="Tahoma" w:cs="Tahoma"/>
          <w:lang w:val="en-AU"/>
        </w:rPr>
        <w:t xml:space="preserve"> program.</w:t>
      </w:r>
    </w:p>
    <w:p w:rsidR="001A5CE5" w:rsidRPr="00E84DC2" w:rsidRDefault="001A5CE5" w:rsidP="001A5CE5">
      <w:pPr>
        <w:rPr>
          <w:rFonts w:ascii="Tahoma" w:eastAsia="Times New Roman" w:hAnsi="Tahoma" w:cs="Tahoma"/>
          <w:sz w:val="22"/>
          <w:szCs w:val="22"/>
          <w:lang w:val="en-AU"/>
        </w:rPr>
      </w:pPr>
    </w:p>
    <w:p w:rsidR="00434705" w:rsidRPr="00E84DC2" w:rsidRDefault="00D733EB" w:rsidP="00434705">
      <w:pPr>
        <w:rPr>
          <w:rFonts w:ascii="Tahoma" w:eastAsia="Times New Roman" w:hAnsi="Tahoma" w:cs="Tahoma"/>
          <w:sz w:val="22"/>
          <w:szCs w:val="22"/>
          <w:lang w:val="en-AU"/>
        </w:rPr>
      </w:pPr>
      <w:r w:rsidRPr="00D733EB">
        <w:rPr>
          <w:rFonts w:ascii="Tahoma" w:eastAsia="Times New Roman" w:hAnsi="Tahoma" w:cs="Tahoma"/>
          <w:sz w:val="22"/>
          <w:szCs w:val="22"/>
          <w:lang w:val="en-AU"/>
        </w:rPr>
        <w:t xml:space="preserve">35 information sessions were held attended by over a thousand mayors, councillors, senior staff and members of the community as part of the development of the LGPRF Written feedback was received by over 30 councils and community groups and has been considered in the finalisation of the draft indicators and measures. </w:t>
      </w:r>
    </w:p>
    <w:p w:rsidR="00434705" w:rsidRPr="00E84DC2" w:rsidRDefault="00434705" w:rsidP="00434705">
      <w:pPr>
        <w:rPr>
          <w:rFonts w:ascii="Tahoma" w:eastAsia="Times New Roman" w:hAnsi="Tahoma" w:cs="Tahoma"/>
          <w:sz w:val="22"/>
          <w:szCs w:val="22"/>
          <w:lang w:val="en-AU"/>
        </w:rPr>
      </w:pPr>
    </w:p>
    <w:p w:rsidR="00434705" w:rsidRPr="00E84DC2" w:rsidRDefault="00D733EB" w:rsidP="00434705">
      <w:pPr>
        <w:rPr>
          <w:rFonts w:ascii="Tahoma" w:eastAsia="Times New Roman" w:hAnsi="Tahoma" w:cs="Tahoma"/>
          <w:sz w:val="22"/>
          <w:szCs w:val="22"/>
          <w:lang w:val="en-AU"/>
        </w:rPr>
      </w:pPr>
      <w:r w:rsidRPr="00D733EB">
        <w:rPr>
          <w:rFonts w:ascii="Tahoma" w:eastAsia="Times New Roman" w:hAnsi="Tahoma" w:cs="Tahoma"/>
          <w:sz w:val="22"/>
          <w:szCs w:val="22"/>
          <w:lang w:val="en-AU"/>
        </w:rPr>
        <w:t>Further community input has been sought on the format of reporting through independent focus groups.</w:t>
      </w:r>
    </w:p>
    <w:p w:rsidR="001A5CE5" w:rsidRPr="00E84DC2" w:rsidRDefault="001A5CE5" w:rsidP="00041CC0">
      <w:pPr>
        <w:rPr>
          <w:rFonts w:ascii="Tahoma" w:eastAsia="Times New Roman" w:hAnsi="Tahoma" w:cs="Tahoma"/>
          <w:sz w:val="22"/>
          <w:szCs w:val="22"/>
          <w:lang w:val="en-AU"/>
        </w:rPr>
      </w:pPr>
    </w:p>
    <w:p w:rsidR="00434705" w:rsidRPr="00E84DC2" w:rsidRDefault="00D733EB" w:rsidP="00B43FC9">
      <w:pPr>
        <w:rPr>
          <w:rFonts w:ascii="Tahoma" w:eastAsia="Times New Roman" w:hAnsi="Tahoma" w:cs="Tahoma"/>
          <w:sz w:val="22"/>
          <w:szCs w:val="22"/>
          <w:lang w:val="en-AU"/>
        </w:rPr>
      </w:pPr>
      <w:r w:rsidRPr="00D733EB">
        <w:rPr>
          <w:rFonts w:ascii="Tahoma" w:eastAsia="Times New Roman" w:hAnsi="Tahoma" w:cs="Tahoma"/>
          <w:sz w:val="22"/>
          <w:szCs w:val="22"/>
          <w:lang w:val="en-AU"/>
        </w:rPr>
        <w:t>The performance indicators and measures included in the proposed Regulations have been developed through a voluntary pilot program over the past eight months. with the objective of refining the draft indicators, trial data collection and reporting systems, identify data element sources, inform the development of guidance material and test auditability. The pilot program also enabled councils to become familiar with the new reporting requirements and prepare their organisation for the introduction of mandatory performance reporting. 43 councils volunteered to participate in the first reporting trial, in October 2013 with all 79 councils participating in the second reporting trial in February 2014.</w:t>
      </w:r>
    </w:p>
    <w:p w:rsidR="00B717F7" w:rsidRPr="00E84DC2" w:rsidRDefault="00B717F7" w:rsidP="00B43FC9">
      <w:pPr>
        <w:rPr>
          <w:rFonts w:ascii="Tahoma" w:eastAsia="Times New Roman" w:hAnsi="Tahoma" w:cs="Tahoma"/>
          <w:sz w:val="22"/>
          <w:szCs w:val="22"/>
          <w:lang w:val="en-AU"/>
        </w:rPr>
      </w:pPr>
    </w:p>
    <w:p w:rsidR="00485CE7" w:rsidRPr="00E84DC2" w:rsidRDefault="00D733EB" w:rsidP="00485CE7">
      <w:pPr>
        <w:rPr>
          <w:rFonts w:ascii="Tahoma" w:eastAsia="Times New Roman" w:hAnsi="Tahoma" w:cs="Tahoma"/>
          <w:sz w:val="22"/>
          <w:szCs w:val="22"/>
          <w:lang w:val="en-AU"/>
        </w:rPr>
      </w:pPr>
      <w:r w:rsidRPr="00D733EB">
        <w:rPr>
          <w:rFonts w:ascii="Tahoma" w:eastAsia="Times New Roman" w:hAnsi="Tahoma" w:cs="Tahoma"/>
          <w:sz w:val="22"/>
          <w:szCs w:val="22"/>
          <w:lang w:val="en-AU"/>
        </w:rPr>
        <w:t xml:space="preserve">Following the initial pilot, an online survey was conducted to ask councils about the time required to report on each indicator used in the pilot study. This data informed </w:t>
      </w:r>
    </w:p>
    <w:p w:rsidR="007C0657" w:rsidRPr="00E84DC2" w:rsidRDefault="00D733EB" w:rsidP="00B43FC9">
      <w:pPr>
        <w:rPr>
          <w:rFonts w:ascii="Tahoma" w:eastAsia="Times New Roman" w:hAnsi="Tahoma" w:cs="Tahoma"/>
          <w:sz w:val="22"/>
          <w:szCs w:val="22"/>
          <w:lang w:val="en-AU"/>
        </w:rPr>
      </w:pPr>
      <w:r w:rsidRPr="00D733EB">
        <w:rPr>
          <w:rFonts w:ascii="Tahoma" w:eastAsia="Times New Roman" w:hAnsi="Tahoma" w:cs="Tahoma"/>
          <w:sz w:val="22"/>
          <w:szCs w:val="22"/>
          <w:lang w:val="en-AU"/>
        </w:rPr>
        <w:t>the impacts of the proposed Regulations on councils outlined in Chapter 3 of this RIS.</w:t>
      </w:r>
    </w:p>
    <w:p w:rsidR="000A5F09" w:rsidRPr="00E84DC2" w:rsidRDefault="000A5F09" w:rsidP="00B43FC9">
      <w:pPr>
        <w:rPr>
          <w:rFonts w:ascii="Tahoma" w:eastAsia="Times New Roman" w:hAnsi="Tahoma" w:cs="Tahoma"/>
          <w:sz w:val="22"/>
          <w:szCs w:val="22"/>
          <w:lang w:val="en-AU"/>
        </w:rPr>
      </w:pPr>
    </w:p>
    <w:p w:rsidR="000A5F09" w:rsidRPr="00E84DC2" w:rsidRDefault="00D733EB" w:rsidP="00B43FC9">
      <w:pPr>
        <w:rPr>
          <w:rFonts w:ascii="Tahoma" w:eastAsia="Times New Roman" w:hAnsi="Tahoma" w:cs="Tahoma"/>
          <w:sz w:val="22"/>
          <w:szCs w:val="22"/>
          <w:lang w:val="en-AU"/>
        </w:rPr>
      </w:pPr>
      <w:r w:rsidRPr="00D733EB">
        <w:rPr>
          <w:rFonts w:ascii="Tahoma" w:eastAsia="Times New Roman" w:hAnsi="Tahoma" w:cs="Tahoma"/>
          <w:sz w:val="22"/>
          <w:szCs w:val="22"/>
          <w:lang w:val="en-AU"/>
        </w:rPr>
        <w:t>Input on specific indicators has been sought from numerous special interest groups including FinPro, LGPro Special Interest Groups, Public Libraries Victoria Network, Aquatics and Recreation Victoria and Economic Development Australia. Extensive consultation has also been undertaken with relevant state departments and agencies that oversee existing reporting requirements in the proposed LGPRF.</w:t>
      </w:r>
    </w:p>
    <w:p w:rsidR="00BC421D" w:rsidRPr="00E84DC2" w:rsidRDefault="00BC421D" w:rsidP="00B43FC9">
      <w:pPr>
        <w:rPr>
          <w:rFonts w:ascii="Tahoma" w:eastAsia="Times New Roman" w:hAnsi="Tahoma" w:cs="Tahoma"/>
          <w:sz w:val="22"/>
          <w:szCs w:val="22"/>
          <w:lang w:val="en-AU"/>
        </w:rPr>
      </w:pPr>
    </w:p>
    <w:p w:rsidR="00C55A4E" w:rsidRPr="00E84DC2" w:rsidRDefault="00D733EB" w:rsidP="00C55A4E">
      <w:pPr>
        <w:widowControl w:val="0"/>
        <w:autoSpaceDE w:val="0"/>
        <w:autoSpaceDN w:val="0"/>
        <w:adjustRightInd w:val="0"/>
        <w:rPr>
          <w:rFonts w:ascii="Tahoma" w:eastAsia="Times New Roman" w:hAnsi="Tahoma" w:cs="Tahoma"/>
          <w:sz w:val="22"/>
          <w:szCs w:val="22"/>
          <w:lang w:val="en-AU"/>
        </w:rPr>
      </w:pPr>
      <w:r w:rsidRPr="00D733EB">
        <w:rPr>
          <w:rFonts w:ascii="Tahoma" w:eastAsia="Times New Roman" w:hAnsi="Tahoma" w:cs="Tahoma"/>
          <w:sz w:val="22"/>
          <w:szCs w:val="22"/>
          <w:lang w:val="en-AU"/>
        </w:rPr>
        <w:t xml:space="preserve">LGV has consulted closely with the Victorian Auditor-General’s Office on the scope of </w:t>
      </w:r>
      <w:r w:rsidRPr="00D733EB">
        <w:rPr>
          <w:rFonts w:ascii="Tahoma" w:eastAsia="Times New Roman" w:hAnsi="Tahoma" w:cs="Tahoma"/>
          <w:sz w:val="22"/>
          <w:szCs w:val="22"/>
          <w:lang w:val="en-AU"/>
        </w:rPr>
        <w:lastRenderedPageBreak/>
        <w:t>the audited indic</w:t>
      </w:r>
      <w:r w:rsidR="006B0C1F">
        <w:rPr>
          <w:rFonts w:ascii="Tahoma" w:eastAsia="Times New Roman" w:hAnsi="Tahoma" w:cs="Tahoma"/>
          <w:sz w:val="22"/>
          <w:szCs w:val="22"/>
          <w:lang w:val="en-AU"/>
        </w:rPr>
        <w:t>a</w:t>
      </w:r>
      <w:r w:rsidRPr="00D733EB">
        <w:rPr>
          <w:rFonts w:ascii="Tahoma" w:eastAsia="Times New Roman" w:hAnsi="Tahoma" w:cs="Tahoma"/>
          <w:sz w:val="22"/>
          <w:szCs w:val="22"/>
          <w:lang w:val="en-AU"/>
        </w:rPr>
        <w:t>tors and costs of undertaking audits. From financial year 2014-15 onwards, VAGO will issue an audit opinion that addresses the fair presentation, relevant and appropriateness of the performance indicators. Where this statement is not met, a qualified audit opinion may be issued on the performance statement. LGV has continued to consult with VAGO to seek assurance that the performance indicators meet the test of relevance and appropriateness for audit purposes.</w:t>
      </w:r>
    </w:p>
    <w:p w:rsidR="00C55A4E" w:rsidRPr="00E84DC2" w:rsidRDefault="00C55A4E" w:rsidP="00B43FC9">
      <w:pPr>
        <w:rPr>
          <w:rFonts w:ascii="Tahoma" w:eastAsia="Times New Roman" w:hAnsi="Tahoma" w:cs="Tahoma"/>
          <w:sz w:val="22"/>
          <w:szCs w:val="22"/>
          <w:lang w:val="en-AU"/>
        </w:rPr>
      </w:pPr>
    </w:p>
    <w:p w:rsidR="00B24E75" w:rsidRPr="00E84DC2" w:rsidRDefault="00D733EB" w:rsidP="00B43FC9">
      <w:pPr>
        <w:rPr>
          <w:rFonts w:ascii="Tahoma" w:eastAsia="Times New Roman" w:hAnsi="Tahoma" w:cs="Tahoma"/>
          <w:sz w:val="22"/>
          <w:szCs w:val="22"/>
          <w:lang w:val="en-AU"/>
        </w:rPr>
      </w:pPr>
      <w:r w:rsidRPr="00D733EB">
        <w:rPr>
          <w:rFonts w:ascii="Tahoma" w:eastAsia="Times New Roman" w:hAnsi="Tahoma" w:cs="Tahoma"/>
          <w:sz w:val="22"/>
          <w:szCs w:val="22"/>
          <w:lang w:val="en-AU"/>
        </w:rPr>
        <w:t xml:space="preserve">These consultations have informed the development of the performance reporting framework, which is reflected in changes to the Act and the proposed Regulations. </w:t>
      </w:r>
    </w:p>
    <w:p w:rsidR="00B24E75" w:rsidRPr="00E84DC2" w:rsidRDefault="00B24E75" w:rsidP="00B43FC9">
      <w:pPr>
        <w:rPr>
          <w:rFonts w:ascii="Tahoma" w:eastAsia="Times New Roman" w:hAnsi="Tahoma" w:cs="Tahoma"/>
          <w:sz w:val="22"/>
          <w:szCs w:val="22"/>
          <w:lang w:val="en-AU"/>
        </w:rPr>
      </w:pPr>
    </w:p>
    <w:p w:rsidR="00370858" w:rsidRPr="00E84DC2" w:rsidRDefault="00D733EB">
      <w:pPr>
        <w:rPr>
          <w:rFonts w:ascii="Tahoma" w:hAnsi="Tahoma" w:cs="Tahoma"/>
          <w:sz w:val="22"/>
        </w:rPr>
      </w:pPr>
      <w:r w:rsidRPr="00D733EB">
        <w:rPr>
          <w:rFonts w:ascii="Tahoma" w:eastAsia="Times New Roman" w:hAnsi="Tahoma" w:cs="Tahoma"/>
          <w:sz w:val="22"/>
          <w:szCs w:val="22"/>
          <w:lang w:val="en-AU"/>
        </w:rPr>
        <w:t xml:space="preserve">Specific feedback was sought in relation to the application of the Regulations in their current form </w:t>
      </w:r>
      <w:r w:rsidRPr="00D733EB">
        <w:rPr>
          <w:rFonts w:ascii="Tahoma" w:eastAsia="Times New Roman" w:hAnsi="Tahoma" w:cs="Tahoma"/>
          <w:sz w:val="22"/>
          <w:szCs w:val="22"/>
          <w:lang w:val="en-GB"/>
        </w:rPr>
        <w:t>via a circular requesting feedback from the sector issued on 15 July 2013.</w:t>
      </w:r>
      <w:r w:rsidRPr="00D733EB">
        <w:rPr>
          <w:rFonts w:ascii="Tahoma" w:eastAsia="Times New Roman" w:hAnsi="Tahoma" w:cs="Tahoma"/>
          <w:sz w:val="22"/>
          <w:szCs w:val="22"/>
          <w:lang w:val="en-AU"/>
        </w:rPr>
        <w:t xml:space="preserve"> Submissions were received from eight councils (Hume, Strathbogie, Macedon Ranges, Darebin, Manningham, Latrobe and Knox), FinPro as well as an informal submission from </w:t>
      </w:r>
      <w:r w:rsidR="006B0C1F">
        <w:rPr>
          <w:rFonts w:ascii="Tahoma" w:eastAsia="Times New Roman" w:hAnsi="Tahoma" w:cs="Tahoma"/>
          <w:sz w:val="22"/>
          <w:szCs w:val="22"/>
          <w:lang w:val="en-AU"/>
        </w:rPr>
        <w:t>VAGO</w:t>
      </w:r>
      <w:r w:rsidRPr="00D733EB">
        <w:rPr>
          <w:rFonts w:ascii="Tahoma" w:eastAsia="Times New Roman" w:hAnsi="Tahoma" w:cs="Tahoma"/>
          <w:sz w:val="22"/>
          <w:szCs w:val="22"/>
          <w:lang w:val="en-AU"/>
        </w:rPr>
        <w:t xml:space="preserve">.  </w:t>
      </w:r>
      <w:r w:rsidRPr="00D733EB">
        <w:rPr>
          <w:rFonts w:ascii="Tahoma" w:hAnsi="Tahoma" w:cs="Tahoma"/>
          <w:sz w:val="22"/>
          <w:szCs w:val="22"/>
        </w:rPr>
        <w:t>LGV considered all submissions and proposed that the Regulations be modified to reflect the following:</w:t>
      </w:r>
    </w:p>
    <w:p w:rsidR="00370858" w:rsidRPr="00E84DC2" w:rsidRDefault="00D733EB">
      <w:pPr>
        <w:pStyle w:val="ListParagraph"/>
        <w:rPr>
          <w:rFonts w:ascii="Tahoma" w:hAnsi="Tahoma" w:cs="Tahoma"/>
        </w:rPr>
      </w:pPr>
      <w:r w:rsidRPr="00D733EB">
        <w:rPr>
          <w:rFonts w:ascii="Tahoma" w:hAnsi="Tahoma" w:cs="Tahoma"/>
        </w:rPr>
        <w:t>streamline the public notice requirements for the budget, which will result in a cost saving to councils</w:t>
      </w:r>
    </w:p>
    <w:p w:rsidR="00370858" w:rsidRPr="00E84DC2" w:rsidRDefault="00D733EB">
      <w:pPr>
        <w:pStyle w:val="ListParagraph"/>
        <w:rPr>
          <w:rFonts w:ascii="Tahoma" w:hAnsi="Tahoma" w:cs="Tahoma"/>
        </w:rPr>
      </w:pPr>
      <w:r w:rsidRPr="00D733EB">
        <w:rPr>
          <w:rFonts w:ascii="Tahoma" w:hAnsi="Tahoma" w:cs="Tahoma"/>
        </w:rPr>
        <w:t>include a new requirement for the budget to be published on the council website in line with contemporary practice</w:t>
      </w:r>
    </w:p>
    <w:p w:rsidR="00370858" w:rsidRPr="00E84DC2" w:rsidRDefault="00D733EB">
      <w:pPr>
        <w:pStyle w:val="ListParagraph"/>
        <w:rPr>
          <w:rFonts w:ascii="Tahoma" w:hAnsi="Tahoma" w:cs="Tahoma"/>
        </w:rPr>
      </w:pPr>
      <w:r w:rsidRPr="00D733EB">
        <w:rPr>
          <w:rFonts w:ascii="Tahoma" w:hAnsi="Tahoma" w:cs="Tahoma"/>
        </w:rPr>
        <w:t>clarify the caretaker provisions in regard to the meeting to consider an annual report in an election year</w:t>
      </w:r>
    </w:p>
    <w:p w:rsidR="00370858" w:rsidRPr="00E84DC2" w:rsidRDefault="00D733EB">
      <w:pPr>
        <w:pStyle w:val="ListParagraph"/>
        <w:rPr>
          <w:rFonts w:ascii="Tahoma" w:hAnsi="Tahoma" w:cs="Tahoma"/>
        </w:rPr>
      </w:pPr>
      <w:r w:rsidRPr="00D733EB">
        <w:rPr>
          <w:rFonts w:ascii="Tahoma" w:hAnsi="Tahoma" w:cs="Tahoma"/>
        </w:rPr>
        <w:t>other minor technical amendments.</w:t>
      </w:r>
    </w:p>
    <w:p w:rsidR="00915AFF" w:rsidRPr="00E84DC2" w:rsidRDefault="00915AFF" w:rsidP="00B43FC9">
      <w:pPr>
        <w:rPr>
          <w:rFonts w:ascii="Tahoma" w:eastAsia="Times New Roman" w:hAnsi="Tahoma" w:cs="Tahoma"/>
          <w:sz w:val="22"/>
          <w:szCs w:val="22"/>
          <w:lang w:val="en-AU"/>
        </w:rPr>
      </w:pPr>
    </w:p>
    <w:p w:rsidR="000A2376" w:rsidRPr="00E84DC2" w:rsidRDefault="00D733EB" w:rsidP="000A2376">
      <w:pPr>
        <w:rPr>
          <w:rFonts w:ascii="Tahoma" w:eastAsia="Times New Roman" w:hAnsi="Tahoma" w:cs="Tahoma"/>
          <w:sz w:val="22"/>
          <w:szCs w:val="22"/>
          <w:lang w:val="en-AU"/>
        </w:rPr>
      </w:pPr>
      <w:r w:rsidRPr="00D733EB">
        <w:rPr>
          <w:rFonts w:ascii="Tahoma" w:eastAsia="Times New Roman" w:hAnsi="Tahoma" w:cs="Tahoma"/>
          <w:sz w:val="22"/>
          <w:szCs w:val="22"/>
          <w:lang w:val="en-AU"/>
        </w:rPr>
        <w:t>In addition, in the development of this RIS, LGV undertook targeted interviews with five local council to understand the costs involved in complying with the proposed Regulations. This information was used to estimate the impact of the proposed Regulations in Chapter 3. These councils were Cardinia Shire</w:t>
      </w:r>
      <w:r w:rsidR="006B0C1F">
        <w:rPr>
          <w:rFonts w:ascii="Tahoma" w:eastAsia="Times New Roman" w:hAnsi="Tahoma" w:cs="Tahoma"/>
          <w:sz w:val="22"/>
          <w:szCs w:val="22"/>
          <w:lang w:val="en-AU"/>
        </w:rPr>
        <w:t xml:space="preserve"> Council</w:t>
      </w:r>
      <w:r w:rsidRPr="00D733EB">
        <w:rPr>
          <w:rFonts w:ascii="Tahoma" w:eastAsia="Times New Roman" w:hAnsi="Tahoma" w:cs="Tahoma"/>
          <w:sz w:val="22"/>
          <w:szCs w:val="22"/>
          <w:lang w:val="en-AU"/>
        </w:rPr>
        <w:t>, Bayside</w:t>
      </w:r>
      <w:r w:rsidR="006B0C1F">
        <w:rPr>
          <w:rFonts w:ascii="Tahoma" w:eastAsia="Times New Roman" w:hAnsi="Tahoma" w:cs="Tahoma"/>
          <w:sz w:val="22"/>
          <w:szCs w:val="22"/>
          <w:lang w:val="en-AU"/>
        </w:rPr>
        <w:t xml:space="preserve"> City Council</w:t>
      </w:r>
      <w:r w:rsidRPr="00D733EB">
        <w:rPr>
          <w:rFonts w:ascii="Tahoma" w:eastAsia="Times New Roman" w:hAnsi="Tahoma" w:cs="Tahoma"/>
          <w:sz w:val="22"/>
          <w:szCs w:val="22"/>
          <w:lang w:val="en-AU"/>
        </w:rPr>
        <w:t>, Knox, Gannawarra Shire</w:t>
      </w:r>
      <w:r w:rsidR="006B0C1F">
        <w:rPr>
          <w:rFonts w:ascii="Tahoma" w:eastAsia="Times New Roman" w:hAnsi="Tahoma" w:cs="Tahoma"/>
          <w:sz w:val="22"/>
          <w:szCs w:val="22"/>
          <w:lang w:val="en-AU"/>
        </w:rPr>
        <w:t xml:space="preserve"> Council</w:t>
      </w:r>
      <w:r w:rsidRPr="00D733EB">
        <w:rPr>
          <w:rFonts w:ascii="Tahoma" w:eastAsia="Times New Roman" w:hAnsi="Tahoma" w:cs="Tahoma"/>
          <w:sz w:val="22"/>
          <w:szCs w:val="22"/>
          <w:lang w:val="en-AU"/>
        </w:rPr>
        <w:t xml:space="preserve"> and Greater Shepparton</w:t>
      </w:r>
      <w:r w:rsidR="006B0C1F">
        <w:rPr>
          <w:rFonts w:ascii="Tahoma" w:eastAsia="Times New Roman" w:hAnsi="Tahoma" w:cs="Tahoma"/>
          <w:sz w:val="22"/>
          <w:szCs w:val="22"/>
          <w:lang w:val="en-AU"/>
        </w:rPr>
        <w:t xml:space="preserve"> City Council</w:t>
      </w:r>
      <w:r w:rsidRPr="00D733EB">
        <w:rPr>
          <w:rFonts w:ascii="Tahoma" w:eastAsia="Times New Roman" w:hAnsi="Tahoma" w:cs="Tahoma"/>
          <w:sz w:val="22"/>
          <w:szCs w:val="22"/>
          <w:lang w:val="en-AU"/>
        </w:rPr>
        <w:t>. These interviews were used to validate the findings from the earlier online survey.</w:t>
      </w:r>
    </w:p>
    <w:p w:rsidR="00AE33EE" w:rsidRPr="00E84DC2" w:rsidRDefault="00AE33EE" w:rsidP="00AE33EE">
      <w:pPr>
        <w:rPr>
          <w:rFonts w:ascii="Tahoma" w:eastAsia="Times New Roman" w:hAnsi="Tahoma" w:cs="Tahoma"/>
          <w:sz w:val="22"/>
          <w:szCs w:val="22"/>
          <w:lang w:val="en-AU"/>
        </w:rPr>
      </w:pPr>
    </w:p>
    <w:p w:rsidR="00B43FC9" w:rsidRPr="00E84DC2" w:rsidRDefault="00D733EB" w:rsidP="00B43FC9">
      <w:pPr>
        <w:rPr>
          <w:rFonts w:ascii="Tahoma" w:eastAsia="Times New Roman" w:hAnsi="Tahoma" w:cs="Tahoma"/>
          <w:sz w:val="22"/>
          <w:szCs w:val="22"/>
          <w:lang w:val="en-AU"/>
        </w:rPr>
      </w:pPr>
      <w:r w:rsidRPr="00D733EB">
        <w:rPr>
          <w:rFonts w:ascii="Tahoma" w:eastAsia="Times New Roman" w:hAnsi="Tahoma" w:cs="Tahoma"/>
          <w:sz w:val="22"/>
          <w:szCs w:val="22"/>
          <w:lang w:val="en-AU"/>
        </w:rPr>
        <w:t>The preparation of this RIS has taken account of these consultations. Key areas of feedback is shown in Figure 7B, which includes how the feedback has been incorporated into the proposed Regulations.</w:t>
      </w:r>
    </w:p>
    <w:p w:rsidR="003038DE" w:rsidRPr="00E84DC2" w:rsidRDefault="003038DE" w:rsidP="00B43FC9">
      <w:pPr>
        <w:rPr>
          <w:rFonts w:ascii="Tahoma" w:eastAsia="Times New Roman" w:hAnsi="Tahoma" w:cs="Tahoma"/>
          <w:sz w:val="22"/>
          <w:szCs w:val="22"/>
          <w:lang w:val="en-AU"/>
        </w:rPr>
      </w:pPr>
    </w:p>
    <w:p w:rsidR="00370858" w:rsidRPr="00E84DC2" w:rsidRDefault="00D733EB">
      <w:pPr>
        <w:jc w:val="center"/>
        <w:rPr>
          <w:rFonts w:ascii="Tahoma" w:eastAsia="Times New Roman" w:hAnsi="Tahoma" w:cs="Tahoma"/>
          <w:b/>
          <w:sz w:val="22"/>
          <w:szCs w:val="22"/>
          <w:lang w:val="en-AU"/>
        </w:rPr>
      </w:pPr>
      <w:r w:rsidRPr="00D733EB">
        <w:rPr>
          <w:rFonts w:ascii="Tahoma" w:eastAsia="Times New Roman" w:hAnsi="Tahoma" w:cs="Tahoma"/>
          <w:b/>
          <w:sz w:val="22"/>
          <w:szCs w:val="22"/>
          <w:lang w:val="en-AU"/>
        </w:rPr>
        <w:t>Figure 7B</w:t>
      </w:r>
    </w:p>
    <w:p w:rsidR="00370858" w:rsidRPr="00E84DC2" w:rsidRDefault="00D733EB">
      <w:pPr>
        <w:jc w:val="center"/>
        <w:rPr>
          <w:rFonts w:ascii="Tahoma" w:eastAsia="Times New Roman" w:hAnsi="Tahoma" w:cs="Tahoma"/>
          <w:b/>
          <w:sz w:val="22"/>
          <w:szCs w:val="22"/>
          <w:lang w:val="en-AU"/>
        </w:rPr>
      </w:pPr>
      <w:r w:rsidRPr="00D733EB">
        <w:rPr>
          <w:rFonts w:ascii="Tahoma" w:eastAsia="Times New Roman" w:hAnsi="Tahoma" w:cs="Tahoma"/>
          <w:b/>
          <w:sz w:val="22"/>
          <w:szCs w:val="22"/>
          <w:lang w:val="en-AU"/>
        </w:rPr>
        <w:t>Key issues raised in consultation</w:t>
      </w:r>
    </w:p>
    <w:p w:rsidR="003038DE" w:rsidRPr="00E84DC2" w:rsidRDefault="003038DE" w:rsidP="00B43FC9">
      <w:pPr>
        <w:rPr>
          <w:rFonts w:ascii="Tahoma" w:eastAsia="Times New Roman" w:hAnsi="Tahoma" w:cs="Tahoma"/>
          <w:sz w:val="4"/>
          <w:szCs w:val="4"/>
          <w:lang w:val="en-A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1"/>
        <w:gridCol w:w="1592"/>
        <w:gridCol w:w="2489"/>
        <w:gridCol w:w="3206"/>
      </w:tblGrid>
      <w:tr w:rsidR="003038DE" w:rsidRPr="00E84DC2" w:rsidTr="007325EC">
        <w:trPr>
          <w:trHeight w:val="300"/>
        </w:trPr>
        <w:tc>
          <w:tcPr>
            <w:tcW w:w="1418" w:type="dxa"/>
          </w:tcPr>
          <w:p w:rsidR="003038DE" w:rsidRPr="00E84DC2" w:rsidRDefault="00DC14B1" w:rsidP="007325EC">
            <w:pPr>
              <w:pStyle w:val="ListBullet3"/>
              <w:numPr>
                <w:ilvl w:val="0"/>
                <w:numId w:val="0"/>
              </w:numPr>
              <w:spacing w:before="0" w:after="0"/>
              <w:rPr>
                <w:rFonts w:ascii="Tahoma" w:hAnsi="Tahoma" w:cs="Tahoma"/>
                <w:b/>
                <w:bCs/>
                <w:sz w:val="18"/>
                <w:szCs w:val="18"/>
              </w:rPr>
            </w:pPr>
            <w:r w:rsidRPr="00E84DC2">
              <w:rPr>
                <w:rFonts w:ascii="Tahoma" w:hAnsi="Tahoma" w:cs="Tahoma"/>
                <w:b/>
                <w:bCs/>
                <w:sz w:val="18"/>
                <w:szCs w:val="18"/>
              </w:rPr>
              <w:t>Item</w:t>
            </w:r>
          </w:p>
        </w:tc>
        <w:tc>
          <w:tcPr>
            <w:tcW w:w="1843" w:type="dxa"/>
            <w:hideMark/>
          </w:tcPr>
          <w:p w:rsidR="003038DE" w:rsidRPr="00E84DC2" w:rsidRDefault="00DC14B1" w:rsidP="007325EC">
            <w:pPr>
              <w:pStyle w:val="ListBullet3"/>
              <w:numPr>
                <w:ilvl w:val="0"/>
                <w:numId w:val="0"/>
              </w:numPr>
              <w:spacing w:before="0" w:after="0"/>
              <w:rPr>
                <w:rFonts w:ascii="Tahoma" w:hAnsi="Tahoma" w:cs="Tahoma"/>
                <w:b/>
                <w:bCs/>
                <w:sz w:val="18"/>
                <w:szCs w:val="18"/>
              </w:rPr>
            </w:pPr>
            <w:r w:rsidRPr="00E84DC2">
              <w:rPr>
                <w:rFonts w:ascii="Tahoma" w:hAnsi="Tahoma" w:cs="Tahoma"/>
                <w:b/>
                <w:bCs/>
                <w:sz w:val="18"/>
                <w:szCs w:val="18"/>
              </w:rPr>
              <w:t>Regulation</w:t>
            </w:r>
          </w:p>
        </w:tc>
        <w:tc>
          <w:tcPr>
            <w:tcW w:w="3260" w:type="dxa"/>
            <w:hideMark/>
          </w:tcPr>
          <w:p w:rsidR="003038DE" w:rsidRPr="00E84DC2" w:rsidRDefault="00D733EB" w:rsidP="007325EC">
            <w:pPr>
              <w:pStyle w:val="ListBullet3"/>
              <w:numPr>
                <w:ilvl w:val="0"/>
                <w:numId w:val="0"/>
              </w:numPr>
              <w:spacing w:before="0" w:after="0"/>
              <w:rPr>
                <w:rFonts w:ascii="Tahoma" w:hAnsi="Tahoma" w:cs="Tahoma"/>
                <w:b/>
                <w:bCs/>
                <w:sz w:val="18"/>
                <w:szCs w:val="18"/>
              </w:rPr>
            </w:pPr>
            <w:r w:rsidRPr="00D733EB">
              <w:rPr>
                <w:rFonts w:ascii="Tahoma" w:hAnsi="Tahoma" w:cs="Tahoma"/>
                <w:b/>
                <w:bCs/>
                <w:sz w:val="18"/>
                <w:szCs w:val="18"/>
              </w:rPr>
              <w:t>Sector feedback</w:t>
            </w:r>
          </w:p>
        </w:tc>
        <w:tc>
          <w:tcPr>
            <w:tcW w:w="4359" w:type="dxa"/>
            <w:hideMark/>
          </w:tcPr>
          <w:p w:rsidR="003038DE" w:rsidRPr="00E84DC2" w:rsidRDefault="00D733EB" w:rsidP="007325EC">
            <w:pPr>
              <w:pStyle w:val="ListBullet3"/>
              <w:numPr>
                <w:ilvl w:val="0"/>
                <w:numId w:val="0"/>
              </w:numPr>
              <w:spacing w:before="0" w:after="0"/>
              <w:rPr>
                <w:rFonts w:ascii="Tahoma" w:hAnsi="Tahoma" w:cs="Tahoma"/>
                <w:b/>
                <w:bCs/>
                <w:sz w:val="18"/>
                <w:szCs w:val="18"/>
              </w:rPr>
            </w:pPr>
            <w:r w:rsidRPr="00D733EB">
              <w:rPr>
                <w:rFonts w:ascii="Tahoma" w:hAnsi="Tahoma" w:cs="Tahoma"/>
                <w:b/>
                <w:bCs/>
                <w:sz w:val="18"/>
                <w:szCs w:val="18"/>
              </w:rPr>
              <w:t>Amendment</w:t>
            </w:r>
          </w:p>
        </w:tc>
      </w:tr>
      <w:tr w:rsidR="003038DE" w:rsidRPr="00E84DC2" w:rsidTr="007325EC">
        <w:trPr>
          <w:trHeight w:val="300"/>
        </w:trPr>
        <w:tc>
          <w:tcPr>
            <w:tcW w:w="10880" w:type="dxa"/>
            <w:gridSpan w:val="4"/>
          </w:tcPr>
          <w:p w:rsidR="003038DE" w:rsidRPr="00E84DC2" w:rsidRDefault="00D733EB" w:rsidP="007325EC">
            <w:pPr>
              <w:pStyle w:val="ListBullet3"/>
              <w:numPr>
                <w:ilvl w:val="0"/>
                <w:numId w:val="0"/>
              </w:numPr>
              <w:spacing w:before="0" w:after="0"/>
              <w:rPr>
                <w:rFonts w:ascii="Tahoma" w:hAnsi="Tahoma" w:cs="Tahoma"/>
                <w:b/>
                <w:bCs/>
                <w:sz w:val="18"/>
                <w:szCs w:val="18"/>
              </w:rPr>
            </w:pPr>
            <w:r w:rsidRPr="00D733EB">
              <w:rPr>
                <w:rFonts w:ascii="Tahoma" w:hAnsi="Tahoma" w:cs="Tahoma"/>
                <w:b/>
                <w:bCs/>
                <w:sz w:val="18"/>
                <w:szCs w:val="18"/>
              </w:rPr>
              <w:t>Part 3 Budget</w:t>
            </w:r>
          </w:p>
        </w:tc>
      </w:tr>
      <w:tr w:rsidR="003038DE" w:rsidRPr="00E84DC2" w:rsidTr="00714396">
        <w:trPr>
          <w:trHeight w:val="1281"/>
        </w:trPr>
        <w:tc>
          <w:tcPr>
            <w:tcW w:w="1418" w:type="dxa"/>
          </w:tcPr>
          <w:p w:rsidR="003038DE" w:rsidRPr="00E84DC2" w:rsidRDefault="00DC14B1" w:rsidP="007325EC">
            <w:pPr>
              <w:pStyle w:val="ListBullet3"/>
              <w:numPr>
                <w:ilvl w:val="0"/>
                <w:numId w:val="0"/>
              </w:numPr>
              <w:spacing w:before="0" w:after="0"/>
              <w:rPr>
                <w:rFonts w:ascii="Tahoma" w:hAnsi="Tahoma" w:cs="Tahoma"/>
                <w:sz w:val="18"/>
                <w:szCs w:val="18"/>
              </w:rPr>
            </w:pPr>
            <w:r w:rsidRPr="00E84DC2">
              <w:rPr>
                <w:rFonts w:ascii="Tahoma" w:hAnsi="Tahoma" w:cs="Tahoma"/>
                <w:sz w:val="18"/>
                <w:szCs w:val="18"/>
              </w:rPr>
              <w:t>1</w:t>
            </w:r>
          </w:p>
        </w:tc>
        <w:tc>
          <w:tcPr>
            <w:tcW w:w="1843" w:type="dxa"/>
            <w:vMerge w:val="restart"/>
            <w:shd w:val="clear" w:color="auto" w:fill="auto"/>
            <w:hideMark/>
          </w:tcPr>
          <w:p w:rsidR="003038DE" w:rsidRPr="00E84DC2" w:rsidRDefault="00D733EB" w:rsidP="007325EC">
            <w:pPr>
              <w:pStyle w:val="ListBullet3"/>
              <w:numPr>
                <w:ilvl w:val="0"/>
                <w:numId w:val="0"/>
              </w:numPr>
              <w:spacing w:before="0" w:after="0"/>
              <w:rPr>
                <w:rFonts w:ascii="Tahoma" w:hAnsi="Tahoma" w:cs="Tahoma"/>
                <w:sz w:val="18"/>
                <w:szCs w:val="18"/>
              </w:rPr>
            </w:pPr>
            <w:r w:rsidRPr="00D733EB">
              <w:rPr>
                <w:rFonts w:ascii="Tahoma" w:hAnsi="Tahoma" w:cs="Tahoma"/>
                <w:sz w:val="18"/>
                <w:szCs w:val="18"/>
              </w:rPr>
              <w:t>8(c)  Other matters to be included - budget</w:t>
            </w:r>
          </w:p>
        </w:tc>
        <w:tc>
          <w:tcPr>
            <w:tcW w:w="3260" w:type="dxa"/>
            <w:shd w:val="clear" w:color="auto" w:fill="auto"/>
            <w:hideMark/>
          </w:tcPr>
          <w:p w:rsidR="003038DE" w:rsidRPr="00E84DC2" w:rsidRDefault="00D733EB" w:rsidP="007325EC">
            <w:pPr>
              <w:pStyle w:val="ListBullet3"/>
              <w:numPr>
                <w:ilvl w:val="0"/>
                <w:numId w:val="0"/>
              </w:numPr>
              <w:spacing w:before="0" w:after="0"/>
              <w:rPr>
                <w:rFonts w:ascii="Tahoma" w:hAnsi="Tahoma" w:cs="Tahoma"/>
                <w:sz w:val="18"/>
                <w:szCs w:val="18"/>
              </w:rPr>
            </w:pPr>
            <w:r w:rsidRPr="00D733EB">
              <w:rPr>
                <w:rFonts w:ascii="Tahoma" w:hAnsi="Tahoma" w:cs="Tahoma"/>
                <w:sz w:val="18"/>
                <w:szCs w:val="18"/>
              </w:rPr>
              <w:t>Require disclosure of rating information to include reporting by class of rateable land to support transparency where a council uses a uniform rate</w:t>
            </w:r>
          </w:p>
        </w:tc>
        <w:tc>
          <w:tcPr>
            <w:tcW w:w="4359" w:type="dxa"/>
            <w:shd w:val="clear" w:color="auto" w:fill="auto"/>
            <w:hideMark/>
          </w:tcPr>
          <w:p w:rsidR="00512CA5" w:rsidRDefault="00D733EB">
            <w:pPr>
              <w:pStyle w:val="ListBullet3"/>
              <w:numPr>
                <w:ilvl w:val="0"/>
                <w:numId w:val="0"/>
              </w:numPr>
              <w:spacing w:before="0" w:after="0"/>
              <w:rPr>
                <w:rFonts w:ascii="Tahoma" w:hAnsi="Tahoma" w:cs="Tahoma"/>
                <w:sz w:val="18"/>
                <w:szCs w:val="18"/>
              </w:rPr>
            </w:pPr>
            <w:r w:rsidRPr="00D733EB">
              <w:rPr>
                <w:rFonts w:ascii="Tahoma" w:hAnsi="Tahoma" w:cs="Tahoma"/>
                <w:sz w:val="18"/>
                <w:szCs w:val="18"/>
              </w:rPr>
              <w:t>Amend 8(c)(ii) 8(c)(v) and 8(c)(viii) to require councils to provide information about the estimated amount to be raised by each type of rate for each type or class of rateable land</w:t>
            </w:r>
          </w:p>
        </w:tc>
      </w:tr>
      <w:tr w:rsidR="003038DE" w:rsidRPr="00E84DC2" w:rsidTr="007325EC">
        <w:trPr>
          <w:trHeight w:val="300"/>
        </w:trPr>
        <w:tc>
          <w:tcPr>
            <w:tcW w:w="1418" w:type="dxa"/>
          </w:tcPr>
          <w:p w:rsidR="003038DE" w:rsidRPr="00E84DC2" w:rsidRDefault="00D733EB" w:rsidP="007325EC">
            <w:pPr>
              <w:pStyle w:val="ListBullet3"/>
              <w:numPr>
                <w:ilvl w:val="0"/>
                <w:numId w:val="0"/>
              </w:numPr>
              <w:spacing w:before="0" w:after="0"/>
              <w:rPr>
                <w:rFonts w:ascii="Tahoma" w:hAnsi="Tahoma" w:cs="Tahoma"/>
                <w:sz w:val="18"/>
                <w:szCs w:val="18"/>
              </w:rPr>
            </w:pPr>
            <w:r w:rsidRPr="00D733EB">
              <w:rPr>
                <w:rFonts w:ascii="Tahoma" w:hAnsi="Tahoma" w:cs="Tahoma"/>
                <w:sz w:val="18"/>
                <w:szCs w:val="18"/>
              </w:rPr>
              <w:t>2</w:t>
            </w:r>
          </w:p>
        </w:tc>
        <w:tc>
          <w:tcPr>
            <w:tcW w:w="1843" w:type="dxa"/>
            <w:vMerge/>
            <w:shd w:val="clear" w:color="auto" w:fill="auto"/>
            <w:hideMark/>
          </w:tcPr>
          <w:p w:rsidR="003038DE" w:rsidRPr="00E84DC2" w:rsidRDefault="003038DE" w:rsidP="007325EC">
            <w:pPr>
              <w:pStyle w:val="ListBullet3"/>
              <w:numPr>
                <w:ilvl w:val="0"/>
                <w:numId w:val="0"/>
              </w:numPr>
              <w:spacing w:before="0" w:after="0"/>
              <w:rPr>
                <w:rFonts w:ascii="Tahoma" w:hAnsi="Tahoma" w:cs="Tahoma"/>
                <w:sz w:val="18"/>
                <w:szCs w:val="18"/>
              </w:rPr>
            </w:pPr>
          </w:p>
        </w:tc>
        <w:tc>
          <w:tcPr>
            <w:tcW w:w="3260" w:type="dxa"/>
            <w:shd w:val="clear" w:color="auto" w:fill="FFFFFF"/>
            <w:hideMark/>
          </w:tcPr>
          <w:p w:rsidR="003038DE" w:rsidRPr="00E84DC2" w:rsidRDefault="00D733EB" w:rsidP="007325EC">
            <w:pPr>
              <w:pStyle w:val="ListBullet3"/>
              <w:numPr>
                <w:ilvl w:val="0"/>
                <w:numId w:val="0"/>
              </w:numPr>
              <w:spacing w:before="0" w:after="0"/>
              <w:rPr>
                <w:rFonts w:ascii="Tahoma" w:hAnsi="Tahoma" w:cs="Tahoma"/>
                <w:sz w:val="18"/>
                <w:szCs w:val="18"/>
              </w:rPr>
            </w:pPr>
            <w:r w:rsidRPr="00D733EB">
              <w:rPr>
                <w:rFonts w:ascii="Tahoma" w:hAnsi="Tahoma" w:cs="Tahoma"/>
                <w:sz w:val="18"/>
                <w:szCs w:val="18"/>
              </w:rPr>
              <w:t>Transparency could be improved by the requirement for councils to disclose the percentage change in municipal charges and service rate or charges</w:t>
            </w:r>
          </w:p>
        </w:tc>
        <w:tc>
          <w:tcPr>
            <w:tcW w:w="4359" w:type="dxa"/>
            <w:shd w:val="clear" w:color="auto" w:fill="FFFFFF"/>
            <w:hideMark/>
          </w:tcPr>
          <w:p w:rsidR="003038DE" w:rsidRPr="00E84DC2" w:rsidRDefault="00D733EB" w:rsidP="007325EC">
            <w:pPr>
              <w:pStyle w:val="ListBullet3"/>
              <w:numPr>
                <w:ilvl w:val="0"/>
                <w:numId w:val="0"/>
              </w:numPr>
              <w:spacing w:before="0" w:after="0"/>
              <w:rPr>
                <w:rFonts w:ascii="Tahoma" w:hAnsi="Tahoma" w:cs="Tahoma"/>
                <w:sz w:val="18"/>
                <w:szCs w:val="18"/>
              </w:rPr>
            </w:pPr>
            <w:r w:rsidRPr="00D733EB">
              <w:rPr>
                <w:rFonts w:ascii="Tahoma" w:hAnsi="Tahoma" w:cs="Tahoma"/>
                <w:sz w:val="18"/>
                <w:szCs w:val="18"/>
              </w:rPr>
              <w:t>Include two new provisions in section 8(c):</w:t>
            </w:r>
          </w:p>
          <w:p w:rsidR="003038DE" w:rsidRPr="00E84DC2" w:rsidRDefault="00D733EB" w:rsidP="003038DE">
            <w:pPr>
              <w:pStyle w:val="ListBullet3"/>
              <w:numPr>
                <w:ilvl w:val="0"/>
                <w:numId w:val="62"/>
              </w:numPr>
              <w:spacing w:before="0" w:after="0"/>
              <w:rPr>
                <w:rFonts w:ascii="Tahoma" w:hAnsi="Tahoma" w:cs="Tahoma"/>
                <w:sz w:val="18"/>
                <w:szCs w:val="18"/>
              </w:rPr>
            </w:pPr>
            <w:r w:rsidRPr="00D733EB">
              <w:rPr>
                <w:rFonts w:ascii="Tahoma" w:hAnsi="Tahoma" w:cs="Tahoma"/>
                <w:sz w:val="18"/>
                <w:szCs w:val="18"/>
              </w:rPr>
              <w:t>the proposed percentage change in municipal charges compared to that of the previous financial year; and</w:t>
            </w:r>
          </w:p>
          <w:p w:rsidR="003038DE" w:rsidRPr="00E84DC2" w:rsidRDefault="00D733EB" w:rsidP="003038DE">
            <w:pPr>
              <w:pStyle w:val="ListBullet3"/>
              <w:numPr>
                <w:ilvl w:val="0"/>
                <w:numId w:val="62"/>
              </w:numPr>
              <w:spacing w:before="0" w:after="0"/>
              <w:rPr>
                <w:rFonts w:ascii="Tahoma" w:hAnsi="Tahoma" w:cs="Tahoma"/>
                <w:sz w:val="18"/>
                <w:szCs w:val="18"/>
              </w:rPr>
            </w:pPr>
            <w:r w:rsidRPr="00D733EB">
              <w:rPr>
                <w:rFonts w:ascii="Tahoma" w:hAnsi="Tahoma" w:cs="Tahoma"/>
                <w:sz w:val="18"/>
                <w:szCs w:val="18"/>
              </w:rPr>
              <w:t xml:space="preserve">the proposed percentage change for service rates and charges </w:t>
            </w:r>
            <w:r w:rsidRPr="00D733EB">
              <w:rPr>
                <w:rFonts w:ascii="Tahoma" w:hAnsi="Tahoma" w:cs="Tahoma"/>
                <w:sz w:val="18"/>
                <w:szCs w:val="18"/>
              </w:rPr>
              <w:lastRenderedPageBreak/>
              <w:t>compared to that of the previous financial year</w:t>
            </w:r>
          </w:p>
        </w:tc>
      </w:tr>
      <w:tr w:rsidR="003038DE" w:rsidRPr="00E84DC2" w:rsidTr="007325EC">
        <w:trPr>
          <w:trHeight w:val="300"/>
        </w:trPr>
        <w:tc>
          <w:tcPr>
            <w:tcW w:w="1418" w:type="dxa"/>
          </w:tcPr>
          <w:p w:rsidR="003038DE" w:rsidRPr="00E84DC2" w:rsidRDefault="00D733EB" w:rsidP="007325EC">
            <w:pPr>
              <w:pStyle w:val="ListBullet3"/>
              <w:numPr>
                <w:ilvl w:val="0"/>
                <w:numId w:val="0"/>
              </w:numPr>
              <w:spacing w:before="0" w:after="0"/>
              <w:rPr>
                <w:rFonts w:ascii="Tahoma" w:hAnsi="Tahoma" w:cs="Tahoma"/>
                <w:sz w:val="18"/>
                <w:szCs w:val="18"/>
              </w:rPr>
            </w:pPr>
            <w:r w:rsidRPr="00D733EB">
              <w:rPr>
                <w:rFonts w:ascii="Tahoma" w:hAnsi="Tahoma" w:cs="Tahoma"/>
                <w:sz w:val="18"/>
                <w:szCs w:val="18"/>
              </w:rPr>
              <w:lastRenderedPageBreak/>
              <w:t>3</w:t>
            </w:r>
          </w:p>
        </w:tc>
        <w:tc>
          <w:tcPr>
            <w:tcW w:w="1843" w:type="dxa"/>
            <w:shd w:val="clear" w:color="auto" w:fill="auto"/>
            <w:hideMark/>
          </w:tcPr>
          <w:p w:rsidR="003038DE" w:rsidRPr="00E84DC2" w:rsidRDefault="00D733EB" w:rsidP="007325EC">
            <w:pPr>
              <w:pStyle w:val="ListBullet3"/>
              <w:numPr>
                <w:ilvl w:val="0"/>
                <w:numId w:val="0"/>
              </w:numPr>
              <w:spacing w:before="0" w:after="0"/>
              <w:rPr>
                <w:rFonts w:ascii="Tahoma" w:hAnsi="Tahoma" w:cs="Tahoma"/>
                <w:sz w:val="18"/>
                <w:szCs w:val="18"/>
              </w:rPr>
            </w:pPr>
            <w:r w:rsidRPr="00D733EB">
              <w:rPr>
                <w:rFonts w:ascii="Tahoma" w:hAnsi="Tahoma" w:cs="Tahoma"/>
                <w:sz w:val="18"/>
                <w:szCs w:val="18"/>
              </w:rPr>
              <w:t>8(d) Other matter to be included –revised budget</w:t>
            </w:r>
          </w:p>
        </w:tc>
        <w:tc>
          <w:tcPr>
            <w:tcW w:w="3260" w:type="dxa"/>
            <w:shd w:val="clear" w:color="auto" w:fill="FFFFFF"/>
            <w:hideMark/>
          </w:tcPr>
          <w:p w:rsidR="003038DE" w:rsidRPr="00E84DC2" w:rsidRDefault="00D733EB" w:rsidP="007325EC">
            <w:pPr>
              <w:pStyle w:val="ListBullet3"/>
              <w:numPr>
                <w:ilvl w:val="0"/>
                <w:numId w:val="0"/>
              </w:numPr>
              <w:spacing w:before="0" w:after="0"/>
              <w:rPr>
                <w:rFonts w:ascii="Tahoma" w:hAnsi="Tahoma" w:cs="Tahoma"/>
                <w:sz w:val="18"/>
                <w:szCs w:val="18"/>
              </w:rPr>
            </w:pPr>
            <w:r w:rsidRPr="00D733EB">
              <w:rPr>
                <w:rFonts w:ascii="Tahoma" w:hAnsi="Tahoma" w:cs="Tahoma"/>
                <w:sz w:val="18"/>
                <w:szCs w:val="18"/>
              </w:rPr>
              <w:t>Clarify that councils should compare the revised budget to the previously adopted budget</w:t>
            </w:r>
          </w:p>
        </w:tc>
        <w:tc>
          <w:tcPr>
            <w:tcW w:w="4359" w:type="dxa"/>
            <w:shd w:val="clear" w:color="auto" w:fill="FFFFFF"/>
            <w:hideMark/>
          </w:tcPr>
          <w:p w:rsidR="003038DE" w:rsidRPr="00E84DC2" w:rsidRDefault="00D733EB" w:rsidP="007325EC">
            <w:pPr>
              <w:pStyle w:val="ListBullet3"/>
              <w:numPr>
                <w:ilvl w:val="0"/>
                <w:numId w:val="0"/>
              </w:numPr>
              <w:spacing w:before="0" w:after="0"/>
              <w:rPr>
                <w:rFonts w:ascii="Tahoma" w:hAnsi="Tahoma" w:cs="Tahoma"/>
                <w:sz w:val="18"/>
                <w:szCs w:val="18"/>
              </w:rPr>
            </w:pPr>
            <w:r w:rsidRPr="00D733EB">
              <w:rPr>
                <w:rFonts w:ascii="Tahoma" w:hAnsi="Tahoma" w:cs="Tahoma"/>
                <w:sz w:val="18"/>
                <w:szCs w:val="18"/>
              </w:rPr>
              <w:t>Amend 8(d) to:</w:t>
            </w:r>
          </w:p>
          <w:p w:rsidR="003038DE" w:rsidRPr="00E84DC2" w:rsidRDefault="00D733EB" w:rsidP="003038DE">
            <w:pPr>
              <w:pStyle w:val="ListBullet3"/>
              <w:numPr>
                <w:ilvl w:val="0"/>
                <w:numId w:val="64"/>
              </w:numPr>
              <w:spacing w:before="0" w:after="0"/>
              <w:rPr>
                <w:rFonts w:ascii="Tahoma" w:hAnsi="Tahoma" w:cs="Tahoma"/>
                <w:sz w:val="18"/>
                <w:szCs w:val="18"/>
              </w:rPr>
            </w:pPr>
            <w:r w:rsidRPr="00D733EB">
              <w:rPr>
                <w:rFonts w:ascii="Tahoma" w:hAnsi="Tahoma" w:cs="Tahoma"/>
                <w:sz w:val="18"/>
                <w:szCs w:val="18"/>
              </w:rPr>
              <w:t xml:space="preserve">in the case of a revised budget, those matters referred to in paragraph (c) as applicable to any rates and charges to be levied </w:t>
            </w:r>
            <w:r w:rsidRPr="00D733EB">
              <w:rPr>
                <w:rFonts w:ascii="Tahoma" w:hAnsi="Tahoma" w:cs="Tahoma"/>
                <w:sz w:val="18"/>
                <w:szCs w:val="18"/>
                <w:u w:val="single"/>
              </w:rPr>
              <w:t>as compared to the previously adopted budget.</w:t>
            </w:r>
          </w:p>
        </w:tc>
      </w:tr>
      <w:tr w:rsidR="003038DE" w:rsidRPr="00E84DC2" w:rsidTr="007325EC">
        <w:trPr>
          <w:trHeight w:val="300"/>
        </w:trPr>
        <w:tc>
          <w:tcPr>
            <w:tcW w:w="1418" w:type="dxa"/>
          </w:tcPr>
          <w:p w:rsidR="003038DE" w:rsidRPr="00E84DC2" w:rsidRDefault="00D733EB" w:rsidP="007325EC">
            <w:pPr>
              <w:pStyle w:val="ListBullet3"/>
              <w:numPr>
                <w:ilvl w:val="0"/>
                <w:numId w:val="0"/>
              </w:numPr>
              <w:spacing w:before="0" w:after="0"/>
              <w:rPr>
                <w:rFonts w:ascii="Tahoma" w:hAnsi="Tahoma" w:cs="Tahoma"/>
                <w:sz w:val="18"/>
                <w:szCs w:val="18"/>
              </w:rPr>
            </w:pPr>
            <w:r w:rsidRPr="00D733EB">
              <w:rPr>
                <w:rFonts w:ascii="Tahoma" w:hAnsi="Tahoma" w:cs="Tahoma"/>
                <w:sz w:val="18"/>
                <w:szCs w:val="18"/>
              </w:rPr>
              <w:t>4</w:t>
            </w:r>
          </w:p>
          <w:p w:rsidR="003038DE" w:rsidRPr="00E84DC2" w:rsidRDefault="003038DE" w:rsidP="007325EC">
            <w:pPr>
              <w:pStyle w:val="ListBullet3"/>
              <w:numPr>
                <w:ilvl w:val="0"/>
                <w:numId w:val="0"/>
              </w:numPr>
              <w:spacing w:before="0" w:after="0"/>
              <w:rPr>
                <w:rFonts w:ascii="Tahoma" w:hAnsi="Tahoma" w:cs="Tahoma"/>
                <w:sz w:val="18"/>
                <w:szCs w:val="18"/>
              </w:rPr>
            </w:pPr>
          </w:p>
        </w:tc>
        <w:tc>
          <w:tcPr>
            <w:tcW w:w="1843" w:type="dxa"/>
            <w:vMerge w:val="restart"/>
            <w:shd w:val="clear" w:color="auto" w:fill="auto"/>
            <w:hideMark/>
          </w:tcPr>
          <w:p w:rsidR="003038DE" w:rsidRPr="00E84DC2" w:rsidRDefault="00D733EB" w:rsidP="007325EC">
            <w:pPr>
              <w:pStyle w:val="ListBullet3"/>
              <w:numPr>
                <w:ilvl w:val="0"/>
                <w:numId w:val="0"/>
              </w:numPr>
              <w:spacing w:before="0" w:after="0"/>
              <w:rPr>
                <w:rFonts w:ascii="Tahoma" w:hAnsi="Tahoma" w:cs="Tahoma"/>
                <w:sz w:val="18"/>
                <w:szCs w:val="18"/>
              </w:rPr>
            </w:pPr>
            <w:r w:rsidRPr="00D733EB">
              <w:rPr>
                <w:rFonts w:ascii="Tahoma" w:hAnsi="Tahoma" w:cs="Tahoma"/>
                <w:sz w:val="18"/>
                <w:szCs w:val="18"/>
              </w:rPr>
              <w:t>9 Public notice</w:t>
            </w:r>
          </w:p>
        </w:tc>
        <w:tc>
          <w:tcPr>
            <w:tcW w:w="3260" w:type="dxa"/>
            <w:shd w:val="clear" w:color="auto" w:fill="auto"/>
            <w:hideMark/>
          </w:tcPr>
          <w:p w:rsidR="003038DE" w:rsidRPr="00E84DC2" w:rsidRDefault="00D733EB" w:rsidP="007325EC">
            <w:pPr>
              <w:pStyle w:val="ListBullet3"/>
              <w:numPr>
                <w:ilvl w:val="0"/>
                <w:numId w:val="0"/>
              </w:numPr>
              <w:spacing w:before="0" w:after="0"/>
              <w:rPr>
                <w:rFonts w:ascii="Tahoma" w:hAnsi="Tahoma" w:cs="Tahoma"/>
                <w:sz w:val="18"/>
                <w:szCs w:val="18"/>
              </w:rPr>
            </w:pPr>
            <w:r w:rsidRPr="00D733EB">
              <w:rPr>
                <w:rFonts w:ascii="Tahoma" w:hAnsi="Tahoma" w:cs="Tahoma"/>
                <w:sz w:val="18"/>
                <w:szCs w:val="18"/>
              </w:rPr>
              <w:t xml:space="preserve">Public notice for </w:t>
            </w:r>
            <w:r w:rsidRPr="00D733EB">
              <w:rPr>
                <w:rFonts w:ascii="Tahoma" w:hAnsi="Tahoma" w:cs="Tahoma"/>
                <w:iCs/>
                <w:sz w:val="18"/>
                <w:szCs w:val="18"/>
              </w:rPr>
              <w:t>budget</w:t>
            </w:r>
            <w:r w:rsidRPr="00D733EB">
              <w:rPr>
                <w:rFonts w:ascii="Tahoma" w:hAnsi="Tahoma" w:cs="Tahoma"/>
                <w:sz w:val="18"/>
                <w:szCs w:val="18"/>
              </w:rPr>
              <w:t xml:space="preserve"> and revised budget</w:t>
            </w:r>
            <w:r w:rsidRPr="00D733EB">
              <w:rPr>
                <w:rFonts w:ascii="Tahoma" w:hAnsi="Tahoma" w:cs="Tahoma"/>
                <w:i/>
                <w:sz w:val="18"/>
                <w:szCs w:val="18"/>
              </w:rPr>
              <w:t xml:space="preserve"> </w:t>
            </w:r>
            <w:r w:rsidRPr="00D733EB">
              <w:rPr>
                <w:rFonts w:ascii="Tahoma" w:hAnsi="Tahoma" w:cs="Tahoma"/>
                <w:sz w:val="18"/>
                <w:szCs w:val="18"/>
              </w:rPr>
              <w:t xml:space="preserve">could be streamlined </w:t>
            </w:r>
          </w:p>
        </w:tc>
        <w:tc>
          <w:tcPr>
            <w:tcW w:w="4359" w:type="dxa"/>
            <w:shd w:val="clear" w:color="auto" w:fill="auto"/>
            <w:hideMark/>
          </w:tcPr>
          <w:p w:rsidR="003038DE" w:rsidRPr="00E84DC2" w:rsidRDefault="00D733EB" w:rsidP="007325EC">
            <w:pPr>
              <w:pStyle w:val="ListBullet3"/>
              <w:numPr>
                <w:ilvl w:val="0"/>
                <w:numId w:val="0"/>
              </w:numPr>
              <w:spacing w:before="0" w:after="0"/>
              <w:rPr>
                <w:rFonts w:ascii="Tahoma" w:hAnsi="Tahoma" w:cs="Tahoma"/>
                <w:sz w:val="18"/>
                <w:szCs w:val="18"/>
              </w:rPr>
            </w:pPr>
            <w:r w:rsidRPr="00D733EB">
              <w:rPr>
                <w:rFonts w:ascii="Tahoma" w:hAnsi="Tahoma" w:cs="Tahoma"/>
                <w:sz w:val="18"/>
                <w:szCs w:val="18"/>
              </w:rPr>
              <w:t xml:space="preserve">Amend 8(c) to include sections 9(b)-(i) which will significantly reduce the disclosures required in the public notice. </w:t>
            </w:r>
          </w:p>
          <w:p w:rsidR="003038DE" w:rsidRPr="00E84DC2" w:rsidRDefault="00D733EB" w:rsidP="007325EC">
            <w:pPr>
              <w:pStyle w:val="ListBullet3"/>
              <w:numPr>
                <w:ilvl w:val="0"/>
                <w:numId w:val="0"/>
              </w:numPr>
              <w:spacing w:before="0" w:after="0"/>
              <w:rPr>
                <w:rFonts w:ascii="Tahoma" w:hAnsi="Tahoma" w:cs="Tahoma"/>
                <w:sz w:val="18"/>
                <w:szCs w:val="18"/>
              </w:rPr>
            </w:pPr>
            <w:r w:rsidRPr="00D733EB">
              <w:rPr>
                <w:rFonts w:ascii="Tahoma" w:hAnsi="Tahoma" w:cs="Tahoma"/>
                <w:sz w:val="18"/>
                <w:szCs w:val="18"/>
              </w:rPr>
              <w:t xml:space="preserve">Include a new requirement at 9(2) for the council to make the budget and revised budget available on its website and at its premises </w:t>
            </w:r>
          </w:p>
        </w:tc>
      </w:tr>
      <w:tr w:rsidR="003038DE" w:rsidRPr="00E84DC2" w:rsidTr="007325EC">
        <w:trPr>
          <w:trHeight w:val="300"/>
        </w:trPr>
        <w:tc>
          <w:tcPr>
            <w:tcW w:w="1418" w:type="dxa"/>
          </w:tcPr>
          <w:p w:rsidR="003038DE" w:rsidRPr="00E84DC2" w:rsidRDefault="00D733EB" w:rsidP="007325EC">
            <w:pPr>
              <w:pStyle w:val="ListBullet3"/>
              <w:numPr>
                <w:ilvl w:val="0"/>
                <w:numId w:val="0"/>
              </w:numPr>
              <w:spacing w:before="0" w:after="0"/>
              <w:rPr>
                <w:rFonts w:ascii="Tahoma" w:hAnsi="Tahoma" w:cs="Tahoma"/>
                <w:sz w:val="18"/>
                <w:szCs w:val="18"/>
              </w:rPr>
            </w:pPr>
            <w:r w:rsidRPr="00D733EB">
              <w:rPr>
                <w:rFonts w:ascii="Tahoma" w:hAnsi="Tahoma" w:cs="Tahoma"/>
                <w:sz w:val="18"/>
                <w:szCs w:val="18"/>
              </w:rPr>
              <w:t>5</w:t>
            </w:r>
          </w:p>
        </w:tc>
        <w:tc>
          <w:tcPr>
            <w:tcW w:w="1843" w:type="dxa"/>
            <w:vMerge/>
            <w:shd w:val="clear" w:color="auto" w:fill="auto"/>
            <w:hideMark/>
          </w:tcPr>
          <w:p w:rsidR="003038DE" w:rsidRPr="00E84DC2" w:rsidRDefault="003038DE" w:rsidP="007325EC">
            <w:pPr>
              <w:pStyle w:val="ListBullet3"/>
              <w:numPr>
                <w:ilvl w:val="0"/>
                <w:numId w:val="0"/>
              </w:numPr>
              <w:spacing w:before="0" w:after="0"/>
              <w:rPr>
                <w:rFonts w:ascii="Tahoma" w:hAnsi="Tahoma" w:cs="Tahoma"/>
                <w:sz w:val="18"/>
                <w:szCs w:val="18"/>
              </w:rPr>
            </w:pPr>
          </w:p>
        </w:tc>
        <w:tc>
          <w:tcPr>
            <w:tcW w:w="3260" w:type="dxa"/>
            <w:shd w:val="clear" w:color="auto" w:fill="auto"/>
            <w:hideMark/>
          </w:tcPr>
          <w:p w:rsidR="003038DE" w:rsidRPr="00E84DC2" w:rsidRDefault="00D733EB" w:rsidP="007325EC">
            <w:pPr>
              <w:pStyle w:val="ListBullet3"/>
              <w:numPr>
                <w:ilvl w:val="0"/>
                <w:numId w:val="0"/>
              </w:numPr>
              <w:spacing w:before="0" w:after="0"/>
              <w:rPr>
                <w:rFonts w:ascii="Tahoma" w:hAnsi="Tahoma" w:cs="Tahoma"/>
                <w:sz w:val="18"/>
                <w:szCs w:val="18"/>
              </w:rPr>
            </w:pPr>
            <w:r w:rsidRPr="00D733EB">
              <w:rPr>
                <w:rFonts w:ascii="Tahoma" w:hAnsi="Tahoma" w:cs="Tahoma"/>
                <w:sz w:val="18"/>
                <w:szCs w:val="18"/>
              </w:rPr>
              <w:t xml:space="preserve">New term ‘proposed budget’ introduced in the Regulations, with no definition provided </w:t>
            </w:r>
          </w:p>
        </w:tc>
        <w:tc>
          <w:tcPr>
            <w:tcW w:w="4359" w:type="dxa"/>
            <w:shd w:val="clear" w:color="auto" w:fill="auto"/>
            <w:hideMark/>
          </w:tcPr>
          <w:p w:rsidR="003038DE" w:rsidRPr="00E84DC2" w:rsidRDefault="00D733EB" w:rsidP="007325EC">
            <w:pPr>
              <w:pStyle w:val="ListBullet3"/>
              <w:numPr>
                <w:ilvl w:val="0"/>
                <w:numId w:val="0"/>
              </w:numPr>
              <w:spacing w:before="0" w:after="0"/>
              <w:rPr>
                <w:rFonts w:ascii="Tahoma" w:hAnsi="Tahoma" w:cs="Tahoma"/>
                <w:sz w:val="18"/>
                <w:szCs w:val="18"/>
              </w:rPr>
            </w:pPr>
            <w:r w:rsidRPr="00D733EB">
              <w:rPr>
                <w:rFonts w:ascii="Tahoma" w:hAnsi="Tahoma" w:cs="Tahoma"/>
                <w:sz w:val="18"/>
                <w:szCs w:val="18"/>
              </w:rPr>
              <w:t>Remove all reference to ‘proposed’ budget in Regulation 8 and 9</w:t>
            </w:r>
          </w:p>
        </w:tc>
      </w:tr>
      <w:tr w:rsidR="003038DE" w:rsidRPr="00E84DC2" w:rsidTr="007325EC">
        <w:trPr>
          <w:trHeight w:val="300"/>
        </w:trPr>
        <w:tc>
          <w:tcPr>
            <w:tcW w:w="10880" w:type="dxa"/>
            <w:gridSpan w:val="4"/>
            <w:shd w:val="clear" w:color="auto" w:fill="auto"/>
          </w:tcPr>
          <w:p w:rsidR="003038DE" w:rsidRPr="00E84DC2" w:rsidRDefault="00D733EB" w:rsidP="007325EC">
            <w:pPr>
              <w:pStyle w:val="ListBullet3"/>
              <w:numPr>
                <w:ilvl w:val="0"/>
                <w:numId w:val="0"/>
              </w:numPr>
              <w:spacing w:before="0" w:after="0"/>
              <w:rPr>
                <w:rFonts w:ascii="Tahoma" w:hAnsi="Tahoma" w:cs="Tahoma"/>
                <w:b/>
                <w:bCs/>
                <w:sz w:val="18"/>
                <w:szCs w:val="18"/>
              </w:rPr>
            </w:pPr>
            <w:r w:rsidRPr="00D733EB">
              <w:rPr>
                <w:rFonts w:ascii="Tahoma" w:hAnsi="Tahoma" w:cs="Tahoma"/>
                <w:b/>
                <w:bCs/>
                <w:sz w:val="18"/>
                <w:szCs w:val="18"/>
              </w:rPr>
              <w:t>Part 4 Annual Report</w:t>
            </w:r>
          </w:p>
        </w:tc>
      </w:tr>
      <w:tr w:rsidR="003038DE" w:rsidRPr="00E84DC2" w:rsidTr="007325EC">
        <w:trPr>
          <w:trHeight w:val="300"/>
        </w:trPr>
        <w:tc>
          <w:tcPr>
            <w:tcW w:w="1418" w:type="dxa"/>
          </w:tcPr>
          <w:p w:rsidR="003038DE" w:rsidRPr="00E84DC2" w:rsidRDefault="00D733EB" w:rsidP="007325EC">
            <w:pPr>
              <w:pStyle w:val="ListBullet3"/>
              <w:numPr>
                <w:ilvl w:val="0"/>
                <w:numId w:val="0"/>
              </w:numPr>
              <w:spacing w:before="0" w:after="0"/>
              <w:rPr>
                <w:rFonts w:ascii="Tahoma" w:hAnsi="Tahoma" w:cs="Tahoma"/>
                <w:sz w:val="18"/>
                <w:szCs w:val="18"/>
              </w:rPr>
            </w:pPr>
            <w:r w:rsidRPr="00D733EB">
              <w:rPr>
                <w:rFonts w:ascii="Tahoma" w:hAnsi="Tahoma" w:cs="Tahoma"/>
                <w:sz w:val="18"/>
                <w:szCs w:val="18"/>
              </w:rPr>
              <w:t>6</w:t>
            </w:r>
          </w:p>
        </w:tc>
        <w:tc>
          <w:tcPr>
            <w:tcW w:w="1843" w:type="dxa"/>
            <w:vMerge w:val="restart"/>
            <w:shd w:val="clear" w:color="auto" w:fill="auto"/>
            <w:hideMark/>
          </w:tcPr>
          <w:p w:rsidR="003038DE" w:rsidRPr="00E84DC2" w:rsidRDefault="00D733EB" w:rsidP="007325EC">
            <w:pPr>
              <w:pStyle w:val="ListBullet3"/>
              <w:numPr>
                <w:ilvl w:val="0"/>
                <w:numId w:val="0"/>
              </w:numPr>
              <w:spacing w:before="0" w:after="0"/>
              <w:rPr>
                <w:rFonts w:ascii="Tahoma" w:hAnsi="Tahoma" w:cs="Tahoma"/>
                <w:sz w:val="18"/>
                <w:szCs w:val="18"/>
              </w:rPr>
            </w:pPr>
            <w:r w:rsidRPr="00D733EB">
              <w:rPr>
                <w:rFonts w:ascii="Tahoma" w:hAnsi="Tahoma" w:cs="Tahoma"/>
                <w:sz w:val="18"/>
                <w:szCs w:val="18"/>
              </w:rPr>
              <w:t>11 General information</w:t>
            </w:r>
          </w:p>
          <w:p w:rsidR="003038DE" w:rsidRPr="00E84DC2" w:rsidRDefault="00D733EB" w:rsidP="007325EC">
            <w:pPr>
              <w:pStyle w:val="ListBullet3"/>
              <w:spacing w:before="0" w:after="0"/>
              <w:ind w:left="0"/>
              <w:rPr>
                <w:rFonts w:ascii="Tahoma" w:hAnsi="Tahoma" w:cs="Tahoma"/>
                <w:sz w:val="18"/>
                <w:szCs w:val="18"/>
              </w:rPr>
            </w:pPr>
            <w:r w:rsidRPr="00D733EB">
              <w:rPr>
                <w:rFonts w:ascii="Tahoma" w:hAnsi="Tahoma" w:cs="Tahoma"/>
                <w:sz w:val="18"/>
                <w:szCs w:val="18"/>
              </w:rPr>
              <w:t> </w:t>
            </w:r>
          </w:p>
        </w:tc>
        <w:tc>
          <w:tcPr>
            <w:tcW w:w="3260" w:type="dxa"/>
            <w:shd w:val="clear" w:color="auto" w:fill="auto"/>
            <w:hideMark/>
          </w:tcPr>
          <w:p w:rsidR="003038DE" w:rsidRPr="00E84DC2" w:rsidRDefault="00D733EB" w:rsidP="007325EC">
            <w:pPr>
              <w:pStyle w:val="ListBullet3"/>
              <w:numPr>
                <w:ilvl w:val="0"/>
                <w:numId w:val="0"/>
              </w:numPr>
              <w:spacing w:before="0" w:after="0"/>
              <w:rPr>
                <w:rFonts w:ascii="Tahoma" w:hAnsi="Tahoma" w:cs="Tahoma"/>
                <w:sz w:val="18"/>
                <w:szCs w:val="18"/>
              </w:rPr>
            </w:pPr>
            <w:r w:rsidRPr="00D733EB">
              <w:rPr>
                <w:rFonts w:ascii="Tahoma" w:hAnsi="Tahoma" w:cs="Tahoma"/>
                <w:sz w:val="18"/>
                <w:szCs w:val="18"/>
              </w:rPr>
              <w:t xml:space="preserve">Senior </w:t>
            </w:r>
            <w:r w:rsidRPr="00D733EB">
              <w:rPr>
                <w:rFonts w:ascii="Tahoma" w:hAnsi="Tahoma" w:cs="Tahoma"/>
                <w:sz w:val="18"/>
                <w:szCs w:val="18"/>
                <w:u w:val="single"/>
              </w:rPr>
              <w:t>o</w:t>
            </w:r>
            <w:r w:rsidRPr="00D733EB">
              <w:rPr>
                <w:rFonts w:ascii="Tahoma" w:hAnsi="Tahoma" w:cs="Tahoma"/>
                <w:iCs/>
                <w:sz w:val="18"/>
                <w:szCs w:val="18"/>
                <w:u w:val="single"/>
              </w:rPr>
              <w:t>fficers</w:t>
            </w:r>
            <w:r w:rsidRPr="00D733EB">
              <w:rPr>
                <w:rFonts w:ascii="Tahoma" w:hAnsi="Tahoma" w:cs="Tahoma"/>
                <w:sz w:val="18"/>
                <w:szCs w:val="18"/>
              </w:rPr>
              <w:t xml:space="preserve"> misspelt in 11(e)(ii)</w:t>
            </w:r>
          </w:p>
        </w:tc>
        <w:tc>
          <w:tcPr>
            <w:tcW w:w="4359" w:type="dxa"/>
            <w:shd w:val="clear" w:color="auto" w:fill="auto"/>
            <w:hideMark/>
          </w:tcPr>
          <w:p w:rsidR="003038DE" w:rsidRPr="00E84DC2" w:rsidRDefault="00D733EB" w:rsidP="007325EC">
            <w:pPr>
              <w:pStyle w:val="ListBullet3"/>
              <w:numPr>
                <w:ilvl w:val="0"/>
                <w:numId w:val="0"/>
              </w:numPr>
              <w:spacing w:before="0" w:after="0"/>
              <w:rPr>
                <w:rFonts w:ascii="Tahoma" w:hAnsi="Tahoma" w:cs="Tahoma"/>
                <w:sz w:val="18"/>
                <w:szCs w:val="18"/>
              </w:rPr>
            </w:pPr>
            <w:r w:rsidRPr="00D733EB">
              <w:rPr>
                <w:rFonts w:ascii="Tahoma" w:hAnsi="Tahoma" w:cs="Tahoma"/>
                <w:sz w:val="18"/>
                <w:szCs w:val="18"/>
              </w:rPr>
              <w:t>Amend 11(e)(ii) with correct spelling</w:t>
            </w:r>
          </w:p>
        </w:tc>
      </w:tr>
      <w:tr w:rsidR="003038DE" w:rsidRPr="00E84DC2" w:rsidTr="007325EC">
        <w:trPr>
          <w:trHeight w:val="300"/>
        </w:trPr>
        <w:tc>
          <w:tcPr>
            <w:tcW w:w="1418" w:type="dxa"/>
          </w:tcPr>
          <w:p w:rsidR="003038DE" w:rsidRPr="00E84DC2" w:rsidRDefault="00D733EB" w:rsidP="007325EC">
            <w:pPr>
              <w:pStyle w:val="ListBullet3"/>
              <w:numPr>
                <w:ilvl w:val="0"/>
                <w:numId w:val="0"/>
              </w:numPr>
              <w:spacing w:before="0" w:after="0"/>
              <w:rPr>
                <w:rFonts w:ascii="Tahoma" w:hAnsi="Tahoma" w:cs="Tahoma"/>
                <w:sz w:val="18"/>
                <w:szCs w:val="18"/>
              </w:rPr>
            </w:pPr>
            <w:r w:rsidRPr="00D733EB">
              <w:rPr>
                <w:rFonts w:ascii="Tahoma" w:hAnsi="Tahoma" w:cs="Tahoma"/>
                <w:sz w:val="18"/>
                <w:szCs w:val="18"/>
              </w:rPr>
              <w:t>7</w:t>
            </w:r>
          </w:p>
        </w:tc>
        <w:tc>
          <w:tcPr>
            <w:tcW w:w="1843" w:type="dxa"/>
            <w:vMerge/>
            <w:shd w:val="clear" w:color="auto" w:fill="auto"/>
            <w:hideMark/>
          </w:tcPr>
          <w:p w:rsidR="003038DE" w:rsidRPr="00E84DC2" w:rsidRDefault="003038DE" w:rsidP="007325EC">
            <w:pPr>
              <w:pStyle w:val="ListBullet3"/>
              <w:numPr>
                <w:ilvl w:val="0"/>
                <w:numId w:val="0"/>
              </w:numPr>
              <w:spacing w:before="0" w:after="0"/>
              <w:rPr>
                <w:rFonts w:ascii="Tahoma" w:hAnsi="Tahoma" w:cs="Tahoma"/>
                <w:sz w:val="18"/>
                <w:szCs w:val="18"/>
              </w:rPr>
            </w:pPr>
          </w:p>
        </w:tc>
        <w:tc>
          <w:tcPr>
            <w:tcW w:w="3260" w:type="dxa"/>
            <w:shd w:val="clear" w:color="auto" w:fill="auto"/>
            <w:hideMark/>
          </w:tcPr>
          <w:p w:rsidR="003038DE" w:rsidRPr="00E84DC2" w:rsidRDefault="00D733EB" w:rsidP="007325EC">
            <w:pPr>
              <w:pStyle w:val="ListBullet3"/>
              <w:numPr>
                <w:ilvl w:val="0"/>
                <w:numId w:val="0"/>
              </w:numPr>
              <w:spacing w:before="0" w:after="0"/>
              <w:rPr>
                <w:rFonts w:ascii="Tahoma" w:hAnsi="Tahoma" w:cs="Tahoma"/>
                <w:sz w:val="18"/>
                <w:szCs w:val="18"/>
              </w:rPr>
            </w:pPr>
            <w:r w:rsidRPr="00D733EB">
              <w:rPr>
                <w:rFonts w:ascii="Tahoma" w:hAnsi="Tahoma" w:cs="Tahoma"/>
                <w:sz w:val="18"/>
                <w:szCs w:val="18"/>
              </w:rPr>
              <w:t>Include website address in 11(f)</w:t>
            </w:r>
          </w:p>
        </w:tc>
        <w:tc>
          <w:tcPr>
            <w:tcW w:w="4359" w:type="dxa"/>
            <w:shd w:val="clear" w:color="auto" w:fill="auto"/>
            <w:hideMark/>
          </w:tcPr>
          <w:p w:rsidR="003038DE" w:rsidRPr="00E84DC2" w:rsidRDefault="00D733EB" w:rsidP="007325EC">
            <w:pPr>
              <w:pStyle w:val="ListBullet3"/>
              <w:numPr>
                <w:ilvl w:val="0"/>
                <w:numId w:val="0"/>
              </w:numPr>
              <w:spacing w:before="0" w:after="0"/>
              <w:rPr>
                <w:rFonts w:ascii="Tahoma" w:hAnsi="Tahoma" w:cs="Tahoma"/>
                <w:sz w:val="18"/>
                <w:szCs w:val="18"/>
              </w:rPr>
            </w:pPr>
            <w:r w:rsidRPr="00D733EB">
              <w:rPr>
                <w:rFonts w:ascii="Tahoma" w:hAnsi="Tahoma" w:cs="Tahoma"/>
                <w:sz w:val="18"/>
                <w:szCs w:val="18"/>
              </w:rPr>
              <w:t>Amend 11(f) to include Internet website address</w:t>
            </w:r>
          </w:p>
        </w:tc>
      </w:tr>
      <w:tr w:rsidR="003038DE" w:rsidRPr="00E84DC2" w:rsidTr="001E33B6">
        <w:trPr>
          <w:trHeight w:val="863"/>
        </w:trPr>
        <w:tc>
          <w:tcPr>
            <w:tcW w:w="1418" w:type="dxa"/>
          </w:tcPr>
          <w:p w:rsidR="003038DE" w:rsidRPr="00E84DC2" w:rsidRDefault="00DC14B1" w:rsidP="007325EC">
            <w:pPr>
              <w:pStyle w:val="ListBullet3"/>
              <w:numPr>
                <w:ilvl w:val="0"/>
                <w:numId w:val="0"/>
              </w:numPr>
              <w:spacing w:before="0" w:after="0"/>
              <w:rPr>
                <w:rFonts w:ascii="Tahoma" w:hAnsi="Tahoma" w:cs="Tahoma"/>
                <w:sz w:val="18"/>
                <w:szCs w:val="18"/>
              </w:rPr>
            </w:pPr>
            <w:r w:rsidRPr="00E84DC2">
              <w:rPr>
                <w:rFonts w:ascii="Tahoma" w:hAnsi="Tahoma" w:cs="Tahoma"/>
                <w:sz w:val="18"/>
                <w:szCs w:val="18"/>
              </w:rPr>
              <w:t>8</w:t>
            </w:r>
          </w:p>
        </w:tc>
        <w:tc>
          <w:tcPr>
            <w:tcW w:w="1843" w:type="dxa"/>
            <w:vMerge w:val="restart"/>
            <w:shd w:val="clear" w:color="auto" w:fill="auto"/>
            <w:hideMark/>
          </w:tcPr>
          <w:p w:rsidR="003038DE" w:rsidRPr="00E84DC2" w:rsidRDefault="00DC14B1" w:rsidP="007325EC">
            <w:pPr>
              <w:pStyle w:val="ListBullet3"/>
              <w:numPr>
                <w:ilvl w:val="0"/>
                <w:numId w:val="0"/>
              </w:numPr>
              <w:spacing w:before="0" w:after="0"/>
              <w:rPr>
                <w:rFonts w:ascii="Tahoma" w:hAnsi="Tahoma" w:cs="Tahoma"/>
                <w:sz w:val="18"/>
                <w:szCs w:val="18"/>
              </w:rPr>
            </w:pPr>
            <w:r w:rsidRPr="00E84DC2">
              <w:rPr>
                <w:rFonts w:ascii="Tahoma" w:hAnsi="Tahoma" w:cs="Tahoma"/>
                <w:sz w:val="18"/>
                <w:szCs w:val="18"/>
              </w:rPr>
              <w:t>14 Notes to the financial statements</w:t>
            </w:r>
          </w:p>
        </w:tc>
        <w:tc>
          <w:tcPr>
            <w:tcW w:w="3260" w:type="dxa"/>
            <w:shd w:val="clear" w:color="auto" w:fill="auto"/>
            <w:hideMark/>
          </w:tcPr>
          <w:p w:rsidR="003038DE" w:rsidRPr="00E84DC2" w:rsidRDefault="00D733EB" w:rsidP="007325EC">
            <w:pPr>
              <w:pStyle w:val="ListBullet3"/>
              <w:numPr>
                <w:ilvl w:val="0"/>
                <w:numId w:val="0"/>
              </w:numPr>
              <w:spacing w:before="0" w:after="0"/>
              <w:rPr>
                <w:rFonts w:ascii="Tahoma" w:hAnsi="Tahoma" w:cs="Tahoma"/>
                <w:sz w:val="18"/>
                <w:szCs w:val="18"/>
              </w:rPr>
            </w:pPr>
            <w:r w:rsidRPr="00D733EB">
              <w:rPr>
                <w:rFonts w:ascii="Tahoma" w:hAnsi="Tahoma" w:cs="Tahoma"/>
                <w:sz w:val="18"/>
                <w:szCs w:val="18"/>
              </w:rPr>
              <w:t>Expand 14(b) to show operating and capital disclosure as well</w:t>
            </w:r>
          </w:p>
        </w:tc>
        <w:tc>
          <w:tcPr>
            <w:tcW w:w="4359" w:type="dxa"/>
            <w:shd w:val="clear" w:color="auto" w:fill="auto"/>
            <w:hideMark/>
          </w:tcPr>
          <w:p w:rsidR="003038DE" w:rsidRPr="00E84DC2" w:rsidRDefault="00D733EB" w:rsidP="007325EC">
            <w:pPr>
              <w:pStyle w:val="ListBullet3"/>
              <w:numPr>
                <w:ilvl w:val="0"/>
                <w:numId w:val="0"/>
              </w:numPr>
              <w:spacing w:before="0" w:after="0"/>
              <w:rPr>
                <w:rFonts w:ascii="Tahoma" w:hAnsi="Tahoma" w:cs="Tahoma"/>
                <w:sz w:val="18"/>
                <w:szCs w:val="18"/>
              </w:rPr>
            </w:pPr>
            <w:r w:rsidRPr="00D733EB">
              <w:rPr>
                <w:rFonts w:ascii="Tahoma" w:hAnsi="Tahoma" w:cs="Tahoma"/>
                <w:sz w:val="18"/>
                <w:szCs w:val="18"/>
              </w:rPr>
              <w:t>Include new provision after 14(b) that requires councils to further disclose grants and subsidies between operating and capital nature</w:t>
            </w:r>
          </w:p>
        </w:tc>
      </w:tr>
      <w:tr w:rsidR="003038DE" w:rsidRPr="00E84DC2" w:rsidTr="007325EC">
        <w:trPr>
          <w:trHeight w:val="1500"/>
        </w:trPr>
        <w:tc>
          <w:tcPr>
            <w:tcW w:w="1418" w:type="dxa"/>
            <w:tcBorders>
              <w:top w:val="single" w:sz="4" w:space="0" w:color="auto"/>
              <w:left w:val="single" w:sz="4" w:space="0" w:color="auto"/>
              <w:bottom w:val="single" w:sz="4" w:space="0" w:color="auto"/>
            </w:tcBorders>
          </w:tcPr>
          <w:p w:rsidR="003038DE" w:rsidRPr="00E84DC2" w:rsidRDefault="00D733EB" w:rsidP="007325EC">
            <w:pPr>
              <w:pStyle w:val="ListBullet3"/>
              <w:numPr>
                <w:ilvl w:val="0"/>
                <w:numId w:val="0"/>
              </w:numPr>
              <w:spacing w:before="0" w:after="0"/>
              <w:rPr>
                <w:rFonts w:ascii="Tahoma" w:hAnsi="Tahoma" w:cs="Tahoma"/>
                <w:sz w:val="18"/>
                <w:szCs w:val="18"/>
              </w:rPr>
            </w:pPr>
            <w:r w:rsidRPr="00D733EB">
              <w:rPr>
                <w:rFonts w:ascii="Tahoma" w:hAnsi="Tahoma" w:cs="Tahoma"/>
                <w:sz w:val="18"/>
                <w:szCs w:val="18"/>
              </w:rPr>
              <w:t>9</w:t>
            </w:r>
          </w:p>
        </w:tc>
        <w:tc>
          <w:tcPr>
            <w:tcW w:w="1843" w:type="dxa"/>
            <w:vMerge/>
            <w:shd w:val="clear" w:color="auto" w:fill="auto"/>
            <w:hideMark/>
          </w:tcPr>
          <w:p w:rsidR="003038DE" w:rsidRPr="00E84DC2" w:rsidRDefault="003038DE" w:rsidP="007325EC">
            <w:pPr>
              <w:pStyle w:val="ListBullet3"/>
              <w:numPr>
                <w:ilvl w:val="0"/>
                <w:numId w:val="0"/>
              </w:numPr>
              <w:spacing w:before="0" w:after="0"/>
              <w:rPr>
                <w:rFonts w:ascii="Tahoma" w:hAnsi="Tahoma" w:cs="Tahoma"/>
                <w:sz w:val="18"/>
                <w:szCs w:val="18"/>
              </w:rPr>
            </w:pPr>
          </w:p>
        </w:tc>
        <w:tc>
          <w:tcPr>
            <w:tcW w:w="3260" w:type="dxa"/>
            <w:tcBorders>
              <w:top w:val="single" w:sz="4" w:space="0" w:color="auto"/>
              <w:bottom w:val="single" w:sz="4" w:space="0" w:color="auto"/>
              <w:right w:val="single" w:sz="4" w:space="0" w:color="auto"/>
            </w:tcBorders>
            <w:shd w:val="clear" w:color="auto" w:fill="auto"/>
            <w:hideMark/>
          </w:tcPr>
          <w:p w:rsidR="003038DE" w:rsidRPr="00E84DC2" w:rsidRDefault="00D733EB" w:rsidP="006B0C1F">
            <w:pPr>
              <w:pStyle w:val="ListBullet3"/>
              <w:numPr>
                <w:ilvl w:val="0"/>
                <w:numId w:val="0"/>
              </w:numPr>
              <w:spacing w:before="0" w:after="0"/>
              <w:rPr>
                <w:rFonts w:ascii="Tahoma" w:hAnsi="Tahoma" w:cs="Tahoma"/>
                <w:sz w:val="18"/>
                <w:szCs w:val="18"/>
              </w:rPr>
            </w:pPr>
            <w:r w:rsidRPr="00D733EB">
              <w:rPr>
                <w:rFonts w:ascii="Tahoma" w:hAnsi="Tahoma" w:cs="Tahoma"/>
                <w:sz w:val="18"/>
                <w:szCs w:val="18"/>
              </w:rPr>
              <w:t xml:space="preserve">Include provision to require reporting of capital works expenditure by class. Also require reporting of type of asset expenditure </w:t>
            </w:r>
            <w:r w:rsidR="006B0C1F">
              <w:rPr>
                <w:rFonts w:ascii="Tahoma" w:hAnsi="Tahoma" w:cs="Tahoma"/>
                <w:sz w:val="18"/>
                <w:szCs w:val="18"/>
              </w:rPr>
              <w:t>type</w:t>
            </w:r>
          </w:p>
        </w:tc>
        <w:tc>
          <w:tcPr>
            <w:tcW w:w="4359" w:type="dxa"/>
            <w:tcBorders>
              <w:top w:val="single" w:sz="4" w:space="0" w:color="auto"/>
              <w:left w:val="single" w:sz="4" w:space="0" w:color="auto"/>
              <w:bottom w:val="single" w:sz="4" w:space="0" w:color="auto"/>
              <w:right w:val="single" w:sz="4" w:space="0" w:color="auto"/>
            </w:tcBorders>
            <w:shd w:val="clear" w:color="auto" w:fill="auto"/>
            <w:hideMark/>
          </w:tcPr>
          <w:p w:rsidR="003038DE" w:rsidRPr="00E84DC2" w:rsidRDefault="00D733EB" w:rsidP="007325EC">
            <w:pPr>
              <w:pStyle w:val="ListBullet3"/>
              <w:numPr>
                <w:ilvl w:val="0"/>
                <w:numId w:val="0"/>
              </w:numPr>
              <w:spacing w:before="0" w:after="0"/>
              <w:rPr>
                <w:rFonts w:ascii="Tahoma" w:hAnsi="Tahoma" w:cs="Tahoma"/>
                <w:sz w:val="18"/>
                <w:szCs w:val="18"/>
              </w:rPr>
            </w:pPr>
            <w:r w:rsidRPr="00D733EB">
              <w:rPr>
                <w:rFonts w:ascii="Tahoma" w:hAnsi="Tahoma" w:cs="Tahoma"/>
                <w:sz w:val="18"/>
                <w:szCs w:val="18"/>
              </w:rPr>
              <w:t>For the annual report only, as a note to the financial statement, require councils to disclose capital works expenditure by class of asset. Within those classes, to report expenditure by:</w:t>
            </w:r>
          </w:p>
          <w:p w:rsidR="00714396" w:rsidRPr="00E84DC2" w:rsidRDefault="00D733EB" w:rsidP="003038DE">
            <w:pPr>
              <w:pStyle w:val="ListBullet3"/>
              <w:numPr>
                <w:ilvl w:val="0"/>
                <w:numId w:val="63"/>
              </w:numPr>
              <w:spacing w:before="0" w:after="0"/>
              <w:rPr>
                <w:rFonts w:ascii="Tahoma" w:hAnsi="Tahoma" w:cs="Tahoma"/>
                <w:sz w:val="18"/>
                <w:szCs w:val="18"/>
              </w:rPr>
            </w:pPr>
            <w:r w:rsidRPr="00D733EB">
              <w:rPr>
                <w:rFonts w:ascii="Tahoma" w:hAnsi="Tahoma" w:cs="Tahoma"/>
                <w:sz w:val="18"/>
                <w:szCs w:val="18"/>
              </w:rPr>
              <w:t>Asset renewal</w:t>
            </w:r>
          </w:p>
          <w:p w:rsidR="003038DE" w:rsidRPr="00E84DC2" w:rsidRDefault="00D733EB" w:rsidP="00714396">
            <w:pPr>
              <w:pStyle w:val="ListBullet3"/>
              <w:numPr>
                <w:ilvl w:val="0"/>
                <w:numId w:val="63"/>
              </w:numPr>
              <w:spacing w:before="0" w:after="0"/>
              <w:rPr>
                <w:rFonts w:ascii="Tahoma" w:hAnsi="Tahoma" w:cs="Tahoma"/>
                <w:sz w:val="18"/>
                <w:szCs w:val="18"/>
              </w:rPr>
            </w:pPr>
            <w:r w:rsidRPr="00D733EB">
              <w:rPr>
                <w:rFonts w:ascii="Tahoma" w:hAnsi="Tahoma" w:cs="Tahoma"/>
                <w:sz w:val="18"/>
                <w:szCs w:val="18"/>
              </w:rPr>
              <w:t>Asset upgrade</w:t>
            </w:r>
          </w:p>
          <w:p w:rsidR="00714396" w:rsidRPr="00E84DC2" w:rsidRDefault="00D733EB" w:rsidP="00714396">
            <w:pPr>
              <w:pStyle w:val="ListBullet3"/>
              <w:numPr>
                <w:ilvl w:val="0"/>
                <w:numId w:val="63"/>
              </w:numPr>
              <w:spacing w:before="0" w:after="0"/>
              <w:rPr>
                <w:rFonts w:ascii="Tahoma" w:hAnsi="Tahoma" w:cs="Tahoma"/>
                <w:sz w:val="18"/>
                <w:szCs w:val="18"/>
              </w:rPr>
            </w:pPr>
            <w:r w:rsidRPr="00D733EB">
              <w:rPr>
                <w:rFonts w:ascii="Tahoma" w:hAnsi="Tahoma" w:cs="Tahoma"/>
                <w:sz w:val="18"/>
                <w:szCs w:val="18"/>
              </w:rPr>
              <w:t>Asset expansion</w:t>
            </w:r>
          </w:p>
          <w:p w:rsidR="00714396" w:rsidRPr="00E84DC2" w:rsidRDefault="00D733EB" w:rsidP="00714396">
            <w:pPr>
              <w:pStyle w:val="ListBullet3"/>
              <w:numPr>
                <w:ilvl w:val="0"/>
                <w:numId w:val="63"/>
              </w:numPr>
              <w:spacing w:before="0" w:after="0"/>
              <w:rPr>
                <w:rFonts w:ascii="Tahoma" w:hAnsi="Tahoma" w:cs="Tahoma"/>
                <w:sz w:val="18"/>
                <w:szCs w:val="18"/>
              </w:rPr>
            </w:pPr>
            <w:r w:rsidRPr="00D733EB">
              <w:rPr>
                <w:rFonts w:ascii="Tahoma" w:hAnsi="Tahoma" w:cs="Tahoma"/>
                <w:sz w:val="18"/>
                <w:szCs w:val="18"/>
              </w:rPr>
              <w:t>New assets</w:t>
            </w:r>
          </w:p>
        </w:tc>
      </w:tr>
      <w:tr w:rsidR="003038DE" w:rsidRPr="00E84DC2" w:rsidTr="007325EC">
        <w:trPr>
          <w:trHeight w:val="1500"/>
        </w:trPr>
        <w:tc>
          <w:tcPr>
            <w:tcW w:w="1418" w:type="dxa"/>
            <w:tcBorders>
              <w:top w:val="single" w:sz="4" w:space="0" w:color="auto"/>
              <w:left w:val="single" w:sz="4" w:space="0" w:color="auto"/>
              <w:bottom w:val="single" w:sz="4" w:space="0" w:color="auto"/>
            </w:tcBorders>
          </w:tcPr>
          <w:p w:rsidR="003038DE" w:rsidRPr="00E84DC2" w:rsidRDefault="00D733EB" w:rsidP="007325EC">
            <w:pPr>
              <w:pStyle w:val="ListBullet3"/>
              <w:numPr>
                <w:ilvl w:val="0"/>
                <w:numId w:val="0"/>
              </w:numPr>
              <w:spacing w:before="0" w:after="0"/>
              <w:rPr>
                <w:rFonts w:ascii="Tahoma" w:hAnsi="Tahoma" w:cs="Tahoma"/>
                <w:sz w:val="18"/>
                <w:szCs w:val="18"/>
              </w:rPr>
            </w:pPr>
            <w:r w:rsidRPr="00D733EB">
              <w:rPr>
                <w:rFonts w:ascii="Tahoma" w:hAnsi="Tahoma" w:cs="Tahoma"/>
                <w:sz w:val="18"/>
                <w:szCs w:val="18"/>
              </w:rPr>
              <w:t>10</w:t>
            </w:r>
          </w:p>
        </w:tc>
        <w:tc>
          <w:tcPr>
            <w:tcW w:w="1843" w:type="dxa"/>
            <w:vMerge/>
            <w:tcBorders>
              <w:bottom w:val="nil"/>
            </w:tcBorders>
            <w:shd w:val="clear" w:color="auto" w:fill="auto"/>
            <w:hideMark/>
          </w:tcPr>
          <w:p w:rsidR="003038DE" w:rsidRPr="00E84DC2" w:rsidRDefault="003038DE" w:rsidP="007325EC">
            <w:pPr>
              <w:pStyle w:val="ListBullet3"/>
              <w:numPr>
                <w:ilvl w:val="0"/>
                <w:numId w:val="0"/>
              </w:numPr>
              <w:spacing w:before="0" w:after="0"/>
              <w:rPr>
                <w:rFonts w:ascii="Tahoma" w:hAnsi="Tahoma" w:cs="Tahoma"/>
                <w:sz w:val="18"/>
                <w:szCs w:val="18"/>
              </w:rPr>
            </w:pPr>
          </w:p>
        </w:tc>
        <w:tc>
          <w:tcPr>
            <w:tcW w:w="3260" w:type="dxa"/>
            <w:tcBorders>
              <w:top w:val="single" w:sz="4" w:space="0" w:color="auto"/>
              <w:bottom w:val="single" w:sz="4" w:space="0" w:color="auto"/>
              <w:right w:val="single" w:sz="4" w:space="0" w:color="auto"/>
            </w:tcBorders>
            <w:shd w:val="clear" w:color="auto" w:fill="auto"/>
            <w:hideMark/>
          </w:tcPr>
          <w:p w:rsidR="003038DE" w:rsidRPr="00E84DC2" w:rsidRDefault="00D733EB" w:rsidP="007325EC">
            <w:pPr>
              <w:pStyle w:val="ListBullet3"/>
              <w:numPr>
                <w:ilvl w:val="0"/>
                <w:numId w:val="0"/>
              </w:numPr>
              <w:spacing w:before="0" w:after="0"/>
              <w:rPr>
                <w:rFonts w:ascii="Tahoma" w:hAnsi="Tahoma" w:cs="Tahoma"/>
                <w:sz w:val="18"/>
                <w:szCs w:val="18"/>
              </w:rPr>
            </w:pPr>
            <w:r w:rsidRPr="00D733EB">
              <w:rPr>
                <w:rFonts w:ascii="Tahoma" w:hAnsi="Tahoma" w:cs="Tahoma"/>
                <w:sz w:val="18"/>
                <w:szCs w:val="18"/>
              </w:rPr>
              <w:t>Retain provision to report budget versus actual for revenue and expense and explain material variances</w:t>
            </w:r>
          </w:p>
        </w:tc>
        <w:tc>
          <w:tcPr>
            <w:tcW w:w="4359" w:type="dxa"/>
            <w:tcBorders>
              <w:top w:val="single" w:sz="4" w:space="0" w:color="auto"/>
              <w:left w:val="single" w:sz="4" w:space="0" w:color="auto"/>
              <w:bottom w:val="single" w:sz="4" w:space="0" w:color="auto"/>
              <w:right w:val="single" w:sz="4" w:space="0" w:color="auto"/>
            </w:tcBorders>
            <w:shd w:val="clear" w:color="auto" w:fill="auto"/>
            <w:hideMark/>
          </w:tcPr>
          <w:p w:rsidR="003038DE" w:rsidRPr="00E84DC2" w:rsidRDefault="00D733EB" w:rsidP="007325EC">
            <w:pPr>
              <w:pStyle w:val="ListBullet3"/>
              <w:numPr>
                <w:ilvl w:val="0"/>
                <w:numId w:val="0"/>
              </w:numPr>
              <w:spacing w:before="0" w:after="0"/>
              <w:rPr>
                <w:rFonts w:ascii="Tahoma" w:hAnsi="Tahoma" w:cs="Tahoma"/>
                <w:sz w:val="18"/>
                <w:szCs w:val="18"/>
              </w:rPr>
            </w:pPr>
            <w:r w:rsidRPr="00D733EB">
              <w:rPr>
                <w:rFonts w:ascii="Tahoma" w:hAnsi="Tahoma" w:cs="Tahoma"/>
                <w:sz w:val="18"/>
                <w:szCs w:val="18"/>
              </w:rPr>
              <w:t>For the annual report only, as a note to the financial statements, disclose revenue and expenses as set out in the comprehensive income statement prepared under 127(2)(a) that shows variations from the budget and if the variation is material, explain the reasons for the variation</w:t>
            </w:r>
          </w:p>
        </w:tc>
      </w:tr>
      <w:tr w:rsidR="003038DE" w:rsidRPr="00E84DC2" w:rsidTr="007325EC">
        <w:trPr>
          <w:trHeight w:val="1364"/>
        </w:trPr>
        <w:tc>
          <w:tcPr>
            <w:tcW w:w="1418" w:type="dxa"/>
            <w:tcBorders>
              <w:top w:val="single" w:sz="4" w:space="0" w:color="auto"/>
              <w:left w:val="single" w:sz="4" w:space="0" w:color="auto"/>
              <w:bottom w:val="single" w:sz="4" w:space="0" w:color="auto"/>
              <w:right w:val="single" w:sz="4" w:space="0" w:color="auto"/>
            </w:tcBorders>
          </w:tcPr>
          <w:p w:rsidR="003038DE" w:rsidRPr="00E84DC2" w:rsidRDefault="00D733EB" w:rsidP="007325EC">
            <w:pPr>
              <w:pStyle w:val="ListBullet3"/>
              <w:numPr>
                <w:ilvl w:val="0"/>
                <w:numId w:val="0"/>
              </w:numPr>
              <w:spacing w:before="0" w:after="0"/>
              <w:rPr>
                <w:rFonts w:ascii="Tahoma" w:hAnsi="Tahoma" w:cs="Tahoma"/>
                <w:sz w:val="18"/>
                <w:szCs w:val="18"/>
              </w:rPr>
            </w:pPr>
            <w:r w:rsidRPr="00D733EB">
              <w:rPr>
                <w:rFonts w:ascii="Tahoma" w:hAnsi="Tahoma" w:cs="Tahoma"/>
                <w:sz w:val="18"/>
                <w:szCs w:val="18"/>
              </w:rPr>
              <w:t>11</w:t>
            </w:r>
          </w:p>
        </w:tc>
        <w:tc>
          <w:tcPr>
            <w:tcW w:w="1843" w:type="dxa"/>
            <w:tcBorders>
              <w:top w:val="nil"/>
              <w:left w:val="single" w:sz="4" w:space="0" w:color="auto"/>
              <w:bottom w:val="single" w:sz="4" w:space="0" w:color="auto"/>
              <w:right w:val="single" w:sz="4" w:space="0" w:color="auto"/>
            </w:tcBorders>
            <w:shd w:val="clear" w:color="auto" w:fill="auto"/>
            <w:hideMark/>
          </w:tcPr>
          <w:p w:rsidR="003038DE" w:rsidRPr="00E84DC2" w:rsidRDefault="003038DE" w:rsidP="007325EC">
            <w:pPr>
              <w:pStyle w:val="ListBullet3"/>
              <w:numPr>
                <w:ilvl w:val="0"/>
                <w:numId w:val="0"/>
              </w:numPr>
              <w:spacing w:before="0" w:after="0"/>
              <w:rPr>
                <w:rFonts w:ascii="Tahoma" w:hAnsi="Tahoma" w:cs="Tahoma"/>
                <w:sz w:val="18"/>
                <w:szCs w:val="18"/>
              </w:rPr>
            </w:pP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3038DE" w:rsidRPr="00E84DC2" w:rsidRDefault="00D733EB" w:rsidP="007325EC">
            <w:pPr>
              <w:pStyle w:val="ListBullet3"/>
              <w:numPr>
                <w:ilvl w:val="0"/>
                <w:numId w:val="0"/>
              </w:numPr>
              <w:spacing w:before="0" w:after="0"/>
              <w:rPr>
                <w:rFonts w:ascii="Tahoma" w:hAnsi="Tahoma" w:cs="Tahoma"/>
                <w:sz w:val="18"/>
                <w:szCs w:val="18"/>
              </w:rPr>
            </w:pPr>
            <w:r w:rsidRPr="00D733EB">
              <w:rPr>
                <w:rFonts w:ascii="Tahoma" w:hAnsi="Tahoma" w:cs="Tahoma"/>
                <w:sz w:val="18"/>
                <w:szCs w:val="18"/>
              </w:rPr>
              <w:t>As a result of item 10) above, remove requirement to explain material variances between budget and actual in relation to the financial performance indicators in the performance statement</w:t>
            </w:r>
          </w:p>
        </w:tc>
        <w:tc>
          <w:tcPr>
            <w:tcW w:w="4359" w:type="dxa"/>
            <w:tcBorders>
              <w:top w:val="single" w:sz="4" w:space="0" w:color="auto"/>
              <w:left w:val="single" w:sz="4" w:space="0" w:color="auto"/>
              <w:bottom w:val="single" w:sz="4" w:space="0" w:color="auto"/>
              <w:right w:val="single" w:sz="4" w:space="0" w:color="auto"/>
            </w:tcBorders>
            <w:shd w:val="clear" w:color="auto" w:fill="auto"/>
            <w:hideMark/>
          </w:tcPr>
          <w:p w:rsidR="003038DE" w:rsidRPr="00E84DC2" w:rsidRDefault="00D733EB" w:rsidP="007325EC">
            <w:pPr>
              <w:pStyle w:val="ListBullet3"/>
              <w:numPr>
                <w:ilvl w:val="0"/>
                <w:numId w:val="0"/>
              </w:numPr>
              <w:spacing w:before="0" w:after="0"/>
              <w:rPr>
                <w:rFonts w:ascii="Tahoma" w:hAnsi="Tahoma" w:cs="Tahoma"/>
                <w:sz w:val="18"/>
                <w:szCs w:val="18"/>
              </w:rPr>
            </w:pPr>
            <w:r w:rsidRPr="00D733EB">
              <w:rPr>
                <w:rFonts w:ascii="Tahoma" w:hAnsi="Tahoma" w:cs="Tahoma"/>
                <w:sz w:val="18"/>
                <w:szCs w:val="18"/>
              </w:rPr>
              <w:t>Remove requirement to explain material variances between budget and actual in a statement of variation to the financial performance indicators.</w:t>
            </w:r>
          </w:p>
        </w:tc>
      </w:tr>
      <w:tr w:rsidR="003038DE" w:rsidRPr="00E84DC2" w:rsidTr="007325EC">
        <w:trPr>
          <w:trHeight w:val="1500"/>
        </w:trPr>
        <w:tc>
          <w:tcPr>
            <w:tcW w:w="1418" w:type="dxa"/>
            <w:tcBorders>
              <w:top w:val="single" w:sz="4" w:space="0" w:color="auto"/>
              <w:left w:val="single" w:sz="4" w:space="0" w:color="auto"/>
              <w:bottom w:val="single" w:sz="4" w:space="0" w:color="auto"/>
              <w:right w:val="single" w:sz="4" w:space="0" w:color="auto"/>
            </w:tcBorders>
          </w:tcPr>
          <w:p w:rsidR="003038DE" w:rsidRPr="00E84DC2" w:rsidRDefault="00D733EB" w:rsidP="007325EC">
            <w:pPr>
              <w:pStyle w:val="ListBullet3"/>
              <w:numPr>
                <w:ilvl w:val="0"/>
                <w:numId w:val="0"/>
              </w:numPr>
              <w:spacing w:before="0" w:after="0"/>
              <w:rPr>
                <w:rFonts w:ascii="Tahoma" w:hAnsi="Tahoma" w:cs="Tahoma"/>
                <w:sz w:val="18"/>
                <w:szCs w:val="18"/>
              </w:rPr>
            </w:pPr>
            <w:r w:rsidRPr="00D733EB">
              <w:rPr>
                <w:rFonts w:ascii="Tahoma" w:hAnsi="Tahoma" w:cs="Tahoma"/>
                <w:sz w:val="18"/>
                <w:szCs w:val="18"/>
              </w:rPr>
              <w:t>12</w:t>
            </w: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rsidR="003038DE" w:rsidRPr="00E84DC2" w:rsidRDefault="00D733EB" w:rsidP="007325EC">
            <w:pPr>
              <w:pStyle w:val="ListBullet3"/>
              <w:numPr>
                <w:ilvl w:val="0"/>
                <w:numId w:val="0"/>
              </w:numPr>
              <w:spacing w:before="0" w:after="0"/>
              <w:rPr>
                <w:rFonts w:ascii="Tahoma" w:hAnsi="Tahoma" w:cs="Tahoma"/>
                <w:sz w:val="18"/>
                <w:szCs w:val="18"/>
              </w:rPr>
            </w:pPr>
            <w:r w:rsidRPr="00D733EB">
              <w:rPr>
                <w:rFonts w:ascii="Tahoma" w:hAnsi="Tahoma" w:cs="Tahoma"/>
                <w:sz w:val="18"/>
                <w:szCs w:val="18"/>
              </w:rPr>
              <w:t>17 Meeting to consider Annual Report</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3038DE" w:rsidRPr="00E84DC2" w:rsidRDefault="00D733EB" w:rsidP="007325EC">
            <w:pPr>
              <w:pStyle w:val="ListBullet3"/>
              <w:numPr>
                <w:ilvl w:val="0"/>
                <w:numId w:val="0"/>
              </w:numPr>
              <w:spacing w:before="0" w:after="0"/>
              <w:rPr>
                <w:rFonts w:ascii="Tahoma" w:hAnsi="Tahoma" w:cs="Tahoma"/>
                <w:sz w:val="18"/>
                <w:szCs w:val="18"/>
              </w:rPr>
            </w:pPr>
            <w:r w:rsidRPr="00D733EB">
              <w:rPr>
                <w:rFonts w:ascii="Tahoma" w:hAnsi="Tahoma" w:cs="Tahoma"/>
                <w:sz w:val="18"/>
                <w:szCs w:val="18"/>
              </w:rPr>
              <w:t>Amend to account for clash with caretaker period in election year</w:t>
            </w:r>
          </w:p>
        </w:tc>
        <w:tc>
          <w:tcPr>
            <w:tcW w:w="4359" w:type="dxa"/>
            <w:tcBorders>
              <w:top w:val="single" w:sz="4" w:space="0" w:color="auto"/>
              <w:left w:val="single" w:sz="4" w:space="0" w:color="auto"/>
              <w:bottom w:val="single" w:sz="4" w:space="0" w:color="auto"/>
              <w:right w:val="single" w:sz="4" w:space="0" w:color="auto"/>
            </w:tcBorders>
            <w:shd w:val="clear" w:color="auto" w:fill="auto"/>
            <w:hideMark/>
          </w:tcPr>
          <w:p w:rsidR="003038DE" w:rsidRPr="00E84DC2" w:rsidRDefault="00D733EB" w:rsidP="007325EC">
            <w:pPr>
              <w:pStyle w:val="ListBullet3"/>
              <w:numPr>
                <w:ilvl w:val="0"/>
                <w:numId w:val="0"/>
              </w:numPr>
              <w:spacing w:before="0" w:after="0"/>
              <w:rPr>
                <w:rFonts w:ascii="Tahoma" w:hAnsi="Tahoma" w:cs="Tahoma"/>
                <w:sz w:val="18"/>
                <w:szCs w:val="18"/>
              </w:rPr>
            </w:pPr>
            <w:r w:rsidRPr="00D733EB">
              <w:rPr>
                <w:rFonts w:ascii="Tahoma" w:hAnsi="Tahoma" w:cs="Tahoma"/>
                <w:sz w:val="18"/>
                <w:szCs w:val="18"/>
              </w:rPr>
              <w:t xml:space="preserve">Include a new provision in Regulations that requires councils to hold a meeting before the election. </w:t>
            </w:r>
          </w:p>
          <w:p w:rsidR="003038DE" w:rsidRPr="00E84DC2" w:rsidRDefault="00D733EB" w:rsidP="007325EC">
            <w:pPr>
              <w:pStyle w:val="ListBullet3"/>
              <w:numPr>
                <w:ilvl w:val="0"/>
                <w:numId w:val="0"/>
              </w:numPr>
              <w:spacing w:before="0" w:after="0"/>
              <w:rPr>
                <w:rFonts w:ascii="Tahoma" w:hAnsi="Tahoma" w:cs="Tahoma"/>
                <w:sz w:val="18"/>
                <w:szCs w:val="18"/>
              </w:rPr>
            </w:pPr>
            <w:r w:rsidRPr="00D733EB">
              <w:rPr>
                <w:rFonts w:ascii="Tahoma" w:hAnsi="Tahoma" w:cs="Tahoma"/>
                <w:sz w:val="18"/>
                <w:szCs w:val="18"/>
              </w:rPr>
              <w:t>Update election caretaker arrangements practice notes to include guidance on the meeting to consider the annual report.</w:t>
            </w:r>
          </w:p>
        </w:tc>
      </w:tr>
    </w:tbl>
    <w:p w:rsidR="003038DE" w:rsidRPr="00E84DC2" w:rsidRDefault="003038DE" w:rsidP="00B43FC9">
      <w:pPr>
        <w:rPr>
          <w:rFonts w:ascii="Tahoma" w:eastAsia="Times New Roman" w:hAnsi="Tahoma" w:cs="Tahoma"/>
          <w:sz w:val="22"/>
          <w:szCs w:val="22"/>
          <w:lang w:val="en-AU"/>
        </w:rPr>
      </w:pPr>
    </w:p>
    <w:p w:rsidR="00B43FC9" w:rsidRPr="00E84DC2" w:rsidRDefault="00B43FC9" w:rsidP="00B43FC9">
      <w:pPr>
        <w:rPr>
          <w:rFonts w:ascii="Tahoma" w:eastAsia="Times New Roman" w:hAnsi="Tahoma" w:cs="Tahoma"/>
          <w:sz w:val="22"/>
          <w:szCs w:val="22"/>
          <w:lang w:val="en-AU"/>
        </w:rPr>
      </w:pPr>
    </w:p>
    <w:p w:rsidR="00BE37E6" w:rsidRPr="00E84DC2" w:rsidRDefault="00BE37E6" w:rsidP="00B43FC9">
      <w:pPr>
        <w:rPr>
          <w:rFonts w:ascii="Tahoma" w:eastAsia="Times New Roman" w:hAnsi="Tahoma" w:cs="Tahoma"/>
          <w:i/>
          <w:sz w:val="22"/>
          <w:szCs w:val="22"/>
          <w:lang w:val="en-AU"/>
        </w:rPr>
      </w:pPr>
    </w:p>
    <w:p w:rsidR="00BE37E6" w:rsidRPr="00E84DC2" w:rsidRDefault="00BE37E6" w:rsidP="00B43FC9">
      <w:pPr>
        <w:rPr>
          <w:rFonts w:ascii="Tahoma" w:eastAsia="Times New Roman" w:hAnsi="Tahoma" w:cs="Tahoma"/>
          <w:i/>
          <w:sz w:val="22"/>
          <w:szCs w:val="22"/>
          <w:lang w:val="en-AU"/>
        </w:rPr>
      </w:pPr>
    </w:p>
    <w:p w:rsidR="00B43FC9" w:rsidRPr="00E84DC2" w:rsidRDefault="00B43FC9" w:rsidP="00B43FC9">
      <w:pPr>
        <w:rPr>
          <w:rFonts w:ascii="Tahoma" w:eastAsia="Times New Roman" w:hAnsi="Tahoma" w:cs="Tahoma"/>
          <w:sz w:val="22"/>
          <w:szCs w:val="22"/>
          <w:lang w:val="en-AU"/>
        </w:rPr>
      </w:pPr>
    </w:p>
    <w:p w:rsidR="00B43FC9" w:rsidRPr="00E84DC2" w:rsidRDefault="00B43FC9" w:rsidP="00B43FC9">
      <w:pPr>
        <w:rPr>
          <w:rFonts w:ascii="Tahoma" w:eastAsia="Times New Roman" w:hAnsi="Tahoma" w:cs="Tahoma"/>
          <w:b/>
          <w:sz w:val="28"/>
          <w:szCs w:val="28"/>
          <w:lang w:val="en-AU"/>
        </w:rPr>
      </w:pPr>
    </w:p>
    <w:p w:rsidR="00B43FC9" w:rsidRPr="00E84DC2" w:rsidRDefault="00B43FC9" w:rsidP="00B43FC9">
      <w:pPr>
        <w:rPr>
          <w:rFonts w:ascii="Tahoma" w:eastAsia="Times New Roman" w:hAnsi="Tahoma" w:cs="Tahoma"/>
          <w:b/>
          <w:sz w:val="28"/>
          <w:szCs w:val="28"/>
          <w:lang w:val="en-AU"/>
        </w:rPr>
      </w:pPr>
    </w:p>
    <w:p w:rsidR="00B43FC9" w:rsidRPr="00E84DC2" w:rsidRDefault="00B43FC9" w:rsidP="00B43FC9">
      <w:pPr>
        <w:rPr>
          <w:rFonts w:ascii="Tahoma" w:eastAsia="Times New Roman" w:hAnsi="Tahoma" w:cs="Tahoma"/>
          <w:b/>
          <w:sz w:val="28"/>
          <w:szCs w:val="28"/>
          <w:lang w:val="en-AU"/>
        </w:rPr>
      </w:pPr>
    </w:p>
    <w:p w:rsidR="00B43FC9" w:rsidRPr="00E84DC2" w:rsidRDefault="00B43FC9" w:rsidP="00B43FC9">
      <w:pPr>
        <w:rPr>
          <w:rFonts w:ascii="Tahoma" w:eastAsia="Times New Roman" w:hAnsi="Tahoma" w:cs="Tahoma"/>
          <w:b/>
          <w:sz w:val="28"/>
          <w:szCs w:val="28"/>
          <w:lang w:val="en-AU"/>
        </w:rPr>
      </w:pPr>
    </w:p>
    <w:p w:rsidR="00B43FC9" w:rsidRPr="00E84DC2" w:rsidRDefault="00B43FC9" w:rsidP="00B43FC9">
      <w:pPr>
        <w:rPr>
          <w:rFonts w:ascii="Tahoma" w:eastAsia="Times New Roman" w:hAnsi="Tahoma" w:cs="Tahoma"/>
          <w:b/>
          <w:sz w:val="28"/>
          <w:szCs w:val="28"/>
          <w:lang w:val="en-AU"/>
        </w:rPr>
      </w:pPr>
    </w:p>
    <w:p w:rsidR="00B43FC9" w:rsidRPr="00E84DC2" w:rsidRDefault="00B43FC9" w:rsidP="00B43FC9">
      <w:pPr>
        <w:rPr>
          <w:rFonts w:ascii="Tahoma" w:eastAsia="Times New Roman" w:hAnsi="Tahoma" w:cs="Tahoma"/>
          <w:b/>
          <w:sz w:val="28"/>
          <w:szCs w:val="28"/>
          <w:lang w:val="en-AU"/>
        </w:rPr>
      </w:pPr>
    </w:p>
    <w:p w:rsidR="00B43FC9" w:rsidRPr="00E84DC2" w:rsidRDefault="00B43FC9" w:rsidP="00B43FC9">
      <w:pPr>
        <w:rPr>
          <w:rFonts w:ascii="Tahoma" w:eastAsia="Times New Roman" w:hAnsi="Tahoma" w:cs="Tahoma"/>
          <w:b/>
          <w:sz w:val="28"/>
          <w:szCs w:val="28"/>
          <w:lang w:val="en-AU"/>
        </w:rPr>
      </w:pPr>
    </w:p>
    <w:p w:rsidR="00B43FC9" w:rsidRPr="00E84DC2" w:rsidRDefault="00B43FC9" w:rsidP="00B43FC9">
      <w:pPr>
        <w:rPr>
          <w:rFonts w:ascii="Tahoma" w:eastAsia="Times New Roman" w:hAnsi="Tahoma" w:cs="Tahoma"/>
          <w:b/>
          <w:sz w:val="28"/>
          <w:szCs w:val="28"/>
          <w:lang w:val="en-AU"/>
        </w:rPr>
      </w:pPr>
    </w:p>
    <w:p w:rsidR="00B43FC9" w:rsidRPr="00E84DC2" w:rsidRDefault="00B43FC9" w:rsidP="00B43FC9">
      <w:pPr>
        <w:rPr>
          <w:rFonts w:ascii="Tahoma" w:eastAsia="Times New Roman" w:hAnsi="Tahoma" w:cs="Tahoma"/>
          <w:b/>
          <w:sz w:val="28"/>
          <w:szCs w:val="28"/>
          <w:lang w:val="en-AU"/>
        </w:rPr>
      </w:pPr>
    </w:p>
    <w:p w:rsidR="00B43FC9" w:rsidRPr="00E84DC2" w:rsidRDefault="00B43FC9" w:rsidP="00B43FC9">
      <w:pPr>
        <w:rPr>
          <w:rFonts w:ascii="Tahoma" w:eastAsia="Times New Roman" w:hAnsi="Tahoma" w:cs="Tahoma"/>
          <w:b/>
          <w:sz w:val="28"/>
          <w:szCs w:val="28"/>
          <w:lang w:val="en-AU"/>
        </w:rPr>
      </w:pPr>
    </w:p>
    <w:p w:rsidR="00B43FC9" w:rsidRPr="00E84DC2" w:rsidRDefault="00B43FC9" w:rsidP="00B43FC9">
      <w:pPr>
        <w:rPr>
          <w:rFonts w:ascii="Tahoma" w:eastAsia="Times New Roman" w:hAnsi="Tahoma" w:cs="Tahoma"/>
          <w:b/>
          <w:sz w:val="28"/>
          <w:szCs w:val="28"/>
          <w:lang w:val="en-AU"/>
        </w:rPr>
      </w:pPr>
    </w:p>
    <w:p w:rsidR="00B43FC9" w:rsidRPr="00E84DC2" w:rsidRDefault="00B43FC9" w:rsidP="00B43FC9">
      <w:pPr>
        <w:jc w:val="center"/>
        <w:rPr>
          <w:rFonts w:ascii="Tahoma" w:eastAsia="Times New Roman" w:hAnsi="Tahoma" w:cs="Tahoma"/>
          <w:b/>
          <w:sz w:val="28"/>
          <w:szCs w:val="28"/>
          <w:lang w:val="en-AU"/>
        </w:rPr>
      </w:pPr>
    </w:p>
    <w:p w:rsidR="00B43FC9" w:rsidRPr="00E84DC2" w:rsidRDefault="00B43FC9" w:rsidP="00B43FC9">
      <w:pPr>
        <w:jc w:val="center"/>
        <w:rPr>
          <w:rFonts w:ascii="Tahoma" w:eastAsia="Times New Roman" w:hAnsi="Tahoma" w:cs="Tahoma"/>
          <w:b/>
          <w:sz w:val="28"/>
          <w:szCs w:val="28"/>
          <w:lang w:val="en-AU"/>
        </w:rPr>
      </w:pPr>
    </w:p>
    <w:p w:rsidR="00B43FC9" w:rsidRPr="00E84DC2" w:rsidRDefault="00B43FC9" w:rsidP="00B43FC9">
      <w:pPr>
        <w:jc w:val="center"/>
        <w:rPr>
          <w:rFonts w:ascii="Tahoma" w:eastAsia="Times New Roman" w:hAnsi="Tahoma" w:cs="Tahoma"/>
          <w:b/>
          <w:sz w:val="28"/>
          <w:szCs w:val="28"/>
          <w:lang w:val="en-AU"/>
        </w:rPr>
      </w:pPr>
    </w:p>
    <w:p w:rsidR="00B43FC9" w:rsidRPr="00E84DC2" w:rsidRDefault="00B43FC9" w:rsidP="00B43FC9">
      <w:pPr>
        <w:jc w:val="center"/>
        <w:rPr>
          <w:rFonts w:ascii="Tahoma" w:eastAsia="Times New Roman" w:hAnsi="Tahoma" w:cs="Tahoma"/>
          <w:b/>
          <w:sz w:val="28"/>
          <w:szCs w:val="28"/>
          <w:lang w:val="en-AU"/>
        </w:rPr>
      </w:pPr>
    </w:p>
    <w:p w:rsidR="00B43FC9" w:rsidRPr="00E84DC2" w:rsidRDefault="00D733EB" w:rsidP="00B43FC9">
      <w:pPr>
        <w:jc w:val="center"/>
        <w:rPr>
          <w:rFonts w:ascii="Tahoma" w:eastAsia="Times New Roman" w:hAnsi="Tahoma" w:cs="Tahoma"/>
          <w:b/>
          <w:sz w:val="40"/>
          <w:szCs w:val="40"/>
          <w:lang w:val="en-AU"/>
        </w:rPr>
      </w:pPr>
      <w:r w:rsidRPr="00D733EB">
        <w:rPr>
          <w:rFonts w:ascii="Tahoma" w:eastAsia="Times New Roman" w:hAnsi="Tahoma" w:cs="Tahoma"/>
          <w:b/>
          <w:sz w:val="40"/>
          <w:szCs w:val="40"/>
          <w:lang w:val="en-AU"/>
        </w:rPr>
        <w:t>ATTACHMENTS</w:t>
      </w:r>
    </w:p>
    <w:p w:rsidR="00B43FC9" w:rsidRPr="00E84DC2" w:rsidRDefault="00B43FC9" w:rsidP="00B43FC9">
      <w:pPr>
        <w:rPr>
          <w:rFonts w:ascii="Tahoma" w:eastAsia="Times New Roman" w:hAnsi="Tahoma" w:cs="Tahoma"/>
          <w:sz w:val="22"/>
          <w:szCs w:val="22"/>
          <w:lang w:val="en-AU"/>
        </w:rPr>
      </w:pPr>
    </w:p>
    <w:p w:rsidR="00B43FC9" w:rsidRPr="00E84DC2" w:rsidRDefault="00B43FC9" w:rsidP="00B43FC9">
      <w:pPr>
        <w:rPr>
          <w:rFonts w:ascii="Tahoma" w:eastAsia="Times New Roman" w:hAnsi="Tahoma" w:cs="Tahoma"/>
          <w:sz w:val="22"/>
          <w:szCs w:val="22"/>
          <w:lang w:val="en-AU"/>
        </w:rPr>
      </w:pPr>
    </w:p>
    <w:p w:rsidR="00B43FC9" w:rsidRPr="00E84DC2" w:rsidRDefault="00B43FC9" w:rsidP="004E4A33">
      <w:pPr>
        <w:rPr>
          <w:rFonts w:ascii="Tahoma" w:eastAsia="Times New Roman" w:hAnsi="Tahoma" w:cs="Tahoma"/>
          <w:sz w:val="22"/>
          <w:szCs w:val="22"/>
          <w:lang w:val="en-AU"/>
        </w:rPr>
        <w:sectPr w:rsidR="00B43FC9" w:rsidRPr="00E84DC2" w:rsidSect="00BB4E63">
          <w:headerReference w:type="default" r:id="rId33"/>
          <w:pgSz w:w="11900" w:h="16840"/>
          <w:pgMar w:top="1440" w:right="1800" w:bottom="1440" w:left="1800" w:header="708" w:footer="708" w:gutter="0"/>
          <w:cols w:space="708"/>
          <w:titlePg/>
          <w:docGrid w:linePitch="360"/>
        </w:sectPr>
      </w:pPr>
    </w:p>
    <w:p w:rsidR="00AA317A" w:rsidRPr="00E84DC2" w:rsidRDefault="00D733EB" w:rsidP="00AA317A">
      <w:pPr>
        <w:rPr>
          <w:rFonts w:ascii="Tahoma" w:eastAsia="Times New Roman" w:hAnsi="Tahoma" w:cs="Tahoma"/>
          <w:b/>
          <w:sz w:val="28"/>
          <w:szCs w:val="28"/>
          <w:lang w:val="en-AU"/>
        </w:rPr>
      </w:pPr>
      <w:r w:rsidRPr="00D733EB">
        <w:rPr>
          <w:rFonts w:ascii="Tahoma" w:eastAsia="Times New Roman" w:hAnsi="Tahoma" w:cs="Tahoma"/>
          <w:b/>
          <w:sz w:val="28"/>
          <w:szCs w:val="28"/>
          <w:lang w:val="en-AU"/>
        </w:rPr>
        <w:lastRenderedPageBreak/>
        <w:t xml:space="preserve">Attachment </w:t>
      </w:r>
      <w:r w:rsidR="006B0C1F">
        <w:rPr>
          <w:rFonts w:ascii="Tahoma" w:eastAsia="Times New Roman" w:hAnsi="Tahoma" w:cs="Tahoma"/>
          <w:b/>
          <w:sz w:val="28"/>
          <w:szCs w:val="28"/>
          <w:lang w:val="en-AU"/>
        </w:rPr>
        <w:t>A</w:t>
      </w:r>
      <w:r w:rsidRPr="00D733EB">
        <w:rPr>
          <w:rFonts w:ascii="Tahoma" w:eastAsia="Times New Roman" w:hAnsi="Tahoma" w:cs="Tahoma"/>
          <w:b/>
          <w:sz w:val="28"/>
          <w:szCs w:val="28"/>
          <w:lang w:val="en-AU"/>
        </w:rPr>
        <w:t xml:space="preserve"> – Recurring performance challenges</w:t>
      </w:r>
    </w:p>
    <w:p w:rsidR="00EE7AA6" w:rsidRPr="00E84DC2" w:rsidRDefault="00EE7AA6" w:rsidP="00AA317A">
      <w:pPr>
        <w:rPr>
          <w:rFonts w:ascii="Tahoma" w:eastAsia="Times New Roman" w:hAnsi="Tahoma" w:cs="Tahoma"/>
          <w:sz w:val="20"/>
          <w:szCs w:val="20"/>
          <w:lang w:val="en-AU"/>
        </w:rPr>
      </w:pPr>
    </w:p>
    <w:p w:rsidR="005D2CBD" w:rsidRPr="00E84DC2" w:rsidRDefault="00D733EB" w:rsidP="00D667BA">
      <w:pPr>
        <w:rPr>
          <w:rFonts w:ascii="Tahoma" w:eastAsia="Times New Roman" w:hAnsi="Tahoma" w:cs="Tahoma"/>
          <w:b/>
          <w:bCs/>
          <w:sz w:val="20"/>
          <w:szCs w:val="20"/>
          <w:lang w:val="en-AU"/>
        </w:rPr>
      </w:pPr>
      <w:r w:rsidRPr="00D733EB">
        <w:rPr>
          <w:rFonts w:ascii="Tahoma" w:eastAsia="Times New Roman" w:hAnsi="Tahoma" w:cs="Tahoma"/>
          <w:b/>
          <w:bCs/>
          <w:sz w:val="20"/>
          <w:szCs w:val="20"/>
          <w:lang w:val="en-AU"/>
        </w:rPr>
        <w:t xml:space="preserve">[The following is extracted from the 2012 performance audit </w:t>
      </w:r>
      <w:r w:rsidRPr="00D733EB">
        <w:rPr>
          <w:rFonts w:ascii="Tahoma" w:eastAsia="Times New Roman" w:hAnsi="Tahoma" w:cs="Tahoma"/>
          <w:b/>
          <w:bCs/>
          <w:i/>
          <w:sz w:val="20"/>
          <w:szCs w:val="20"/>
          <w:lang w:val="en-AU"/>
        </w:rPr>
        <w:t>Performance Reporting by Local Government</w:t>
      </w:r>
      <w:r w:rsidRPr="00D733EB">
        <w:rPr>
          <w:rFonts w:ascii="Tahoma" w:eastAsia="Times New Roman" w:hAnsi="Tahoma" w:cs="Tahoma"/>
          <w:b/>
          <w:bCs/>
          <w:sz w:val="20"/>
          <w:szCs w:val="20"/>
          <w:lang w:val="en-AU"/>
        </w:rPr>
        <w:t>]</w:t>
      </w:r>
    </w:p>
    <w:p w:rsidR="005D2CBD" w:rsidRPr="00E84DC2" w:rsidRDefault="005D2CBD" w:rsidP="00D667BA">
      <w:pPr>
        <w:rPr>
          <w:rFonts w:ascii="Tahoma" w:eastAsia="Times New Roman" w:hAnsi="Tahoma" w:cs="Tahoma"/>
          <w:b/>
          <w:bCs/>
          <w:sz w:val="20"/>
          <w:szCs w:val="20"/>
          <w:lang w:val="en-AU"/>
        </w:rPr>
      </w:pPr>
    </w:p>
    <w:p w:rsidR="00D667BA" w:rsidRPr="00E84DC2" w:rsidRDefault="00D733EB" w:rsidP="00D667BA">
      <w:pPr>
        <w:rPr>
          <w:rFonts w:ascii="Tahoma" w:eastAsia="Times New Roman" w:hAnsi="Tahoma" w:cs="Tahoma"/>
          <w:sz w:val="22"/>
          <w:szCs w:val="22"/>
          <w:lang w:val="en-AU"/>
        </w:rPr>
      </w:pPr>
      <w:r w:rsidRPr="00D733EB">
        <w:rPr>
          <w:rFonts w:ascii="Tahoma" w:eastAsia="Times New Roman" w:hAnsi="Tahoma" w:cs="Tahoma"/>
          <w:sz w:val="22"/>
          <w:szCs w:val="22"/>
          <w:lang w:val="en-AU"/>
        </w:rPr>
        <w:t xml:space="preserve">The meta-analysis of 16 local government performance audits undertaken between 2000 and 2011 highlighted recurring performance challenges in the local government sector—briefly summarised in Figure 2B of this report (page 12). These issues relate to themes of ineffective planning and budgeting, inadequate adherence to policies and procedures and weaknesses in councils’ oversight and monitoring, and are outlined in further detail below. </w:t>
      </w:r>
    </w:p>
    <w:p w:rsidR="003B0C2A" w:rsidRPr="00E84DC2" w:rsidRDefault="003B0C2A" w:rsidP="00D667BA">
      <w:pPr>
        <w:rPr>
          <w:rFonts w:ascii="Tahoma" w:eastAsia="Times New Roman" w:hAnsi="Tahoma" w:cs="Tahoma"/>
          <w:sz w:val="22"/>
          <w:szCs w:val="22"/>
          <w:lang w:val="en-AU"/>
        </w:rPr>
      </w:pPr>
    </w:p>
    <w:p w:rsidR="00D667BA" w:rsidRPr="00E84DC2" w:rsidRDefault="00D733EB" w:rsidP="003B0C2A">
      <w:pPr>
        <w:rPr>
          <w:rFonts w:ascii="Tahoma" w:eastAsia="Times New Roman" w:hAnsi="Tahoma" w:cs="Tahoma"/>
          <w:b/>
          <w:bCs/>
          <w:sz w:val="22"/>
          <w:szCs w:val="22"/>
          <w:lang w:val="en-AU"/>
        </w:rPr>
      </w:pPr>
      <w:r w:rsidRPr="00D733EB">
        <w:rPr>
          <w:rFonts w:ascii="Tahoma" w:eastAsia="Times New Roman" w:hAnsi="Tahoma" w:cs="Tahoma"/>
          <w:b/>
          <w:bCs/>
          <w:sz w:val="22"/>
          <w:szCs w:val="22"/>
          <w:lang w:val="en-AU"/>
        </w:rPr>
        <w:t>Ineffective planning and budgeting</w:t>
      </w:r>
    </w:p>
    <w:p w:rsidR="00D667BA" w:rsidRPr="00E84DC2" w:rsidRDefault="00D733EB" w:rsidP="00D667BA">
      <w:pPr>
        <w:rPr>
          <w:rFonts w:ascii="Tahoma" w:eastAsia="Times New Roman" w:hAnsi="Tahoma" w:cs="Tahoma"/>
          <w:sz w:val="22"/>
          <w:szCs w:val="22"/>
          <w:lang w:val="en-AU"/>
        </w:rPr>
      </w:pPr>
      <w:r w:rsidRPr="00D733EB">
        <w:rPr>
          <w:rFonts w:ascii="Tahoma" w:eastAsia="Times New Roman" w:hAnsi="Tahoma" w:cs="Tahoma"/>
          <w:sz w:val="22"/>
          <w:szCs w:val="22"/>
          <w:lang w:val="en-AU"/>
        </w:rPr>
        <w:t xml:space="preserve">Instances of ineffective planning and budgeting have been identified in successive audits between 2002 and 2011. </w:t>
      </w:r>
    </w:p>
    <w:p w:rsidR="003B0C2A" w:rsidRPr="00E84DC2" w:rsidRDefault="003B0C2A" w:rsidP="00D667BA">
      <w:pPr>
        <w:rPr>
          <w:rFonts w:ascii="Tahoma" w:eastAsia="Times New Roman" w:hAnsi="Tahoma" w:cs="Tahoma"/>
          <w:sz w:val="22"/>
          <w:szCs w:val="22"/>
          <w:lang w:val="en-AU"/>
        </w:rPr>
      </w:pPr>
    </w:p>
    <w:p w:rsidR="00D667BA" w:rsidRPr="00E84DC2" w:rsidRDefault="00D733EB" w:rsidP="00D667BA">
      <w:pPr>
        <w:rPr>
          <w:rFonts w:ascii="Tahoma" w:eastAsia="Times New Roman" w:hAnsi="Tahoma" w:cs="Tahoma"/>
          <w:sz w:val="22"/>
          <w:szCs w:val="22"/>
          <w:lang w:val="en-AU"/>
        </w:rPr>
      </w:pPr>
      <w:r w:rsidRPr="00D733EB">
        <w:rPr>
          <w:rFonts w:ascii="Tahoma" w:eastAsia="Times New Roman" w:hAnsi="Tahoma" w:cs="Tahoma"/>
          <w:sz w:val="22"/>
          <w:szCs w:val="22"/>
          <w:lang w:val="en-AU"/>
        </w:rPr>
        <w:t xml:space="preserve">In 2002, </w:t>
      </w:r>
      <w:r w:rsidRPr="00D733EB">
        <w:rPr>
          <w:rFonts w:ascii="Tahoma" w:eastAsia="Times New Roman" w:hAnsi="Tahoma" w:cs="Tahoma"/>
          <w:i/>
          <w:iCs/>
          <w:sz w:val="22"/>
          <w:szCs w:val="22"/>
          <w:lang w:val="en-AU"/>
        </w:rPr>
        <w:t>Management of Roads by Local Government</w:t>
      </w:r>
      <w:r w:rsidRPr="00D733EB">
        <w:rPr>
          <w:rFonts w:ascii="Tahoma" w:eastAsia="Times New Roman" w:hAnsi="Tahoma" w:cs="Tahoma"/>
          <w:sz w:val="22"/>
          <w:szCs w:val="22"/>
          <w:lang w:val="en-AU"/>
        </w:rPr>
        <w:t xml:space="preserve"> found that planning was compromised by inadequate links between corporate plans, asset management plans and budget processes, and that councils had inadequate policies for the management of road assets. This audit also found that due to a lack of adequate forward planning, councils’ funding models did not support the efficient and effective management of road assets. A benchmarking study of 66 councils by the Municipal Association of Victoria in 2001 produced similar results, highlighting that none of the participating councils were meeting best practice in infrastructure and asset management. </w:t>
      </w:r>
    </w:p>
    <w:p w:rsidR="003B0C2A" w:rsidRPr="00E84DC2" w:rsidRDefault="003B0C2A" w:rsidP="00D667BA">
      <w:pPr>
        <w:rPr>
          <w:rFonts w:ascii="Tahoma" w:eastAsia="Times New Roman" w:hAnsi="Tahoma" w:cs="Tahoma"/>
          <w:sz w:val="22"/>
          <w:szCs w:val="22"/>
          <w:lang w:val="en-AU"/>
        </w:rPr>
      </w:pPr>
    </w:p>
    <w:p w:rsidR="00D667BA" w:rsidRPr="00E84DC2" w:rsidRDefault="00D733EB" w:rsidP="00D667BA">
      <w:pPr>
        <w:rPr>
          <w:rFonts w:ascii="Tahoma" w:eastAsia="Times New Roman" w:hAnsi="Tahoma" w:cs="Tahoma"/>
          <w:sz w:val="22"/>
          <w:szCs w:val="22"/>
          <w:lang w:val="en-AU"/>
        </w:rPr>
      </w:pPr>
      <w:r w:rsidRPr="00D733EB">
        <w:rPr>
          <w:rFonts w:ascii="Tahoma" w:eastAsia="Times New Roman" w:hAnsi="Tahoma" w:cs="Tahoma"/>
          <w:sz w:val="22"/>
          <w:szCs w:val="22"/>
          <w:lang w:val="en-AU"/>
        </w:rPr>
        <w:t xml:space="preserve">Almost a decade later, the 2011 audit of </w:t>
      </w:r>
      <w:r w:rsidRPr="00D733EB">
        <w:rPr>
          <w:rFonts w:ascii="Tahoma" w:eastAsia="Times New Roman" w:hAnsi="Tahoma" w:cs="Tahoma"/>
          <w:i/>
          <w:iCs/>
          <w:sz w:val="22"/>
          <w:szCs w:val="22"/>
          <w:lang w:val="en-AU"/>
        </w:rPr>
        <w:t>Business Planning for Major Capital Works and Recurrent Services in Local Government</w:t>
      </w:r>
      <w:r w:rsidRPr="00D733EB">
        <w:rPr>
          <w:rFonts w:ascii="Tahoma" w:eastAsia="Times New Roman" w:hAnsi="Tahoma" w:cs="Tahoma"/>
          <w:sz w:val="22"/>
          <w:szCs w:val="22"/>
          <w:lang w:val="en-AU"/>
        </w:rPr>
        <w:t xml:space="preserve"> again found that asset management plans at three of the four councils examined were not adequate for supporting the effective management of $1.6 billion in assets. This audit also highlighted that long-term financial plans were not based on long-term strategic plans, meaning there was little assurance that forward financial planning could position councils to meet future community needs. </w:t>
      </w:r>
    </w:p>
    <w:p w:rsidR="003B0C2A" w:rsidRPr="00E84DC2" w:rsidRDefault="003B0C2A" w:rsidP="00D667BA">
      <w:pPr>
        <w:rPr>
          <w:rFonts w:ascii="Tahoma" w:eastAsia="Times New Roman" w:hAnsi="Tahoma" w:cs="Tahoma"/>
          <w:sz w:val="22"/>
          <w:szCs w:val="22"/>
          <w:lang w:val="en-AU"/>
        </w:rPr>
      </w:pPr>
    </w:p>
    <w:p w:rsidR="00D667BA" w:rsidRPr="00E84DC2" w:rsidRDefault="00D733EB" w:rsidP="00D667BA">
      <w:pPr>
        <w:rPr>
          <w:rFonts w:ascii="Tahoma" w:eastAsia="Times New Roman" w:hAnsi="Tahoma" w:cs="Tahoma"/>
          <w:sz w:val="22"/>
          <w:szCs w:val="22"/>
          <w:lang w:val="en-AU"/>
        </w:rPr>
      </w:pPr>
      <w:r w:rsidRPr="00D733EB">
        <w:rPr>
          <w:rFonts w:ascii="Tahoma" w:eastAsia="Times New Roman" w:hAnsi="Tahoma" w:cs="Tahoma"/>
          <w:sz w:val="22"/>
          <w:szCs w:val="22"/>
          <w:lang w:val="en-AU"/>
        </w:rPr>
        <w:t xml:space="preserve">Again, this audit found that at the majority of councils audited, links between corporate plans and business plans were inadequate, demonstrating minimal progress since the 2002 audit. Victoria’s peak body for local government professionals, LGPro, also identified this as a significant challenge in its 2008 document </w:t>
      </w:r>
      <w:r w:rsidRPr="00D733EB">
        <w:rPr>
          <w:rFonts w:ascii="Tahoma" w:eastAsia="Times New Roman" w:hAnsi="Tahoma" w:cs="Tahoma"/>
          <w:i/>
          <w:iCs/>
          <w:sz w:val="22"/>
          <w:szCs w:val="22"/>
          <w:lang w:val="en-AU"/>
        </w:rPr>
        <w:t>Embedding Community Priorities in to Council Planning</w:t>
      </w:r>
      <w:r w:rsidRPr="00D733EB">
        <w:rPr>
          <w:rFonts w:ascii="Tahoma" w:eastAsia="Times New Roman" w:hAnsi="Tahoma" w:cs="Tahoma"/>
          <w:sz w:val="22"/>
          <w:szCs w:val="22"/>
          <w:lang w:val="en-AU"/>
        </w:rPr>
        <w:t>, which reported many councils struggling to link plans into a clear strategic approach.</w:t>
      </w:r>
    </w:p>
    <w:p w:rsidR="001647FE" w:rsidRPr="00E84DC2" w:rsidRDefault="001647FE" w:rsidP="00D667BA">
      <w:pPr>
        <w:rPr>
          <w:rFonts w:ascii="Tahoma" w:eastAsia="Times New Roman" w:hAnsi="Tahoma" w:cs="Tahoma"/>
          <w:sz w:val="22"/>
          <w:szCs w:val="22"/>
          <w:lang w:val="en-AU"/>
        </w:rPr>
      </w:pPr>
    </w:p>
    <w:p w:rsidR="00D667BA" w:rsidRPr="00E84DC2" w:rsidRDefault="00D733EB" w:rsidP="00D667BA">
      <w:pPr>
        <w:rPr>
          <w:rFonts w:ascii="Tahoma" w:eastAsia="Times New Roman" w:hAnsi="Tahoma" w:cs="Tahoma"/>
          <w:sz w:val="22"/>
          <w:szCs w:val="22"/>
          <w:lang w:val="en-AU"/>
        </w:rPr>
      </w:pPr>
      <w:r w:rsidRPr="00D733EB">
        <w:rPr>
          <w:rFonts w:ascii="Tahoma" w:eastAsia="Times New Roman" w:hAnsi="Tahoma" w:cs="Tahoma"/>
          <w:sz w:val="22"/>
          <w:szCs w:val="22"/>
          <w:lang w:val="en-AU"/>
        </w:rPr>
        <w:t xml:space="preserve">Financial audits of all 79 councils in 2010–11 highlighted that these issues are widespread. These audits found that 42 per cent of councils had not linked asset management strategies to policies or strategic resource plans, and 67 per cent had not linked future service delivery needs with the capacity of assets to meet them on a short-, medium- or long-term basis. </w:t>
      </w:r>
    </w:p>
    <w:p w:rsidR="000A5F09" w:rsidRPr="00E84DC2" w:rsidRDefault="000A5F09" w:rsidP="00D667BA">
      <w:pPr>
        <w:rPr>
          <w:rFonts w:ascii="Tahoma" w:eastAsia="Times New Roman" w:hAnsi="Tahoma" w:cs="Tahoma"/>
          <w:sz w:val="22"/>
          <w:szCs w:val="22"/>
          <w:lang w:val="en-AU"/>
        </w:rPr>
      </w:pPr>
    </w:p>
    <w:p w:rsidR="00D667BA" w:rsidRPr="00E84DC2" w:rsidRDefault="00D733EB" w:rsidP="00D667BA">
      <w:pPr>
        <w:rPr>
          <w:rFonts w:ascii="Tahoma" w:eastAsia="Times New Roman" w:hAnsi="Tahoma" w:cs="Tahoma"/>
          <w:sz w:val="22"/>
          <w:szCs w:val="22"/>
          <w:lang w:val="en-AU"/>
        </w:rPr>
      </w:pPr>
      <w:r w:rsidRPr="00D733EB">
        <w:rPr>
          <w:rFonts w:ascii="Tahoma" w:eastAsia="Times New Roman" w:hAnsi="Tahoma" w:cs="Tahoma"/>
          <w:sz w:val="22"/>
          <w:szCs w:val="22"/>
          <w:lang w:val="en-AU"/>
        </w:rPr>
        <w:t xml:space="preserve">Other performance audits have highlighted deficiencies in more specific areas of councils’ planning and budgeting processes. </w:t>
      </w:r>
    </w:p>
    <w:p w:rsidR="003B0C2A" w:rsidRPr="00E84DC2" w:rsidRDefault="003B0C2A" w:rsidP="00D667BA">
      <w:pPr>
        <w:rPr>
          <w:rFonts w:ascii="Tahoma" w:eastAsia="Times New Roman" w:hAnsi="Tahoma" w:cs="Tahoma"/>
          <w:sz w:val="22"/>
          <w:szCs w:val="22"/>
          <w:lang w:val="en-AU"/>
        </w:rPr>
      </w:pPr>
    </w:p>
    <w:p w:rsidR="00D667BA" w:rsidRPr="00E84DC2" w:rsidRDefault="00D733EB" w:rsidP="00D667BA">
      <w:pPr>
        <w:rPr>
          <w:rFonts w:ascii="Tahoma" w:eastAsia="Times New Roman" w:hAnsi="Tahoma" w:cs="Tahoma"/>
          <w:sz w:val="22"/>
          <w:szCs w:val="22"/>
          <w:lang w:val="en-AU"/>
        </w:rPr>
      </w:pPr>
      <w:r w:rsidRPr="00D733EB">
        <w:rPr>
          <w:rFonts w:ascii="Tahoma" w:eastAsia="Times New Roman" w:hAnsi="Tahoma" w:cs="Tahoma"/>
          <w:sz w:val="22"/>
          <w:szCs w:val="22"/>
          <w:lang w:val="en-AU"/>
        </w:rPr>
        <w:t xml:space="preserve">The 2010 audit </w:t>
      </w:r>
      <w:r w:rsidRPr="00D733EB">
        <w:rPr>
          <w:rFonts w:ascii="Tahoma" w:eastAsia="Times New Roman" w:hAnsi="Tahoma" w:cs="Tahoma"/>
          <w:i/>
          <w:iCs/>
          <w:sz w:val="22"/>
          <w:szCs w:val="22"/>
          <w:lang w:val="en-AU"/>
        </w:rPr>
        <w:t>Business Continuity Management in Local Government</w:t>
      </w:r>
      <w:r w:rsidRPr="00D733EB">
        <w:rPr>
          <w:rFonts w:ascii="Tahoma" w:eastAsia="Times New Roman" w:hAnsi="Tahoma" w:cs="Tahoma"/>
          <w:sz w:val="22"/>
          <w:szCs w:val="22"/>
          <w:lang w:val="en-AU"/>
        </w:rPr>
        <w:t xml:space="preserve"> found that councils’ plans for maintaining service delivery in the event of significant disruption, </w:t>
      </w:r>
      <w:r w:rsidRPr="00D733EB">
        <w:rPr>
          <w:rFonts w:ascii="Tahoma" w:eastAsia="Times New Roman" w:hAnsi="Tahoma" w:cs="Tahoma"/>
          <w:sz w:val="22"/>
          <w:szCs w:val="22"/>
          <w:lang w:val="en-AU"/>
        </w:rPr>
        <w:lastRenderedPageBreak/>
        <w:t xml:space="preserve">where not developed through a sufficiently rigorous process, providing no assurance that these councils’ response to an emergency would be timely and effective. </w:t>
      </w:r>
    </w:p>
    <w:p w:rsidR="003B0C2A" w:rsidRPr="00E84DC2" w:rsidRDefault="003B0C2A" w:rsidP="00D667BA">
      <w:pPr>
        <w:rPr>
          <w:rFonts w:ascii="Tahoma" w:eastAsia="Times New Roman" w:hAnsi="Tahoma" w:cs="Tahoma"/>
          <w:sz w:val="22"/>
          <w:szCs w:val="22"/>
          <w:lang w:val="en-AU"/>
        </w:rPr>
      </w:pPr>
    </w:p>
    <w:p w:rsidR="003B0C2A" w:rsidRPr="00E84DC2" w:rsidRDefault="00D733EB" w:rsidP="00D667BA">
      <w:pPr>
        <w:rPr>
          <w:rFonts w:ascii="Tahoma" w:eastAsia="Times New Roman" w:hAnsi="Tahoma" w:cs="Tahoma"/>
          <w:sz w:val="22"/>
          <w:szCs w:val="22"/>
          <w:lang w:val="en-AU"/>
        </w:rPr>
      </w:pPr>
      <w:r w:rsidRPr="00D733EB">
        <w:rPr>
          <w:rFonts w:ascii="Tahoma" w:eastAsia="Times New Roman" w:hAnsi="Tahoma" w:cs="Tahoma"/>
          <w:sz w:val="22"/>
          <w:szCs w:val="22"/>
          <w:lang w:val="en-AU"/>
        </w:rPr>
        <w:t xml:space="preserve">The 2010 audit of </w:t>
      </w:r>
      <w:r w:rsidRPr="00D733EB">
        <w:rPr>
          <w:rFonts w:ascii="Tahoma" w:eastAsia="Times New Roman" w:hAnsi="Tahoma" w:cs="Tahoma"/>
          <w:i/>
          <w:iCs/>
          <w:sz w:val="22"/>
          <w:szCs w:val="22"/>
          <w:lang w:val="en-AU"/>
        </w:rPr>
        <w:t>Fees and Charges: Cost recovery by local government</w:t>
      </w:r>
      <w:r w:rsidRPr="00D733EB">
        <w:rPr>
          <w:rFonts w:ascii="Tahoma" w:eastAsia="Times New Roman" w:hAnsi="Tahoma" w:cs="Tahoma"/>
          <w:sz w:val="22"/>
          <w:szCs w:val="22"/>
          <w:lang w:val="en-AU"/>
        </w:rPr>
        <w:t xml:space="preserve"> concluded that councils were not effectively managing the full costs of services they provide, that councils had not accurately determined subsidy principles and levels, and could not show that fees and charges reflected best value principles. This audit further highlighted that councils did not have reports that would allow senior management and councils to assess the efficiency of their services, the extent to which they are subsidised, and the extent of cost recovery.</w:t>
      </w:r>
    </w:p>
    <w:p w:rsidR="00D667BA" w:rsidRPr="00E84DC2" w:rsidRDefault="00D733EB" w:rsidP="00D667BA">
      <w:pPr>
        <w:rPr>
          <w:rFonts w:ascii="Tahoma" w:eastAsia="Times New Roman" w:hAnsi="Tahoma" w:cs="Tahoma"/>
          <w:sz w:val="22"/>
          <w:szCs w:val="22"/>
          <w:lang w:val="en-AU"/>
        </w:rPr>
      </w:pPr>
      <w:r w:rsidRPr="00D733EB">
        <w:rPr>
          <w:rFonts w:ascii="Tahoma" w:eastAsia="Times New Roman" w:hAnsi="Tahoma" w:cs="Tahoma"/>
          <w:sz w:val="22"/>
          <w:szCs w:val="22"/>
          <w:lang w:val="en-AU"/>
        </w:rPr>
        <w:t xml:space="preserve"> </w:t>
      </w:r>
    </w:p>
    <w:p w:rsidR="00D667BA" w:rsidRPr="00E84DC2" w:rsidRDefault="00D733EB" w:rsidP="003B0C2A">
      <w:pPr>
        <w:rPr>
          <w:rFonts w:ascii="Tahoma" w:eastAsia="Times New Roman" w:hAnsi="Tahoma" w:cs="Tahoma"/>
          <w:b/>
          <w:bCs/>
          <w:sz w:val="22"/>
          <w:szCs w:val="22"/>
          <w:lang w:val="en-AU"/>
        </w:rPr>
      </w:pPr>
      <w:r w:rsidRPr="00D733EB">
        <w:rPr>
          <w:rFonts w:ascii="Tahoma" w:eastAsia="Times New Roman" w:hAnsi="Tahoma" w:cs="Tahoma"/>
          <w:b/>
          <w:bCs/>
          <w:sz w:val="22"/>
          <w:szCs w:val="22"/>
          <w:lang w:val="en-AU"/>
        </w:rPr>
        <w:t>Inadequate adherence to policies and procedures</w:t>
      </w:r>
    </w:p>
    <w:p w:rsidR="00D667BA" w:rsidRPr="00E84DC2" w:rsidRDefault="00D733EB" w:rsidP="00D667BA">
      <w:pPr>
        <w:rPr>
          <w:rFonts w:ascii="Tahoma" w:eastAsia="Times New Roman" w:hAnsi="Tahoma" w:cs="Tahoma"/>
          <w:sz w:val="22"/>
          <w:szCs w:val="22"/>
          <w:lang w:val="en-AU"/>
        </w:rPr>
      </w:pPr>
      <w:r w:rsidRPr="00D733EB">
        <w:rPr>
          <w:rFonts w:ascii="Tahoma" w:eastAsia="Times New Roman" w:hAnsi="Tahoma" w:cs="Tahoma"/>
          <w:sz w:val="22"/>
          <w:szCs w:val="22"/>
          <w:lang w:val="en-AU"/>
        </w:rPr>
        <w:t>Audits in 2008, 2010 and 2011 have highlighted instances where councils have not adequately made or adhered to policies and procedures, compromising the performance of various functions. The 2008 audit</w:t>
      </w:r>
      <w:r w:rsidRPr="00D733EB">
        <w:rPr>
          <w:rFonts w:ascii="Tahoma" w:eastAsia="Times New Roman" w:hAnsi="Tahoma" w:cs="Tahoma"/>
          <w:i/>
          <w:iCs/>
          <w:sz w:val="22"/>
          <w:szCs w:val="22"/>
          <w:lang w:val="en-AU"/>
        </w:rPr>
        <w:t xml:space="preserve"> Enforcement of Planning Permits</w:t>
      </w:r>
      <w:r w:rsidRPr="00D733EB">
        <w:rPr>
          <w:rFonts w:ascii="Tahoma" w:eastAsia="Times New Roman" w:hAnsi="Tahoma" w:cs="Tahoma"/>
          <w:sz w:val="22"/>
          <w:szCs w:val="22"/>
          <w:lang w:val="en-AU"/>
        </w:rPr>
        <w:t xml:space="preserve"> identified that councils lacked policies for enforcing planning permits, and therefore lacked assurance that permits were being complied with. The audit also identified that around 20 per cent of permit conditions were non-compliant at the councils audited. In 2011, our audit </w:t>
      </w:r>
      <w:r w:rsidRPr="00D733EB">
        <w:rPr>
          <w:rFonts w:ascii="Tahoma" w:eastAsia="Times New Roman" w:hAnsi="Tahoma" w:cs="Tahoma"/>
          <w:i/>
          <w:iCs/>
          <w:sz w:val="22"/>
          <w:szCs w:val="22"/>
          <w:lang w:val="en-AU"/>
        </w:rPr>
        <w:t>Compliance with Building Permits</w:t>
      </w:r>
      <w:r w:rsidRPr="00D733EB">
        <w:rPr>
          <w:rFonts w:ascii="Tahoma" w:eastAsia="Times New Roman" w:hAnsi="Tahoma" w:cs="Tahoma"/>
          <w:sz w:val="22"/>
          <w:szCs w:val="22"/>
          <w:lang w:val="en-AU"/>
        </w:rPr>
        <w:t xml:space="preserve"> similarly found that councils had limited and reactive practices for monitoring and enforcing compliance with building permits, offering little assurance that all building permits and associated works meet statutory requirements. </w:t>
      </w:r>
    </w:p>
    <w:p w:rsidR="003B0C2A" w:rsidRPr="00E84DC2" w:rsidRDefault="003B0C2A" w:rsidP="00D667BA">
      <w:pPr>
        <w:rPr>
          <w:rFonts w:ascii="Tahoma" w:eastAsia="Times New Roman" w:hAnsi="Tahoma" w:cs="Tahoma"/>
          <w:sz w:val="22"/>
          <w:szCs w:val="22"/>
          <w:lang w:val="en-AU"/>
        </w:rPr>
      </w:pPr>
    </w:p>
    <w:p w:rsidR="00D667BA" w:rsidRPr="00E84DC2" w:rsidRDefault="00D733EB" w:rsidP="00D667BA">
      <w:pPr>
        <w:rPr>
          <w:rFonts w:ascii="Tahoma" w:eastAsia="Times New Roman" w:hAnsi="Tahoma" w:cs="Tahoma"/>
          <w:sz w:val="22"/>
          <w:szCs w:val="22"/>
          <w:lang w:val="en-AU"/>
        </w:rPr>
      </w:pPr>
      <w:r w:rsidRPr="00D733EB">
        <w:rPr>
          <w:rFonts w:ascii="Tahoma" w:eastAsia="Times New Roman" w:hAnsi="Tahoma" w:cs="Tahoma"/>
          <w:sz w:val="22"/>
          <w:szCs w:val="22"/>
          <w:lang w:val="en-AU"/>
        </w:rPr>
        <w:t xml:space="preserve">Similarly, the 2010 audit </w:t>
      </w:r>
      <w:r w:rsidRPr="00D733EB">
        <w:rPr>
          <w:rFonts w:ascii="Tahoma" w:eastAsia="Times New Roman" w:hAnsi="Tahoma" w:cs="Tahoma"/>
          <w:i/>
          <w:iCs/>
          <w:sz w:val="22"/>
          <w:szCs w:val="22"/>
          <w:lang w:val="en-AU"/>
        </w:rPr>
        <w:t>Tendering and Contracting in Local Government</w:t>
      </w:r>
      <w:r w:rsidRPr="00D733EB">
        <w:rPr>
          <w:rFonts w:ascii="Tahoma" w:eastAsia="Times New Roman" w:hAnsi="Tahoma" w:cs="Tahoma"/>
          <w:sz w:val="22"/>
          <w:szCs w:val="22"/>
          <w:lang w:val="en-AU"/>
        </w:rPr>
        <w:t xml:space="preserve"> identified that while councils had adequate policies in place governing procurement activities, weaknesses in management controls and oversight meant there was a lack of adequate assurance that probity standards had been consistently applied, and that conflicts of interest had been avoided. This audit also found that there was insufficient assurance that councils had optimised value-for-money through competition, in circumstances where cumulative payments to suppliers exceed public tender thresholds.</w:t>
      </w:r>
    </w:p>
    <w:p w:rsidR="003B0C2A" w:rsidRPr="00E84DC2" w:rsidRDefault="003B0C2A" w:rsidP="00D667BA">
      <w:pPr>
        <w:rPr>
          <w:rFonts w:ascii="Tahoma" w:eastAsia="Times New Roman" w:hAnsi="Tahoma" w:cs="Tahoma"/>
          <w:sz w:val="22"/>
          <w:szCs w:val="22"/>
          <w:lang w:val="en-AU"/>
        </w:rPr>
      </w:pPr>
    </w:p>
    <w:p w:rsidR="00D667BA" w:rsidRPr="00E84DC2" w:rsidRDefault="00D733EB" w:rsidP="00D667BA">
      <w:pPr>
        <w:rPr>
          <w:rFonts w:ascii="Tahoma" w:eastAsia="Times New Roman" w:hAnsi="Tahoma" w:cs="Tahoma"/>
          <w:sz w:val="22"/>
          <w:szCs w:val="22"/>
          <w:lang w:val="en-AU"/>
        </w:rPr>
      </w:pPr>
      <w:r w:rsidRPr="00D733EB">
        <w:rPr>
          <w:rFonts w:ascii="Tahoma" w:eastAsia="Times New Roman" w:hAnsi="Tahoma" w:cs="Tahoma"/>
          <w:sz w:val="22"/>
          <w:szCs w:val="22"/>
          <w:lang w:val="en-AU"/>
        </w:rPr>
        <w:t xml:space="preserve">Again, the 2011 audit </w:t>
      </w:r>
      <w:r w:rsidRPr="00D733EB">
        <w:rPr>
          <w:rFonts w:ascii="Tahoma" w:eastAsia="Times New Roman" w:hAnsi="Tahoma" w:cs="Tahoma"/>
          <w:i/>
          <w:iCs/>
          <w:sz w:val="22"/>
          <w:szCs w:val="22"/>
          <w:lang w:val="en-AU"/>
        </w:rPr>
        <w:t>Business Planning for Major Capital Works and Recurrent Services in Local Government</w:t>
      </w:r>
      <w:r w:rsidRPr="00D733EB">
        <w:rPr>
          <w:rFonts w:ascii="Tahoma" w:eastAsia="Times New Roman" w:hAnsi="Tahoma" w:cs="Tahoma"/>
          <w:sz w:val="22"/>
          <w:szCs w:val="22"/>
          <w:lang w:val="en-AU"/>
        </w:rPr>
        <w:t xml:space="preserve"> found that there was little assurance councils regularly reviewed their services in accordance with best value principles, despite their statutory obligation to do so, the practical need to assess how efficiently they are operating, and the need to diagnose performance issues and achieve continuous improvement. </w:t>
      </w:r>
    </w:p>
    <w:p w:rsidR="003B0C2A" w:rsidRPr="00E84DC2" w:rsidRDefault="003B0C2A" w:rsidP="003B0C2A">
      <w:pPr>
        <w:rPr>
          <w:rFonts w:ascii="Tahoma" w:eastAsia="Times New Roman" w:hAnsi="Tahoma" w:cs="Tahoma"/>
          <w:sz w:val="22"/>
          <w:szCs w:val="22"/>
          <w:lang w:val="en-AU"/>
        </w:rPr>
      </w:pPr>
    </w:p>
    <w:p w:rsidR="00D667BA" w:rsidRPr="00E84DC2" w:rsidRDefault="00D733EB" w:rsidP="003B0C2A">
      <w:pPr>
        <w:rPr>
          <w:rFonts w:ascii="Tahoma" w:eastAsia="Times New Roman" w:hAnsi="Tahoma" w:cs="Tahoma"/>
          <w:b/>
          <w:bCs/>
          <w:sz w:val="22"/>
          <w:szCs w:val="22"/>
          <w:lang w:val="en-AU"/>
        </w:rPr>
      </w:pPr>
      <w:r w:rsidRPr="00D733EB">
        <w:rPr>
          <w:rFonts w:ascii="Tahoma" w:eastAsia="Times New Roman" w:hAnsi="Tahoma" w:cs="Tahoma"/>
          <w:b/>
          <w:bCs/>
          <w:sz w:val="22"/>
          <w:szCs w:val="22"/>
          <w:lang w:val="en-AU"/>
        </w:rPr>
        <w:t>Weaknesses in accountability, oversight and monitoring</w:t>
      </w:r>
    </w:p>
    <w:p w:rsidR="00D667BA" w:rsidRPr="00E84DC2" w:rsidRDefault="00D733EB" w:rsidP="00D667BA">
      <w:pPr>
        <w:rPr>
          <w:rFonts w:ascii="Tahoma" w:eastAsia="Times New Roman" w:hAnsi="Tahoma" w:cs="Tahoma"/>
          <w:sz w:val="22"/>
          <w:szCs w:val="22"/>
          <w:lang w:val="en-AU"/>
        </w:rPr>
      </w:pPr>
      <w:r w:rsidRPr="00D733EB">
        <w:rPr>
          <w:rFonts w:ascii="Tahoma" w:eastAsia="Times New Roman" w:hAnsi="Tahoma" w:cs="Tahoma"/>
          <w:sz w:val="22"/>
          <w:szCs w:val="22"/>
          <w:lang w:val="en-AU"/>
        </w:rPr>
        <w:t xml:space="preserve">Several audits over the period reviewed have highlighted deficiencies in councils’ external accountability mechanisms, and internal oversight and monitoring of activities. </w:t>
      </w:r>
    </w:p>
    <w:p w:rsidR="003B0C2A" w:rsidRPr="00E84DC2" w:rsidRDefault="003B0C2A" w:rsidP="00D667BA">
      <w:pPr>
        <w:rPr>
          <w:rFonts w:ascii="Tahoma" w:eastAsia="Times New Roman" w:hAnsi="Tahoma" w:cs="Tahoma"/>
          <w:sz w:val="22"/>
          <w:szCs w:val="22"/>
          <w:lang w:val="en-AU"/>
        </w:rPr>
      </w:pPr>
    </w:p>
    <w:p w:rsidR="00D667BA" w:rsidRPr="00E84DC2" w:rsidRDefault="00D733EB" w:rsidP="00D667BA">
      <w:pPr>
        <w:rPr>
          <w:rFonts w:ascii="Tahoma" w:eastAsia="Times New Roman" w:hAnsi="Tahoma" w:cs="Tahoma"/>
          <w:sz w:val="22"/>
          <w:szCs w:val="22"/>
          <w:lang w:val="en-AU"/>
        </w:rPr>
      </w:pPr>
      <w:r w:rsidRPr="00D733EB">
        <w:rPr>
          <w:rFonts w:ascii="Tahoma" w:eastAsia="Times New Roman" w:hAnsi="Tahoma" w:cs="Tahoma"/>
          <w:sz w:val="22"/>
          <w:szCs w:val="22"/>
          <w:lang w:val="en-AU"/>
        </w:rPr>
        <w:t xml:space="preserve">The 2002 audit </w:t>
      </w:r>
      <w:r w:rsidRPr="00D733EB">
        <w:rPr>
          <w:rFonts w:ascii="Tahoma" w:eastAsia="Times New Roman" w:hAnsi="Tahoma" w:cs="Tahoma"/>
          <w:i/>
          <w:iCs/>
          <w:sz w:val="22"/>
          <w:szCs w:val="22"/>
          <w:lang w:val="en-AU"/>
        </w:rPr>
        <w:t>Management of Roads by Local Government</w:t>
      </w:r>
      <w:r w:rsidRPr="00D733EB">
        <w:rPr>
          <w:rFonts w:ascii="Tahoma" w:eastAsia="Times New Roman" w:hAnsi="Tahoma" w:cs="Tahoma"/>
          <w:sz w:val="22"/>
          <w:szCs w:val="22"/>
          <w:lang w:val="en-AU"/>
        </w:rPr>
        <w:t xml:space="preserve"> found that none of the councils audited provided ratepayers with adequate information for them to understand whether roads are being managed efficiently and effectively. Six years later the main finding of the 2008 audit </w:t>
      </w:r>
      <w:r w:rsidRPr="00D733EB">
        <w:rPr>
          <w:rFonts w:ascii="Tahoma" w:eastAsia="Times New Roman" w:hAnsi="Tahoma" w:cs="Tahoma"/>
          <w:i/>
          <w:iCs/>
          <w:sz w:val="22"/>
          <w:szCs w:val="22"/>
          <w:lang w:val="en-AU"/>
        </w:rPr>
        <w:t>Performance Reporting in Local Government</w:t>
      </w:r>
      <w:r w:rsidRPr="00D733EB">
        <w:rPr>
          <w:rFonts w:ascii="Tahoma" w:eastAsia="Times New Roman" w:hAnsi="Tahoma" w:cs="Tahoma"/>
          <w:sz w:val="22"/>
          <w:szCs w:val="22"/>
          <w:lang w:val="en-AU"/>
        </w:rPr>
        <w:t xml:space="preserve"> was that for most councils, performance reporting had little relevance to ratepayers and residents. In addition to deficiencies in councils’ external accountability mechanisms, performance audits have also identified weaknesses in councils’ internal monitoring and oversight processes. </w:t>
      </w:r>
    </w:p>
    <w:p w:rsidR="003B0C2A" w:rsidRPr="00E84DC2" w:rsidRDefault="003B0C2A" w:rsidP="00D667BA">
      <w:pPr>
        <w:rPr>
          <w:rFonts w:ascii="Tahoma" w:eastAsia="Times New Roman" w:hAnsi="Tahoma" w:cs="Tahoma"/>
          <w:sz w:val="22"/>
          <w:szCs w:val="22"/>
          <w:lang w:val="en-AU"/>
        </w:rPr>
      </w:pPr>
    </w:p>
    <w:p w:rsidR="00D667BA" w:rsidRPr="00E84DC2" w:rsidRDefault="00D733EB" w:rsidP="00D667BA">
      <w:pPr>
        <w:rPr>
          <w:rFonts w:ascii="Tahoma" w:eastAsia="Times New Roman" w:hAnsi="Tahoma" w:cs="Tahoma"/>
          <w:sz w:val="22"/>
          <w:szCs w:val="22"/>
          <w:lang w:val="en-AU"/>
        </w:rPr>
      </w:pPr>
      <w:r w:rsidRPr="00D733EB">
        <w:rPr>
          <w:rFonts w:ascii="Tahoma" w:eastAsia="Times New Roman" w:hAnsi="Tahoma" w:cs="Tahoma"/>
          <w:sz w:val="22"/>
          <w:szCs w:val="22"/>
          <w:lang w:val="en-AU"/>
        </w:rPr>
        <w:t xml:space="preserve">The 2010 audit </w:t>
      </w:r>
      <w:r w:rsidRPr="00D733EB">
        <w:rPr>
          <w:rFonts w:ascii="Tahoma" w:eastAsia="Times New Roman" w:hAnsi="Tahoma" w:cs="Tahoma"/>
          <w:i/>
          <w:iCs/>
          <w:sz w:val="22"/>
          <w:szCs w:val="22"/>
          <w:lang w:val="en-AU"/>
        </w:rPr>
        <w:t>Fees and Charges: Cost recovery by local government</w:t>
      </w:r>
      <w:r w:rsidRPr="00D733EB">
        <w:rPr>
          <w:rFonts w:ascii="Tahoma" w:eastAsia="Times New Roman" w:hAnsi="Tahoma" w:cs="Tahoma"/>
          <w:sz w:val="22"/>
          <w:szCs w:val="22"/>
          <w:lang w:val="en-AU"/>
        </w:rPr>
        <w:t xml:space="preserve"> concluded that at most councils, oversight of service cost-efficiency was inadequate, and deficiencies in reporting meant that senior management could not adequately assess the efficiency of their services and the extent to which they were subsidised. This assessment is essential to enable councillors to make decisions that will facilitate both the efficient use of resources and effective management of service costs. </w:t>
      </w:r>
    </w:p>
    <w:p w:rsidR="003B0C2A" w:rsidRPr="00E84DC2" w:rsidRDefault="003B0C2A" w:rsidP="00D667BA">
      <w:pPr>
        <w:rPr>
          <w:rFonts w:ascii="Tahoma" w:eastAsia="Times New Roman" w:hAnsi="Tahoma" w:cs="Tahoma"/>
          <w:sz w:val="22"/>
          <w:szCs w:val="22"/>
          <w:lang w:val="en-AU"/>
        </w:rPr>
      </w:pPr>
    </w:p>
    <w:p w:rsidR="00D667BA" w:rsidRPr="00E84DC2" w:rsidRDefault="00D733EB" w:rsidP="00D667BA">
      <w:pPr>
        <w:rPr>
          <w:rFonts w:ascii="Tahoma" w:eastAsia="Times New Roman" w:hAnsi="Tahoma" w:cs="Tahoma"/>
          <w:sz w:val="22"/>
          <w:szCs w:val="22"/>
          <w:lang w:val="en-AU"/>
        </w:rPr>
      </w:pPr>
      <w:r w:rsidRPr="00D733EB">
        <w:rPr>
          <w:rFonts w:ascii="Tahoma" w:eastAsia="Times New Roman" w:hAnsi="Tahoma" w:cs="Tahoma"/>
          <w:sz w:val="22"/>
          <w:szCs w:val="22"/>
          <w:lang w:val="en-AU"/>
        </w:rPr>
        <w:t xml:space="preserve">Similarly, the 2010 audit </w:t>
      </w:r>
      <w:r w:rsidRPr="00D733EB">
        <w:rPr>
          <w:rFonts w:ascii="Tahoma" w:eastAsia="Times New Roman" w:hAnsi="Tahoma" w:cs="Tahoma"/>
          <w:i/>
          <w:iCs/>
          <w:sz w:val="22"/>
          <w:szCs w:val="22"/>
          <w:lang w:val="en-AU"/>
        </w:rPr>
        <w:t>Tendering and Contracting in Local Government</w:t>
      </w:r>
      <w:r w:rsidRPr="00D733EB">
        <w:rPr>
          <w:rFonts w:ascii="Tahoma" w:eastAsia="Times New Roman" w:hAnsi="Tahoma" w:cs="Tahoma"/>
          <w:sz w:val="22"/>
          <w:szCs w:val="22"/>
          <w:lang w:val="en-AU"/>
        </w:rPr>
        <w:t xml:space="preserve"> found that most councils could not demonstrate they had sufficient oversight of staff’s application of probity standards, and also lacked systems for monitoring and reporting on aggregate supplier payments—a key issue for probity and value-for-money. The 2010 audit </w:t>
      </w:r>
      <w:r w:rsidRPr="00D733EB">
        <w:rPr>
          <w:rFonts w:ascii="Tahoma" w:eastAsia="Times New Roman" w:hAnsi="Tahoma" w:cs="Tahoma"/>
          <w:i/>
          <w:iCs/>
          <w:sz w:val="22"/>
          <w:szCs w:val="22"/>
          <w:lang w:val="en-AU"/>
        </w:rPr>
        <w:t>Business Continuity Management in Local Government</w:t>
      </w:r>
      <w:r w:rsidRPr="00D733EB">
        <w:rPr>
          <w:rFonts w:ascii="Tahoma" w:eastAsia="Times New Roman" w:hAnsi="Tahoma" w:cs="Tahoma"/>
          <w:sz w:val="22"/>
          <w:szCs w:val="22"/>
          <w:lang w:val="en-AU"/>
        </w:rPr>
        <w:t xml:space="preserve"> also found that councils’ arrangements for monitoring the performance of their business continuity activities were inadequate, and the 2009 audit </w:t>
      </w:r>
      <w:r w:rsidRPr="00D733EB">
        <w:rPr>
          <w:rFonts w:ascii="Tahoma" w:eastAsia="Times New Roman" w:hAnsi="Tahoma" w:cs="Tahoma"/>
          <w:i/>
          <w:iCs/>
          <w:sz w:val="22"/>
          <w:szCs w:val="22"/>
          <w:lang w:val="en-AU"/>
        </w:rPr>
        <w:t xml:space="preserve">Use of Development Contributions by Local Government </w:t>
      </w:r>
      <w:r w:rsidRPr="00D733EB">
        <w:rPr>
          <w:rFonts w:ascii="Tahoma" w:eastAsia="Times New Roman" w:hAnsi="Tahoma" w:cs="Tahoma"/>
          <w:sz w:val="22"/>
          <w:szCs w:val="22"/>
          <w:lang w:val="en-AU"/>
        </w:rPr>
        <w:t>concluded that internal reports contained insufficient information to assure councils that all contributions due were being collected and effectively managed.</w:t>
      </w:r>
    </w:p>
    <w:p w:rsidR="00773102" w:rsidRPr="00E84DC2" w:rsidRDefault="00773102" w:rsidP="007A3475">
      <w:pPr>
        <w:rPr>
          <w:rFonts w:ascii="Tahoma" w:eastAsia="Times New Roman" w:hAnsi="Tahoma" w:cs="Tahoma"/>
          <w:sz w:val="20"/>
          <w:szCs w:val="20"/>
          <w:lang w:val="en-AU"/>
        </w:rPr>
        <w:sectPr w:rsidR="00773102" w:rsidRPr="00E84DC2" w:rsidSect="00F9722F">
          <w:headerReference w:type="default" r:id="rId34"/>
          <w:pgSz w:w="11900" w:h="16840"/>
          <w:pgMar w:top="1440" w:right="1800" w:bottom="1440" w:left="1800" w:header="708" w:footer="708" w:gutter="0"/>
          <w:cols w:space="708"/>
          <w:titlePg/>
          <w:docGrid w:linePitch="360"/>
        </w:sectPr>
      </w:pPr>
    </w:p>
    <w:p w:rsidR="00A005FB" w:rsidRPr="00E84DC2" w:rsidRDefault="00D733EB" w:rsidP="00A005FB">
      <w:pPr>
        <w:rPr>
          <w:rFonts w:ascii="Tahoma" w:eastAsia="Times New Roman" w:hAnsi="Tahoma" w:cs="Tahoma"/>
          <w:b/>
          <w:sz w:val="28"/>
          <w:szCs w:val="28"/>
          <w:lang w:val="en-AU"/>
        </w:rPr>
      </w:pPr>
      <w:r w:rsidRPr="00D733EB">
        <w:rPr>
          <w:rFonts w:ascii="Tahoma" w:eastAsia="Times New Roman" w:hAnsi="Tahoma" w:cs="Tahoma"/>
          <w:b/>
          <w:sz w:val="28"/>
          <w:szCs w:val="28"/>
          <w:lang w:val="en-AU"/>
        </w:rPr>
        <w:lastRenderedPageBreak/>
        <w:t xml:space="preserve">Attachment </w:t>
      </w:r>
      <w:r w:rsidR="006B0C1F">
        <w:rPr>
          <w:rFonts w:ascii="Tahoma" w:eastAsia="Times New Roman" w:hAnsi="Tahoma" w:cs="Tahoma"/>
          <w:b/>
          <w:sz w:val="28"/>
          <w:szCs w:val="28"/>
          <w:lang w:val="en-AU"/>
        </w:rPr>
        <w:t>B</w:t>
      </w:r>
      <w:r w:rsidRPr="00D733EB">
        <w:rPr>
          <w:rFonts w:ascii="Tahoma" w:eastAsia="Times New Roman" w:hAnsi="Tahoma" w:cs="Tahoma"/>
          <w:b/>
          <w:sz w:val="28"/>
          <w:szCs w:val="28"/>
          <w:lang w:val="en-AU"/>
        </w:rPr>
        <w:t xml:space="preserve"> – Better Practice Performance Reporting </w:t>
      </w:r>
    </w:p>
    <w:p w:rsidR="008A2D52" w:rsidRPr="00E84DC2" w:rsidRDefault="008A2D52" w:rsidP="008A2D52">
      <w:pPr>
        <w:rPr>
          <w:rFonts w:ascii="Tahoma" w:eastAsia="Times New Roman" w:hAnsi="Tahoma" w:cs="Tahoma"/>
          <w:sz w:val="22"/>
          <w:szCs w:val="22"/>
          <w:lang w:val="en-AU"/>
        </w:rPr>
      </w:pPr>
    </w:p>
    <w:p w:rsidR="008A2D52" w:rsidRPr="00E84DC2" w:rsidRDefault="00D733EB" w:rsidP="008A2D52">
      <w:pPr>
        <w:rPr>
          <w:rFonts w:ascii="Tahoma" w:eastAsia="Times New Roman" w:hAnsi="Tahoma" w:cs="Tahoma"/>
          <w:sz w:val="22"/>
          <w:szCs w:val="22"/>
          <w:lang w:val="en-AU"/>
        </w:rPr>
      </w:pPr>
      <w:r w:rsidRPr="00D733EB">
        <w:rPr>
          <w:rFonts w:ascii="Tahoma" w:eastAsia="Times New Roman" w:hAnsi="Tahoma" w:cs="Tahoma"/>
          <w:sz w:val="22"/>
          <w:szCs w:val="22"/>
          <w:lang w:val="en-AU"/>
        </w:rPr>
        <w:t>The focus of the reporting framework on a standard set of performance indicators is not intended to interfere with the decision making of councillors and councils in setting policies, priorities and service levels.</w:t>
      </w:r>
    </w:p>
    <w:p w:rsidR="008A2D52" w:rsidRPr="00E84DC2" w:rsidRDefault="008A2D52" w:rsidP="008A2D52">
      <w:pPr>
        <w:rPr>
          <w:rFonts w:ascii="Tahoma" w:eastAsia="Times New Roman" w:hAnsi="Tahoma" w:cs="Tahoma"/>
          <w:sz w:val="22"/>
          <w:szCs w:val="22"/>
          <w:lang w:val="en-AU"/>
        </w:rPr>
      </w:pPr>
    </w:p>
    <w:p w:rsidR="008A2D52" w:rsidRPr="00E84DC2" w:rsidRDefault="00D733EB" w:rsidP="008A2D52">
      <w:pPr>
        <w:rPr>
          <w:rFonts w:ascii="Tahoma" w:eastAsia="Times New Roman" w:hAnsi="Tahoma" w:cs="Tahoma"/>
          <w:sz w:val="22"/>
          <w:szCs w:val="22"/>
          <w:lang w:val="en-AU"/>
        </w:rPr>
      </w:pPr>
      <w:r w:rsidRPr="00D733EB">
        <w:rPr>
          <w:rFonts w:ascii="Tahoma" w:eastAsia="Times New Roman" w:hAnsi="Tahoma" w:cs="Tahoma"/>
          <w:sz w:val="22"/>
          <w:szCs w:val="22"/>
          <w:lang w:val="en-AU"/>
        </w:rPr>
        <w:t>It is paramount that any comparisons of performance in local council service delivery take account of the contextual information, structural differences between councils, population differences and councils’ individual policy emphasis.</w:t>
      </w:r>
    </w:p>
    <w:p w:rsidR="008A2D52" w:rsidRPr="00E84DC2" w:rsidRDefault="008A2D52" w:rsidP="008A2D52">
      <w:pPr>
        <w:rPr>
          <w:rFonts w:ascii="Tahoma" w:eastAsia="Times New Roman" w:hAnsi="Tahoma" w:cs="Tahoma"/>
          <w:sz w:val="22"/>
          <w:szCs w:val="22"/>
          <w:lang w:val="en-AU"/>
        </w:rPr>
      </w:pPr>
    </w:p>
    <w:p w:rsidR="008A2D52" w:rsidRPr="00E84DC2" w:rsidRDefault="00D733EB" w:rsidP="008A2D52">
      <w:pPr>
        <w:rPr>
          <w:rFonts w:ascii="Tahoma" w:eastAsia="Times New Roman" w:hAnsi="Tahoma" w:cs="Tahoma"/>
          <w:sz w:val="22"/>
          <w:szCs w:val="22"/>
          <w:lang w:val="en-AU"/>
        </w:rPr>
      </w:pPr>
      <w:r w:rsidRPr="00D733EB">
        <w:rPr>
          <w:rFonts w:ascii="Tahoma" w:eastAsia="Times New Roman" w:hAnsi="Tahoma" w:cs="Tahoma"/>
          <w:sz w:val="22"/>
          <w:szCs w:val="22"/>
          <w:lang w:val="en-AU"/>
        </w:rPr>
        <w:t>Robust performance indicator frameworks involve clear and precise specifications, logical and well-chosen indicators that are informed by evidence and based on the policies and objectives of government services. Robust frameworks also contain a balanced set of measures, addressing key aspects of performance, with accurate and reliable systems, methods and data for performance comparisons.</w:t>
      </w:r>
      <w:r w:rsidR="00DC14B1" w:rsidRPr="00E84DC2">
        <w:rPr>
          <w:rStyle w:val="FootnoteReference"/>
          <w:rFonts w:ascii="Tahoma" w:eastAsia="Times New Roman" w:hAnsi="Tahoma" w:cs="Tahoma"/>
          <w:sz w:val="22"/>
          <w:szCs w:val="22"/>
          <w:lang w:val="en-AU"/>
        </w:rPr>
        <w:footnoteReference w:id="34"/>
      </w:r>
    </w:p>
    <w:p w:rsidR="008A2D52" w:rsidRPr="00E84DC2" w:rsidRDefault="008A2D52" w:rsidP="008A2D52">
      <w:pPr>
        <w:rPr>
          <w:rFonts w:ascii="Tahoma" w:eastAsia="Times New Roman" w:hAnsi="Tahoma" w:cs="Tahoma"/>
          <w:sz w:val="22"/>
          <w:szCs w:val="22"/>
          <w:lang w:val="en-AU"/>
        </w:rPr>
      </w:pPr>
    </w:p>
    <w:p w:rsidR="008A2D52" w:rsidRPr="00E84DC2" w:rsidRDefault="00D733EB" w:rsidP="008A2D52">
      <w:pPr>
        <w:rPr>
          <w:rFonts w:ascii="Tahoma" w:eastAsia="Times New Roman" w:hAnsi="Tahoma" w:cs="Tahoma"/>
          <w:sz w:val="22"/>
          <w:szCs w:val="22"/>
          <w:lang w:val="en-AU"/>
        </w:rPr>
      </w:pPr>
      <w:r w:rsidRPr="00D733EB">
        <w:rPr>
          <w:rFonts w:ascii="Tahoma" w:eastAsia="Times New Roman" w:hAnsi="Tahoma" w:cs="Tahoma"/>
          <w:sz w:val="22"/>
          <w:szCs w:val="22"/>
          <w:lang w:val="en-AU"/>
        </w:rPr>
        <w:t xml:space="preserve">In 2008, the Victorian Auditor-General’s Office published a better practice guide </w:t>
      </w:r>
      <w:r w:rsidRPr="00D733EB">
        <w:rPr>
          <w:rFonts w:ascii="Tahoma" w:eastAsia="Times New Roman" w:hAnsi="Tahoma" w:cs="Tahoma"/>
          <w:i/>
          <w:iCs/>
          <w:sz w:val="22"/>
          <w:szCs w:val="22"/>
          <w:lang w:val="en-AU"/>
        </w:rPr>
        <w:t xml:space="preserve">Local Government Performance Reporting: Turning Principles into Practice. </w:t>
      </w:r>
      <w:r w:rsidRPr="00D733EB">
        <w:rPr>
          <w:rFonts w:ascii="Tahoma" w:eastAsia="Times New Roman" w:hAnsi="Tahoma" w:cs="Tahoma"/>
          <w:iCs/>
          <w:sz w:val="22"/>
          <w:szCs w:val="22"/>
          <w:lang w:val="en-AU"/>
        </w:rPr>
        <w:t>This guide</w:t>
      </w:r>
      <w:r w:rsidRPr="00D733EB">
        <w:rPr>
          <w:rFonts w:ascii="Tahoma" w:eastAsia="Times New Roman" w:hAnsi="Tahoma" w:cs="Tahoma"/>
          <w:i/>
          <w:iCs/>
          <w:sz w:val="22"/>
          <w:szCs w:val="22"/>
          <w:lang w:val="en-AU"/>
        </w:rPr>
        <w:t xml:space="preserve"> </w:t>
      </w:r>
      <w:r w:rsidRPr="00D733EB">
        <w:rPr>
          <w:rFonts w:ascii="Tahoma" w:eastAsia="Times New Roman" w:hAnsi="Tahoma" w:cs="Tahoma"/>
          <w:sz w:val="22"/>
          <w:szCs w:val="22"/>
          <w:lang w:val="en-AU"/>
        </w:rPr>
        <w:t xml:space="preserve">was produced to assist councils to achieve effective performance reporting. The guide highlights the key principles of effective performance reporting and provides guidance on their application in the local government context. These principles are summarised in Figure </w:t>
      </w:r>
      <w:r w:rsidR="003839D3">
        <w:rPr>
          <w:rFonts w:ascii="Tahoma" w:eastAsia="Times New Roman" w:hAnsi="Tahoma" w:cs="Tahoma"/>
          <w:sz w:val="22"/>
          <w:szCs w:val="22"/>
          <w:lang w:val="en-AU"/>
        </w:rPr>
        <w:t>B</w:t>
      </w:r>
      <w:r w:rsidRPr="00D733EB">
        <w:rPr>
          <w:rFonts w:ascii="Tahoma" w:eastAsia="Times New Roman" w:hAnsi="Tahoma" w:cs="Tahoma"/>
          <w:sz w:val="22"/>
          <w:szCs w:val="22"/>
          <w:lang w:val="en-AU"/>
        </w:rPr>
        <w:t xml:space="preserve">1. </w:t>
      </w:r>
    </w:p>
    <w:p w:rsidR="008A2D52" w:rsidRPr="00E84DC2" w:rsidRDefault="008A2D52" w:rsidP="008A2D52">
      <w:pPr>
        <w:rPr>
          <w:rFonts w:ascii="Tahoma" w:eastAsia="Times New Roman" w:hAnsi="Tahoma" w:cs="Tahoma"/>
          <w:b/>
          <w:bCs/>
          <w:sz w:val="22"/>
          <w:szCs w:val="22"/>
          <w:lang w:val="en-AU"/>
        </w:rPr>
      </w:pPr>
    </w:p>
    <w:p w:rsidR="008A2D52" w:rsidRPr="00E84DC2" w:rsidRDefault="00D733EB" w:rsidP="008A2D52">
      <w:pPr>
        <w:jc w:val="center"/>
        <w:rPr>
          <w:rFonts w:ascii="Tahoma" w:eastAsia="Times New Roman" w:hAnsi="Tahoma" w:cs="Tahoma"/>
          <w:sz w:val="22"/>
          <w:szCs w:val="22"/>
          <w:lang w:val="en-AU"/>
        </w:rPr>
      </w:pPr>
      <w:r w:rsidRPr="00D733EB">
        <w:rPr>
          <w:rFonts w:ascii="Tahoma" w:eastAsia="Times New Roman" w:hAnsi="Tahoma" w:cs="Tahoma"/>
          <w:b/>
          <w:bCs/>
          <w:sz w:val="22"/>
          <w:szCs w:val="22"/>
          <w:lang w:val="en-AU"/>
        </w:rPr>
        <w:t xml:space="preserve">Figure </w:t>
      </w:r>
      <w:r w:rsidR="003839D3">
        <w:rPr>
          <w:rFonts w:ascii="Tahoma" w:eastAsia="Times New Roman" w:hAnsi="Tahoma" w:cs="Tahoma"/>
          <w:b/>
          <w:bCs/>
          <w:sz w:val="22"/>
          <w:szCs w:val="22"/>
          <w:lang w:val="en-AU"/>
        </w:rPr>
        <w:t>B</w:t>
      </w:r>
      <w:r w:rsidRPr="00D733EB">
        <w:rPr>
          <w:rFonts w:ascii="Tahoma" w:eastAsia="Times New Roman" w:hAnsi="Tahoma" w:cs="Tahoma"/>
          <w:b/>
          <w:bCs/>
          <w:sz w:val="22"/>
          <w:szCs w:val="22"/>
          <w:lang w:val="en-AU"/>
        </w:rPr>
        <w:t xml:space="preserve">1 </w:t>
      </w:r>
      <w:r w:rsidRPr="00D733EB">
        <w:rPr>
          <w:rFonts w:ascii="Tahoma" w:eastAsia="Times New Roman" w:hAnsi="Tahoma" w:cs="Tahoma"/>
          <w:b/>
          <w:bCs/>
          <w:sz w:val="22"/>
          <w:szCs w:val="22"/>
          <w:lang w:val="en-AU"/>
        </w:rPr>
        <w:br/>
        <w:t>Principles of effective local government performance reporting</w:t>
      </w:r>
    </w:p>
    <w:p w:rsidR="008A2D52" w:rsidRPr="00E84DC2" w:rsidRDefault="008A2D52" w:rsidP="008A2D52">
      <w:pPr>
        <w:rPr>
          <w:rFonts w:ascii="Tahoma" w:eastAsia="Times New Roman" w:hAnsi="Tahoma" w:cs="Tahoma"/>
          <w:b/>
          <w:bCs/>
          <w:sz w:val="8"/>
          <w:szCs w:val="8"/>
          <w:lang w:val="en-AU"/>
        </w:rPr>
      </w:pPr>
    </w:p>
    <w:p w:rsidR="00A06B52" w:rsidRDefault="00D733EB">
      <w:pPr>
        <w:pBdr>
          <w:top w:val="single" w:sz="4" w:space="1" w:color="auto"/>
          <w:left w:val="single" w:sz="4" w:space="4" w:color="auto"/>
          <w:bottom w:val="single" w:sz="4" w:space="1" w:color="auto"/>
          <w:right w:val="single" w:sz="4" w:space="4" w:color="auto"/>
        </w:pBdr>
        <w:shd w:val="clear" w:color="auto" w:fill="C6D9F1"/>
        <w:spacing w:after="60"/>
        <w:rPr>
          <w:rFonts w:ascii="Tahoma" w:eastAsia="Times New Roman" w:hAnsi="Tahoma" w:cs="Tahoma"/>
          <w:sz w:val="22"/>
          <w:szCs w:val="22"/>
          <w:lang w:val="en-AU"/>
        </w:rPr>
      </w:pPr>
      <w:r w:rsidRPr="00D733EB">
        <w:rPr>
          <w:rFonts w:ascii="Tahoma" w:eastAsia="Times New Roman" w:hAnsi="Tahoma" w:cs="Tahoma"/>
          <w:b/>
          <w:bCs/>
          <w:sz w:val="22"/>
          <w:szCs w:val="22"/>
          <w:lang w:val="en-AU"/>
        </w:rPr>
        <w:t>Comprehensive</w:t>
      </w:r>
      <w:r w:rsidRPr="00D733EB">
        <w:rPr>
          <w:rFonts w:ascii="Tahoma" w:eastAsia="Times New Roman" w:hAnsi="Tahoma" w:cs="Tahoma"/>
          <w:sz w:val="22"/>
          <w:szCs w:val="22"/>
          <w:lang w:val="en-AU"/>
        </w:rPr>
        <w:t xml:space="preserve"> </w:t>
      </w:r>
    </w:p>
    <w:p w:rsidR="00A06B52" w:rsidRDefault="00D733EB">
      <w:pPr>
        <w:pBdr>
          <w:top w:val="single" w:sz="4" w:space="1" w:color="auto"/>
          <w:left w:val="single" w:sz="4" w:space="4" w:color="auto"/>
          <w:bottom w:val="single" w:sz="4" w:space="1" w:color="auto"/>
          <w:right w:val="single" w:sz="4" w:space="4" w:color="auto"/>
        </w:pBdr>
        <w:shd w:val="clear" w:color="auto" w:fill="C6D9F1"/>
        <w:spacing w:after="60"/>
        <w:rPr>
          <w:rFonts w:ascii="Tahoma" w:eastAsia="Times New Roman" w:hAnsi="Tahoma" w:cs="Tahoma"/>
          <w:sz w:val="22"/>
          <w:szCs w:val="22"/>
          <w:lang w:val="en-AU"/>
        </w:rPr>
      </w:pPr>
      <w:r w:rsidRPr="00D733EB">
        <w:rPr>
          <w:rFonts w:ascii="Tahoma" w:eastAsia="Times New Roman" w:hAnsi="Tahoma" w:cs="Tahoma"/>
          <w:sz w:val="22"/>
          <w:szCs w:val="22"/>
          <w:lang w:val="en-AU"/>
        </w:rPr>
        <w:t>To be comprehensive, indicators should be relevant to council objectives. Objectives should be clearly expressed, measurable, and there should be a clear nexus between objectives and performance indicators. Performance indicators should also cover all critical aspects of objectives and align with services.</w:t>
      </w:r>
    </w:p>
    <w:p w:rsidR="00A06B52" w:rsidRDefault="00A06B52">
      <w:pPr>
        <w:pBdr>
          <w:top w:val="single" w:sz="4" w:space="1" w:color="auto"/>
          <w:left w:val="single" w:sz="4" w:space="4" w:color="auto"/>
          <w:bottom w:val="single" w:sz="4" w:space="1" w:color="auto"/>
          <w:right w:val="single" w:sz="4" w:space="4" w:color="auto"/>
        </w:pBdr>
        <w:shd w:val="clear" w:color="auto" w:fill="C6D9F1"/>
        <w:spacing w:after="60"/>
        <w:rPr>
          <w:rFonts w:ascii="Tahoma" w:eastAsia="Times New Roman" w:hAnsi="Tahoma" w:cs="Tahoma"/>
          <w:b/>
          <w:bCs/>
          <w:sz w:val="8"/>
          <w:szCs w:val="8"/>
          <w:lang w:val="en-AU"/>
        </w:rPr>
      </w:pPr>
    </w:p>
    <w:p w:rsidR="00A06B52" w:rsidRDefault="00D733EB">
      <w:pPr>
        <w:pBdr>
          <w:top w:val="single" w:sz="4" w:space="1" w:color="auto"/>
          <w:left w:val="single" w:sz="4" w:space="4" w:color="auto"/>
          <w:bottom w:val="single" w:sz="4" w:space="1" w:color="auto"/>
          <w:right w:val="single" w:sz="4" w:space="4" w:color="auto"/>
        </w:pBdr>
        <w:shd w:val="clear" w:color="auto" w:fill="C6D9F1"/>
        <w:spacing w:after="60"/>
        <w:rPr>
          <w:rFonts w:ascii="Tahoma" w:eastAsia="Times New Roman" w:hAnsi="Tahoma" w:cs="Tahoma"/>
          <w:sz w:val="22"/>
          <w:szCs w:val="22"/>
          <w:lang w:val="en-AU"/>
        </w:rPr>
      </w:pPr>
      <w:r w:rsidRPr="00D733EB">
        <w:rPr>
          <w:rFonts w:ascii="Tahoma" w:eastAsia="Times New Roman" w:hAnsi="Tahoma" w:cs="Tahoma"/>
          <w:b/>
          <w:bCs/>
          <w:sz w:val="22"/>
          <w:szCs w:val="22"/>
          <w:lang w:val="en-AU"/>
        </w:rPr>
        <w:t>Balanced</w:t>
      </w:r>
    </w:p>
    <w:p w:rsidR="00A06B52" w:rsidRDefault="00D733EB">
      <w:pPr>
        <w:pBdr>
          <w:top w:val="single" w:sz="4" w:space="1" w:color="auto"/>
          <w:left w:val="single" w:sz="4" w:space="4" w:color="auto"/>
          <w:bottom w:val="single" w:sz="4" w:space="1" w:color="auto"/>
          <w:right w:val="single" w:sz="4" w:space="4" w:color="auto"/>
        </w:pBdr>
        <w:shd w:val="clear" w:color="auto" w:fill="C6D9F1"/>
        <w:spacing w:after="60"/>
        <w:rPr>
          <w:rFonts w:ascii="Tahoma" w:eastAsia="Times New Roman" w:hAnsi="Tahoma" w:cs="Tahoma"/>
          <w:sz w:val="22"/>
          <w:szCs w:val="22"/>
          <w:lang w:val="en-AU"/>
        </w:rPr>
      </w:pPr>
      <w:r w:rsidRPr="00D733EB">
        <w:rPr>
          <w:rFonts w:ascii="Tahoma" w:eastAsia="Times New Roman" w:hAnsi="Tahoma" w:cs="Tahoma"/>
          <w:sz w:val="22"/>
          <w:szCs w:val="22"/>
          <w:lang w:val="en-AU"/>
        </w:rPr>
        <w:t>Performance indicators should cover the time, cost, quantity and quality of service provision, as well as the outcomes of council activity. A single indicator is typically not able to measure each of these aspects, therefore a suite of indicators is usually required to provide balanced performance information.</w:t>
      </w:r>
    </w:p>
    <w:p w:rsidR="00A06B52" w:rsidRDefault="00A06B52">
      <w:pPr>
        <w:pBdr>
          <w:top w:val="single" w:sz="4" w:space="1" w:color="auto"/>
          <w:left w:val="single" w:sz="4" w:space="4" w:color="auto"/>
          <w:bottom w:val="single" w:sz="4" w:space="1" w:color="auto"/>
          <w:right w:val="single" w:sz="4" w:space="4" w:color="auto"/>
        </w:pBdr>
        <w:shd w:val="clear" w:color="auto" w:fill="C6D9F1"/>
        <w:spacing w:after="60"/>
        <w:rPr>
          <w:rFonts w:ascii="Tahoma" w:eastAsia="Times New Roman" w:hAnsi="Tahoma" w:cs="Tahoma"/>
          <w:b/>
          <w:bCs/>
          <w:sz w:val="8"/>
          <w:szCs w:val="8"/>
          <w:lang w:val="en-AU"/>
        </w:rPr>
      </w:pPr>
    </w:p>
    <w:p w:rsidR="00A06B52" w:rsidRDefault="00D733EB">
      <w:pPr>
        <w:pBdr>
          <w:top w:val="single" w:sz="4" w:space="1" w:color="auto"/>
          <w:left w:val="single" w:sz="4" w:space="4" w:color="auto"/>
          <w:bottom w:val="single" w:sz="4" w:space="1" w:color="auto"/>
          <w:right w:val="single" w:sz="4" w:space="4" w:color="auto"/>
        </w:pBdr>
        <w:shd w:val="clear" w:color="auto" w:fill="C6D9F1"/>
        <w:spacing w:after="60"/>
        <w:rPr>
          <w:rFonts w:ascii="Tahoma" w:eastAsia="Times New Roman" w:hAnsi="Tahoma" w:cs="Tahoma"/>
          <w:sz w:val="22"/>
          <w:szCs w:val="22"/>
          <w:lang w:val="en-AU"/>
        </w:rPr>
      </w:pPr>
      <w:r w:rsidRPr="00D733EB">
        <w:rPr>
          <w:rFonts w:ascii="Tahoma" w:eastAsia="Times New Roman" w:hAnsi="Tahoma" w:cs="Tahoma"/>
          <w:b/>
          <w:bCs/>
          <w:sz w:val="22"/>
          <w:szCs w:val="22"/>
          <w:lang w:val="en-AU"/>
        </w:rPr>
        <w:t>Appropriate</w:t>
      </w:r>
    </w:p>
    <w:p w:rsidR="00A06B52" w:rsidRDefault="00D733EB">
      <w:pPr>
        <w:pBdr>
          <w:top w:val="single" w:sz="4" w:space="1" w:color="auto"/>
          <w:left w:val="single" w:sz="4" w:space="4" w:color="auto"/>
          <w:bottom w:val="single" w:sz="4" w:space="1" w:color="auto"/>
          <w:right w:val="single" w:sz="4" w:space="4" w:color="auto"/>
        </w:pBdr>
        <w:shd w:val="clear" w:color="auto" w:fill="C6D9F1"/>
        <w:spacing w:after="60"/>
        <w:rPr>
          <w:rFonts w:ascii="Tahoma" w:eastAsia="Times New Roman" w:hAnsi="Tahoma" w:cs="Tahoma"/>
          <w:sz w:val="22"/>
          <w:szCs w:val="22"/>
          <w:lang w:val="en-AU"/>
        </w:rPr>
      </w:pPr>
      <w:r w:rsidRPr="00D733EB">
        <w:rPr>
          <w:rFonts w:ascii="Tahoma" w:eastAsia="Times New Roman" w:hAnsi="Tahoma" w:cs="Tahoma"/>
          <w:sz w:val="22"/>
          <w:szCs w:val="22"/>
          <w:lang w:val="en-AU"/>
        </w:rPr>
        <w:t>Performance indicators should be reported with appropriate context to allow community members to interpret results. Targets, trend data and an explanation of the result should be provided to allow members of the community without technical knowledge to draw meaningful conclusions about the performance of council.</w:t>
      </w:r>
    </w:p>
    <w:p w:rsidR="008A2D52" w:rsidRPr="00E84DC2" w:rsidRDefault="00D733EB" w:rsidP="008A2D52">
      <w:pPr>
        <w:rPr>
          <w:rFonts w:ascii="Tahoma" w:eastAsia="Times New Roman" w:hAnsi="Tahoma" w:cs="Tahoma"/>
          <w:sz w:val="18"/>
          <w:szCs w:val="18"/>
          <w:lang w:val="en-AU"/>
        </w:rPr>
      </w:pPr>
      <w:r w:rsidRPr="00D733EB">
        <w:rPr>
          <w:rFonts w:ascii="Tahoma" w:eastAsia="Times New Roman" w:hAnsi="Tahoma" w:cs="Tahoma"/>
          <w:i/>
          <w:iCs/>
          <w:sz w:val="18"/>
          <w:szCs w:val="18"/>
          <w:lang w:val="en-AU"/>
        </w:rPr>
        <w:t>Source: Victorian Auditor-General’s Office, Local Government Performance Reporting: Turning Principles into Practice, 2008.</w:t>
      </w:r>
    </w:p>
    <w:p w:rsidR="008A2D52" w:rsidRPr="00E84DC2" w:rsidRDefault="008A2D52" w:rsidP="008A2D52">
      <w:pPr>
        <w:rPr>
          <w:rFonts w:ascii="Tahoma" w:eastAsia="Times New Roman" w:hAnsi="Tahoma" w:cs="Tahoma"/>
          <w:sz w:val="22"/>
          <w:szCs w:val="22"/>
          <w:lang w:val="en-AU"/>
        </w:rPr>
      </w:pPr>
    </w:p>
    <w:p w:rsidR="008A2D52" w:rsidRPr="00E84DC2" w:rsidRDefault="00D733EB" w:rsidP="008A2D52">
      <w:pPr>
        <w:rPr>
          <w:rFonts w:ascii="Tahoma" w:eastAsia="Times New Roman" w:hAnsi="Tahoma" w:cs="Tahoma"/>
          <w:sz w:val="22"/>
          <w:szCs w:val="22"/>
          <w:lang w:val="en-AU"/>
        </w:rPr>
      </w:pPr>
      <w:r w:rsidRPr="00D733EB">
        <w:rPr>
          <w:rFonts w:ascii="Tahoma" w:eastAsia="Times New Roman" w:hAnsi="Tahoma" w:cs="Tahoma"/>
          <w:sz w:val="22"/>
          <w:szCs w:val="22"/>
          <w:lang w:val="en-AU"/>
        </w:rPr>
        <w:t>Previous reviews by VAGO and others have identified the</w:t>
      </w:r>
      <w:r w:rsidR="003839D3">
        <w:rPr>
          <w:rFonts w:ascii="Tahoma" w:eastAsia="Times New Roman" w:hAnsi="Tahoma" w:cs="Tahoma"/>
          <w:sz w:val="22"/>
          <w:szCs w:val="22"/>
          <w:lang w:val="en-AU"/>
        </w:rPr>
        <w:t xml:space="preserve"> following</w:t>
      </w:r>
      <w:r w:rsidRPr="00D733EB">
        <w:rPr>
          <w:rFonts w:ascii="Tahoma" w:eastAsia="Times New Roman" w:hAnsi="Tahoma" w:cs="Tahoma"/>
          <w:sz w:val="22"/>
          <w:szCs w:val="22"/>
          <w:lang w:val="en-AU"/>
        </w:rPr>
        <w:t xml:space="preserve"> key issues compromising the effectiveness of performance reporting at councils: </w:t>
      </w:r>
    </w:p>
    <w:p w:rsidR="00370858" w:rsidRPr="00E84DC2" w:rsidRDefault="00D733EB">
      <w:pPr>
        <w:pStyle w:val="ListParagraph"/>
        <w:rPr>
          <w:rFonts w:ascii="Tahoma" w:hAnsi="Tahoma" w:cs="Tahoma"/>
          <w:lang w:val="en-AU"/>
        </w:rPr>
      </w:pPr>
      <w:r w:rsidRPr="00D733EB">
        <w:rPr>
          <w:rFonts w:ascii="Tahoma" w:hAnsi="Tahoma" w:cs="Tahoma"/>
        </w:rPr>
        <w:lastRenderedPageBreak/>
        <w:t>poorly</w:t>
      </w:r>
      <w:r w:rsidRPr="00D733EB">
        <w:rPr>
          <w:rFonts w:ascii="Tahoma" w:hAnsi="Tahoma" w:cs="Tahoma"/>
          <w:lang w:val="en-AU"/>
        </w:rPr>
        <w:t xml:space="preserve"> expressed objectives that cannot be effectively measured</w:t>
      </w:r>
    </w:p>
    <w:p w:rsidR="00370858" w:rsidRPr="00E84DC2" w:rsidRDefault="00D733EB">
      <w:pPr>
        <w:pStyle w:val="ListParagraph"/>
        <w:rPr>
          <w:rFonts w:ascii="Tahoma" w:hAnsi="Tahoma" w:cs="Tahoma"/>
        </w:rPr>
      </w:pPr>
      <w:r w:rsidRPr="00D733EB">
        <w:rPr>
          <w:rFonts w:ascii="Tahoma" w:hAnsi="Tahoma" w:cs="Tahoma"/>
        </w:rPr>
        <w:t>indicators that do not comprehensively cover all aspects of councils’ objectives and key strategic activities</w:t>
      </w:r>
    </w:p>
    <w:p w:rsidR="00370858" w:rsidRPr="00E84DC2" w:rsidRDefault="00D733EB">
      <w:pPr>
        <w:pStyle w:val="ListParagraph"/>
        <w:rPr>
          <w:rFonts w:ascii="Tahoma" w:hAnsi="Tahoma" w:cs="Tahoma"/>
        </w:rPr>
      </w:pPr>
      <w:r w:rsidRPr="00D733EB">
        <w:rPr>
          <w:rFonts w:ascii="Tahoma" w:hAnsi="Tahoma" w:cs="Tahoma"/>
        </w:rPr>
        <w:t>indicators that do not provide balanced information about the quality, efficiency and outcomes of council services</w:t>
      </w:r>
    </w:p>
    <w:p w:rsidR="00370858" w:rsidRPr="00E84DC2" w:rsidRDefault="00D733EB">
      <w:pPr>
        <w:pStyle w:val="ListParagraph"/>
        <w:rPr>
          <w:rFonts w:ascii="Tahoma" w:hAnsi="Tahoma" w:cs="Tahoma"/>
        </w:rPr>
      </w:pPr>
      <w:r w:rsidRPr="00D733EB">
        <w:rPr>
          <w:rFonts w:ascii="Tahoma" w:hAnsi="Tahoma" w:cs="Tahoma"/>
        </w:rPr>
        <w:t>a lack of adequate policies for performance reporting</w:t>
      </w:r>
    </w:p>
    <w:p w:rsidR="00370858" w:rsidRPr="00E84DC2" w:rsidRDefault="00D733EB">
      <w:pPr>
        <w:pStyle w:val="ListParagraph"/>
        <w:rPr>
          <w:rFonts w:ascii="Tahoma" w:hAnsi="Tahoma" w:cs="Tahoma"/>
        </w:rPr>
      </w:pPr>
      <w:r w:rsidRPr="00D733EB">
        <w:rPr>
          <w:rFonts w:ascii="Tahoma" w:hAnsi="Tahoma" w:cs="Tahoma"/>
        </w:rPr>
        <w:t>poor alignment between strategic and service level objectives</w:t>
      </w:r>
    </w:p>
    <w:p w:rsidR="00370858" w:rsidRPr="00E84DC2" w:rsidRDefault="00D733EB">
      <w:pPr>
        <w:pStyle w:val="ListParagraph"/>
        <w:rPr>
          <w:rFonts w:ascii="Tahoma" w:hAnsi="Tahoma" w:cs="Tahoma"/>
          <w:lang w:val="en-AU"/>
        </w:rPr>
      </w:pPr>
      <w:r w:rsidRPr="00D733EB">
        <w:rPr>
          <w:rFonts w:ascii="Tahoma" w:hAnsi="Tahoma" w:cs="Tahoma"/>
        </w:rPr>
        <w:t>limited</w:t>
      </w:r>
      <w:r w:rsidRPr="00D733EB">
        <w:rPr>
          <w:rFonts w:ascii="Tahoma" w:hAnsi="Tahoma" w:cs="Tahoma"/>
          <w:lang w:val="en-AU"/>
        </w:rPr>
        <w:t xml:space="preserve"> training for councillors and staff in performance measurement and management.</w:t>
      </w:r>
    </w:p>
    <w:p w:rsidR="008A2D52" w:rsidRPr="00E84DC2" w:rsidRDefault="008A2D52" w:rsidP="008A2D52">
      <w:pPr>
        <w:rPr>
          <w:rFonts w:ascii="Tahoma" w:eastAsia="Times New Roman" w:hAnsi="Tahoma" w:cs="Tahoma"/>
          <w:sz w:val="22"/>
          <w:szCs w:val="22"/>
          <w:lang w:val="en-AU"/>
        </w:rPr>
      </w:pPr>
    </w:p>
    <w:p w:rsidR="008A2D52" w:rsidRPr="00E84DC2" w:rsidRDefault="00D733EB" w:rsidP="008A2D52">
      <w:pPr>
        <w:rPr>
          <w:rFonts w:ascii="Tahoma" w:eastAsia="Times New Roman" w:hAnsi="Tahoma" w:cs="Tahoma"/>
          <w:sz w:val="22"/>
          <w:szCs w:val="22"/>
          <w:lang w:val="en-AU"/>
        </w:rPr>
      </w:pPr>
      <w:r w:rsidRPr="00D733EB">
        <w:rPr>
          <w:rFonts w:ascii="Tahoma" w:eastAsia="Times New Roman" w:hAnsi="Tahoma" w:cs="Tahoma"/>
          <w:sz w:val="22"/>
          <w:szCs w:val="22"/>
          <w:lang w:val="en-AU"/>
        </w:rPr>
        <w:t xml:space="preserve">The </w:t>
      </w:r>
      <w:r w:rsidRPr="00D733EB">
        <w:rPr>
          <w:rFonts w:ascii="Tahoma" w:eastAsia="Times New Roman" w:hAnsi="Tahoma" w:cs="Tahoma"/>
          <w:i/>
          <w:sz w:val="22"/>
          <w:szCs w:val="22"/>
          <w:lang w:val="en-AU"/>
        </w:rPr>
        <w:t>Report on Government Services</w:t>
      </w:r>
      <w:r w:rsidRPr="00D733EB">
        <w:rPr>
          <w:rFonts w:ascii="Tahoma" w:eastAsia="Times New Roman" w:hAnsi="Tahoma" w:cs="Tahoma"/>
          <w:sz w:val="22"/>
          <w:szCs w:val="22"/>
          <w:lang w:val="en-AU"/>
        </w:rPr>
        <w:t xml:space="preserve"> (RoGS), produced by the Productivity Commission Secretariat for the Steering Committee for the Review of Government Services, sets out a well-established performance reporting framework that is highly suited to local government. </w:t>
      </w:r>
    </w:p>
    <w:p w:rsidR="008A2D52" w:rsidRPr="00E84DC2" w:rsidRDefault="008A2D52" w:rsidP="008A2D52">
      <w:pPr>
        <w:rPr>
          <w:rFonts w:ascii="Tahoma" w:hAnsi="Tahoma" w:cs="Tahoma"/>
          <w:lang w:val="en-AU"/>
        </w:rPr>
      </w:pPr>
    </w:p>
    <w:p w:rsidR="008A2D52" w:rsidRPr="00E84DC2" w:rsidRDefault="00D733EB" w:rsidP="008A2D52">
      <w:pPr>
        <w:rPr>
          <w:rFonts w:ascii="Tahoma" w:eastAsia="Times New Roman" w:hAnsi="Tahoma" w:cs="Tahoma"/>
          <w:sz w:val="22"/>
          <w:szCs w:val="22"/>
          <w:lang w:val="en-AU"/>
        </w:rPr>
      </w:pPr>
      <w:r w:rsidRPr="00D733EB">
        <w:rPr>
          <w:rFonts w:ascii="Tahoma" w:eastAsia="Times New Roman" w:hAnsi="Tahoma" w:cs="Tahoma"/>
          <w:sz w:val="22"/>
          <w:szCs w:val="22"/>
          <w:lang w:val="en-AU"/>
        </w:rPr>
        <w:t xml:space="preserve">RoGS acknowledges the importance of assessing service delivery relative to objectives and has been refined over 15 years in consultation with Commonwealth and state agencies. It is therefore a well-developed, rigorous and conceptually sound framework for assessing service delivery performance. Additionally, its use as a comparative performance reporting tool across different jurisdictions makes it highly suited to the local government context. </w:t>
      </w:r>
    </w:p>
    <w:p w:rsidR="008A2D52" w:rsidRPr="00E84DC2" w:rsidRDefault="008A2D52" w:rsidP="008A2D52">
      <w:pPr>
        <w:rPr>
          <w:rFonts w:ascii="Tahoma" w:eastAsia="Times New Roman" w:hAnsi="Tahoma" w:cs="Tahoma"/>
          <w:sz w:val="22"/>
          <w:szCs w:val="22"/>
          <w:lang w:val="en-AU"/>
        </w:rPr>
      </w:pPr>
    </w:p>
    <w:p w:rsidR="008A2D52" w:rsidRPr="00E84DC2" w:rsidRDefault="00D733EB" w:rsidP="008A2D52">
      <w:pPr>
        <w:rPr>
          <w:rFonts w:ascii="Tahoma" w:eastAsia="Times New Roman" w:hAnsi="Tahoma" w:cs="Tahoma"/>
          <w:sz w:val="22"/>
          <w:szCs w:val="22"/>
          <w:lang w:val="en-AU"/>
        </w:rPr>
      </w:pPr>
      <w:r w:rsidRPr="00D733EB">
        <w:rPr>
          <w:rFonts w:ascii="Tahoma" w:eastAsia="Times New Roman" w:hAnsi="Tahoma" w:cs="Tahoma"/>
          <w:sz w:val="22"/>
          <w:szCs w:val="22"/>
          <w:lang w:val="en-AU"/>
        </w:rPr>
        <w:t xml:space="preserve">Figure </w:t>
      </w:r>
      <w:r w:rsidR="003839D3">
        <w:rPr>
          <w:rFonts w:ascii="Tahoma" w:eastAsia="Times New Roman" w:hAnsi="Tahoma" w:cs="Tahoma"/>
          <w:sz w:val="22"/>
          <w:szCs w:val="22"/>
          <w:lang w:val="en-AU"/>
        </w:rPr>
        <w:t>B</w:t>
      </w:r>
      <w:r w:rsidRPr="00D733EB">
        <w:rPr>
          <w:rFonts w:ascii="Tahoma" w:eastAsia="Times New Roman" w:hAnsi="Tahoma" w:cs="Tahoma"/>
          <w:sz w:val="22"/>
          <w:szCs w:val="22"/>
          <w:lang w:val="en-AU"/>
        </w:rPr>
        <w:t>2, reproduced from the 2011 RoGS, sets out the main conceptual elements.</w:t>
      </w:r>
    </w:p>
    <w:p w:rsidR="008A2D52" w:rsidRPr="00E84DC2" w:rsidRDefault="00D733EB" w:rsidP="008A2D52">
      <w:pPr>
        <w:pStyle w:val="NormalWeb"/>
        <w:jc w:val="center"/>
        <w:rPr>
          <w:rFonts w:ascii="Tahoma" w:hAnsi="Tahoma" w:cs="Tahoma"/>
          <w:sz w:val="22"/>
          <w:szCs w:val="22"/>
        </w:rPr>
      </w:pPr>
      <w:r w:rsidRPr="00D733EB">
        <w:rPr>
          <w:rFonts w:ascii="Tahoma" w:hAnsi="Tahoma" w:cs="Tahoma"/>
          <w:b/>
          <w:bCs/>
          <w:sz w:val="22"/>
          <w:szCs w:val="22"/>
        </w:rPr>
        <w:t xml:space="preserve">Figure </w:t>
      </w:r>
      <w:r w:rsidR="003839D3">
        <w:rPr>
          <w:rFonts w:ascii="Tahoma" w:hAnsi="Tahoma" w:cs="Tahoma"/>
          <w:b/>
          <w:bCs/>
          <w:sz w:val="22"/>
          <w:szCs w:val="22"/>
        </w:rPr>
        <w:t>B</w:t>
      </w:r>
      <w:r w:rsidRPr="00D733EB">
        <w:rPr>
          <w:rFonts w:ascii="Tahoma" w:hAnsi="Tahoma" w:cs="Tahoma"/>
          <w:b/>
          <w:bCs/>
          <w:sz w:val="22"/>
          <w:szCs w:val="22"/>
        </w:rPr>
        <w:t>2</w:t>
      </w:r>
      <w:r w:rsidRPr="00D733EB">
        <w:rPr>
          <w:rFonts w:ascii="Tahoma" w:hAnsi="Tahoma" w:cs="Tahoma"/>
          <w:b/>
          <w:bCs/>
          <w:sz w:val="22"/>
          <w:szCs w:val="22"/>
        </w:rPr>
        <w:br/>
        <w:t xml:space="preserve">The </w:t>
      </w:r>
      <w:r>
        <w:rPr>
          <w:rStyle w:val="HTMLCite"/>
          <w:rFonts w:ascii="Tahoma" w:eastAsiaTheme="majorEastAsia" w:hAnsi="Tahoma" w:cs="Tahoma"/>
          <w:b/>
          <w:bCs/>
          <w:sz w:val="22"/>
          <w:szCs w:val="22"/>
        </w:rPr>
        <w:t>Report on Government Services</w:t>
      </w:r>
      <w:r w:rsidRPr="00D733EB">
        <w:rPr>
          <w:rFonts w:ascii="Tahoma" w:hAnsi="Tahoma" w:cs="Tahoma"/>
          <w:b/>
          <w:bCs/>
          <w:sz w:val="22"/>
          <w:szCs w:val="22"/>
        </w:rPr>
        <w:t xml:space="preserve"> framework</w:t>
      </w:r>
    </w:p>
    <w:p w:rsidR="008A2D52" w:rsidRPr="00E84DC2" w:rsidRDefault="00512CA5" w:rsidP="008A2D52">
      <w:pPr>
        <w:pStyle w:val="NormalWeb"/>
        <w:rPr>
          <w:rFonts w:ascii="Tahoma" w:hAnsi="Tahoma" w:cs="Tahoma"/>
        </w:rPr>
      </w:pPr>
      <w:r>
        <w:rPr>
          <w:rFonts w:ascii="Tahoma" w:hAnsi="Tahoma" w:cs="Tahoma"/>
          <w:noProof/>
        </w:rPr>
        <w:drawing>
          <wp:inline distT="0" distB="0" distL="0" distR="0">
            <wp:extent cx="4597048" cy="2401306"/>
            <wp:effectExtent l="0" t="0" r="635" b="12065"/>
            <wp:docPr id="15" name="Picture 3" descr="igure 4C shows The Report on Government Services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gure 4C shows The Report on Government Services framework"/>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97296" cy="2401435"/>
                    </a:xfrm>
                    <a:prstGeom prst="rect">
                      <a:avLst/>
                    </a:prstGeom>
                    <a:noFill/>
                    <a:ln>
                      <a:noFill/>
                    </a:ln>
                  </pic:spPr>
                </pic:pic>
              </a:graphicData>
            </a:graphic>
          </wp:inline>
        </w:drawing>
      </w:r>
    </w:p>
    <w:p w:rsidR="008A2D52" w:rsidRPr="00E84DC2" w:rsidRDefault="00D733EB" w:rsidP="008A2D52">
      <w:pPr>
        <w:pStyle w:val="NormalWeb"/>
        <w:rPr>
          <w:rFonts w:ascii="Tahoma" w:hAnsi="Tahoma" w:cs="Tahoma"/>
        </w:rPr>
      </w:pPr>
      <w:r>
        <w:rPr>
          <w:rStyle w:val="HTMLCite"/>
          <w:rFonts w:ascii="Tahoma" w:eastAsiaTheme="majorEastAsia" w:hAnsi="Tahoma" w:cs="Tahoma"/>
          <w:sz w:val="18"/>
          <w:szCs w:val="18"/>
        </w:rPr>
        <w:t>Source: Report on Government Services 2011</w:t>
      </w:r>
      <w:r w:rsidRPr="00D733EB">
        <w:rPr>
          <w:rFonts w:ascii="Tahoma" w:hAnsi="Tahoma" w:cs="Tahoma"/>
          <w:sz w:val="18"/>
          <w:szCs w:val="18"/>
        </w:rPr>
        <w:t>.</w:t>
      </w:r>
    </w:p>
    <w:p w:rsidR="008A2D52" w:rsidRPr="00E84DC2" w:rsidRDefault="00D733EB" w:rsidP="008A2D52">
      <w:pPr>
        <w:rPr>
          <w:rFonts w:ascii="Tahoma" w:eastAsia="Times New Roman" w:hAnsi="Tahoma" w:cs="Tahoma"/>
          <w:sz w:val="22"/>
          <w:szCs w:val="22"/>
          <w:lang w:val="en-AU"/>
        </w:rPr>
      </w:pPr>
      <w:r w:rsidRPr="00D733EB">
        <w:rPr>
          <w:rFonts w:ascii="Tahoma" w:eastAsia="Times New Roman" w:hAnsi="Tahoma" w:cs="Tahoma"/>
          <w:sz w:val="22"/>
          <w:szCs w:val="22"/>
          <w:lang w:val="en-AU"/>
        </w:rPr>
        <w:t>The RoGS framework provides for five types of output indicators and three types of outcome indicators. Among these, the most critical indicator types for minimally satisfying the requirements for effective performance reporting in local government are indicators of:</w:t>
      </w:r>
    </w:p>
    <w:p w:rsidR="00370858" w:rsidRPr="00E84DC2" w:rsidRDefault="00D733EB">
      <w:pPr>
        <w:pStyle w:val="ListParagraph"/>
        <w:rPr>
          <w:rFonts w:ascii="Tahoma" w:hAnsi="Tahoma" w:cs="Tahoma"/>
          <w:lang w:val="en-AU"/>
        </w:rPr>
      </w:pPr>
      <w:r w:rsidRPr="00D733EB">
        <w:rPr>
          <w:rFonts w:ascii="Tahoma" w:hAnsi="Tahoma" w:cs="Tahoma"/>
          <w:lang w:val="en-AU"/>
        </w:rPr>
        <w:t>program effectiveness—measures how well the outcomes of a service achieve the stated objectives of that service</w:t>
      </w:r>
    </w:p>
    <w:p w:rsidR="00370858" w:rsidRPr="00E84DC2" w:rsidRDefault="00D733EB">
      <w:pPr>
        <w:pStyle w:val="ListParagraph"/>
        <w:rPr>
          <w:rFonts w:ascii="Tahoma" w:hAnsi="Tahoma" w:cs="Tahoma"/>
          <w:lang w:val="en-AU"/>
        </w:rPr>
      </w:pPr>
      <w:r w:rsidRPr="00D733EB">
        <w:rPr>
          <w:rFonts w:ascii="Tahoma" w:hAnsi="Tahoma" w:cs="Tahoma"/>
          <w:lang w:val="en-AU"/>
        </w:rPr>
        <w:lastRenderedPageBreak/>
        <w:t>technical efficiency—measures how well resources (inputs) are used to produce outputs and outcomes, expressed as a ratio of outputs to inputs</w:t>
      </w:r>
    </w:p>
    <w:p w:rsidR="00370858" w:rsidRPr="00E84DC2" w:rsidRDefault="00D733EB">
      <w:pPr>
        <w:pStyle w:val="ListParagraph"/>
        <w:rPr>
          <w:rFonts w:ascii="Tahoma" w:hAnsi="Tahoma" w:cs="Tahoma"/>
          <w:lang w:val="en-AU"/>
        </w:rPr>
      </w:pPr>
      <w:r w:rsidRPr="00D733EB">
        <w:rPr>
          <w:rFonts w:ascii="Tahoma" w:hAnsi="Tahoma" w:cs="Tahoma"/>
          <w:lang w:val="en-AU"/>
        </w:rPr>
        <w:t>quality—measures the extent to which a service is suited to its purpose and conforms to specifications.</w:t>
      </w:r>
    </w:p>
    <w:p w:rsidR="008A2D52" w:rsidRPr="00E84DC2" w:rsidRDefault="008A2D52" w:rsidP="008A2D52">
      <w:pPr>
        <w:rPr>
          <w:rFonts w:ascii="Tahoma" w:eastAsia="Times New Roman" w:hAnsi="Tahoma" w:cs="Tahoma"/>
          <w:sz w:val="22"/>
          <w:szCs w:val="22"/>
          <w:lang w:val="en-AU"/>
        </w:rPr>
      </w:pPr>
    </w:p>
    <w:p w:rsidR="008A2D52" w:rsidRPr="00E84DC2" w:rsidRDefault="00D733EB" w:rsidP="008A2D52">
      <w:pPr>
        <w:rPr>
          <w:rFonts w:ascii="Tahoma" w:eastAsia="Times New Roman" w:hAnsi="Tahoma" w:cs="Tahoma"/>
          <w:sz w:val="22"/>
          <w:szCs w:val="22"/>
          <w:lang w:val="en-AU"/>
        </w:rPr>
      </w:pPr>
      <w:r w:rsidRPr="00D733EB">
        <w:rPr>
          <w:rFonts w:ascii="Tahoma" w:eastAsia="Times New Roman" w:hAnsi="Tahoma" w:cs="Tahoma"/>
          <w:sz w:val="22"/>
          <w:szCs w:val="22"/>
          <w:lang w:val="en-AU"/>
        </w:rPr>
        <w:t xml:space="preserve">The 2012 audit </w:t>
      </w:r>
      <w:r w:rsidRPr="00D733EB">
        <w:rPr>
          <w:rFonts w:ascii="Tahoma" w:eastAsia="Times New Roman" w:hAnsi="Tahoma" w:cs="Tahoma"/>
          <w:i/>
          <w:sz w:val="22"/>
          <w:szCs w:val="22"/>
          <w:lang w:val="en-AU"/>
        </w:rPr>
        <w:t>Performance Reporting by Local Government</w:t>
      </w:r>
      <w:r w:rsidRPr="00D733EB">
        <w:rPr>
          <w:rFonts w:ascii="Tahoma" w:eastAsia="Times New Roman" w:hAnsi="Tahoma" w:cs="Tahoma"/>
          <w:sz w:val="22"/>
          <w:szCs w:val="22"/>
          <w:lang w:val="en-AU"/>
        </w:rPr>
        <w:t xml:space="preserve"> recommended that implementing a performance reporting framework based on RoGS should be progressive, building where possible from data sets currently available to those that should be introduced. </w:t>
      </w:r>
    </w:p>
    <w:p w:rsidR="008A2D52" w:rsidRPr="00E84DC2" w:rsidRDefault="008A2D52" w:rsidP="008A2D52">
      <w:pPr>
        <w:rPr>
          <w:rFonts w:ascii="Tahoma" w:eastAsia="Times New Roman" w:hAnsi="Tahoma" w:cs="Tahoma"/>
          <w:sz w:val="22"/>
          <w:szCs w:val="22"/>
          <w:lang w:val="en-AU"/>
        </w:rPr>
      </w:pPr>
    </w:p>
    <w:p w:rsidR="005C056D" w:rsidRPr="00E84DC2" w:rsidRDefault="00D733EB" w:rsidP="008A2D52">
      <w:pPr>
        <w:rPr>
          <w:rFonts w:ascii="Tahoma" w:eastAsia="Times New Roman" w:hAnsi="Tahoma" w:cs="Tahoma"/>
          <w:sz w:val="22"/>
          <w:szCs w:val="22"/>
          <w:lang w:val="en-AU"/>
        </w:rPr>
      </w:pPr>
      <w:r w:rsidRPr="00D733EB">
        <w:rPr>
          <w:rFonts w:ascii="Tahoma" w:eastAsia="Times New Roman" w:hAnsi="Tahoma" w:cs="Tahoma"/>
          <w:sz w:val="22"/>
          <w:szCs w:val="22"/>
          <w:lang w:val="en-AU"/>
        </w:rPr>
        <w:t>The audit outlined the main characteristics of the comparative performance reporting framework proposed for Victorian councils.</w:t>
      </w:r>
    </w:p>
    <w:p w:rsidR="00BB3660" w:rsidRPr="00E84DC2" w:rsidRDefault="00BB3660" w:rsidP="008A2D52">
      <w:pPr>
        <w:rPr>
          <w:rFonts w:ascii="Tahoma" w:eastAsia="Times New Roman" w:hAnsi="Tahoma" w:cs="Tahoma"/>
          <w:sz w:val="22"/>
          <w:szCs w:val="22"/>
          <w:lang w:val="en-AU"/>
        </w:rPr>
      </w:pPr>
    </w:p>
    <w:p w:rsidR="003838E2" w:rsidRPr="00E84DC2" w:rsidRDefault="00D733EB" w:rsidP="00BB3660">
      <w:pPr>
        <w:jc w:val="center"/>
        <w:rPr>
          <w:rFonts w:ascii="Tahoma" w:eastAsia="Times New Roman" w:hAnsi="Tahoma" w:cs="Tahoma"/>
          <w:b/>
          <w:bCs/>
          <w:sz w:val="22"/>
          <w:szCs w:val="22"/>
          <w:lang w:val="en-AU"/>
        </w:rPr>
      </w:pPr>
      <w:r w:rsidRPr="00D733EB">
        <w:rPr>
          <w:rFonts w:ascii="Tahoma" w:eastAsia="Times New Roman" w:hAnsi="Tahoma" w:cs="Tahoma"/>
          <w:b/>
          <w:sz w:val="22"/>
          <w:szCs w:val="22"/>
          <w:lang w:val="en-AU"/>
        </w:rPr>
        <w:t xml:space="preserve">Figure </w:t>
      </w:r>
      <w:r w:rsidR="003839D3">
        <w:rPr>
          <w:rFonts w:ascii="Tahoma" w:eastAsia="Times New Roman" w:hAnsi="Tahoma" w:cs="Tahoma"/>
          <w:b/>
          <w:sz w:val="22"/>
          <w:szCs w:val="22"/>
          <w:lang w:val="en-AU"/>
        </w:rPr>
        <w:t>B</w:t>
      </w:r>
      <w:r w:rsidRPr="00D733EB">
        <w:rPr>
          <w:rFonts w:ascii="Tahoma" w:eastAsia="Times New Roman" w:hAnsi="Tahoma" w:cs="Tahoma"/>
          <w:b/>
          <w:sz w:val="22"/>
          <w:szCs w:val="22"/>
          <w:lang w:val="en-AU"/>
        </w:rPr>
        <w:t>3</w:t>
      </w:r>
      <w:r w:rsidRPr="00D733EB">
        <w:rPr>
          <w:rFonts w:ascii="Tahoma" w:eastAsia="Times New Roman" w:hAnsi="Tahoma" w:cs="Tahoma"/>
          <w:sz w:val="22"/>
          <w:szCs w:val="22"/>
          <w:lang w:val="en-AU"/>
        </w:rPr>
        <w:t xml:space="preserve"> – </w:t>
      </w:r>
      <w:r w:rsidRPr="00D733EB">
        <w:rPr>
          <w:rFonts w:ascii="Tahoma" w:eastAsia="Times New Roman" w:hAnsi="Tahoma" w:cs="Tahoma"/>
          <w:b/>
          <w:bCs/>
          <w:sz w:val="22"/>
          <w:szCs w:val="22"/>
          <w:lang w:val="en-AU"/>
        </w:rPr>
        <w:t xml:space="preserve">Key features of proposed local government </w:t>
      </w:r>
      <w:r w:rsidRPr="00D733EB">
        <w:rPr>
          <w:rFonts w:ascii="Tahoma" w:eastAsia="Times New Roman" w:hAnsi="Tahoma" w:cs="Tahoma"/>
          <w:b/>
          <w:bCs/>
          <w:sz w:val="22"/>
          <w:szCs w:val="22"/>
          <w:lang w:val="en-AU"/>
        </w:rPr>
        <w:br/>
        <w:t>reporting framework at a glance</w:t>
      </w:r>
    </w:p>
    <w:p w:rsidR="00BB3660" w:rsidRPr="00E84DC2" w:rsidRDefault="00BB3660" w:rsidP="00BB3660">
      <w:pPr>
        <w:jc w:val="center"/>
        <w:rPr>
          <w:rFonts w:ascii="Tahoma" w:eastAsia="Times New Roman" w:hAnsi="Tahoma" w:cs="Tahoma"/>
          <w:sz w:val="4"/>
          <w:szCs w:val="4"/>
          <w:lang w:val="en-AU"/>
        </w:rPr>
      </w:pPr>
    </w:p>
    <w:tbl>
      <w:tblPr>
        <w:tblStyle w:val="LightList-Accent11"/>
        <w:tblW w:w="0" w:type="auto"/>
        <w:tblLook w:val="04A0" w:firstRow="1" w:lastRow="0" w:firstColumn="1" w:lastColumn="0" w:noHBand="0" w:noVBand="1"/>
      </w:tblPr>
      <w:tblGrid>
        <w:gridCol w:w="2782"/>
        <w:gridCol w:w="5734"/>
      </w:tblGrid>
      <w:tr w:rsidR="003838E2" w:rsidRPr="00E84DC2" w:rsidTr="001B63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838E2" w:rsidRPr="00E84DC2" w:rsidRDefault="00D733EB" w:rsidP="003838E2">
            <w:pPr>
              <w:rPr>
                <w:rFonts w:ascii="Tahoma" w:eastAsia="Times New Roman" w:hAnsi="Tahoma" w:cs="Tahoma"/>
                <w:b w:val="0"/>
                <w:bCs w:val="0"/>
                <w:color w:val="auto"/>
                <w:sz w:val="22"/>
                <w:szCs w:val="22"/>
                <w:lang w:val="en-AU"/>
              </w:rPr>
            </w:pPr>
            <w:r w:rsidRPr="00D733EB">
              <w:rPr>
                <w:rFonts w:ascii="Tahoma" w:eastAsia="Times New Roman" w:hAnsi="Tahoma" w:cs="Tahoma"/>
                <w:sz w:val="22"/>
                <w:szCs w:val="22"/>
                <w:lang w:val="en-AU"/>
              </w:rPr>
              <w:t>Feature</w:t>
            </w:r>
          </w:p>
        </w:tc>
        <w:tc>
          <w:tcPr>
            <w:tcW w:w="0" w:type="auto"/>
            <w:hideMark/>
          </w:tcPr>
          <w:p w:rsidR="003838E2" w:rsidRPr="00E84DC2" w:rsidRDefault="00D733EB" w:rsidP="001B6377">
            <w:pPr>
              <w:ind w:firstLine="273"/>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auto"/>
                <w:sz w:val="22"/>
                <w:szCs w:val="22"/>
                <w:lang w:val="en-AU"/>
              </w:rPr>
            </w:pPr>
            <w:r w:rsidRPr="00D733EB">
              <w:rPr>
                <w:rFonts w:ascii="Tahoma" w:eastAsia="Times New Roman" w:hAnsi="Tahoma" w:cs="Tahoma"/>
                <w:sz w:val="22"/>
                <w:szCs w:val="22"/>
                <w:lang w:val="en-AU"/>
              </w:rPr>
              <w:t>Description</w:t>
            </w:r>
          </w:p>
        </w:tc>
      </w:tr>
      <w:tr w:rsidR="003838E2" w:rsidRPr="00E84DC2" w:rsidTr="001B6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838E2" w:rsidRPr="00E84DC2" w:rsidRDefault="00D733EB" w:rsidP="003838E2">
            <w:pPr>
              <w:rPr>
                <w:rFonts w:ascii="Tahoma" w:eastAsia="Times New Roman" w:hAnsi="Tahoma" w:cs="Tahoma"/>
                <w:sz w:val="22"/>
                <w:szCs w:val="22"/>
                <w:lang w:val="en-AU"/>
              </w:rPr>
            </w:pPr>
            <w:r w:rsidRPr="00D733EB">
              <w:rPr>
                <w:rFonts w:ascii="Tahoma" w:eastAsia="Times New Roman" w:hAnsi="Tahoma" w:cs="Tahoma"/>
                <w:sz w:val="22"/>
                <w:szCs w:val="22"/>
                <w:lang w:val="en-AU"/>
              </w:rPr>
              <w:t>Primary purpose</w:t>
            </w:r>
          </w:p>
        </w:tc>
        <w:tc>
          <w:tcPr>
            <w:tcW w:w="0" w:type="auto"/>
            <w:hideMark/>
          </w:tcPr>
          <w:p w:rsidR="003838E2" w:rsidRPr="00E84DC2" w:rsidRDefault="00D733EB" w:rsidP="003838E2">
            <w:pPr>
              <w:numPr>
                <w:ilvl w:val="0"/>
                <w:numId w:val="41"/>
              </w:num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sz w:val="22"/>
                <w:szCs w:val="22"/>
                <w:lang w:val="en-AU"/>
              </w:rPr>
            </w:pPr>
            <w:r w:rsidRPr="00D733EB">
              <w:rPr>
                <w:rFonts w:ascii="Tahoma" w:eastAsia="Times New Roman" w:hAnsi="Tahoma" w:cs="Tahoma"/>
                <w:sz w:val="22"/>
                <w:szCs w:val="22"/>
                <w:lang w:val="en-AU"/>
              </w:rPr>
              <w:t>Improve accountability to councillors, ratepayers and residents</w:t>
            </w:r>
          </w:p>
          <w:p w:rsidR="003838E2" w:rsidRPr="00E84DC2" w:rsidRDefault="00D733EB" w:rsidP="003838E2">
            <w:pPr>
              <w:numPr>
                <w:ilvl w:val="0"/>
                <w:numId w:val="41"/>
              </w:num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sz w:val="22"/>
                <w:szCs w:val="22"/>
                <w:lang w:val="en-AU"/>
              </w:rPr>
            </w:pPr>
            <w:r w:rsidRPr="00D733EB">
              <w:rPr>
                <w:rFonts w:ascii="Tahoma" w:eastAsia="Times New Roman" w:hAnsi="Tahoma" w:cs="Tahoma"/>
                <w:sz w:val="22"/>
                <w:szCs w:val="22"/>
                <w:lang w:val="en-AU"/>
              </w:rPr>
              <w:t>Benchmarking of council performance</w:t>
            </w:r>
          </w:p>
          <w:p w:rsidR="003838E2" w:rsidRPr="00E84DC2" w:rsidRDefault="00D733EB" w:rsidP="003838E2">
            <w:pPr>
              <w:numPr>
                <w:ilvl w:val="0"/>
                <w:numId w:val="41"/>
              </w:num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sz w:val="22"/>
                <w:szCs w:val="22"/>
                <w:lang w:val="en-AU"/>
              </w:rPr>
            </w:pPr>
            <w:r w:rsidRPr="00D733EB">
              <w:rPr>
                <w:rFonts w:ascii="Tahoma" w:eastAsia="Times New Roman" w:hAnsi="Tahoma" w:cs="Tahoma"/>
                <w:sz w:val="22"/>
                <w:szCs w:val="22"/>
                <w:lang w:val="en-AU"/>
              </w:rPr>
              <w:t>Support continuous improvement</w:t>
            </w:r>
          </w:p>
        </w:tc>
      </w:tr>
      <w:tr w:rsidR="003838E2" w:rsidRPr="00E84DC2" w:rsidTr="001B6377">
        <w:tc>
          <w:tcPr>
            <w:cnfStyle w:val="001000000000" w:firstRow="0" w:lastRow="0" w:firstColumn="1" w:lastColumn="0" w:oddVBand="0" w:evenVBand="0" w:oddHBand="0" w:evenHBand="0" w:firstRowFirstColumn="0" w:firstRowLastColumn="0" w:lastRowFirstColumn="0" w:lastRowLastColumn="0"/>
            <w:tcW w:w="0" w:type="auto"/>
            <w:hideMark/>
          </w:tcPr>
          <w:p w:rsidR="003838E2" w:rsidRPr="00E84DC2" w:rsidRDefault="00D733EB" w:rsidP="003838E2">
            <w:pPr>
              <w:rPr>
                <w:rFonts w:ascii="Tahoma" w:eastAsia="Times New Roman" w:hAnsi="Tahoma" w:cs="Tahoma"/>
                <w:sz w:val="22"/>
                <w:szCs w:val="22"/>
                <w:lang w:val="en-AU"/>
              </w:rPr>
            </w:pPr>
            <w:r w:rsidRPr="00D733EB">
              <w:rPr>
                <w:rFonts w:ascii="Tahoma" w:eastAsia="Times New Roman" w:hAnsi="Tahoma" w:cs="Tahoma"/>
                <w:sz w:val="22"/>
                <w:szCs w:val="22"/>
                <w:lang w:val="en-AU"/>
              </w:rPr>
              <w:t>Scope</w:t>
            </w:r>
          </w:p>
        </w:tc>
        <w:tc>
          <w:tcPr>
            <w:tcW w:w="0" w:type="auto"/>
            <w:hideMark/>
          </w:tcPr>
          <w:p w:rsidR="003838E2" w:rsidRPr="00E84DC2" w:rsidRDefault="00D733EB" w:rsidP="003838E2">
            <w:pPr>
              <w:numPr>
                <w:ilvl w:val="0"/>
                <w:numId w:val="42"/>
              </w:num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22"/>
                <w:szCs w:val="22"/>
                <w:lang w:val="en-AU"/>
              </w:rPr>
            </w:pPr>
            <w:r w:rsidRPr="00D733EB">
              <w:rPr>
                <w:rFonts w:ascii="Tahoma" w:eastAsia="Times New Roman" w:hAnsi="Tahoma" w:cs="Tahoma"/>
                <w:sz w:val="22"/>
                <w:szCs w:val="22"/>
                <w:lang w:val="en-AU"/>
              </w:rPr>
              <w:t>Financial performance</w:t>
            </w:r>
          </w:p>
          <w:p w:rsidR="003838E2" w:rsidRPr="00E84DC2" w:rsidRDefault="00D733EB" w:rsidP="003838E2">
            <w:pPr>
              <w:numPr>
                <w:ilvl w:val="0"/>
                <w:numId w:val="42"/>
              </w:num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22"/>
                <w:szCs w:val="22"/>
                <w:lang w:val="en-AU"/>
              </w:rPr>
            </w:pPr>
            <w:r w:rsidRPr="00D733EB">
              <w:rPr>
                <w:rFonts w:ascii="Tahoma" w:eastAsia="Times New Roman" w:hAnsi="Tahoma" w:cs="Tahoma"/>
                <w:sz w:val="22"/>
                <w:szCs w:val="22"/>
                <w:lang w:val="en-AU"/>
              </w:rPr>
              <w:t>Service delivery performance</w:t>
            </w:r>
          </w:p>
        </w:tc>
      </w:tr>
      <w:tr w:rsidR="003838E2" w:rsidRPr="00E84DC2" w:rsidTr="001B6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838E2" w:rsidRPr="00E84DC2" w:rsidRDefault="00D733EB" w:rsidP="003838E2">
            <w:pPr>
              <w:rPr>
                <w:rFonts w:ascii="Tahoma" w:eastAsia="Times New Roman" w:hAnsi="Tahoma" w:cs="Tahoma"/>
                <w:sz w:val="22"/>
                <w:szCs w:val="22"/>
                <w:lang w:val="en-AU"/>
              </w:rPr>
            </w:pPr>
            <w:r w:rsidRPr="00D733EB">
              <w:rPr>
                <w:rFonts w:ascii="Tahoma" w:eastAsia="Times New Roman" w:hAnsi="Tahoma" w:cs="Tahoma"/>
                <w:sz w:val="22"/>
                <w:szCs w:val="22"/>
                <w:lang w:val="en-AU"/>
              </w:rPr>
              <w:t>Financial performance dimensions</w:t>
            </w:r>
          </w:p>
        </w:tc>
        <w:tc>
          <w:tcPr>
            <w:tcW w:w="0" w:type="auto"/>
            <w:hideMark/>
          </w:tcPr>
          <w:p w:rsidR="003838E2" w:rsidRPr="00E84DC2" w:rsidRDefault="00D733EB" w:rsidP="003838E2">
            <w:pPr>
              <w:numPr>
                <w:ilvl w:val="0"/>
                <w:numId w:val="43"/>
              </w:num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sz w:val="22"/>
                <w:szCs w:val="22"/>
                <w:lang w:val="en-AU"/>
              </w:rPr>
            </w:pPr>
            <w:r w:rsidRPr="00D733EB">
              <w:rPr>
                <w:rFonts w:ascii="Tahoma" w:eastAsia="Times New Roman" w:hAnsi="Tahoma" w:cs="Tahoma"/>
                <w:sz w:val="22"/>
                <w:szCs w:val="22"/>
                <w:lang w:val="en-AU"/>
              </w:rPr>
              <w:t>Financial sustainability</w:t>
            </w:r>
          </w:p>
          <w:p w:rsidR="003838E2" w:rsidRPr="00E84DC2" w:rsidRDefault="00D733EB" w:rsidP="003838E2">
            <w:pPr>
              <w:numPr>
                <w:ilvl w:val="0"/>
                <w:numId w:val="43"/>
              </w:num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sz w:val="22"/>
                <w:szCs w:val="22"/>
                <w:lang w:val="en-AU"/>
              </w:rPr>
            </w:pPr>
            <w:r w:rsidRPr="00D733EB">
              <w:rPr>
                <w:rFonts w:ascii="Tahoma" w:eastAsia="Times New Roman" w:hAnsi="Tahoma" w:cs="Tahoma"/>
                <w:sz w:val="22"/>
                <w:szCs w:val="22"/>
                <w:lang w:val="en-AU"/>
              </w:rPr>
              <w:t>Rating</w:t>
            </w:r>
          </w:p>
          <w:p w:rsidR="003838E2" w:rsidRPr="00E84DC2" w:rsidRDefault="00D733EB" w:rsidP="003838E2">
            <w:pPr>
              <w:numPr>
                <w:ilvl w:val="0"/>
                <w:numId w:val="43"/>
              </w:num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sz w:val="22"/>
                <w:szCs w:val="22"/>
                <w:lang w:val="en-AU"/>
              </w:rPr>
            </w:pPr>
            <w:r w:rsidRPr="00D733EB">
              <w:rPr>
                <w:rFonts w:ascii="Tahoma" w:eastAsia="Times New Roman" w:hAnsi="Tahoma" w:cs="Tahoma"/>
                <w:sz w:val="22"/>
                <w:szCs w:val="22"/>
                <w:lang w:val="en-AU"/>
              </w:rPr>
              <w:t>Sustainable capacity</w:t>
            </w:r>
          </w:p>
        </w:tc>
      </w:tr>
      <w:tr w:rsidR="003838E2" w:rsidRPr="00E84DC2" w:rsidTr="001B6377">
        <w:tc>
          <w:tcPr>
            <w:cnfStyle w:val="001000000000" w:firstRow="0" w:lastRow="0" w:firstColumn="1" w:lastColumn="0" w:oddVBand="0" w:evenVBand="0" w:oddHBand="0" w:evenHBand="0" w:firstRowFirstColumn="0" w:firstRowLastColumn="0" w:lastRowFirstColumn="0" w:lastRowLastColumn="0"/>
            <w:tcW w:w="0" w:type="auto"/>
            <w:hideMark/>
          </w:tcPr>
          <w:p w:rsidR="003838E2" w:rsidRPr="00E84DC2" w:rsidRDefault="00D733EB" w:rsidP="003838E2">
            <w:pPr>
              <w:rPr>
                <w:rFonts w:ascii="Tahoma" w:eastAsia="Times New Roman" w:hAnsi="Tahoma" w:cs="Tahoma"/>
                <w:sz w:val="22"/>
                <w:szCs w:val="22"/>
                <w:lang w:val="en-AU"/>
              </w:rPr>
            </w:pPr>
            <w:r w:rsidRPr="00D733EB">
              <w:rPr>
                <w:rFonts w:ascii="Tahoma" w:eastAsia="Times New Roman" w:hAnsi="Tahoma" w:cs="Tahoma"/>
                <w:sz w:val="22"/>
                <w:szCs w:val="22"/>
                <w:lang w:val="en-AU"/>
              </w:rPr>
              <w:t>Service performance dimensions</w:t>
            </w:r>
          </w:p>
        </w:tc>
        <w:tc>
          <w:tcPr>
            <w:tcW w:w="0" w:type="auto"/>
            <w:hideMark/>
          </w:tcPr>
          <w:p w:rsidR="003838E2" w:rsidRPr="00E84DC2" w:rsidRDefault="00D733EB" w:rsidP="003838E2">
            <w:pPr>
              <w:numPr>
                <w:ilvl w:val="0"/>
                <w:numId w:val="44"/>
              </w:num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22"/>
                <w:szCs w:val="22"/>
                <w:lang w:val="en-AU"/>
              </w:rPr>
            </w:pPr>
            <w:r w:rsidRPr="00D733EB">
              <w:rPr>
                <w:rFonts w:ascii="Tahoma" w:eastAsia="Times New Roman" w:hAnsi="Tahoma" w:cs="Tahoma"/>
                <w:sz w:val="22"/>
                <w:szCs w:val="22"/>
                <w:lang w:val="en-AU"/>
              </w:rPr>
              <w:t>Effectiveness</w:t>
            </w:r>
          </w:p>
          <w:p w:rsidR="003838E2" w:rsidRPr="00E84DC2" w:rsidRDefault="00D733EB" w:rsidP="003838E2">
            <w:pPr>
              <w:numPr>
                <w:ilvl w:val="0"/>
                <w:numId w:val="44"/>
              </w:num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22"/>
                <w:szCs w:val="22"/>
                <w:lang w:val="en-AU"/>
              </w:rPr>
            </w:pPr>
            <w:r w:rsidRPr="00D733EB">
              <w:rPr>
                <w:rFonts w:ascii="Tahoma" w:eastAsia="Times New Roman" w:hAnsi="Tahoma" w:cs="Tahoma"/>
                <w:sz w:val="22"/>
                <w:szCs w:val="22"/>
                <w:lang w:val="en-AU"/>
              </w:rPr>
              <w:t>Efficiency</w:t>
            </w:r>
          </w:p>
          <w:p w:rsidR="003838E2" w:rsidRPr="00E84DC2" w:rsidRDefault="00D733EB" w:rsidP="003838E2">
            <w:pPr>
              <w:numPr>
                <w:ilvl w:val="0"/>
                <w:numId w:val="44"/>
              </w:num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22"/>
                <w:szCs w:val="22"/>
                <w:lang w:val="en-AU"/>
              </w:rPr>
            </w:pPr>
            <w:r w:rsidRPr="00D733EB">
              <w:rPr>
                <w:rFonts w:ascii="Tahoma" w:eastAsia="Times New Roman" w:hAnsi="Tahoma" w:cs="Tahoma"/>
                <w:sz w:val="22"/>
                <w:szCs w:val="22"/>
                <w:lang w:val="en-AU"/>
              </w:rPr>
              <w:t>Quality</w:t>
            </w:r>
          </w:p>
        </w:tc>
      </w:tr>
      <w:tr w:rsidR="003838E2" w:rsidRPr="00E84DC2" w:rsidTr="001B6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838E2" w:rsidRPr="00E84DC2" w:rsidRDefault="00D733EB" w:rsidP="003838E2">
            <w:pPr>
              <w:rPr>
                <w:rFonts w:ascii="Tahoma" w:eastAsia="Times New Roman" w:hAnsi="Tahoma" w:cs="Tahoma"/>
                <w:sz w:val="22"/>
                <w:szCs w:val="22"/>
                <w:lang w:val="en-AU"/>
              </w:rPr>
            </w:pPr>
            <w:r w:rsidRPr="00D733EB">
              <w:rPr>
                <w:rFonts w:ascii="Tahoma" w:eastAsia="Times New Roman" w:hAnsi="Tahoma" w:cs="Tahoma"/>
                <w:sz w:val="22"/>
                <w:szCs w:val="22"/>
                <w:lang w:val="en-AU"/>
              </w:rPr>
              <w:t>Form and content of reporting</w:t>
            </w:r>
          </w:p>
        </w:tc>
        <w:tc>
          <w:tcPr>
            <w:tcW w:w="0" w:type="auto"/>
            <w:hideMark/>
          </w:tcPr>
          <w:p w:rsidR="003838E2" w:rsidRPr="00E84DC2" w:rsidRDefault="00D733EB" w:rsidP="003838E2">
            <w:pPr>
              <w:numPr>
                <w:ilvl w:val="0"/>
                <w:numId w:val="45"/>
              </w:num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sz w:val="22"/>
                <w:szCs w:val="22"/>
                <w:lang w:val="en-AU"/>
              </w:rPr>
            </w:pPr>
            <w:r w:rsidRPr="00D733EB">
              <w:rPr>
                <w:rFonts w:ascii="Tahoma" w:eastAsia="Times New Roman" w:hAnsi="Tahoma" w:cs="Tahoma"/>
                <w:sz w:val="22"/>
                <w:szCs w:val="22"/>
                <w:lang w:val="en-AU"/>
              </w:rPr>
              <w:t>‘Headline indicators’ focusing on critical results achieved (e.g. outcomes)</w:t>
            </w:r>
          </w:p>
          <w:p w:rsidR="003838E2" w:rsidRPr="00E84DC2" w:rsidRDefault="00D733EB" w:rsidP="003838E2">
            <w:pPr>
              <w:numPr>
                <w:ilvl w:val="0"/>
                <w:numId w:val="45"/>
              </w:num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sz w:val="22"/>
                <w:szCs w:val="22"/>
                <w:lang w:val="en-AU"/>
              </w:rPr>
            </w:pPr>
            <w:r w:rsidRPr="00D733EB">
              <w:rPr>
                <w:rFonts w:ascii="Tahoma" w:eastAsia="Times New Roman" w:hAnsi="Tahoma" w:cs="Tahoma"/>
                <w:sz w:val="22"/>
                <w:szCs w:val="22"/>
                <w:lang w:val="en-AU"/>
              </w:rPr>
              <w:t>‘Supporting indicators’ focusing on critical diagnostic information (e.g. outputs)</w:t>
            </w:r>
          </w:p>
        </w:tc>
      </w:tr>
    </w:tbl>
    <w:p w:rsidR="003838E2" w:rsidRPr="00E84DC2" w:rsidRDefault="00D733EB" w:rsidP="003838E2">
      <w:pPr>
        <w:rPr>
          <w:rFonts w:ascii="Tahoma" w:eastAsia="Times New Roman" w:hAnsi="Tahoma" w:cs="Tahoma"/>
          <w:sz w:val="20"/>
          <w:szCs w:val="20"/>
          <w:lang w:val="en-AU"/>
        </w:rPr>
      </w:pPr>
      <w:r>
        <w:rPr>
          <w:rFonts w:ascii="Tahoma" w:eastAsia="Times New Roman" w:hAnsi="Tahoma" w:cs="Tahoma"/>
          <w:i/>
          <w:iCs/>
          <w:sz w:val="20"/>
          <w:szCs w:val="20"/>
          <w:lang w:val="en-AU"/>
        </w:rPr>
        <w:t>Source: Victorian Auditor-General’s Office</w:t>
      </w:r>
      <w:r w:rsidRPr="00D733EB">
        <w:rPr>
          <w:rFonts w:ascii="Tahoma" w:eastAsia="Times New Roman" w:hAnsi="Tahoma" w:cs="Tahoma"/>
          <w:sz w:val="20"/>
          <w:szCs w:val="20"/>
          <w:lang w:val="en-AU"/>
        </w:rPr>
        <w:t>.</w:t>
      </w:r>
    </w:p>
    <w:p w:rsidR="003838E2" w:rsidRPr="00E84DC2" w:rsidRDefault="003838E2" w:rsidP="008A2D52">
      <w:pPr>
        <w:rPr>
          <w:rFonts w:ascii="Tahoma" w:eastAsia="Times New Roman" w:hAnsi="Tahoma" w:cs="Tahoma"/>
          <w:sz w:val="22"/>
          <w:szCs w:val="22"/>
          <w:lang w:val="en-AU"/>
        </w:rPr>
      </w:pPr>
    </w:p>
    <w:p w:rsidR="004A5ACB" w:rsidRPr="00E84DC2" w:rsidRDefault="00D733EB" w:rsidP="004A5ACB">
      <w:pPr>
        <w:rPr>
          <w:rFonts w:ascii="Tahoma" w:eastAsia="Times New Roman" w:hAnsi="Tahoma" w:cs="Tahoma"/>
          <w:sz w:val="22"/>
          <w:szCs w:val="22"/>
          <w:lang w:val="en-AU"/>
        </w:rPr>
      </w:pPr>
      <w:r w:rsidRPr="00D733EB">
        <w:rPr>
          <w:rFonts w:ascii="Tahoma" w:eastAsia="Times New Roman" w:hAnsi="Tahoma" w:cs="Tahoma"/>
          <w:sz w:val="22"/>
          <w:szCs w:val="22"/>
          <w:lang w:val="en-AU"/>
        </w:rPr>
        <w:t xml:space="preserve">Financial performance reporting by councils is important for acquitting their obligation to demonstrate sound financial management. This is a critical objective of all councils. Related indicators should provide insights into the financial sustainability of councils and the actions needed to achieve it.  VAGO’s recommended financial sustainability indicators for councils can assist in addressing this requirement. This data could also be complemented with relevant measures of council rating practices including metrics on the sustainable capacity of councils to gain further insight into council sustainability risks and appropriate remedial actions. </w:t>
      </w:r>
    </w:p>
    <w:p w:rsidR="000D25CD" w:rsidRPr="00E84DC2" w:rsidRDefault="000D25CD" w:rsidP="004E4A33">
      <w:pPr>
        <w:rPr>
          <w:rFonts w:ascii="Tahoma" w:eastAsia="Times New Roman" w:hAnsi="Tahoma" w:cs="Tahoma"/>
          <w:sz w:val="22"/>
          <w:szCs w:val="22"/>
          <w:lang w:val="en-AU"/>
        </w:rPr>
      </w:pPr>
    </w:p>
    <w:p w:rsidR="004A5ACB" w:rsidRPr="00E84DC2" w:rsidRDefault="00D733EB" w:rsidP="004A5ACB">
      <w:pPr>
        <w:rPr>
          <w:rFonts w:ascii="Tahoma" w:eastAsia="Times New Roman" w:hAnsi="Tahoma" w:cs="Tahoma"/>
          <w:sz w:val="22"/>
          <w:szCs w:val="22"/>
          <w:lang w:val="en-AU"/>
        </w:rPr>
      </w:pPr>
      <w:r w:rsidRPr="00D733EB">
        <w:rPr>
          <w:rFonts w:ascii="Tahoma" w:eastAsia="Times New Roman" w:hAnsi="Tahoma" w:cs="Tahoma"/>
          <w:sz w:val="22"/>
          <w:szCs w:val="22"/>
          <w:lang w:val="en-AU"/>
        </w:rPr>
        <w:t>VAGO's recommended financial sustainability indicators reflect short- and long-term sustainability, and are measured by whether councils:</w:t>
      </w:r>
    </w:p>
    <w:p w:rsidR="00370858" w:rsidRPr="00E84DC2" w:rsidRDefault="00D733EB">
      <w:pPr>
        <w:pStyle w:val="ListParagraph"/>
        <w:rPr>
          <w:rFonts w:ascii="Tahoma" w:hAnsi="Tahoma" w:cs="Tahoma"/>
          <w:lang w:val="en-AU"/>
        </w:rPr>
      </w:pPr>
      <w:r w:rsidRPr="00D733EB">
        <w:rPr>
          <w:rFonts w:ascii="Tahoma" w:hAnsi="Tahoma" w:cs="Tahoma"/>
          <w:lang w:val="en-AU"/>
        </w:rPr>
        <w:t>generate enough revenue to cover operating costs (including the cost of replacing assets reflected in depreciation expense)—underlying result</w:t>
      </w:r>
    </w:p>
    <w:p w:rsidR="00370858" w:rsidRPr="00E84DC2" w:rsidRDefault="00D733EB">
      <w:pPr>
        <w:pStyle w:val="ListParagraph"/>
        <w:rPr>
          <w:rFonts w:ascii="Tahoma" w:hAnsi="Tahoma" w:cs="Tahoma"/>
          <w:lang w:val="en-AU"/>
        </w:rPr>
      </w:pPr>
      <w:r w:rsidRPr="00D733EB">
        <w:rPr>
          <w:rFonts w:ascii="Tahoma" w:hAnsi="Tahoma" w:cs="Tahoma"/>
          <w:lang w:val="en-AU"/>
        </w:rPr>
        <w:t>have sufficient working capital to meet short-term commitments—liquidity</w:t>
      </w:r>
    </w:p>
    <w:p w:rsidR="00370858" w:rsidRPr="00E84DC2" w:rsidRDefault="00D733EB">
      <w:pPr>
        <w:pStyle w:val="ListParagraph"/>
        <w:rPr>
          <w:rFonts w:ascii="Tahoma" w:hAnsi="Tahoma" w:cs="Tahoma"/>
          <w:lang w:val="en-AU"/>
        </w:rPr>
      </w:pPr>
      <w:r w:rsidRPr="00D733EB">
        <w:rPr>
          <w:rFonts w:ascii="Tahoma" w:hAnsi="Tahoma" w:cs="Tahoma"/>
          <w:lang w:val="en-AU"/>
        </w:rPr>
        <w:t>are not overly reliant on debt to fund capital programs—indebtedness</w:t>
      </w:r>
    </w:p>
    <w:p w:rsidR="00370858" w:rsidRPr="00E84DC2" w:rsidRDefault="00D733EB">
      <w:pPr>
        <w:pStyle w:val="ListParagraph"/>
        <w:rPr>
          <w:rFonts w:ascii="Tahoma" w:hAnsi="Tahoma" w:cs="Tahoma"/>
          <w:lang w:val="en-AU"/>
        </w:rPr>
      </w:pPr>
      <w:r w:rsidRPr="00D733EB">
        <w:rPr>
          <w:rFonts w:ascii="Tahoma" w:hAnsi="Tahoma" w:cs="Tahoma"/>
          <w:lang w:val="en-AU"/>
        </w:rPr>
        <w:lastRenderedPageBreak/>
        <w:t>generate sufficient operating cash flows to invest in asset renewal and repay any debt it may have incurred in the past—self-financing</w:t>
      </w:r>
    </w:p>
    <w:p w:rsidR="00370858" w:rsidRPr="00E84DC2" w:rsidRDefault="00D733EB">
      <w:pPr>
        <w:pStyle w:val="ListParagraph"/>
        <w:rPr>
          <w:rFonts w:ascii="Tahoma" w:hAnsi="Tahoma" w:cs="Tahoma"/>
          <w:lang w:val="en-AU"/>
        </w:rPr>
      </w:pPr>
      <w:r w:rsidRPr="00D733EB">
        <w:rPr>
          <w:rFonts w:ascii="Tahoma" w:hAnsi="Tahoma" w:cs="Tahoma"/>
          <w:lang w:val="en-AU"/>
        </w:rPr>
        <w:t>have been replacing assets at a rate consistent with their consumption—capital replacement</w:t>
      </w:r>
    </w:p>
    <w:p w:rsidR="00370858" w:rsidRPr="00E84DC2" w:rsidRDefault="00D733EB">
      <w:pPr>
        <w:pStyle w:val="ListParagraph"/>
        <w:rPr>
          <w:rFonts w:ascii="Tahoma" w:hAnsi="Tahoma" w:cs="Tahoma"/>
          <w:lang w:val="en-AU"/>
        </w:rPr>
      </w:pPr>
      <w:r w:rsidRPr="00D733EB">
        <w:rPr>
          <w:rFonts w:ascii="Tahoma" w:hAnsi="Tahoma" w:cs="Tahoma"/>
          <w:lang w:val="en-AU"/>
        </w:rPr>
        <w:t>have been maintaining existing assets at a consistent rate—</w:t>
      </w:r>
      <w:r w:rsidRPr="00D733EB">
        <w:rPr>
          <w:rFonts w:ascii="Tahoma" w:hAnsi="Tahoma" w:cs="Tahoma"/>
          <w:bCs/>
          <w:lang w:val="en-AU"/>
        </w:rPr>
        <w:t>renewal gap</w:t>
      </w:r>
      <w:r w:rsidRPr="00D733EB">
        <w:rPr>
          <w:rFonts w:ascii="Tahoma" w:hAnsi="Tahoma" w:cs="Tahoma"/>
          <w:b/>
          <w:bCs/>
          <w:lang w:val="en-AU"/>
        </w:rPr>
        <w:t>.</w:t>
      </w:r>
    </w:p>
    <w:p w:rsidR="00E46CD4" w:rsidRPr="00E84DC2" w:rsidRDefault="00E46CD4" w:rsidP="004E4A33">
      <w:pPr>
        <w:rPr>
          <w:rFonts w:ascii="Tahoma" w:eastAsia="Times New Roman" w:hAnsi="Tahoma" w:cs="Tahoma"/>
          <w:sz w:val="22"/>
          <w:szCs w:val="22"/>
          <w:lang w:val="en-AU"/>
        </w:rPr>
      </w:pPr>
    </w:p>
    <w:p w:rsidR="00E46CD4" w:rsidRPr="00E84DC2" w:rsidRDefault="00D733EB" w:rsidP="00E46CD4">
      <w:pPr>
        <w:rPr>
          <w:rFonts w:ascii="Tahoma" w:eastAsia="Times New Roman" w:hAnsi="Tahoma" w:cs="Tahoma"/>
          <w:sz w:val="22"/>
          <w:szCs w:val="22"/>
          <w:lang w:val="en-AU"/>
        </w:rPr>
      </w:pPr>
      <w:r w:rsidRPr="00D733EB">
        <w:rPr>
          <w:rFonts w:ascii="Tahoma" w:eastAsia="Times New Roman" w:hAnsi="Tahoma" w:cs="Tahoma"/>
          <w:sz w:val="22"/>
          <w:szCs w:val="22"/>
          <w:lang w:val="en-AU"/>
        </w:rPr>
        <w:t>A report for the Australian Centre of Excellence for Local Government</w:t>
      </w:r>
      <w:r w:rsidR="00DC14B1" w:rsidRPr="00E84DC2">
        <w:rPr>
          <w:rStyle w:val="FootnoteReference"/>
          <w:rFonts w:ascii="Tahoma" w:eastAsia="Times New Roman" w:hAnsi="Tahoma" w:cs="Tahoma"/>
          <w:sz w:val="22"/>
          <w:szCs w:val="22"/>
          <w:lang w:val="en-AU"/>
        </w:rPr>
        <w:footnoteReference w:id="35"/>
      </w:r>
      <w:r w:rsidR="00DC14B1" w:rsidRPr="00E84DC2">
        <w:rPr>
          <w:rFonts w:ascii="Tahoma" w:eastAsia="Times New Roman" w:hAnsi="Tahoma" w:cs="Tahoma"/>
          <w:sz w:val="22"/>
          <w:szCs w:val="22"/>
          <w:lang w:val="en-AU"/>
        </w:rPr>
        <w:t xml:space="preserve"> noted that a realistic a</w:t>
      </w:r>
      <w:r w:rsidRPr="00D733EB">
        <w:rPr>
          <w:rFonts w:ascii="Tahoma" w:eastAsia="Times New Roman" w:hAnsi="Tahoma" w:cs="Tahoma"/>
          <w:sz w:val="22"/>
          <w:szCs w:val="22"/>
          <w:lang w:val="en-AU"/>
        </w:rPr>
        <w:t>nd pragmatic approach to expectations regarding performance measurement is needed, and the sensible but somewhat elusive approach to performance measurement for local government would be to identify indicators which are both practical for council to measure as well as meaningful for the community and the government in overseeing the council’s performance.</w:t>
      </w:r>
    </w:p>
    <w:p w:rsidR="00E46CD4" w:rsidRPr="00E84DC2" w:rsidRDefault="00E46CD4" w:rsidP="004E4A33">
      <w:pPr>
        <w:rPr>
          <w:rFonts w:ascii="Tahoma" w:eastAsia="Times New Roman" w:hAnsi="Tahoma" w:cs="Tahoma"/>
          <w:sz w:val="22"/>
          <w:szCs w:val="22"/>
          <w:lang w:val="en-AU"/>
        </w:rPr>
        <w:sectPr w:rsidR="00E46CD4" w:rsidRPr="00E84DC2" w:rsidSect="00F9722F">
          <w:headerReference w:type="default" r:id="rId36"/>
          <w:pgSz w:w="11900" w:h="16840"/>
          <w:pgMar w:top="1440" w:right="1800" w:bottom="1440" w:left="1800" w:header="708" w:footer="708" w:gutter="0"/>
          <w:cols w:space="708"/>
          <w:titlePg/>
          <w:docGrid w:linePitch="360"/>
        </w:sectPr>
      </w:pPr>
    </w:p>
    <w:p w:rsidR="00773102" w:rsidRPr="00E84DC2" w:rsidRDefault="00D733EB" w:rsidP="00773102">
      <w:pPr>
        <w:rPr>
          <w:rFonts w:ascii="Tahoma" w:eastAsia="Times New Roman" w:hAnsi="Tahoma" w:cs="Tahoma"/>
          <w:b/>
          <w:sz w:val="28"/>
          <w:szCs w:val="28"/>
          <w:lang w:val="en-AU"/>
        </w:rPr>
      </w:pPr>
      <w:r w:rsidRPr="00D733EB">
        <w:rPr>
          <w:rFonts w:ascii="Tahoma" w:eastAsia="Times New Roman" w:hAnsi="Tahoma" w:cs="Tahoma"/>
          <w:b/>
          <w:sz w:val="28"/>
          <w:szCs w:val="28"/>
          <w:lang w:val="en-AU"/>
        </w:rPr>
        <w:lastRenderedPageBreak/>
        <w:t xml:space="preserve">Attachment </w:t>
      </w:r>
      <w:r w:rsidR="006B0C1F">
        <w:rPr>
          <w:rFonts w:ascii="Tahoma" w:eastAsia="Times New Roman" w:hAnsi="Tahoma" w:cs="Tahoma"/>
          <w:b/>
          <w:sz w:val="28"/>
          <w:szCs w:val="28"/>
          <w:lang w:val="en-AU"/>
        </w:rPr>
        <w:t>C</w:t>
      </w:r>
      <w:r w:rsidRPr="00D733EB">
        <w:rPr>
          <w:rFonts w:ascii="Tahoma" w:eastAsia="Times New Roman" w:hAnsi="Tahoma" w:cs="Tahoma"/>
          <w:b/>
          <w:sz w:val="28"/>
          <w:szCs w:val="28"/>
          <w:lang w:val="en-AU"/>
        </w:rPr>
        <w:t xml:space="preserve"> – Proposed Performance Reporting Framework</w:t>
      </w:r>
    </w:p>
    <w:p w:rsidR="00773102" w:rsidRPr="00E84DC2" w:rsidRDefault="00773102" w:rsidP="004E4A33">
      <w:pPr>
        <w:rPr>
          <w:rFonts w:ascii="Tahoma" w:eastAsia="Times New Roman" w:hAnsi="Tahoma" w:cs="Tahoma"/>
          <w:sz w:val="22"/>
          <w:szCs w:val="22"/>
          <w:lang w:val="en-AU"/>
        </w:rPr>
      </w:pPr>
    </w:p>
    <w:p w:rsidR="00773102" w:rsidRPr="00E84DC2" w:rsidRDefault="00D733EB" w:rsidP="00567058">
      <w:pPr>
        <w:rPr>
          <w:rFonts w:ascii="Tahoma" w:eastAsia="Times New Roman" w:hAnsi="Tahoma" w:cs="Tahoma"/>
          <w:b/>
          <w:sz w:val="22"/>
          <w:szCs w:val="22"/>
          <w:lang w:val="en-AU"/>
        </w:rPr>
      </w:pPr>
      <w:r w:rsidRPr="00D733EB">
        <w:rPr>
          <w:rFonts w:ascii="Tahoma" w:eastAsia="Times New Roman" w:hAnsi="Tahoma" w:cs="Tahoma"/>
          <w:b/>
          <w:sz w:val="22"/>
          <w:szCs w:val="22"/>
          <w:lang w:val="en-AU"/>
        </w:rPr>
        <w:t>Service Performance</w:t>
      </w:r>
    </w:p>
    <w:p w:rsidR="00106CA5" w:rsidRPr="00E84DC2" w:rsidRDefault="00106CA5" w:rsidP="00567058">
      <w:pPr>
        <w:rPr>
          <w:rFonts w:ascii="Tahoma" w:eastAsia="Times New Roman" w:hAnsi="Tahoma" w:cs="Tahoma"/>
          <w:sz w:val="22"/>
          <w:szCs w:val="22"/>
          <w:lang w:val="en-AU"/>
        </w:rPr>
      </w:pPr>
    </w:p>
    <w:p w:rsidR="00773102" w:rsidRPr="00E84DC2" w:rsidRDefault="00D733EB" w:rsidP="00567058">
      <w:pPr>
        <w:rPr>
          <w:rFonts w:ascii="Tahoma" w:eastAsia="Times New Roman" w:hAnsi="Tahoma" w:cs="Tahoma"/>
          <w:sz w:val="22"/>
          <w:szCs w:val="22"/>
          <w:lang w:val="en-AU"/>
        </w:rPr>
      </w:pPr>
      <w:r w:rsidRPr="00D733EB">
        <w:rPr>
          <w:rFonts w:ascii="Tahoma" w:eastAsia="Times New Roman" w:hAnsi="Tahoma" w:cs="Tahoma"/>
          <w:sz w:val="22"/>
          <w:szCs w:val="22"/>
          <w:lang w:val="en-AU"/>
        </w:rPr>
        <w:t xml:space="preserve">Figure </w:t>
      </w:r>
      <w:r w:rsidR="003839D3">
        <w:rPr>
          <w:rFonts w:ascii="Tahoma" w:eastAsia="Times New Roman" w:hAnsi="Tahoma" w:cs="Tahoma"/>
          <w:sz w:val="22"/>
          <w:szCs w:val="22"/>
          <w:lang w:val="en-AU"/>
        </w:rPr>
        <w:t>C</w:t>
      </w:r>
      <w:r w:rsidRPr="00D733EB">
        <w:rPr>
          <w:rFonts w:ascii="Tahoma" w:eastAsia="Times New Roman" w:hAnsi="Tahoma" w:cs="Tahoma"/>
          <w:sz w:val="22"/>
          <w:szCs w:val="22"/>
          <w:lang w:val="en-AU"/>
        </w:rPr>
        <w:t xml:space="preserve">1 outlines the proposed Service Performance Framework and reflects the service process through which local governments transform inputs into outputs and outcomes in order to achieve desired service objectives. </w:t>
      </w:r>
    </w:p>
    <w:p w:rsidR="00895E07" w:rsidRPr="00E84DC2" w:rsidRDefault="00895E07" w:rsidP="00567058">
      <w:pPr>
        <w:rPr>
          <w:rFonts w:ascii="Tahoma" w:eastAsia="Times New Roman" w:hAnsi="Tahoma" w:cs="Tahoma"/>
          <w:sz w:val="22"/>
          <w:szCs w:val="22"/>
          <w:lang w:val="en-AU"/>
        </w:rPr>
      </w:pPr>
    </w:p>
    <w:p w:rsidR="00773102" w:rsidRPr="00E84DC2" w:rsidRDefault="00D733EB" w:rsidP="00895E07">
      <w:pPr>
        <w:jc w:val="center"/>
        <w:rPr>
          <w:rFonts w:ascii="Tahoma" w:eastAsia="Times New Roman" w:hAnsi="Tahoma" w:cs="Tahoma"/>
          <w:b/>
          <w:sz w:val="22"/>
          <w:szCs w:val="22"/>
          <w:lang w:val="en-AU"/>
        </w:rPr>
      </w:pPr>
      <w:r w:rsidRPr="00D733EB">
        <w:rPr>
          <w:rFonts w:ascii="Tahoma" w:eastAsia="Times New Roman" w:hAnsi="Tahoma" w:cs="Tahoma"/>
          <w:b/>
          <w:sz w:val="22"/>
          <w:szCs w:val="22"/>
          <w:lang w:val="en-AU"/>
        </w:rPr>
        <w:t xml:space="preserve">Figure </w:t>
      </w:r>
      <w:r w:rsidR="003839D3">
        <w:rPr>
          <w:rFonts w:ascii="Tahoma" w:eastAsia="Times New Roman" w:hAnsi="Tahoma" w:cs="Tahoma"/>
          <w:b/>
          <w:sz w:val="22"/>
          <w:szCs w:val="22"/>
          <w:lang w:val="en-AU"/>
        </w:rPr>
        <w:t>C</w:t>
      </w:r>
      <w:r w:rsidRPr="00D733EB">
        <w:rPr>
          <w:rFonts w:ascii="Tahoma" w:eastAsia="Times New Roman" w:hAnsi="Tahoma" w:cs="Tahoma"/>
          <w:b/>
          <w:sz w:val="22"/>
          <w:szCs w:val="22"/>
          <w:lang w:val="en-AU"/>
        </w:rPr>
        <w:t>1 – Service Performance Framework</w:t>
      </w:r>
    </w:p>
    <w:p w:rsidR="00773102" w:rsidRPr="00E84DC2" w:rsidRDefault="00370858" w:rsidP="00773102">
      <w:pPr>
        <w:rPr>
          <w:rFonts w:ascii="Tahoma" w:eastAsia="Times New Roman" w:hAnsi="Tahoma" w:cs="Tahoma"/>
          <w:sz w:val="22"/>
          <w:szCs w:val="22"/>
          <w:lang w:val="en-AU"/>
        </w:rPr>
      </w:pPr>
      <w:r w:rsidRPr="00E84DC2">
        <w:rPr>
          <w:rFonts w:ascii="Tahoma" w:eastAsia="Times New Roman" w:hAnsi="Tahoma" w:cs="Tahoma"/>
          <w:noProof/>
          <w:sz w:val="22"/>
          <w:szCs w:val="22"/>
          <w:lang w:val="en-AU" w:eastAsia="en-AU"/>
        </w:rPr>
        <w:drawing>
          <wp:inline distT="0" distB="0" distL="0" distR="0">
            <wp:extent cx="5713958" cy="2348180"/>
            <wp:effectExtent l="19050" t="0" r="1042"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7" cstate="print"/>
                    <a:srcRect/>
                    <a:stretch>
                      <a:fillRect/>
                    </a:stretch>
                  </pic:blipFill>
                  <pic:spPr bwMode="auto">
                    <a:xfrm>
                      <a:off x="0" y="0"/>
                      <a:ext cx="5715417" cy="2348779"/>
                    </a:xfrm>
                    <a:prstGeom prst="rect">
                      <a:avLst/>
                    </a:prstGeom>
                    <a:noFill/>
                  </pic:spPr>
                </pic:pic>
              </a:graphicData>
            </a:graphic>
          </wp:inline>
        </w:drawing>
      </w:r>
    </w:p>
    <w:p w:rsidR="00773102" w:rsidRPr="00E84DC2" w:rsidRDefault="00773102" w:rsidP="00567058">
      <w:pPr>
        <w:rPr>
          <w:rFonts w:ascii="Tahoma" w:eastAsia="Times New Roman" w:hAnsi="Tahoma" w:cs="Tahoma"/>
          <w:sz w:val="22"/>
          <w:szCs w:val="22"/>
          <w:lang w:val="en-AU"/>
        </w:rPr>
      </w:pPr>
    </w:p>
    <w:p w:rsidR="000815ED" w:rsidRPr="00E84DC2" w:rsidRDefault="000815ED" w:rsidP="00567058">
      <w:pPr>
        <w:rPr>
          <w:rFonts w:ascii="Tahoma" w:eastAsia="Times New Roman" w:hAnsi="Tahoma" w:cs="Tahoma"/>
          <w:sz w:val="22"/>
          <w:szCs w:val="22"/>
          <w:lang w:val="en-AU"/>
        </w:rPr>
      </w:pPr>
    </w:p>
    <w:p w:rsidR="00773102" w:rsidRPr="00E84DC2" w:rsidRDefault="00D733EB" w:rsidP="00567058">
      <w:pPr>
        <w:rPr>
          <w:rFonts w:ascii="Tahoma" w:eastAsia="Times New Roman" w:hAnsi="Tahoma" w:cs="Tahoma"/>
          <w:b/>
          <w:i/>
          <w:sz w:val="22"/>
          <w:szCs w:val="22"/>
          <w:lang w:val="en-AU"/>
        </w:rPr>
      </w:pPr>
      <w:r w:rsidRPr="00D733EB">
        <w:rPr>
          <w:rFonts w:ascii="Tahoma" w:eastAsia="Times New Roman" w:hAnsi="Tahoma" w:cs="Tahoma"/>
          <w:b/>
          <w:i/>
          <w:sz w:val="22"/>
          <w:szCs w:val="22"/>
          <w:lang w:val="en-AU"/>
        </w:rPr>
        <w:t>Dimensions of the Service Performance Indicator Framework</w:t>
      </w:r>
    </w:p>
    <w:tbl>
      <w:tblPr>
        <w:tblStyle w:val="LightList-Accent11"/>
        <w:tblW w:w="9049" w:type="dxa"/>
        <w:tblLook w:val="04A0" w:firstRow="1" w:lastRow="0" w:firstColumn="1" w:lastColumn="0" w:noHBand="0" w:noVBand="1"/>
      </w:tblPr>
      <w:tblGrid>
        <w:gridCol w:w="2027"/>
        <w:gridCol w:w="4057"/>
        <w:gridCol w:w="2965"/>
      </w:tblGrid>
      <w:tr w:rsidR="00773102" w:rsidRPr="00E84DC2" w:rsidTr="007731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5" w:type="dxa"/>
          </w:tcPr>
          <w:p w:rsidR="00370858" w:rsidRPr="00E84DC2" w:rsidRDefault="00D733EB">
            <w:pPr>
              <w:keepNext/>
              <w:keepLines/>
              <w:spacing w:before="200"/>
              <w:outlineLvl w:val="3"/>
              <w:rPr>
                <w:rFonts w:ascii="Tahoma" w:eastAsia="Times New Roman" w:hAnsi="Tahoma" w:cs="Tahoma"/>
                <w:color w:val="auto"/>
                <w:sz w:val="22"/>
                <w:szCs w:val="22"/>
                <w:lang w:val="en-AU"/>
              </w:rPr>
            </w:pPr>
            <w:r w:rsidRPr="00D733EB">
              <w:rPr>
                <w:rFonts w:ascii="Tahoma" w:eastAsia="Times New Roman" w:hAnsi="Tahoma" w:cs="Tahoma"/>
                <w:sz w:val="22"/>
                <w:szCs w:val="22"/>
                <w:lang w:val="en-AU"/>
              </w:rPr>
              <w:t>Dimension</w:t>
            </w:r>
          </w:p>
        </w:tc>
        <w:tc>
          <w:tcPr>
            <w:tcW w:w="4110" w:type="dxa"/>
          </w:tcPr>
          <w:p w:rsidR="00370858" w:rsidRPr="00E84DC2" w:rsidRDefault="00D733EB">
            <w:pPr>
              <w:keepNext/>
              <w:keepLines/>
              <w:spacing w:before="200"/>
              <w:outlineLvl w:val="3"/>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auto"/>
                <w:sz w:val="22"/>
                <w:szCs w:val="22"/>
                <w:lang w:val="en-AU"/>
              </w:rPr>
            </w:pPr>
            <w:r w:rsidRPr="00D733EB">
              <w:rPr>
                <w:rFonts w:ascii="Tahoma" w:eastAsia="Times New Roman" w:hAnsi="Tahoma" w:cs="Tahoma"/>
                <w:sz w:val="22"/>
                <w:szCs w:val="22"/>
                <w:lang w:val="en-AU"/>
              </w:rPr>
              <w:t xml:space="preserve">Definition </w:t>
            </w:r>
          </w:p>
        </w:tc>
        <w:tc>
          <w:tcPr>
            <w:tcW w:w="2974" w:type="dxa"/>
          </w:tcPr>
          <w:p w:rsidR="00370858" w:rsidRPr="00E84DC2" w:rsidRDefault="00D733EB">
            <w:pPr>
              <w:keepNext/>
              <w:keepLines/>
              <w:spacing w:before="200"/>
              <w:outlineLvl w:val="3"/>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auto"/>
                <w:sz w:val="22"/>
                <w:szCs w:val="22"/>
                <w:lang w:val="en-AU"/>
              </w:rPr>
            </w:pPr>
            <w:r w:rsidRPr="00D733EB">
              <w:rPr>
                <w:rFonts w:ascii="Tahoma" w:eastAsia="Times New Roman" w:hAnsi="Tahoma" w:cs="Tahoma"/>
                <w:sz w:val="22"/>
                <w:szCs w:val="22"/>
                <w:lang w:val="en-AU"/>
              </w:rPr>
              <w:t>Indicators/Measures</w:t>
            </w:r>
          </w:p>
        </w:tc>
      </w:tr>
      <w:tr w:rsidR="00773102" w:rsidRPr="00E84DC2" w:rsidTr="00773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5" w:type="dxa"/>
            <w:vMerge w:val="restart"/>
          </w:tcPr>
          <w:p w:rsidR="00773102" w:rsidRPr="00E84DC2" w:rsidRDefault="00D733EB" w:rsidP="00567058">
            <w:pPr>
              <w:rPr>
                <w:rFonts w:ascii="Tahoma" w:eastAsia="Times New Roman" w:hAnsi="Tahoma" w:cs="Tahoma"/>
                <w:sz w:val="22"/>
                <w:szCs w:val="22"/>
                <w:lang w:val="en-AU"/>
              </w:rPr>
            </w:pPr>
            <w:r w:rsidRPr="00D733EB">
              <w:rPr>
                <w:rFonts w:ascii="Tahoma" w:eastAsia="Times New Roman" w:hAnsi="Tahoma" w:cs="Tahoma"/>
                <w:sz w:val="22"/>
                <w:szCs w:val="22"/>
                <w:lang w:val="en-AU"/>
              </w:rPr>
              <w:t>Appropriateness</w:t>
            </w:r>
          </w:p>
          <w:p w:rsidR="00370858" w:rsidRPr="00E84DC2" w:rsidRDefault="00D733EB">
            <w:pPr>
              <w:keepNext/>
              <w:keepLines/>
              <w:spacing w:before="200"/>
              <w:outlineLvl w:val="3"/>
              <w:rPr>
                <w:rFonts w:ascii="Tahoma" w:eastAsia="Times New Roman" w:hAnsi="Tahoma" w:cs="Tahoma"/>
                <w:b w:val="0"/>
                <w:sz w:val="22"/>
                <w:szCs w:val="22"/>
                <w:lang w:val="en-AU"/>
              </w:rPr>
            </w:pPr>
            <w:r w:rsidRPr="00D733EB">
              <w:rPr>
                <w:rFonts w:ascii="Tahoma" w:eastAsia="Times New Roman" w:hAnsi="Tahoma" w:cs="Tahoma"/>
                <w:sz w:val="22"/>
                <w:szCs w:val="22"/>
                <w:lang w:val="en-AU"/>
              </w:rPr>
              <w:t>Output indicators that measure how well services meet users’ needs</w:t>
            </w:r>
          </w:p>
        </w:tc>
        <w:tc>
          <w:tcPr>
            <w:tcW w:w="4110" w:type="dxa"/>
          </w:tcPr>
          <w:p w:rsidR="00773102" w:rsidRPr="00E84DC2" w:rsidRDefault="00D733EB" w:rsidP="00567058">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sz w:val="22"/>
                <w:szCs w:val="22"/>
                <w:lang w:val="en-AU"/>
              </w:rPr>
            </w:pPr>
            <w:r w:rsidRPr="00D733EB">
              <w:rPr>
                <w:rFonts w:ascii="Tahoma" w:eastAsia="Times New Roman" w:hAnsi="Tahoma" w:cs="Tahoma"/>
                <w:sz w:val="22"/>
                <w:szCs w:val="22"/>
                <w:lang w:val="en-AU"/>
              </w:rPr>
              <w:t>Access: how easily clients can obtain the service in terms of both timeliness and accessibility</w:t>
            </w:r>
          </w:p>
        </w:tc>
        <w:tc>
          <w:tcPr>
            <w:tcW w:w="2974" w:type="dxa"/>
          </w:tcPr>
          <w:p w:rsidR="00773102" w:rsidRPr="00E84DC2" w:rsidRDefault="00D733EB" w:rsidP="00567058">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sz w:val="22"/>
                <w:szCs w:val="22"/>
                <w:lang w:val="en-AU"/>
              </w:rPr>
            </w:pPr>
            <w:r w:rsidRPr="00D733EB">
              <w:rPr>
                <w:rFonts w:ascii="Tahoma" w:eastAsia="Times New Roman" w:hAnsi="Tahoma" w:cs="Tahoma"/>
                <w:sz w:val="22"/>
                <w:szCs w:val="22"/>
                <w:lang w:val="en-AU"/>
              </w:rPr>
              <w:t>Participation rate</w:t>
            </w:r>
          </w:p>
          <w:p w:rsidR="00773102" w:rsidRPr="00E84DC2" w:rsidRDefault="00D733EB" w:rsidP="00567058">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sz w:val="22"/>
                <w:szCs w:val="22"/>
                <w:lang w:val="en-AU"/>
              </w:rPr>
            </w:pPr>
            <w:r w:rsidRPr="00D733EB">
              <w:rPr>
                <w:rFonts w:ascii="Tahoma" w:eastAsia="Times New Roman" w:hAnsi="Tahoma" w:cs="Tahoma"/>
                <w:sz w:val="22"/>
                <w:szCs w:val="22"/>
                <w:lang w:val="en-AU"/>
              </w:rPr>
              <w:t>Response time</w:t>
            </w:r>
          </w:p>
        </w:tc>
      </w:tr>
      <w:tr w:rsidR="00773102" w:rsidRPr="00E84DC2" w:rsidTr="00773102">
        <w:trPr>
          <w:trHeight w:val="1019"/>
        </w:trPr>
        <w:tc>
          <w:tcPr>
            <w:cnfStyle w:val="001000000000" w:firstRow="0" w:lastRow="0" w:firstColumn="1" w:lastColumn="0" w:oddVBand="0" w:evenVBand="0" w:oddHBand="0" w:evenHBand="0" w:firstRowFirstColumn="0" w:firstRowLastColumn="0" w:lastRowFirstColumn="0" w:lastRowLastColumn="0"/>
            <w:tcW w:w="1965" w:type="dxa"/>
            <w:vMerge/>
          </w:tcPr>
          <w:p w:rsidR="00773102" w:rsidRPr="00E84DC2" w:rsidRDefault="00773102" w:rsidP="00567058">
            <w:pPr>
              <w:rPr>
                <w:rFonts w:ascii="Tahoma" w:eastAsia="Times New Roman" w:hAnsi="Tahoma" w:cs="Tahoma"/>
                <w:sz w:val="22"/>
                <w:szCs w:val="22"/>
                <w:lang w:val="en-AU"/>
              </w:rPr>
            </w:pPr>
          </w:p>
        </w:tc>
        <w:tc>
          <w:tcPr>
            <w:tcW w:w="4110" w:type="dxa"/>
          </w:tcPr>
          <w:p w:rsidR="00773102" w:rsidRPr="00E84DC2" w:rsidRDefault="00D733EB" w:rsidP="00567058">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22"/>
                <w:szCs w:val="22"/>
                <w:lang w:val="en-AU"/>
              </w:rPr>
            </w:pPr>
            <w:r w:rsidRPr="00D733EB">
              <w:rPr>
                <w:rFonts w:ascii="Tahoma" w:eastAsia="Times New Roman" w:hAnsi="Tahoma" w:cs="Tahoma"/>
                <w:sz w:val="22"/>
                <w:szCs w:val="22"/>
                <w:lang w:val="en-AU"/>
              </w:rPr>
              <w:t>Equity: how well the service meets the requirements of all groups</w:t>
            </w:r>
          </w:p>
        </w:tc>
        <w:tc>
          <w:tcPr>
            <w:tcW w:w="2974" w:type="dxa"/>
          </w:tcPr>
          <w:p w:rsidR="00773102" w:rsidRPr="00E84DC2" w:rsidRDefault="00D733EB" w:rsidP="00567058">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22"/>
                <w:szCs w:val="22"/>
                <w:lang w:val="en-AU"/>
              </w:rPr>
            </w:pPr>
            <w:r w:rsidRPr="00D733EB">
              <w:rPr>
                <w:rFonts w:ascii="Tahoma" w:eastAsia="Times New Roman" w:hAnsi="Tahoma" w:cs="Tahoma"/>
                <w:sz w:val="22"/>
                <w:szCs w:val="22"/>
                <w:lang w:val="en-AU"/>
              </w:rPr>
              <w:t xml:space="preserve">Equity of access </w:t>
            </w:r>
          </w:p>
          <w:p w:rsidR="00773102" w:rsidRPr="00E84DC2" w:rsidRDefault="00D733EB" w:rsidP="00567058">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22"/>
                <w:szCs w:val="22"/>
                <w:lang w:val="en-AU"/>
              </w:rPr>
            </w:pPr>
            <w:r w:rsidRPr="00D733EB">
              <w:rPr>
                <w:rFonts w:ascii="Tahoma" w:eastAsia="Times New Roman" w:hAnsi="Tahoma" w:cs="Tahoma"/>
                <w:sz w:val="22"/>
                <w:szCs w:val="22"/>
                <w:lang w:val="en-AU"/>
              </w:rPr>
              <w:t>Equity of outcome</w:t>
            </w:r>
          </w:p>
        </w:tc>
      </w:tr>
      <w:tr w:rsidR="00773102" w:rsidRPr="00E84DC2" w:rsidTr="00773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5" w:type="dxa"/>
          </w:tcPr>
          <w:p w:rsidR="00773102" w:rsidRPr="00E84DC2" w:rsidRDefault="00D733EB" w:rsidP="00567058">
            <w:pPr>
              <w:rPr>
                <w:rFonts w:ascii="Tahoma" w:eastAsia="Times New Roman" w:hAnsi="Tahoma" w:cs="Tahoma"/>
                <w:sz w:val="22"/>
                <w:szCs w:val="22"/>
                <w:lang w:val="en-AU"/>
              </w:rPr>
            </w:pPr>
            <w:r w:rsidRPr="00D733EB">
              <w:rPr>
                <w:rFonts w:ascii="Tahoma" w:eastAsia="Times New Roman" w:hAnsi="Tahoma" w:cs="Tahoma"/>
                <w:sz w:val="22"/>
                <w:szCs w:val="22"/>
                <w:lang w:val="en-AU"/>
              </w:rPr>
              <w:t xml:space="preserve">Quality </w:t>
            </w:r>
          </w:p>
        </w:tc>
        <w:tc>
          <w:tcPr>
            <w:tcW w:w="4110" w:type="dxa"/>
          </w:tcPr>
          <w:p w:rsidR="00773102" w:rsidRPr="00E84DC2" w:rsidRDefault="00D733EB" w:rsidP="00567058">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sz w:val="22"/>
                <w:szCs w:val="22"/>
                <w:lang w:val="en-AU"/>
              </w:rPr>
            </w:pPr>
            <w:r w:rsidRPr="00D733EB">
              <w:rPr>
                <w:rFonts w:ascii="Tahoma" w:eastAsia="Times New Roman" w:hAnsi="Tahoma" w:cs="Tahoma"/>
                <w:sz w:val="22"/>
                <w:szCs w:val="22"/>
                <w:lang w:val="en-AU"/>
              </w:rPr>
              <w:t>Output indicators that measure the extent to which a service is delivered in accordance with defined standards</w:t>
            </w:r>
          </w:p>
        </w:tc>
        <w:tc>
          <w:tcPr>
            <w:tcW w:w="2974" w:type="dxa"/>
          </w:tcPr>
          <w:p w:rsidR="00773102" w:rsidRPr="00E84DC2" w:rsidRDefault="00D733EB" w:rsidP="00567058">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sz w:val="22"/>
                <w:szCs w:val="22"/>
                <w:lang w:val="en-AU"/>
              </w:rPr>
            </w:pPr>
            <w:r w:rsidRPr="00D733EB">
              <w:rPr>
                <w:rFonts w:ascii="Tahoma" w:eastAsia="Times New Roman" w:hAnsi="Tahoma" w:cs="Tahoma"/>
                <w:sz w:val="22"/>
                <w:szCs w:val="22"/>
                <w:lang w:val="en-AU"/>
              </w:rPr>
              <w:t>Resource standard</w:t>
            </w:r>
          </w:p>
          <w:p w:rsidR="00773102" w:rsidRPr="00E84DC2" w:rsidRDefault="00D733EB" w:rsidP="00567058">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sz w:val="22"/>
                <w:szCs w:val="22"/>
                <w:lang w:val="en-AU"/>
              </w:rPr>
            </w:pPr>
            <w:r w:rsidRPr="00D733EB">
              <w:rPr>
                <w:rFonts w:ascii="Tahoma" w:eastAsia="Times New Roman" w:hAnsi="Tahoma" w:cs="Tahoma"/>
                <w:sz w:val="22"/>
                <w:szCs w:val="22"/>
                <w:lang w:val="en-AU"/>
              </w:rPr>
              <w:t xml:space="preserve">Service standard </w:t>
            </w:r>
          </w:p>
        </w:tc>
      </w:tr>
      <w:tr w:rsidR="00773102" w:rsidRPr="00E84DC2" w:rsidTr="00773102">
        <w:tc>
          <w:tcPr>
            <w:cnfStyle w:val="001000000000" w:firstRow="0" w:lastRow="0" w:firstColumn="1" w:lastColumn="0" w:oddVBand="0" w:evenVBand="0" w:oddHBand="0" w:evenHBand="0" w:firstRowFirstColumn="0" w:firstRowLastColumn="0" w:lastRowFirstColumn="0" w:lastRowLastColumn="0"/>
            <w:tcW w:w="1965" w:type="dxa"/>
          </w:tcPr>
          <w:p w:rsidR="00773102" w:rsidRPr="00E84DC2" w:rsidRDefault="00D733EB" w:rsidP="00567058">
            <w:pPr>
              <w:rPr>
                <w:rFonts w:ascii="Tahoma" w:eastAsia="Times New Roman" w:hAnsi="Tahoma" w:cs="Tahoma"/>
                <w:sz w:val="22"/>
                <w:szCs w:val="22"/>
                <w:lang w:val="en-AU"/>
              </w:rPr>
            </w:pPr>
            <w:r w:rsidRPr="00D733EB">
              <w:rPr>
                <w:rFonts w:ascii="Tahoma" w:eastAsia="Times New Roman" w:hAnsi="Tahoma" w:cs="Tahoma"/>
                <w:sz w:val="22"/>
                <w:szCs w:val="22"/>
                <w:lang w:val="en-AU"/>
              </w:rPr>
              <w:t>Cost</w:t>
            </w:r>
          </w:p>
        </w:tc>
        <w:tc>
          <w:tcPr>
            <w:tcW w:w="4110" w:type="dxa"/>
          </w:tcPr>
          <w:p w:rsidR="00773102" w:rsidRPr="00E84DC2" w:rsidRDefault="00D733EB" w:rsidP="00567058">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22"/>
                <w:szCs w:val="22"/>
                <w:lang w:val="en-AU"/>
              </w:rPr>
            </w:pPr>
            <w:r w:rsidRPr="00D733EB">
              <w:rPr>
                <w:rFonts w:ascii="Tahoma" w:eastAsia="Times New Roman" w:hAnsi="Tahoma" w:cs="Tahoma"/>
                <w:sz w:val="22"/>
                <w:szCs w:val="22"/>
                <w:lang w:val="en-AU"/>
              </w:rPr>
              <w:t>Output indicators that measure how efficiently services use their resources (inputs) to produce outputs</w:t>
            </w:r>
          </w:p>
        </w:tc>
        <w:tc>
          <w:tcPr>
            <w:tcW w:w="2974" w:type="dxa"/>
          </w:tcPr>
          <w:p w:rsidR="00773102" w:rsidRPr="00E84DC2" w:rsidRDefault="00D733EB" w:rsidP="00567058">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22"/>
                <w:szCs w:val="22"/>
                <w:lang w:val="en-AU"/>
              </w:rPr>
            </w:pPr>
            <w:r w:rsidRPr="00D733EB">
              <w:rPr>
                <w:rFonts w:ascii="Tahoma" w:eastAsia="Times New Roman" w:hAnsi="Tahoma" w:cs="Tahoma"/>
                <w:sz w:val="22"/>
                <w:szCs w:val="22"/>
                <w:lang w:val="en-AU"/>
              </w:rPr>
              <w:t xml:space="preserve">Average cost per unit (unit cost) </w:t>
            </w:r>
          </w:p>
        </w:tc>
      </w:tr>
      <w:tr w:rsidR="00773102" w:rsidRPr="00E84DC2" w:rsidTr="00773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5" w:type="dxa"/>
          </w:tcPr>
          <w:p w:rsidR="00773102" w:rsidRPr="00E84DC2" w:rsidRDefault="00D733EB" w:rsidP="00567058">
            <w:pPr>
              <w:rPr>
                <w:rFonts w:ascii="Tahoma" w:eastAsia="Times New Roman" w:hAnsi="Tahoma" w:cs="Tahoma"/>
                <w:sz w:val="22"/>
                <w:szCs w:val="22"/>
                <w:lang w:val="en-AU"/>
              </w:rPr>
            </w:pPr>
            <w:r w:rsidRPr="00D733EB">
              <w:rPr>
                <w:rFonts w:ascii="Tahoma" w:eastAsia="Times New Roman" w:hAnsi="Tahoma" w:cs="Tahoma"/>
                <w:sz w:val="22"/>
                <w:szCs w:val="22"/>
                <w:lang w:val="en-AU"/>
              </w:rPr>
              <w:t>Service Outcome</w:t>
            </w:r>
          </w:p>
        </w:tc>
        <w:tc>
          <w:tcPr>
            <w:tcW w:w="4110" w:type="dxa"/>
          </w:tcPr>
          <w:p w:rsidR="00773102" w:rsidRPr="00E84DC2" w:rsidRDefault="00D733EB" w:rsidP="00567058">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sz w:val="22"/>
                <w:szCs w:val="22"/>
                <w:lang w:val="en-AU"/>
              </w:rPr>
            </w:pPr>
            <w:r w:rsidRPr="00D733EB">
              <w:rPr>
                <w:rFonts w:ascii="Tahoma" w:eastAsia="Times New Roman" w:hAnsi="Tahoma" w:cs="Tahoma"/>
                <w:sz w:val="22"/>
                <w:szCs w:val="22"/>
                <w:lang w:val="en-AU"/>
              </w:rPr>
              <w:t>Outcome indicators that measure how well the outcomes of the service have achieved the stated objective</w:t>
            </w:r>
          </w:p>
        </w:tc>
        <w:tc>
          <w:tcPr>
            <w:tcW w:w="2974" w:type="dxa"/>
          </w:tcPr>
          <w:p w:rsidR="00773102" w:rsidRPr="00E84DC2" w:rsidRDefault="00D733EB" w:rsidP="00567058">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sz w:val="22"/>
                <w:szCs w:val="22"/>
                <w:lang w:val="en-AU"/>
              </w:rPr>
            </w:pPr>
            <w:r w:rsidRPr="00D733EB">
              <w:rPr>
                <w:rFonts w:ascii="Tahoma" w:eastAsia="Times New Roman" w:hAnsi="Tahoma" w:cs="Tahoma"/>
                <w:sz w:val="22"/>
                <w:szCs w:val="22"/>
                <w:lang w:val="en-AU"/>
              </w:rPr>
              <w:t>Community satisfaction</w:t>
            </w:r>
          </w:p>
          <w:p w:rsidR="00773102" w:rsidRPr="00E84DC2" w:rsidRDefault="00D733EB" w:rsidP="00567058">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sz w:val="22"/>
                <w:szCs w:val="22"/>
                <w:lang w:val="en-AU"/>
              </w:rPr>
            </w:pPr>
            <w:r w:rsidRPr="00D733EB">
              <w:rPr>
                <w:rFonts w:ascii="Tahoma" w:eastAsia="Times New Roman" w:hAnsi="Tahoma" w:cs="Tahoma"/>
                <w:sz w:val="22"/>
                <w:szCs w:val="22"/>
                <w:lang w:val="en-AU"/>
              </w:rPr>
              <w:t>Health and safety</w:t>
            </w:r>
          </w:p>
        </w:tc>
      </w:tr>
    </w:tbl>
    <w:p w:rsidR="00773102" w:rsidRPr="00E84DC2" w:rsidRDefault="00773102" w:rsidP="00773102">
      <w:pPr>
        <w:rPr>
          <w:rFonts w:ascii="Tahoma" w:eastAsia="Times New Roman" w:hAnsi="Tahoma" w:cs="Tahoma"/>
          <w:sz w:val="22"/>
          <w:szCs w:val="22"/>
          <w:lang w:val="en-AU"/>
        </w:rPr>
      </w:pPr>
    </w:p>
    <w:p w:rsidR="00250302" w:rsidRPr="00E84DC2" w:rsidRDefault="00D733EB">
      <w:pPr>
        <w:rPr>
          <w:rFonts w:ascii="Tahoma" w:eastAsia="Times New Roman" w:hAnsi="Tahoma" w:cs="Tahoma"/>
          <w:sz w:val="22"/>
          <w:szCs w:val="22"/>
          <w:lang w:val="en-AU"/>
        </w:rPr>
      </w:pPr>
      <w:r w:rsidRPr="00D733EB">
        <w:rPr>
          <w:rFonts w:ascii="Tahoma" w:eastAsia="Times New Roman" w:hAnsi="Tahoma" w:cs="Tahoma"/>
          <w:sz w:val="22"/>
          <w:szCs w:val="22"/>
          <w:lang w:val="en-AU"/>
        </w:rPr>
        <w:br w:type="page"/>
      </w:r>
    </w:p>
    <w:p w:rsidR="00773102" w:rsidRPr="00E84DC2" w:rsidRDefault="00D733EB" w:rsidP="00567058">
      <w:pPr>
        <w:rPr>
          <w:rFonts w:ascii="Tahoma" w:eastAsia="Times New Roman" w:hAnsi="Tahoma" w:cs="Tahoma"/>
          <w:b/>
          <w:sz w:val="22"/>
          <w:szCs w:val="22"/>
          <w:lang w:val="en-AU"/>
        </w:rPr>
      </w:pPr>
      <w:r w:rsidRPr="00D733EB">
        <w:rPr>
          <w:rFonts w:ascii="Tahoma" w:eastAsia="Times New Roman" w:hAnsi="Tahoma" w:cs="Tahoma"/>
          <w:b/>
          <w:sz w:val="22"/>
          <w:szCs w:val="22"/>
          <w:lang w:val="en-AU"/>
        </w:rPr>
        <w:lastRenderedPageBreak/>
        <w:t>Financial Performance</w:t>
      </w:r>
    </w:p>
    <w:p w:rsidR="00250302" w:rsidRPr="00E84DC2" w:rsidRDefault="00250302" w:rsidP="00567058">
      <w:pPr>
        <w:rPr>
          <w:rFonts w:ascii="Tahoma" w:eastAsia="Times New Roman" w:hAnsi="Tahoma" w:cs="Tahoma"/>
          <w:sz w:val="22"/>
          <w:szCs w:val="22"/>
          <w:lang w:val="en-AU"/>
        </w:rPr>
      </w:pPr>
    </w:p>
    <w:p w:rsidR="00773102" w:rsidRPr="00E84DC2" w:rsidRDefault="00D733EB" w:rsidP="00567058">
      <w:pPr>
        <w:rPr>
          <w:rFonts w:ascii="Tahoma" w:eastAsia="Times New Roman" w:hAnsi="Tahoma" w:cs="Tahoma"/>
          <w:sz w:val="22"/>
          <w:szCs w:val="22"/>
          <w:lang w:val="en-AU"/>
        </w:rPr>
      </w:pPr>
      <w:r w:rsidRPr="00D733EB">
        <w:rPr>
          <w:rFonts w:ascii="Tahoma" w:eastAsia="Times New Roman" w:hAnsi="Tahoma" w:cs="Tahoma"/>
          <w:sz w:val="22"/>
          <w:szCs w:val="22"/>
          <w:lang w:val="en-AU"/>
        </w:rPr>
        <w:t xml:space="preserve">Figure </w:t>
      </w:r>
      <w:r w:rsidR="003839D3">
        <w:rPr>
          <w:rFonts w:ascii="Tahoma" w:eastAsia="Times New Roman" w:hAnsi="Tahoma" w:cs="Tahoma"/>
          <w:sz w:val="22"/>
          <w:szCs w:val="22"/>
          <w:lang w:val="en-AU"/>
        </w:rPr>
        <w:t>C</w:t>
      </w:r>
      <w:r w:rsidRPr="00D733EB">
        <w:rPr>
          <w:rFonts w:ascii="Tahoma" w:eastAsia="Times New Roman" w:hAnsi="Tahoma" w:cs="Tahoma"/>
          <w:sz w:val="22"/>
          <w:szCs w:val="22"/>
          <w:lang w:val="en-AU"/>
        </w:rPr>
        <w:t xml:space="preserve">2 outlines the proposed Financial Performance Framework for measuring financial management effectiveness in local government. It establishes the objective of the indicator set and measures performance through a range of output and outcome indicators. </w:t>
      </w:r>
    </w:p>
    <w:p w:rsidR="00250302" w:rsidRPr="00E84DC2" w:rsidRDefault="00250302" w:rsidP="00250302">
      <w:pPr>
        <w:jc w:val="center"/>
        <w:rPr>
          <w:rFonts w:ascii="Tahoma" w:eastAsia="Times New Roman" w:hAnsi="Tahoma" w:cs="Tahoma"/>
          <w:b/>
          <w:sz w:val="22"/>
          <w:szCs w:val="22"/>
          <w:lang w:val="en-AU"/>
        </w:rPr>
      </w:pPr>
    </w:p>
    <w:p w:rsidR="00773102" w:rsidRPr="00E84DC2" w:rsidRDefault="00D733EB" w:rsidP="00250302">
      <w:pPr>
        <w:jc w:val="center"/>
        <w:rPr>
          <w:rFonts w:ascii="Tahoma" w:eastAsia="Times New Roman" w:hAnsi="Tahoma" w:cs="Tahoma"/>
          <w:b/>
          <w:sz w:val="22"/>
          <w:szCs w:val="22"/>
          <w:lang w:val="en-AU"/>
        </w:rPr>
      </w:pPr>
      <w:r w:rsidRPr="00D733EB">
        <w:rPr>
          <w:rFonts w:ascii="Tahoma" w:eastAsia="Times New Roman" w:hAnsi="Tahoma" w:cs="Tahoma"/>
          <w:b/>
          <w:sz w:val="22"/>
          <w:szCs w:val="22"/>
          <w:lang w:val="en-AU"/>
        </w:rPr>
        <w:t xml:space="preserve">Figure </w:t>
      </w:r>
      <w:r w:rsidR="003839D3">
        <w:rPr>
          <w:rFonts w:ascii="Tahoma" w:eastAsia="Times New Roman" w:hAnsi="Tahoma" w:cs="Tahoma"/>
          <w:b/>
          <w:sz w:val="22"/>
          <w:szCs w:val="22"/>
          <w:lang w:val="en-AU"/>
        </w:rPr>
        <w:t>C</w:t>
      </w:r>
      <w:r w:rsidRPr="00D733EB">
        <w:rPr>
          <w:rFonts w:ascii="Tahoma" w:eastAsia="Times New Roman" w:hAnsi="Tahoma" w:cs="Tahoma"/>
          <w:b/>
          <w:sz w:val="22"/>
          <w:szCs w:val="22"/>
          <w:lang w:val="en-AU"/>
        </w:rPr>
        <w:t>2 – Financial Performance Framework</w:t>
      </w:r>
    </w:p>
    <w:p w:rsidR="00773102" w:rsidRPr="00E84DC2" w:rsidRDefault="00370858" w:rsidP="00773102">
      <w:pPr>
        <w:rPr>
          <w:rFonts w:ascii="Tahoma" w:eastAsia="Times New Roman" w:hAnsi="Tahoma" w:cs="Tahoma"/>
          <w:sz w:val="22"/>
          <w:szCs w:val="22"/>
          <w:lang w:val="en-AU"/>
        </w:rPr>
      </w:pPr>
      <w:r w:rsidRPr="00E84DC2">
        <w:rPr>
          <w:rFonts w:ascii="Tahoma" w:eastAsia="Times New Roman" w:hAnsi="Tahoma" w:cs="Tahoma"/>
          <w:noProof/>
          <w:sz w:val="22"/>
          <w:szCs w:val="22"/>
          <w:lang w:val="en-AU" w:eastAsia="en-AU"/>
        </w:rPr>
        <w:drawing>
          <wp:inline distT="0" distB="0" distL="0" distR="0">
            <wp:extent cx="5745328" cy="4210599"/>
            <wp:effectExtent l="19050" t="0" r="7772"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8" cstate="print"/>
                    <a:srcRect/>
                    <a:stretch>
                      <a:fillRect/>
                    </a:stretch>
                  </pic:blipFill>
                  <pic:spPr bwMode="auto">
                    <a:xfrm>
                      <a:off x="0" y="0"/>
                      <a:ext cx="5744598" cy="4210064"/>
                    </a:xfrm>
                    <a:prstGeom prst="rect">
                      <a:avLst/>
                    </a:prstGeom>
                    <a:noFill/>
                  </pic:spPr>
                </pic:pic>
              </a:graphicData>
            </a:graphic>
          </wp:inline>
        </w:drawing>
      </w:r>
    </w:p>
    <w:p w:rsidR="00540E91" w:rsidRPr="00E84DC2" w:rsidRDefault="00540E91" w:rsidP="00567058">
      <w:pPr>
        <w:rPr>
          <w:rFonts w:ascii="Tahoma" w:eastAsia="Times New Roman" w:hAnsi="Tahoma" w:cs="Tahoma"/>
          <w:b/>
          <w:i/>
          <w:sz w:val="22"/>
          <w:szCs w:val="22"/>
          <w:lang w:val="en-AU"/>
        </w:rPr>
      </w:pPr>
    </w:p>
    <w:p w:rsidR="00773102" w:rsidRPr="00E84DC2" w:rsidRDefault="00D733EB" w:rsidP="00567058">
      <w:pPr>
        <w:rPr>
          <w:rFonts w:ascii="Tahoma" w:eastAsia="Times New Roman" w:hAnsi="Tahoma" w:cs="Tahoma"/>
          <w:b/>
          <w:i/>
          <w:sz w:val="22"/>
          <w:szCs w:val="22"/>
          <w:lang w:val="en-AU"/>
        </w:rPr>
      </w:pPr>
      <w:r w:rsidRPr="00D733EB">
        <w:rPr>
          <w:rFonts w:ascii="Tahoma" w:eastAsia="Times New Roman" w:hAnsi="Tahoma" w:cs="Tahoma"/>
          <w:b/>
          <w:i/>
          <w:sz w:val="22"/>
          <w:szCs w:val="22"/>
          <w:lang w:val="en-AU"/>
        </w:rPr>
        <w:t>Dimensions of the Financial Performance Framework</w:t>
      </w:r>
    </w:p>
    <w:tbl>
      <w:tblPr>
        <w:tblW w:w="8586" w:type="dxa"/>
        <w:jc w:val="center"/>
        <w:tblInd w:w="860"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1922"/>
        <w:gridCol w:w="6664"/>
      </w:tblGrid>
      <w:tr w:rsidR="00773102" w:rsidRPr="00E84DC2" w:rsidTr="00540E91">
        <w:trPr>
          <w:jc w:val="center"/>
        </w:trPr>
        <w:tc>
          <w:tcPr>
            <w:tcW w:w="1922" w:type="dxa"/>
            <w:shd w:val="clear" w:color="auto" w:fill="4F81BD"/>
          </w:tcPr>
          <w:p w:rsidR="00370858" w:rsidRPr="00E84DC2" w:rsidRDefault="00D733EB">
            <w:pPr>
              <w:keepNext/>
              <w:keepLines/>
              <w:spacing w:before="200"/>
              <w:outlineLvl w:val="4"/>
              <w:rPr>
                <w:rFonts w:ascii="Tahoma" w:eastAsia="Times New Roman" w:hAnsi="Tahoma" w:cs="Tahoma"/>
                <w:b/>
                <w:sz w:val="22"/>
                <w:szCs w:val="22"/>
                <w:lang w:val="en-AU"/>
              </w:rPr>
            </w:pPr>
            <w:r w:rsidRPr="00D733EB">
              <w:rPr>
                <w:rFonts w:ascii="Tahoma" w:eastAsia="Times New Roman" w:hAnsi="Tahoma" w:cs="Tahoma"/>
                <w:b/>
                <w:sz w:val="22"/>
                <w:szCs w:val="22"/>
                <w:lang w:val="en-AU"/>
              </w:rPr>
              <w:t>Dimension</w:t>
            </w:r>
          </w:p>
        </w:tc>
        <w:tc>
          <w:tcPr>
            <w:tcW w:w="6664" w:type="dxa"/>
            <w:shd w:val="clear" w:color="auto" w:fill="4F81BD"/>
          </w:tcPr>
          <w:p w:rsidR="00370858" w:rsidRPr="00E84DC2" w:rsidRDefault="00D733EB">
            <w:pPr>
              <w:keepNext/>
              <w:keepLines/>
              <w:spacing w:before="200"/>
              <w:outlineLvl w:val="4"/>
              <w:rPr>
                <w:rFonts w:ascii="Tahoma" w:eastAsia="Times New Roman" w:hAnsi="Tahoma" w:cs="Tahoma"/>
                <w:b/>
                <w:sz w:val="22"/>
                <w:szCs w:val="22"/>
                <w:lang w:val="en-AU"/>
              </w:rPr>
            </w:pPr>
            <w:r w:rsidRPr="00D733EB">
              <w:rPr>
                <w:rFonts w:ascii="Tahoma" w:eastAsia="Times New Roman" w:hAnsi="Tahoma" w:cs="Tahoma"/>
                <w:b/>
                <w:sz w:val="22"/>
                <w:szCs w:val="22"/>
                <w:lang w:val="en-AU"/>
              </w:rPr>
              <w:t>Definition</w:t>
            </w:r>
          </w:p>
        </w:tc>
      </w:tr>
      <w:tr w:rsidR="00773102" w:rsidRPr="00E84DC2" w:rsidTr="00540E91">
        <w:trPr>
          <w:jc w:val="center"/>
        </w:trPr>
        <w:tc>
          <w:tcPr>
            <w:tcW w:w="1922" w:type="dxa"/>
            <w:tcBorders>
              <w:top w:val="single" w:sz="8" w:space="0" w:color="4F81BD"/>
              <w:left w:val="single" w:sz="8" w:space="0" w:color="4F81BD"/>
              <w:bottom w:val="single" w:sz="8" w:space="0" w:color="4F81BD"/>
            </w:tcBorders>
          </w:tcPr>
          <w:p w:rsidR="00773102" w:rsidRPr="00E84DC2" w:rsidRDefault="00D733EB" w:rsidP="00567058">
            <w:pPr>
              <w:rPr>
                <w:rFonts w:ascii="Tahoma" w:eastAsia="Times New Roman" w:hAnsi="Tahoma" w:cs="Tahoma"/>
                <w:sz w:val="22"/>
                <w:szCs w:val="22"/>
                <w:lang w:val="en-AU"/>
              </w:rPr>
            </w:pPr>
            <w:r w:rsidRPr="00D733EB">
              <w:rPr>
                <w:rFonts w:ascii="Tahoma" w:eastAsia="Times New Roman" w:hAnsi="Tahoma" w:cs="Tahoma"/>
                <w:sz w:val="22"/>
                <w:szCs w:val="22"/>
                <w:lang w:val="en-AU"/>
              </w:rPr>
              <w:t xml:space="preserve">Operating position </w:t>
            </w:r>
          </w:p>
        </w:tc>
        <w:tc>
          <w:tcPr>
            <w:tcW w:w="6664" w:type="dxa"/>
            <w:tcBorders>
              <w:top w:val="single" w:sz="8" w:space="0" w:color="4F81BD"/>
              <w:bottom w:val="single" w:sz="8" w:space="0" w:color="4F81BD"/>
              <w:right w:val="single" w:sz="8" w:space="0" w:color="4F81BD"/>
            </w:tcBorders>
          </w:tcPr>
          <w:p w:rsidR="00773102" w:rsidRPr="00E84DC2" w:rsidRDefault="00D733EB" w:rsidP="00567058">
            <w:pPr>
              <w:rPr>
                <w:rFonts w:ascii="Tahoma" w:eastAsia="Times New Roman" w:hAnsi="Tahoma" w:cs="Tahoma"/>
                <w:sz w:val="22"/>
                <w:szCs w:val="22"/>
                <w:lang w:val="en-AU"/>
              </w:rPr>
            </w:pPr>
            <w:r w:rsidRPr="00D733EB">
              <w:rPr>
                <w:rFonts w:ascii="Tahoma" w:eastAsia="Times New Roman" w:hAnsi="Tahoma" w:cs="Tahoma"/>
                <w:sz w:val="22"/>
                <w:szCs w:val="22"/>
                <w:lang w:val="en-AU"/>
              </w:rPr>
              <w:t>Measures whether a council is able to generate an underlying surplus</w:t>
            </w:r>
          </w:p>
        </w:tc>
      </w:tr>
      <w:tr w:rsidR="00773102" w:rsidRPr="00E84DC2" w:rsidTr="00540E91">
        <w:trPr>
          <w:jc w:val="center"/>
        </w:trPr>
        <w:tc>
          <w:tcPr>
            <w:tcW w:w="1922" w:type="dxa"/>
            <w:tcBorders>
              <w:top w:val="single" w:sz="8" w:space="0" w:color="4F81BD"/>
              <w:left w:val="single" w:sz="8" w:space="0" w:color="4F81BD"/>
              <w:bottom w:val="single" w:sz="8" w:space="0" w:color="4F81BD"/>
            </w:tcBorders>
          </w:tcPr>
          <w:p w:rsidR="00773102" w:rsidRPr="00E84DC2" w:rsidRDefault="00D733EB" w:rsidP="00567058">
            <w:pPr>
              <w:rPr>
                <w:rFonts w:ascii="Tahoma" w:eastAsia="Times New Roman" w:hAnsi="Tahoma" w:cs="Tahoma"/>
                <w:sz w:val="22"/>
                <w:szCs w:val="22"/>
                <w:lang w:val="en-AU"/>
              </w:rPr>
            </w:pPr>
            <w:r w:rsidRPr="00D733EB">
              <w:rPr>
                <w:rFonts w:ascii="Tahoma" w:eastAsia="Times New Roman" w:hAnsi="Tahoma" w:cs="Tahoma"/>
                <w:sz w:val="22"/>
                <w:szCs w:val="22"/>
                <w:lang w:val="en-AU"/>
              </w:rPr>
              <w:t>Liquidity</w:t>
            </w:r>
          </w:p>
        </w:tc>
        <w:tc>
          <w:tcPr>
            <w:tcW w:w="6664" w:type="dxa"/>
            <w:tcBorders>
              <w:top w:val="single" w:sz="8" w:space="0" w:color="4F81BD"/>
              <w:bottom w:val="single" w:sz="8" w:space="0" w:color="4F81BD"/>
              <w:right w:val="single" w:sz="8" w:space="0" w:color="4F81BD"/>
            </w:tcBorders>
          </w:tcPr>
          <w:p w:rsidR="00773102" w:rsidRPr="00E84DC2" w:rsidRDefault="00D733EB" w:rsidP="00567058">
            <w:pPr>
              <w:rPr>
                <w:rFonts w:ascii="Tahoma" w:eastAsia="Times New Roman" w:hAnsi="Tahoma" w:cs="Tahoma"/>
                <w:sz w:val="22"/>
                <w:szCs w:val="22"/>
                <w:lang w:val="en-AU"/>
              </w:rPr>
            </w:pPr>
            <w:r w:rsidRPr="00D733EB">
              <w:rPr>
                <w:rFonts w:ascii="Tahoma" w:eastAsia="Times New Roman" w:hAnsi="Tahoma" w:cs="Tahoma"/>
                <w:sz w:val="22"/>
                <w:szCs w:val="22"/>
                <w:lang w:val="en-AU"/>
              </w:rPr>
              <w:t>Measures whether a council is able to generate sufficient cash to pay bills on time</w:t>
            </w:r>
          </w:p>
        </w:tc>
      </w:tr>
      <w:tr w:rsidR="00773102" w:rsidRPr="00E84DC2" w:rsidTr="00540E91">
        <w:trPr>
          <w:jc w:val="center"/>
        </w:trPr>
        <w:tc>
          <w:tcPr>
            <w:tcW w:w="1922" w:type="dxa"/>
            <w:tcBorders>
              <w:top w:val="single" w:sz="8" w:space="0" w:color="4F81BD"/>
              <w:left w:val="single" w:sz="8" w:space="0" w:color="4F81BD"/>
              <w:bottom w:val="single" w:sz="8" w:space="0" w:color="4F81BD"/>
            </w:tcBorders>
          </w:tcPr>
          <w:p w:rsidR="00773102" w:rsidRPr="00E84DC2" w:rsidRDefault="00D733EB" w:rsidP="00567058">
            <w:pPr>
              <w:rPr>
                <w:rFonts w:ascii="Tahoma" w:eastAsia="Times New Roman" w:hAnsi="Tahoma" w:cs="Tahoma"/>
                <w:sz w:val="22"/>
                <w:szCs w:val="22"/>
                <w:lang w:val="en-AU"/>
              </w:rPr>
            </w:pPr>
            <w:r w:rsidRPr="00D733EB">
              <w:rPr>
                <w:rFonts w:ascii="Tahoma" w:eastAsia="Times New Roman" w:hAnsi="Tahoma" w:cs="Tahoma"/>
                <w:sz w:val="22"/>
                <w:szCs w:val="22"/>
                <w:lang w:val="en-AU"/>
              </w:rPr>
              <w:t>Obligations</w:t>
            </w:r>
          </w:p>
        </w:tc>
        <w:tc>
          <w:tcPr>
            <w:tcW w:w="6664" w:type="dxa"/>
            <w:tcBorders>
              <w:top w:val="single" w:sz="8" w:space="0" w:color="4F81BD"/>
              <w:bottom w:val="single" w:sz="8" w:space="0" w:color="4F81BD"/>
              <w:right w:val="single" w:sz="8" w:space="0" w:color="4F81BD"/>
            </w:tcBorders>
          </w:tcPr>
          <w:p w:rsidR="00773102" w:rsidRPr="00E84DC2" w:rsidRDefault="00D733EB" w:rsidP="00567058">
            <w:pPr>
              <w:rPr>
                <w:rFonts w:ascii="Tahoma" w:eastAsia="Times New Roman" w:hAnsi="Tahoma" w:cs="Tahoma"/>
                <w:sz w:val="22"/>
                <w:szCs w:val="22"/>
                <w:lang w:val="en-AU"/>
              </w:rPr>
            </w:pPr>
            <w:r w:rsidRPr="00D733EB">
              <w:rPr>
                <w:rFonts w:ascii="Tahoma" w:eastAsia="Times New Roman" w:hAnsi="Tahoma" w:cs="Tahoma"/>
                <w:sz w:val="22"/>
                <w:szCs w:val="22"/>
                <w:lang w:val="en-AU"/>
              </w:rPr>
              <w:t>Measures whether the level of debt and other long term commitments is appropriate</w:t>
            </w:r>
          </w:p>
        </w:tc>
      </w:tr>
      <w:tr w:rsidR="00773102" w:rsidRPr="00E84DC2" w:rsidTr="00540E91">
        <w:trPr>
          <w:jc w:val="center"/>
        </w:trPr>
        <w:tc>
          <w:tcPr>
            <w:tcW w:w="1922" w:type="dxa"/>
            <w:tcBorders>
              <w:top w:val="single" w:sz="8" w:space="0" w:color="4F81BD"/>
              <w:left w:val="single" w:sz="8" w:space="0" w:color="4F81BD"/>
              <w:bottom w:val="single" w:sz="8" w:space="0" w:color="4F81BD"/>
            </w:tcBorders>
          </w:tcPr>
          <w:p w:rsidR="00773102" w:rsidRPr="00E84DC2" w:rsidRDefault="00D733EB" w:rsidP="00567058">
            <w:pPr>
              <w:rPr>
                <w:rFonts w:ascii="Tahoma" w:eastAsia="Times New Roman" w:hAnsi="Tahoma" w:cs="Tahoma"/>
                <w:sz w:val="22"/>
                <w:szCs w:val="22"/>
                <w:lang w:val="en-AU"/>
              </w:rPr>
            </w:pPr>
            <w:r w:rsidRPr="00D733EB">
              <w:rPr>
                <w:rFonts w:ascii="Tahoma" w:eastAsia="Times New Roman" w:hAnsi="Tahoma" w:cs="Tahoma"/>
                <w:sz w:val="22"/>
                <w:szCs w:val="22"/>
                <w:lang w:val="en-AU"/>
              </w:rPr>
              <w:t>Stability</w:t>
            </w:r>
          </w:p>
        </w:tc>
        <w:tc>
          <w:tcPr>
            <w:tcW w:w="6664" w:type="dxa"/>
            <w:tcBorders>
              <w:top w:val="single" w:sz="8" w:space="0" w:color="4F81BD"/>
              <w:bottom w:val="single" w:sz="8" w:space="0" w:color="4F81BD"/>
              <w:right w:val="single" w:sz="8" w:space="0" w:color="4F81BD"/>
            </w:tcBorders>
          </w:tcPr>
          <w:p w:rsidR="00773102" w:rsidRPr="00E84DC2" w:rsidRDefault="00D733EB" w:rsidP="00567058">
            <w:pPr>
              <w:rPr>
                <w:rFonts w:ascii="Tahoma" w:eastAsia="Times New Roman" w:hAnsi="Tahoma" w:cs="Tahoma"/>
                <w:sz w:val="22"/>
                <w:szCs w:val="22"/>
                <w:lang w:val="en-AU"/>
              </w:rPr>
            </w:pPr>
            <w:r w:rsidRPr="00D733EB">
              <w:rPr>
                <w:rFonts w:ascii="Tahoma" w:eastAsia="Times New Roman" w:hAnsi="Tahoma" w:cs="Tahoma"/>
                <w:sz w:val="22"/>
                <w:szCs w:val="22"/>
                <w:lang w:val="en-AU"/>
              </w:rPr>
              <w:t>Measures whether a council is able to generate revenue from a range of sources</w:t>
            </w:r>
          </w:p>
        </w:tc>
      </w:tr>
      <w:tr w:rsidR="00773102" w:rsidRPr="00E84DC2" w:rsidTr="00540E91">
        <w:trPr>
          <w:jc w:val="center"/>
        </w:trPr>
        <w:tc>
          <w:tcPr>
            <w:tcW w:w="1922" w:type="dxa"/>
            <w:tcBorders>
              <w:top w:val="single" w:sz="8" w:space="0" w:color="4F81BD"/>
              <w:left w:val="single" w:sz="8" w:space="0" w:color="4F81BD"/>
              <w:bottom w:val="single" w:sz="8" w:space="0" w:color="4F81BD"/>
            </w:tcBorders>
          </w:tcPr>
          <w:p w:rsidR="00773102" w:rsidRPr="00E84DC2" w:rsidRDefault="00D733EB" w:rsidP="00567058">
            <w:pPr>
              <w:rPr>
                <w:rFonts w:ascii="Tahoma" w:eastAsia="Times New Roman" w:hAnsi="Tahoma" w:cs="Tahoma"/>
                <w:sz w:val="22"/>
                <w:szCs w:val="22"/>
                <w:lang w:val="en-AU"/>
              </w:rPr>
            </w:pPr>
            <w:r w:rsidRPr="00D733EB">
              <w:rPr>
                <w:rFonts w:ascii="Tahoma" w:eastAsia="Times New Roman" w:hAnsi="Tahoma" w:cs="Tahoma"/>
                <w:sz w:val="22"/>
                <w:szCs w:val="22"/>
                <w:lang w:val="en-AU"/>
              </w:rPr>
              <w:t>Efficiency</w:t>
            </w:r>
          </w:p>
        </w:tc>
        <w:tc>
          <w:tcPr>
            <w:tcW w:w="6664" w:type="dxa"/>
            <w:tcBorders>
              <w:top w:val="single" w:sz="8" w:space="0" w:color="4F81BD"/>
              <w:bottom w:val="single" w:sz="8" w:space="0" w:color="4F81BD"/>
              <w:right w:val="single" w:sz="8" w:space="0" w:color="4F81BD"/>
            </w:tcBorders>
          </w:tcPr>
          <w:p w:rsidR="00773102" w:rsidRPr="00E84DC2" w:rsidRDefault="00D733EB" w:rsidP="00567058">
            <w:pPr>
              <w:rPr>
                <w:rFonts w:ascii="Tahoma" w:eastAsia="Times New Roman" w:hAnsi="Tahoma" w:cs="Tahoma"/>
                <w:sz w:val="22"/>
                <w:szCs w:val="22"/>
                <w:lang w:val="en-AU"/>
              </w:rPr>
            </w:pPr>
            <w:r w:rsidRPr="00D733EB">
              <w:rPr>
                <w:rFonts w:ascii="Tahoma" w:eastAsia="Times New Roman" w:hAnsi="Tahoma" w:cs="Tahoma"/>
                <w:sz w:val="22"/>
                <w:szCs w:val="22"/>
                <w:lang w:val="en-AU"/>
              </w:rPr>
              <w:t>Measures whether a council is using resources efficiently</w:t>
            </w:r>
          </w:p>
        </w:tc>
      </w:tr>
    </w:tbl>
    <w:p w:rsidR="00773102" w:rsidRPr="00E84DC2" w:rsidRDefault="00773102" w:rsidP="00567058">
      <w:pPr>
        <w:rPr>
          <w:rFonts w:ascii="Tahoma" w:eastAsia="Times New Roman" w:hAnsi="Tahoma" w:cs="Tahoma"/>
          <w:sz w:val="22"/>
          <w:szCs w:val="22"/>
          <w:lang w:val="en-AU"/>
        </w:rPr>
      </w:pPr>
    </w:p>
    <w:p w:rsidR="00773102" w:rsidRPr="00E84DC2" w:rsidRDefault="00773102" w:rsidP="00773102">
      <w:pPr>
        <w:rPr>
          <w:rFonts w:ascii="Tahoma" w:eastAsia="Times New Roman" w:hAnsi="Tahoma" w:cs="Tahoma"/>
          <w:sz w:val="22"/>
          <w:szCs w:val="22"/>
          <w:lang w:val="en-AU"/>
        </w:rPr>
      </w:pPr>
    </w:p>
    <w:p w:rsidR="00250302" w:rsidRPr="00E84DC2" w:rsidRDefault="00D733EB">
      <w:pPr>
        <w:rPr>
          <w:rFonts w:ascii="Tahoma" w:eastAsia="Times New Roman" w:hAnsi="Tahoma" w:cs="Tahoma"/>
          <w:sz w:val="22"/>
          <w:szCs w:val="22"/>
          <w:lang w:val="en-AU"/>
        </w:rPr>
      </w:pPr>
      <w:r w:rsidRPr="00D733EB">
        <w:rPr>
          <w:rFonts w:ascii="Tahoma" w:eastAsia="Times New Roman" w:hAnsi="Tahoma" w:cs="Tahoma"/>
          <w:sz w:val="22"/>
          <w:szCs w:val="22"/>
          <w:lang w:val="en-AU"/>
        </w:rPr>
        <w:br w:type="page"/>
      </w:r>
    </w:p>
    <w:p w:rsidR="00773102" w:rsidRPr="00E84DC2" w:rsidRDefault="00D733EB" w:rsidP="00567058">
      <w:pPr>
        <w:rPr>
          <w:rFonts w:ascii="Tahoma" w:eastAsia="Times New Roman" w:hAnsi="Tahoma" w:cs="Tahoma"/>
          <w:b/>
          <w:sz w:val="22"/>
          <w:szCs w:val="22"/>
          <w:lang w:val="en-AU"/>
        </w:rPr>
      </w:pPr>
      <w:r w:rsidRPr="00D733EB">
        <w:rPr>
          <w:rFonts w:ascii="Tahoma" w:eastAsia="Times New Roman" w:hAnsi="Tahoma" w:cs="Tahoma"/>
          <w:b/>
          <w:sz w:val="22"/>
          <w:szCs w:val="22"/>
          <w:lang w:val="en-AU"/>
        </w:rPr>
        <w:lastRenderedPageBreak/>
        <w:t>Sustainability</w:t>
      </w:r>
    </w:p>
    <w:p w:rsidR="00250302" w:rsidRPr="00E84DC2" w:rsidRDefault="00250302" w:rsidP="00567058">
      <w:pPr>
        <w:rPr>
          <w:rFonts w:ascii="Tahoma" w:eastAsia="Times New Roman" w:hAnsi="Tahoma" w:cs="Tahoma"/>
          <w:sz w:val="22"/>
          <w:szCs w:val="22"/>
          <w:lang w:val="en-AU"/>
        </w:rPr>
      </w:pPr>
    </w:p>
    <w:p w:rsidR="00773102" w:rsidRPr="00E84DC2" w:rsidRDefault="00D733EB" w:rsidP="00567058">
      <w:pPr>
        <w:rPr>
          <w:rFonts w:ascii="Tahoma" w:eastAsia="Times New Roman" w:hAnsi="Tahoma" w:cs="Tahoma"/>
          <w:sz w:val="22"/>
          <w:szCs w:val="22"/>
          <w:lang w:val="en-AU"/>
        </w:rPr>
      </w:pPr>
      <w:r w:rsidRPr="00D733EB">
        <w:rPr>
          <w:rFonts w:ascii="Tahoma" w:eastAsia="Times New Roman" w:hAnsi="Tahoma" w:cs="Tahoma"/>
          <w:sz w:val="22"/>
          <w:szCs w:val="22"/>
          <w:lang w:val="en-AU"/>
        </w:rPr>
        <w:t xml:space="preserve">Figure </w:t>
      </w:r>
      <w:r w:rsidR="003839D3">
        <w:rPr>
          <w:rFonts w:ascii="Tahoma" w:eastAsia="Times New Roman" w:hAnsi="Tahoma" w:cs="Tahoma"/>
          <w:sz w:val="22"/>
          <w:szCs w:val="22"/>
          <w:lang w:val="en-AU"/>
        </w:rPr>
        <w:t>C</w:t>
      </w:r>
      <w:r w:rsidRPr="00D733EB">
        <w:rPr>
          <w:rFonts w:ascii="Tahoma" w:eastAsia="Times New Roman" w:hAnsi="Tahoma" w:cs="Tahoma"/>
          <w:sz w:val="22"/>
          <w:szCs w:val="22"/>
          <w:lang w:val="en-AU"/>
        </w:rPr>
        <w:t xml:space="preserve">3 outlines the proposed Sustainability Framework for measuring long term sustainability in local government. The Sustainability Indicator Framework establishes the objective of the indicator set and measures it through a range of output and outcome indicators. </w:t>
      </w:r>
    </w:p>
    <w:p w:rsidR="00250302" w:rsidRPr="00E84DC2" w:rsidRDefault="00250302" w:rsidP="00773102">
      <w:pPr>
        <w:rPr>
          <w:rFonts w:ascii="Tahoma" w:eastAsia="Times New Roman" w:hAnsi="Tahoma" w:cs="Tahoma"/>
          <w:sz w:val="22"/>
          <w:szCs w:val="22"/>
          <w:lang w:val="en-AU"/>
        </w:rPr>
      </w:pPr>
    </w:p>
    <w:p w:rsidR="00773102" w:rsidRPr="00E84DC2" w:rsidRDefault="00D733EB" w:rsidP="00250302">
      <w:pPr>
        <w:jc w:val="center"/>
        <w:rPr>
          <w:rFonts w:ascii="Tahoma" w:eastAsia="Times New Roman" w:hAnsi="Tahoma" w:cs="Tahoma"/>
          <w:b/>
          <w:sz w:val="22"/>
          <w:szCs w:val="22"/>
          <w:lang w:val="en-AU"/>
        </w:rPr>
      </w:pPr>
      <w:r w:rsidRPr="00D733EB">
        <w:rPr>
          <w:rFonts w:ascii="Tahoma" w:eastAsia="Times New Roman" w:hAnsi="Tahoma" w:cs="Tahoma"/>
          <w:b/>
          <w:sz w:val="22"/>
          <w:szCs w:val="22"/>
          <w:lang w:val="en-AU"/>
        </w:rPr>
        <w:t xml:space="preserve">Figure </w:t>
      </w:r>
      <w:r w:rsidR="003839D3">
        <w:rPr>
          <w:rFonts w:ascii="Tahoma" w:eastAsia="Times New Roman" w:hAnsi="Tahoma" w:cs="Tahoma"/>
          <w:b/>
          <w:sz w:val="22"/>
          <w:szCs w:val="22"/>
          <w:lang w:val="en-AU"/>
        </w:rPr>
        <w:t>C</w:t>
      </w:r>
      <w:r w:rsidRPr="00D733EB">
        <w:rPr>
          <w:rFonts w:ascii="Tahoma" w:eastAsia="Times New Roman" w:hAnsi="Tahoma" w:cs="Tahoma"/>
          <w:b/>
          <w:sz w:val="22"/>
          <w:szCs w:val="22"/>
          <w:lang w:val="en-AU"/>
        </w:rPr>
        <w:t>3 – Sustainability Indicator Framework</w:t>
      </w:r>
    </w:p>
    <w:p w:rsidR="00773102" w:rsidRPr="00E84DC2" w:rsidRDefault="00370858" w:rsidP="00773102">
      <w:pPr>
        <w:rPr>
          <w:rFonts w:ascii="Tahoma" w:eastAsia="Times New Roman" w:hAnsi="Tahoma" w:cs="Tahoma"/>
          <w:sz w:val="22"/>
          <w:szCs w:val="22"/>
          <w:lang w:val="en-AU"/>
        </w:rPr>
      </w:pPr>
      <w:r w:rsidRPr="00E84DC2">
        <w:rPr>
          <w:rFonts w:ascii="Tahoma" w:eastAsia="Times New Roman" w:hAnsi="Tahoma" w:cs="Tahoma"/>
          <w:noProof/>
          <w:sz w:val="22"/>
          <w:szCs w:val="22"/>
          <w:lang w:val="en-AU" w:eastAsia="en-AU"/>
        </w:rPr>
        <w:drawing>
          <wp:inline distT="0" distB="0" distL="0" distR="0">
            <wp:extent cx="5712110" cy="2904134"/>
            <wp:effectExtent l="19050" t="0" r="2890" b="0"/>
            <wp:docPr id="13"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9" cstate="print"/>
                    <a:srcRect/>
                    <a:stretch>
                      <a:fillRect/>
                    </a:stretch>
                  </pic:blipFill>
                  <pic:spPr bwMode="auto">
                    <a:xfrm>
                      <a:off x="0" y="0"/>
                      <a:ext cx="5713179" cy="2904677"/>
                    </a:xfrm>
                    <a:prstGeom prst="rect">
                      <a:avLst/>
                    </a:prstGeom>
                    <a:noFill/>
                  </pic:spPr>
                </pic:pic>
              </a:graphicData>
            </a:graphic>
          </wp:inline>
        </w:drawing>
      </w:r>
    </w:p>
    <w:p w:rsidR="00540E91" w:rsidRPr="00E84DC2" w:rsidRDefault="00540E91" w:rsidP="00773102">
      <w:pPr>
        <w:rPr>
          <w:rFonts w:ascii="Tahoma" w:eastAsia="Times New Roman" w:hAnsi="Tahoma" w:cs="Tahoma"/>
          <w:sz w:val="22"/>
          <w:szCs w:val="22"/>
          <w:lang w:val="en-AU"/>
        </w:rPr>
      </w:pPr>
    </w:p>
    <w:p w:rsidR="00773102" w:rsidRPr="00E84DC2" w:rsidRDefault="00D733EB" w:rsidP="00773102">
      <w:pPr>
        <w:rPr>
          <w:rFonts w:ascii="Tahoma" w:eastAsia="Times New Roman" w:hAnsi="Tahoma" w:cs="Tahoma"/>
          <w:b/>
          <w:i/>
          <w:sz w:val="22"/>
          <w:szCs w:val="22"/>
          <w:lang w:val="en-AU"/>
        </w:rPr>
      </w:pPr>
      <w:r w:rsidRPr="00D733EB">
        <w:rPr>
          <w:rFonts w:ascii="Tahoma" w:eastAsia="Times New Roman" w:hAnsi="Tahoma" w:cs="Tahoma"/>
          <w:b/>
          <w:i/>
          <w:sz w:val="22"/>
          <w:szCs w:val="22"/>
          <w:lang w:val="en-AU"/>
        </w:rPr>
        <w:t>Dimensions of the Sustainability Framework</w:t>
      </w:r>
    </w:p>
    <w:tbl>
      <w:tblPr>
        <w:tblW w:w="0" w:type="auto"/>
        <w:jc w:val="center"/>
        <w:tblInd w:w="250"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548"/>
        <w:gridCol w:w="5718"/>
      </w:tblGrid>
      <w:tr w:rsidR="00773102" w:rsidRPr="00E84DC2" w:rsidTr="00773102">
        <w:trPr>
          <w:trHeight w:val="485"/>
          <w:jc w:val="center"/>
        </w:trPr>
        <w:tc>
          <w:tcPr>
            <w:tcW w:w="2693" w:type="dxa"/>
            <w:shd w:val="clear" w:color="auto" w:fill="4F81BD"/>
          </w:tcPr>
          <w:p w:rsidR="00370858" w:rsidRPr="00E84DC2" w:rsidRDefault="00D733EB">
            <w:pPr>
              <w:keepNext/>
              <w:keepLines/>
              <w:spacing w:before="200"/>
              <w:outlineLvl w:val="5"/>
              <w:rPr>
                <w:rFonts w:ascii="Tahoma" w:eastAsia="Times New Roman" w:hAnsi="Tahoma" w:cs="Tahoma"/>
                <w:b/>
                <w:sz w:val="22"/>
                <w:szCs w:val="22"/>
                <w:lang w:val="en-AU"/>
              </w:rPr>
            </w:pPr>
            <w:r w:rsidRPr="00D733EB">
              <w:rPr>
                <w:rFonts w:ascii="Tahoma" w:eastAsia="Times New Roman" w:hAnsi="Tahoma" w:cs="Tahoma"/>
                <w:b/>
                <w:sz w:val="22"/>
                <w:szCs w:val="22"/>
                <w:lang w:val="en-AU"/>
              </w:rPr>
              <w:t xml:space="preserve">Dimension </w:t>
            </w:r>
          </w:p>
        </w:tc>
        <w:tc>
          <w:tcPr>
            <w:tcW w:w="6299" w:type="dxa"/>
            <w:shd w:val="clear" w:color="auto" w:fill="4F81BD"/>
          </w:tcPr>
          <w:p w:rsidR="00370858" w:rsidRPr="00E84DC2" w:rsidRDefault="00D733EB">
            <w:pPr>
              <w:keepNext/>
              <w:keepLines/>
              <w:spacing w:before="200"/>
              <w:outlineLvl w:val="5"/>
              <w:rPr>
                <w:rFonts w:ascii="Tahoma" w:eastAsia="Times New Roman" w:hAnsi="Tahoma" w:cs="Tahoma"/>
                <w:b/>
                <w:sz w:val="22"/>
                <w:szCs w:val="22"/>
                <w:lang w:val="en-AU"/>
              </w:rPr>
            </w:pPr>
            <w:r w:rsidRPr="00D733EB">
              <w:rPr>
                <w:rFonts w:ascii="Tahoma" w:eastAsia="Times New Roman" w:hAnsi="Tahoma" w:cs="Tahoma"/>
                <w:b/>
                <w:sz w:val="22"/>
                <w:szCs w:val="22"/>
                <w:lang w:val="en-AU"/>
              </w:rPr>
              <w:t>Definition</w:t>
            </w:r>
          </w:p>
        </w:tc>
      </w:tr>
      <w:tr w:rsidR="00773102" w:rsidRPr="00E84DC2" w:rsidTr="00773102">
        <w:trPr>
          <w:jc w:val="center"/>
        </w:trPr>
        <w:tc>
          <w:tcPr>
            <w:tcW w:w="2693" w:type="dxa"/>
            <w:tcBorders>
              <w:top w:val="single" w:sz="8" w:space="0" w:color="4F81BD"/>
              <w:left w:val="single" w:sz="8" w:space="0" w:color="4F81BD"/>
              <w:bottom w:val="single" w:sz="8" w:space="0" w:color="4F81BD"/>
            </w:tcBorders>
          </w:tcPr>
          <w:p w:rsidR="00773102" w:rsidRPr="00E84DC2" w:rsidRDefault="00D733EB" w:rsidP="00567058">
            <w:pPr>
              <w:rPr>
                <w:rFonts w:ascii="Tahoma" w:eastAsia="Times New Roman" w:hAnsi="Tahoma" w:cs="Tahoma"/>
                <w:sz w:val="22"/>
                <w:szCs w:val="22"/>
                <w:lang w:val="en-AU"/>
              </w:rPr>
            </w:pPr>
            <w:r w:rsidRPr="00D733EB">
              <w:rPr>
                <w:rFonts w:ascii="Tahoma" w:eastAsia="Times New Roman" w:hAnsi="Tahoma" w:cs="Tahoma"/>
                <w:sz w:val="22"/>
                <w:szCs w:val="22"/>
                <w:lang w:val="en-AU"/>
              </w:rPr>
              <w:t>Financial performance</w:t>
            </w:r>
          </w:p>
        </w:tc>
        <w:tc>
          <w:tcPr>
            <w:tcW w:w="6299" w:type="dxa"/>
            <w:tcBorders>
              <w:top w:val="single" w:sz="8" w:space="0" w:color="4F81BD"/>
              <w:bottom w:val="single" w:sz="8" w:space="0" w:color="4F81BD"/>
              <w:right w:val="single" w:sz="8" w:space="0" w:color="4F81BD"/>
            </w:tcBorders>
          </w:tcPr>
          <w:p w:rsidR="00773102" w:rsidRPr="00E84DC2" w:rsidRDefault="00D733EB" w:rsidP="00567058">
            <w:pPr>
              <w:rPr>
                <w:rFonts w:ascii="Tahoma" w:eastAsia="Times New Roman" w:hAnsi="Tahoma" w:cs="Tahoma"/>
                <w:sz w:val="22"/>
                <w:szCs w:val="22"/>
                <w:lang w:val="en-AU"/>
              </w:rPr>
            </w:pPr>
            <w:r w:rsidRPr="00D733EB">
              <w:rPr>
                <w:rFonts w:ascii="Tahoma" w:eastAsia="Times New Roman" w:hAnsi="Tahoma" w:cs="Tahoma"/>
                <w:sz w:val="22"/>
                <w:szCs w:val="22"/>
                <w:lang w:val="en-AU"/>
              </w:rPr>
              <w:t>Measures whether a council is able to absorb foreseeable changes and unexpected shocks without having to make disruptive revenue or expenditure adjustments</w:t>
            </w:r>
          </w:p>
        </w:tc>
      </w:tr>
      <w:tr w:rsidR="00773102" w:rsidRPr="00E84DC2" w:rsidTr="00773102">
        <w:trPr>
          <w:jc w:val="center"/>
        </w:trPr>
        <w:tc>
          <w:tcPr>
            <w:tcW w:w="2693" w:type="dxa"/>
          </w:tcPr>
          <w:p w:rsidR="00773102" w:rsidRPr="00E84DC2" w:rsidRDefault="00D733EB" w:rsidP="00567058">
            <w:pPr>
              <w:rPr>
                <w:rFonts w:ascii="Tahoma" w:eastAsia="Times New Roman" w:hAnsi="Tahoma" w:cs="Tahoma"/>
                <w:sz w:val="22"/>
                <w:szCs w:val="22"/>
                <w:lang w:val="en-AU"/>
              </w:rPr>
            </w:pPr>
            <w:r w:rsidRPr="00D733EB">
              <w:rPr>
                <w:rFonts w:ascii="Tahoma" w:eastAsia="Times New Roman" w:hAnsi="Tahoma" w:cs="Tahoma"/>
                <w:sz w:val="22"/>
                <w:szCs w:val="22"/>
                <w:lang w:val="en-AU"/>
              </w:rPr>
              <w:t>Capacity</w:t>
            </w:r>
          </w:p>
        </w:tc>
        <w:tc>
          <w:tcPr>
            <w:tcW w:w="6299" w:type="dxa"/>
          </w:tcPr>
          <w:p w:rsidR="00773102" w:rsidRPr="00E84DC2" w:rsidRDefault="00D733EB" w:rsidP="00567058">
            <w:pPr>
              <w:rPr>
                <w:rFonts w:ascii="Tahoma" w:eastAsia="Times New Roman" w:hAnsi="Tahoma" w:cs="Tahoma"/>
                <w:sz w:val="22"/>
                <w:szCs w:val="22"/>
                <w:lang w:val="en-AU"/>
              </w:rPr>
            </w:pPr>
            <w:r w:rsidRPr="00D733EB">
              <w:rPr>
                <w:rFonts w:ascii="Tahoma" w:eastAsia="Times New Roman" w:hAnsi="Tahoma" w:cs="Tahoma"/>
                <w:sz w:val="22"/>
                <w:szCs w:val="22"/>
                <w:lang w:val="en-AU"/>
              </w:rPr>
              <w:t>Measures whether a council is able to meet the agreed service needs of the community</w:t>
            </w:r>
          </w:p>
        </w:tc>
      </w:tr>
      <w:tr w:rsidR="00773102" w:rsidRPr="00E84DC2" w:rsidTr="00773102">
        <w:trPr>
          <w:jc w:val="center"/>
        </w:trPr>
        <w:tc>
          <w:tcPr>
            <w:tcW w:w="2693" w:type="dxa"/>
            <w:tcBorders>
              <w:top w:val="single" w:sz="8" w:space="0" w:color="4F81BD"/>
              <w:left w:val="single" w:sz="8" w:space="0" w:color="4F81BD"/>
              <w:bottom w:val="single" w:sz="8" w:space="0" w:color="4F81BD"/>
            </w:tcBorders>
          </w:tcPr>
          <w:p w:rsidR="00773102" w:rsidRPr="00E84DC2" w:rsidRDefault="00D733EB" w:rsidP="00567058">
            <w:pPr>
              <w:rPr>
                <w:rFonts w:ascii="Tahoma" w:eastAsia="Times New Roman" w:hAnsi="Tahoma" w:cs="Tahoma"/>
                <w:sz w:val="22"/>
                <w:szCs w:val="22"/>
                <w:lang w:val="en-AU"/>
              </w:rPr>
            </w:pPr>
            <w:r w:rsidRPr="00D733EB">
              <w:rPr>
                <w:rFonts w:ascii="Tahoma" w:eastAsia="Times New Roman" w:hAnsi="Tahoma" w:cs="Tahoma"/>
                <w:sz w:val="22"/>
                <w:szCs w:val="22"/>
                <w:lang w:val="en-AU"/>
              </w:rPr>
              <w:t>Governance and management</w:t>
            </w:r>
          </w:p>
        </w:tc>
        <w:tc>
          <w:tcPr>
            <w:tcW w:w="6299" w:type="dxa"/>
            <w:tcBorders>
              <w:top w:val="single" w:sz="8" w:space="0" w:color="4F81BD"/>
              <w:bottom w:val="single" w:sz="8" w:space="0" w:color="4F81BD"/>
              <w:right w:val="single" w:sz="8" w:space="0" w:color="4F81BD"/>
            </w:tcBorders>
          </w:tcPr>
          <w:p w:rsidR="00773102" w:rsidRPr="00E84DC2" w:rsidRDefault="00D733EB" w:rsidP="00567058">
            <w:pPr>
              <w:rPr>
                <w:rFonts w:ascii="Tahoma" w:eastAsia="Times New Roman" w:hAnsi="Tahoma" w:cs="Tahoma"/>
                <w:sz w:val="22"/>
                <w:szCs w:val="22"/>
                <w:lang w:val="en-AU"/>
              </w:rPr>
            </w:pPr>
            <w:r w:rsidRPr="00D733EB">
              <w:rPr>
                <w:rFonts w:ascii="Tahoma" w:eastAsia="Times New Roman" w:hAnsi="Tahoma" w:cs="Tahoma"/>
                <w:sz w:val="22"/>
                <w:szCs w:val="22"/>
                <w:lang w:val="en-AU"/>
              </w:rPr>
              <w:t>Measures whether a council has strong governance and management frameworks in place covering community engagement, planning, monitoring, reporting and decision-making</w:t>
            </w:r>
          </w:p>
        </w:tc>
      </w:tr>
    </w:tbl>
    <w:p w:rsidR="00773102" w:rsidRPr="00E84DC2" w:rsidRDefault="00773102" w:rsidP="00567058">
      <w:pPr>
        <w:rPr>
          <w:rFonts w:ascii="Tahoma" w:eastAsia="Times New Roman" w:hAnsi="Tahoma" w:cs="Tahoma"/>
          <w:sz w:val="22"/>
          <w:szCs w:val="22"/>
          <w:lang w:val="en-AU"/>
        </w:rPr>
      </w:pPr>
    </w:p>
    <w:p w:rsidR="006B0C1F" w:rsidRDefault="006B0C1F">
      <w:pPr>
        <w:rPr>
          <w:rFonts w:ascii="Tahoma" w:eastAsia="Times New Roman" w:hAnsi="Tahoma" w:cs="Tahoma"/>
          <w:b/>
          <w:sz w:val="28"/>
          <w:szCs w:val="28"/>
          <w:lang w:val="en-AU"/>
        </w:rPr>
      </w:pPr>
      <w:r>
        <w:rPr>
          <w:rFonts w:ascii="Tahoma" w:eastAsia="Times New Roman" w:hAnsi="Tahoma" w:cs="Tahoma"/>
          <w:b/>
          <w:sz w:val="28"/>
          <w:szCs w:val="28"/>
          <w:lang w:val="en-AU"/>
        </w:rPr>
        <w:br w:type="page"/>
      </w:r>
    </w:p>
    <w:p w:rsidR="006B0C1F" w:rsidRPr="00E84DC2" w:rsidRDefault="006B0C1F" w:rsidP="006B0C1F">
      <w:pPr>
        <w:rPr>
          <w:rFonts w:ascii="Tahoma" w:eastAsia="Times New Roman" w:hAnsi="Tahoma" w:cs="Tahoma"/>
          <w:b/>
          <w:sz w:val="28"/>
          <w:szCs w:val="28"/>
          <w:lang w:val="en-AU"/>
        </w:rPr>
      </w:pPr>
      <w:r w:rsidRPr="00D733EB">
        <w:rPr>
          <w:rFonts w:ascii="Tahoma" w:eastAsia="Times New Roman" w:hAnsi="Tahoma" w:cs="Tahoma"/>
          <w:b/>
          <w:sz w:val="28"/>
          <w:szCs w:val="28"/>
          <w:lang w:val="en-AU"/>
        </w:rPr>
        <w:lastRenderedPageBreak/>
        <w:t xml:space="preserve">Attachment </w:t>
      </w:r>
      <w:r>
        <w:rPr>
          <w:rFonts w:ascii="Tahoma" w:eastAsia="Times New Roman" w:hAnsi="Tahoma" w:cs="Tahoma"/>
          <w:b/>
          <w:sz w:val="28"/>
          <w:szCs w:val="28"/>
          <w:lang w:val="en-AU"/>
        </w:rPr>
        <w:t>D</w:t>
      </w:r>
      <w:r w:rsidRPr="00D733EB">
        <w:rPr>
          <w:rFonts w:ascii="Tahoma" w:eastAsia="Times New Roman" w:hAnsi="Tahoma" w:cs="Tahoma"/>
          <w:b/>
          <w:sz w:val="28"/>
          <w:szCs w:val="28"/>
          <w:lang w:val="en-AU"/>
        </w:rPr>
        <w:t xml:space="preserve"> – Methodologies and Assumptions</w:t>
      </w:r>
    </w:p>
    <w:p w:rsidR="006B0C1F" w:rsidRPr="00E84DC2" w:rsidRDefault="006B0C1F" w:rsidP="006B0C1F">
      <w:pPr>
        <w:rPr>
          <w:rFonts w:ascii="Tahoma" w:eastAsia="Times New Roman" w:hAnsi="Tahoma" w:cs="Tahoma"/>
          <w:sz w:val="22"/>
          <w:szCs w:val="22"/>
          <w:lang w:val="en-AU"/>
        </w:rPr>
      </w:pPr>
    </w:p>
    <w:p w:rsidR="006B0C1F" w:rsidRPr="00E84DC2" w:rsidRDefault="006B0C1F" w:rsidP="006B0C1F">
      <w:pPr>
        <w:rPr>
          <w:rFonts w:ascii="Tahoma" w:eastAsia="Calibri" w:hAnsi="Tahoma" w:cs="Tahoma"/>
          <w:i/>
          <w:sz w:val="20"/>
          <w:szCs w:val="20"/>
          <w:lang w:val="en-AU"/>
        </w:rPr>
      </w:pPr>
      <w:r w:rsidRPr="00D733EB">
        <w:rPr>
          <w:rFonts w:ascii="Tahoma" w:eastAsia="Calibri" w:hAnsi="Tahoma" w:cs="Tahoma"/>
          <w:i/>
          <w:sz w:val="20"/>
          <w:szCs w:val="20"/>
          <w:lang w:val="en-AU"/>
        </w:rPr>
        <w:t>Discount rate</w:t>
      </w:r>
    </w:p>
    <w:p w:rsidR="006B0C1F" w:rsidRPr="00E84DC2" w:rsidRDefault="006B0C1F" w:rsidP="006B0C1F">
      <w:pPr>
        <w:rPr>
          <w:rFonts w:ascii="Tahoma" w:eastAsia="Calibri" w:hAnsi="Tahoma" w:cs="Tahoma"/>
          <w:i/>
          <w:sz w:val="20"/>
          <w:szCs w:val="20"/>
          <w:lang w:val="en-AU"/>
        </w:rPr>
      </w:pPr>
    </w:p>
    <w:p w:rsidR="006B0C1F" w:rsidRPr="00E84DC2" w:rsidRDefault="006B0C1F" w:rsidP="006B0C1F">
      <w:pPr>
        <w:rPr>
          <w:rFonts w:ascii="Tahoma" w:hAnsi="Tahoma" w:cs="Tahoma"/>
          <w:sz w:val="20"/>
          <w:szCs w:val="20"/>
          <w:lang w:val="en-AU"/>
        </w:rPr>
      </w:pPr>
      <w:r w:rsidRPr="00E84DC2">
        <w:rPr>
          <w:rFonts w:ascii="Tahoma" w:hAnsi="Tahoma" w:cs="Tahoma"/>
          <w:sz w:val="20"/>
          <w:szCs w:val="20"/>
          <w:lang w:val="en-AU"/>
        </w:rPr>
        <w:t xml:space="preserve">The real discount rate used in this RIS is 3.5 per cent. This adopts the rate published in the </w:t>
      </w:r>
      <w:r w:rsidRPr="00D733EB">
        <w:rPr>
          <w:rFonts w:ascii="Tahoma" w:hAnsi="Tahoma" w:cs="Tahoma"/>
          <w:i/>
          <w:sz w:val="20"/>
          <w:szCs w:val="20"/>
          <w:lang w:val="en-AU"/>
        </w:rPr>
        <w:t>Victorian Guide to Regulation</w:t>
      </w:r>
      <w:r w:rsidRPr="00D733EB">
        <w:rPr>
          <w:rFonts w:ascii="Tahoma" w:hAnsi="Tahoma" w:cs="Tahoma"/>
          <w:sz w:val="20"/>
          <w:szCs w:val="20"/>
          <w:lang w:val="en-AU"/>
        </w:rPr>
        <w:t xml:space="preserve"> (Appendix C, p. 19). The discount rate of 3.5 per cent was used over a 10-year period (i.e., the life of regulations in Victoria). Cash flows are discounted to a ‘Year 0’, being the commencement of the proposed Regulations in April 2014. </w:t>
      </w:r>
    </w:p>
    <w:p w:rsidR="006B0C1F" w:rsidRPr="00E84DC2" w:rsidRDefault="006B0C1F" w:rsidP="006B0C1F">
      <w:pPr>
        <w:tabs>
          <w:tab w:val="left" w:pos="720"/>
        </w:tabs>
        <w:rPr>
          <w:rFonts w:ascii="Tahoma" w:hAnsi="Tahoma" w:cs="Tahoma"/>
          <w:sz w:val="20"/>
          <w:szCs w:val="20"/>
          <w:lang w:val="en-AU"/>
        </w:rPr>
      </w:pPr>
    </w:p>
    <w:p w:rsidR="006B0C1F" w:rsidRPr="00E84DC2" w:rsidRDefault="006B0C1F" w:rsidP="006B0C1F">
      <w:pPr>
        <w:rPr>
          <w:rFonts w:ascii="Tahoma" w:eastAsia="Calibri" w:hAnsi="Tahoma" w:cs="Tahoma"/>
          <w:i/>
          <w:sz w:val="20"/>
          <w:szCs w:val="20"/>
          <w:lang w:val="en-AU"/>
        </w:rPr>
      </w:pPr>
      <w:r w:rsidRPr="00D733EB">
        <w:rPr>
          <w:rFonts w:ascii="Tahoma" w:eastAsia="Calibri" w:hAnsi="Tahoma" w:cs="Tahoma"/>
          <w:i/>
          <w:sz w:val="20"/>
          <w:szCs w:val="20"/>
          <w:lang w:val="en-AU"/>
        </w:rPr>
        <w:t>Valuing council staff time</w:t>
      </w:r>
    </w:p>
    <w:p w:rsidR="006B0C1F" w:rsidRPr="00E84DC2" w:rsidRDefault="006B0C1F" w:rsidP="006B0C1F">
      <w:pPr>
        <w:tabs>
          <w:tab w:val="left" w:pos="720"/>
        </w:tabs>
        <w:rPr>
          <w:rFonts w:ascii="Tahoma" w:hAnsi="Tahoma" w:cs="Tahoma"/>
          <w:sz w:val="20"/>
          <w:szCs w:val="20"/>
          <w:lang w:val="en-AU"/>
        </w:rPr>
      </w:pPr>
    </w:p>
    <w:p w:rsidR="006B0C1F" w:rsidRPr="00E84DC2" w:rsidRDefault="006B0C1F" w:rsidP="006B0C1F">
      <w:pPr>
        <w:tabs>
          <w:tab w:val="left" w:pos="720"/>
        </w:tabs>
        <w:rPr>
          <w:rFonts w:ascii="Tahoma" w:hAnsi="Tahoma" w:cs="Tahoma"/>
          <w:sz w:val="20"/>
          <w:szCs w:val="20"/>
          <w:lang w:val="en-AU"/>
        </w:rPr>
      </w:pPr>
      <w:r w:rsidRPr="00D733EB">
        <w:rPr>
          <w:rFonts w:ascii="Tahoma" w:hAnsi="Tahoma" w:cs="Tahoma"/>
          <w:sz w:val="20"/>
          <w:szCs w:val="20"/>
          <w:lang w:val="en-AU"/>
        </w:rPr>
        <w:t>As a proxy for valuing the time of local council staff, HR</w:t>
      </w:r>
      <w:r>
        <w:rPr>
          <w:rFonts w:ascii="Tahoma" w:hAnsi="Tahoma" w:cs="Tahoma"/>
          <w:sz w:val="20"/>
          <w:szCs w:val="20"/>
          <w:vertAlign w:val="subscript"/>
          <w:lang w:val="en-AU"/>
        </w:rPr>
        <w:t>x</w:t>
      </w:r>
      <w:r w:rsidRPr="00D733EB">
        <w:rPr>
          <w:rFonts w:ascii="Tahoma" w:hAnsi="Tahoma" w:cs="Tahoma"/>
          <w:sz w:val="20"/>
          <w:szCs w:val="20"/>
          <w:lang w:val="en-AU"/>
        </w:rPr>
        <w:t xml:space="preserve">, the following formula is given in the </w:t>
      </w:r>
      <w:r w:rsidRPr="00D733EB">
        <w:rPr>
          <w:rFonts w:ascii="Tahoma" w:hAnsi="Tahoma" w:cs="Tahoma"/>
          <w:i/>
          <w:sz w:val="20"/>
          <w:szCs w:val="20"/>
          <w:lang w:val="en-AU"/>
        </w:rPr>
        <w:t>Victorian Guide to Regulation</w:t>
      </w:r>
      <w:r w:rsidRPr="00D733EB">
        <w:rPr>
          <w:rFonts w:ascii="Tahoma" w:hAnsi="Tahoma" w:cs="Tahoma"/>
          <w:sz w:val="20"/>
          <w:szCs w:val="20"/>
          <w:lang w:val="en-AU"/>
        </w:rPr>
        <w:t>:</w:t>
      </w:r>
    </w:p>
    <w:p w:rsidR="006B0C1F" w:rsidRPr="00E84DC2" w:rsidRDefault="006B0C1F" w:rsidP="006B0C1F">
      <w:pPr>
        <w:rPr>
          <w:rFonts w:ascii="Tahoma" w:hAnsi="Tahoma" w:cs="Tahoma"/>
          <w:sz w:val="20"/>
          <w:szCs w:val="20"/>
          <w:lang w:val="en-AU"/>
        </w:rPr>
      </w:pPr>
    </w:p>
    <w:p w:rsidR="006B0C1F" w:rsidRPr="00E84DC2" w:rsidRDefault="006B0C1F" w:rsidP="006B0C1F">
      <w:pPr>
        <w:ind w:left="1440" w:firstLine="720"/>
        <w:rPr>
          <w:rFonts w:ascii="Tahoma" w:hAnsi="Tahoma" w:cs="Tahoma"/>
          <w:b/>
          <w:sz w:val="20"/>
          <w:szCs w:val="20"/>
          <w:lang w:val="en-AU"/>
        </w:rPr>
      </w:pPr>
      <w:r w:rsidRPr="00D733EB">
        <w:rPr>
          <w:rFonts w:ascii="Tahoma" w:hAnsi="Tahoma" w:cs="Tahoma"/>
          <w:b/>
          <w:sz w:val="20"/>
          <w:szCs w:val="20"/>
          <w:lang w:val="en-AU"/>
        </w:rPr>
        <w:t>HR</w:t>
      </w:r>
      <w:r>
        <w:rPr>
          <w:rFonts w:ascii="Tahoma" w:hAnsi="Tahoma" w:cs="Tahoma"/>
          <w:b/>
          <w:sz w:val="20"/>
          <w:szCs w:val="20"/>
          <w:vertAlign w:val="subscript"/>
          <w:lang w:val="en-AU"/>
        </w:rPr>
        <w:t>x</w:t>
      </w:r>
      <w:r w:rsidRPr="00D733EB">
        <w:rPr>
          <w:rFonts w:ascii="Tahoma" w:hAnsi="Tahoma" w:cs="Tahoma"/>
          <w:b/>
          <w:sz w:val="20"/>
          <w:szCs w:val="20"/>
          <w:lang w:val="en-AU"/>
        </w:rPr>
        <w:t xml:space="preserve"> = (AE</w:t>
      </w:r>
      <w:r>
        <w:rPr>
          <w:rFonts w:ascii="Tahoma" w:hAnsi="Tahoma" w:cs="Tahoma"/>
          <w:b/>
          <w:sz w:val="20"/>
          <w:szCs w:val="20"/>
          <w:vertAlign w:val="subscript"/>
          <w:lang w:val="en-AU"/>
        </w:rPr>
        <w:t xml:space="preserve">x </w:t>
      </w:r>
      <w:r w:rsidRPr="00D733EB">
        <w:rPr>
          <w:rFonts w:ascii="Tahoma" w:hAnsi="Tahoma" w:cs="Tahoma"/>
          <w:b/>
          <w:sz w:val="20"/>
          <w:szCs w:val="20"/>
          <w:lang w:val="en-AU"/>
        </w:rPr>
        <w:t>x OO</w:t>
      </w:r>
      <w:r>
        <w:rPr>
          <w:rFonts w:ascii="Tahoma" w:hAnsi="Tahoma" w:cs="Tahoma"/>
          <w:b/>
          <w:sz w:val="20"/>
          <w:szCs w:val="20"/>
          <w:vertAlign w:val="subscript"/>
          <w:lang w:val="en-AU"/>
        </w:rPr>
        <w:t>x</w:t>
      </w:r>
      <w:r w:rsidRPr="00D733EB">
        <w:rPr>
          <w:rFonts w:ascii="Tahoma" w:hAnsi="Tahoma" w:cs="Tahoma"/>
          <w:b/>
          <w:sz w:val="20"/>
          <w:szCs w:val="20"/>
          <w:lang w:val="en-AU"/>
        </w:rPr>
        <w:t>)/(AW</w:t>
      </w:r>
      <w:r>
        <w:rPr>
          <w:rFonts w:ascii="Tahoma" w:hAnsi="Tahoma" w:cs="Tahoma"/>
          <w:b/>
          <w:sz w:val="20"/>
          <w:szCs w:val="20"/>
          <w:vertAlign w:val="subscript"/>
          <w:lang w:val="en-AU"/>
        </w:rPr>
        <w:t>x</w:t>
      </w:r>
      <w:r w:rsidRPr="00D733EB">
        <w:rPr>
          <w:rFonts w:ascii="Tahoma" w:hAnsi="Tahoma" w:cs="Tahoma"/>
          <w:b/>
          <w:sz w:val="20"/>
          <w:szCs w:val="20"/>
          <w:lang w:val="en-AU"/>
        </w:rPr>
        <w:t xml:space="preserve"> x AH</w:t>
      </w:r>
      <w:r>
        <w:rPr>
          <w:rFonts w:ascii="Tahoma" w:hAnsi="Tahoma" w:cs="Tahoma"/>
          <w:b/>
          <w:sz w:val="20"/>
          <w:szCs w:val="20"/>
          <w:vertAlign w:val="subscript"/>
          <w:lang w:val="en-AU"/>
        </w:rPr>
        <w:t>x</w:t>
      </w:r>
      <w:r w:rsidRPr="00D733EB">
        <w:rPr>
          <w:rFonts w:ascii="Tahoma" w:hAnsi="Tahoma" w:cs="Tahoma"/>
          <w:b/>
          <w:sz w:val="20"/>
          <w:szCs w:val="20"/>
          <w:lang w:val="en-AU"/>
        </w:rPr>
        <w:t>)</w:t>
      </w:r>
    </w:p>
    <w:p w:rsidR="006B0C1F" w:rsidRPr="00E84DC2" w:rsidRDefault="006B0C1F" w:rsidP="006B0C1F">
      <w:pPr>
        <w:rPr>
          <w:rFonts w:ascii="Tahoma" w:hAnsi="Tahoma" w:cs="Tahoma"/>
          <w:sz w:val="10"/>
          <w:szCs w:val="10"/>
          <w:lang w:val="en-AU"/>
        </w:rPr>
      </w:pPr>
    </w:p>
    <w:p w:rsidR="006B0C1F" w:rsidRPr="00E84DC2" w:rsidRDefault="006B0C1F" w:rsidP="006B0C1F">
      <w:pPr>
        <w:ind w:firstLine="720"/>
        <w:rPr>
          <w:rFonts w:ascii="Tahoma" w:hAnsi="Tahoma" w:cs="Tahoma"/>
          <w:sz w:val="20"/>
          <w:szCs w:val="20"/>
          <w:lang w:val="en-AU"/>
        </w:rPr>
      </w:pPr>
      <w:r w:rsidRPr="00D733EB">
        <w:rPr>
          <w:rFonts w:ascii="Tahoma" w:hAnsi="Tahoma" w:cs="Tahoma"/>
          <w:sz w:val="20"/>
          <w:szCs w:val="20"/>
          <w:lang w:val="en-AU"/>
        </w:rPr>
        <w:t>where:</w:t>
      </w:r>
    </w:p>
    <w:p w:rsidR="006B0C1F" w:rsidRPr="00E84DC2" w:rsidRDefault="006B0C1F" w:rsidP="006B0C1F">
      <w:pPr>
        <w:ind w:firstLine="720"/>
        <w:rPr>
          <w:rFonts w:ascii="Tahoma" w:hAnsi="Tahoma" w:cs="Tahoma"/>
          <w:sz w:val="20"/>
          <w:szCs w:val="20"/>
          <w:lang w:val="en-AU"/>
        </w:rPr>
      </w:pPr>
    </w:p>
    <w:p w:rsidR="006B0C1F" w:rsidRPr="00E84DC2" w:rsidRDefault="006B0C1F" w:rsidP="006B0C1F">
      <w:pPr>
        <w:ind w:left="720"/>
        <w:rPr>
          <w:rFonts w:ascii="Tahoma" w:hAnsi="Tahoma" w:cs="Tahoma"/>
          <w:sz w:val="20"/>
          <w:szCs w:val="20"/>
          <w:lang w:val="en-AU"/>
        </w:rPr>
      </w:pPr>
      <w:r w:rsidRPr="00D733EB">
        <w:rPr>
          <w:rFonts w:ascii="Tahoma" w:hAnsi="Tahoma" w:cs="Tahoma"/>
          <w:sz w:val="20"/>
          <w:szCs w:val="20"/>
          <w:lang w:val="en-AU"/>
        </w:rPr>
        <w:t>AE</w:t>
      </w:r>
      <w:r>
        <w:rPr>
          <w:rFonts w:ascii="Tahoma" w:hAnsi="Tahoma" w:cs="Tahoma"/>
          <w:sz w:val="20"/>
          <w:szCs w:val="20"/>
          <w:vertAlign w:val="subscript"/>
          <w:lang w:val="en-AU"/>
        </w:rPr>
        <w:t>x</w:t>
      </w:r>
      <w:r w:rsidRPr="00D733EB">
        <w:rPr>
          <w:rFonts w:ascii="Tahoma" w:hAnsi="Tahoma" w:cs="Tahoma"/>
          <w:sz w:val="20"/>
          <w:szCs w:val="20"/>
          <w:lang w:val="en-AU"/>
        </w:rPr>
        <w:t xml:space="preserve"> = average full time salary for local council administrative and professional officers</w:t>
      </w:r>
    </w:p>
    <w:p w:rsidR="006B0C1F" w:rsidRPr="00E84DC2" w:rsidRDefault="006B0C1F" w:rsidP="006B0C1F">
      <w:pPr>
        <w:ind w:left="720"/>
        <w:rPr>
          <w:rFonts w:ascii="Tahoma" w:hAnsi="Tahoma" w:cs="Tahoma"/>
          <w:sz w:val="20"/>
          <w:szCs w:val="20"/>
          <w:lang w:val="en-AU"/>
        </w:rPr>
      </w:pPr>
    </w:p>
    <w:p w:rsidR="006B0C1F" w:rsidRPr="00E84DC2" w:rsidRDefault="006B0C1F" w:rsidP="006B0C1F">
      <w:pPr>
        <w:ind w:left="720"/>
        <w:rPr>
          <w:rFonts w:ascii="Tahoma" w:hAnsi="Tahoma" w:cs="Tahoma"/>
          <w:sz w:val="20"/>
          <w:szCs w:val="20"/>
          <w:lang w:val="en-AU"/>
        </w:rPr>
      </w:pPr>
      <w:r w:rsidRPr="00D733EB">
        <w:rPr>
          <w:rFonts w:ascii="Tahoma" w:hAnsi="Tahoma" w:cs="Tahoma"/>
          <w:sz w:val="20"/>
          <w:szCs w:val="20"/>
          <w:lang w:val="en-AU"/>
        </w:rPr>
        <w:t>AW</w:t>
      </w:r>
      <w:r>
        <w:rPr>
          <w:rFonts w:ascii="Tahoma" w:hAnsi="Tahoma" w:cs="Tahoma"/>
          <w:sz w:val="20"/>
          <w:szCs w:val="20"/>
          <w:vertAlign w:val="subscript"/>
          <w:lang w:val="en-AU"/>
        </w:rPr>
        <w:t>x</w:t>
      </w:r>
      <w:r w:rsidRPr="00D733EB">
        <w:rPr>
          <w:rFonts w:ascii="Tahoma" w:hAnsi="Tahoma" w:cs="Tahoma"/>
          <w:sz w:val="20"/>
          <w:szCs w:val="20"/>
          <w:lang w:val="en-AU"/>
        </w:rPr>
        <w:t xml:space="preserve"> = number of weeks worked per annum (44 weeks) </w:t>
      </w:r>
    </w:p>
    <w:p w:rsidR="006B0C1F" w:rsidRPr="00E84DC2" w:rsidRDefault="006B0C1F" w:rsidP="006B0C1F">
      <w:pPr>
        <w:ind w:left="720"/>
        <w:rPr>
          <w:rFonts w:ascii="Tahoma" w:hAnsi="Tahoma" w:cs="Tahoma"/>
          <w:sz w:val="20"/>
          <w:szCs w:val="20"/>
          <w:lang w:val="en-AU"/>
        </w:rPr>
      </w:pPr>
    </w:p>
    <w:p w:rsidR="006B0C1F" w:rsidRPr="00E84DC2" w:rsidRDefault="006B0C1F" w:rsidP="006B0C1F">
      <w:pPr>
        <w:ind w:left="720"/>
        <w:rPr>
          <w:rFonts w:ascii="Tahoma" w:hAnsi="Tahoma" w:cs="Tahoma"/>
          <w:sz w:val="20"/>
          <w:szCs w:val="20"/>
          <w:lang w:val="en-AU"/>
        </w:rPr>
      </w:pPr>
      <w:r w:rsidRPr="00D733EB">
        <w:rPr>
          <w:rFonts w:ascii="Tahoma" w:hAnsi="Tahoma" w:cs="Tahoma"/>
          <w:sz w:val="20"/>
          <w:szCs w:val="20"/>
          <w:lang w:val="en-AU"/>
        </w:rPr>
        <w:t>AH</w:t>
      </w:r>
      <w:r>
        <w:rPr>
          <w:rFonts w:ascii="Tahoma" w:hAnsi="Tahoma" w:cs="Tahoma"/>
          <w:sz w:val="20"/>
          <w:szCs w:val="20"/>
          <w:vertAlign w:val="subscript"/>
          <w:lang w:val="en-AU"/>
        </w:rPr>
        <w:t>x</w:t>
      </w:r>
      <w:r w:rsidRPr="00D733EB">
        <w:rPr>
          <w:rFonts w:ascii="Tahoma" w:hAnsi="Tahoma" w:cs="Tahoma"/>
          <w:sz w:val="20"/>
          <w:szCs w:val="20"/>
          <w:lang w:val="en-AU"/>
        </w:rPr>
        <w:t xml:space="preserve"> = average weekly hours for full time workers (41 hours)</w:t>
      </w:r>
    </w:p>
    <w:p w:rsidR="006B0C1F" w:rsidRPr="00E84DC2" w:rsidRDefault="006B0C1F" w:rsidP="006B0C1F">
      <w:pPr>
        <w:ind w:left="720"/>
        <w:rPr>
          <w:rFonts w:ascii="Tahoma" w:hAnsi="Tahoma" w:cs="Tahoma"/>
          <w:sz w:val="20"/>
          <w:szCs w:val="20"/>
          <w:lang w:val="en-AU"/>
        </w:rPr>
      </w:pPr>
    </w:p>
    <w:p w:rsidR="006B0C1F" w:rsidRPr="00E84DC2" w:rsidRDefault="006B0C1F" w:rsidP="006B0C1F">
      <w:pPr>
        <w:ind w:left="720"/>
        <w:rPr>
          <w:rFonts w:ascii="Tahoma" w:hAnsi="Tahoma" w:cs="Tahoma"/>
          <w:sz w:val="20"/>
          <w:szCs w:val="20"/>
          <w:lang w:val="en-AU"/>
        </w:rPr>
      </w:pPr>
      <w:r w:rsidRPr="00D733EB">
        <w:rPr>
          <w:rFonts w:ascii="Tahoma" w:hAnsi="Tahoma" w:cs="Tahoma"/>
          <w:sz w:val="20"/>
          <w:szCs w:val="20"/>
          <w:lang w:val="en-AU"/>
        </w:rPr>
        <w:t>OO</w:t>
      </w:r>
      <w:r>
        <w:rPr>
          <w:rFonts w:ascii="Tahoma" w:hAnsi="Tahoma" w:cs="Tahoma"/>
          <w:sz w:val="20"/>
          <w:szCs w:val="20"/>
          <w:vertAlign w:val="subscript"/>
          <w:lang w:val="en-AU"/>
        </w:rPr>
        <w:t>x</w:t>
      </w:r>
      <w:r w:rsidRPr="00D733EB">
        <w:rPr>
          <w:rFonts w:ascii="Tahoma" w:hAnsi="Tahoma" w:cs="Tahoma"/>
          <w:sz w:val="20"/>
          <w:szCs w:val="20"/>
          <w:lang w:val="en-AU"/>
        </w:rPr>
        <w:t xml:space="preserve"> = multiplier for on-costs and overhead costs (1.75)</w:t>
      </w:r>
    </w:p>
    <w:p w:rsidR="006B0C1F" w:rsidRPr="00E84DC2" w:rsidRDefault="006B0C1F" w:rsidP="006B0C1F">
      <w:pPr>
        <w:ind w:left="720"/>
        <w:rPr>
          <w:rFonts w:ascii="Tahoma" w:hAnsi="Tahoma" w:cs="Tahoma"/>
          <w:sz w:val="20"/>
          <w:szCs w:val="20"/>
          <w:lang w:val="en-AU"/>
        </w:rPr>
      </w:pPr>
    </w:p>
    <w:p w:rsidR="006B0C1F" w:rsidRPr="00E84DC2" w:rsidRDefault="006B0C1F" w:rsidP="006B0C1F">
      <w:pPr>
        <w:rPr>
          <w:rFonts w:ascii="Tahoma" w:hAnsi="Tahoma" w:cs="Tahoma"/>
          <w:sz w:val="20"/>
          <w:szCs w:val="20"/>
          <w:lang w:val="en-AU"/>
        </w:rPr>
      </w:pPr>
      <w:r w:rsidRPr="00D733EB">
        <w:rPr>
          <w:rFonts w:ascii="Tahoma" w:hAnsi="Tahoma" w:cs="Tahoma"/>
          <w:sz w:val="20"/>
          <w:szCs w:val="20"/>
          <w:lang w:val="en-AU"/>
        </w:rPr>
        <w:t xml:space="preserve">See </w:t>
      </w:r>
      <w:r w:rsidRPr="00D733EB">
        <w:rPr>
          <w:rFonts w:ascii="Tahoma" w:hAnsi="Tahoma" w:cs="Tahoma"/>
          <w:i/>
          <w:sz w:val="20"/>
          <w:szCs w:val="20"/>
          <w:lang w:val="en-AU"/>
        </w:rPr>
        <w:t>Victorian Guide to Regulation</w:t>
      </w:r>
      <w:r w:rsidRPr="00D733EB">
        <w:rPr>
          <w:rFonts w:ascii="Tahoma" w:hAnsi="Tahoma" w:cs="Tahoma"/>
          <w:sz w:val="20"/>
          <w:szCs w:val="20"/>
          <w:lang w:val="en-AU"/>
        </w:rPr>
        <w:t xml:space="preserve"> (Appendix C, pp. 12-15). </w:t>
      </w:r>
      <w:r w:rsidRPr="00D733EB">
        <w:rPr>
          <w:rFonts w:ascii="Tahoma" w:hAnsi="Tahoma" w:cs="Tahoma"/>
          <w:sz w:val="20"/>
          <w:szCs w:val="20"/>
          <w:lang w:val="en-GB"/>
        </w:rPr>
        <w:t>Every Victorian council sets its own salary scales and conditions. Further, different staff levels are likely to be included in collecting the information required to be reported. For the purposes of valuing staff time for this RIS, a blended annual average salary of $78,366 has been used. Each council sets its own salaries – this figure was an average of indicative salaries published by MAV in 2012 (reflecting both metropolitan and rural councils), and increasing the average by 3.5 per cent to reflect average wages growth since that time. Using the above formula, this gives an hourly rate of $76.02.</w:t>
      </w:r>
    </w:p>
    <w:p w:rsidR="006B0C1F" w:rsidRPr="00E84DC2" w:rsidRDefault="006B0C1F" w:rsidP="006B0C1F">
      <w:pPr>
        <w:rPr>
          <w:rFonts w:ascii="Tahoma" w:hAnsi="Tahoma" w:cs="Tahoma"/>
          <w:sz w:val="20"/>
          <w:szCs w:val="20"/>
          <w:lang w:val="en-AU"/>
        </w:rPr>
      </w:pPr>
    </w:p>
    <w:p w:rsidR="00773102" w:rsidRPr="00E84DC2" w:rsidRDefault="00773102" w:rsidP="004E4A33">
      <w:pPr>
        <w:rPr>
          <w:rFonts w:ascii="Tahoma" w:eastAsia="Times New Roman" w:hAnsi="Tahoma" w:cs="Tahoma"/>
          <w:sz w:val="20"/>
          <w:szCs w:val="22"/>
          <w:lang w:val="en-AU"/>
        </w:rPr>
      </w:pPr>
    </w:p>
    <w:sectPr w:rsidR="00773102" w:rsidRPr="00E84DC2" w:rsidSect="00F9722F">
      <w:headerReference w:type="default" r:id="rId40"/>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213A" w:rsidRDefault="0017213A" w:rsidP="00371DFB">
      <w:r>
        <w:separator/>
      </w:r>
    </w:p>
  </w:endnote>
  <w:endnote w:type="continuationSeparator" w:id="0">
    <w:p w:rsidR="0017213A" w:rsidRDefault="0017213A" w:rsidP="00371DFB">
      <w:r>
        <w:continuationSeparator/>
      </w:r>
    </w:p>
  </w:endnote>
  <w:endnote w:type="continuationNotice" w:id="1">
    <w:p w:rsidR="0017213A" w:rsidRDefault="001721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eiryo"/>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Lucida Grande">
    <w:altName w:val="Courier New"/>
    <w:charset w:val="00"/>
    <w:family w:val="auto"/>
    <w:pitch w:val="variable"/>
    <w:sig w:usb0="00000003" w:usb1="00000000" w:usb2="00000000" w:usb3="00000000" w:csb0="00000001" w:csb1="00000000"/>
  </w:font>
  <w:font w:name="Interstate-Light">
    <w:altName w:val="Times New Roman"/>
    <w:panose1 w:val="00000000000000000000"/>
    <w:charset w:val="00"/>
    <w:family w:val="auto"/>
    <w:notTrueType/>
    <w:pitch w:val="variable"/>
    <w:sig w:usb0="00000083" w:usb1="00000000" w:usb2="00000000" w:usb3="00000000" w:csb0="00000009" w:csb1="00000000"/>
  </w:font>
  <w:font w:name="MetaBold-Roman">
    <w:altName w:val="Cambria"/>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Praxis Regular/Regular SC">
    <w:altName w:val="Cambria"/>
    <w:panose1 w:val="00000000000000000000"/>
    <w:charset w:val="4D"/>
    <w:family w:val="swiss"/>
    <w:notTrueType/>
    <w:pitch w:val="default"/>
    <w:sig w:usb0="00000003" w:usb1="00000000" w:usb2="00000000" w:usb3="00000000" w:csb0="00000001" w:csb1="00000000"/>
  </w:font>
  <w:font w:name="Arial Bold">
    <w:panose1 w:val="020B0704020202020204"/>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13A" w:rsidRDefault="001721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13A" w:rsidRPr="003218F6" w:rsidRDefault="0017213A" w:rsidP="003218F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181267"/>
      <w:docPartObj>
        <w:docPartGallery w:val="Page Numbers (Bottom of Page)"/>
        <w:docPartUnique/>
      </w:docPartObj>
    </w:sdtPr>
    <w:sdtEndPr/>
    <w:sdtContent>
      <w:p w:rsidR="0017213A" w:rsidRDefault="008B4063">
        <w:pPr>
          <w:pStyle w:val="Footer"/>
          <w:jc w:val="right"/>
        </w:pPr>
        <w:r w:rsidRPr="00A42F2B">
          <w:rPr>
            <w:rFonts w:ascii="Tahoma" w:hAnsi="Tahoma" w:cs="Tahoma"/>
            <w:sz w:val="20"/>
            <w:szCs w:val="20"/>
          </w:rPr>
          <w:fldChar w:fldCharType="begin"/>
        </w:r>
        <w:r w:rsidR="0017213A" w:rsidRPr="00A42F2B">
          <w:rPr>
            <w:rFonts w:ascii="Tahoma" w:hAnsi="Tahoma" w:cs="Tahoma"/>
            <w:sz w:val="20"/>
            <w:szCs w:val="20"/>
          </w:rPr>
          <w:instrText xml:space="preserve"> PAGE   \* MERGEFORMAT </w:instrText>
        </w:r>
        <w:r w:rsidRPr="00A42F2B">
          <w:rPr>
            <w:rFonts w:ascii="Tahoma" w:hAnsi="Tahoma" w:cs="Tahoma"/>
            <w:sz w:val="20"/>
            <w:szCs w:val="20"/>
          </w:rPr>
          <w:fldChar w:fldCharType="separate"/>
        </w:r>
        <w:r w:rsidR="007449FA">
          <w:rPr>
            <w:rFonts w:ascii="Tahoma" w:hAnsi="Tahoma" w:cs="Tahoma"/>
            <w:noProof/>
            <w:sz w:val="20"/>
            <w:szCs w:val="20"/>
          </w:rPr>
          <w:t>1</w:t>
        </w:r>
        <w:r w:rsidRPr="00A42F2B">
          <w:rPr>
            <w:rFonts w:ascii="Tahoma" w:hAnsi="Tahoma" w:cs="Tahoma"/>
            <w:sz w:val="20"/>
            <w:szCs w:val="20"/>
          </w:rPr>
          <w:fldChar w:fldCharType="end"/>
        </w:r>
      </w:p>
    </w:sdtContent>
  </w:sdt>
  <w:p w:rsidR="0017213A" w:rsidRPr="00371DFB" w:rsidRDefault="0017213A">
    <w:pPr>
      <w:pStyle w:val="Footer"/>
      <w:rPr>
        <w:rFonts w:asciiTheme="majorHAnsi" w:hAnsiTheme="majorHAnsi"/>
        <w:sz w:val="20"/>
        <w:szCs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13A" w:rsidRPr="00397058" w:rsidRDefault="0017213A">
    <w:pPr>
      <w:pStyle w:val="Footer"/>
      <w:rPr>
        <w:rFonts w:asciiTheme="majorHAnsi" w:hAnsiTheme="majorHAnsi"/>
        <w:sz w:val="20"/>
        <w:szCs w:val="20"/>
      </w:rPr>
    </w:pPr>
    <w:r>
      <w:tab/>
    </w:r>
    <w:r>
      <w:tab/>
    </w:r>
    <w:r w:rsidR="008B4063" w:rsidRPr="00397058">
      <w:rPr>
        <w:rStyle w:val="PageNumber"/>
        <w:rFonts w:asciiTheme="majorHAnsi" w:hAnsiTheme="majorHAnsi"/>
        <w:sz w:val="20"/>
        <w:szCs w:val="20"/>
      </w:rPr>
      <w:fldChar w:fldCharType="begin"/>
    </w:r>
    <w:r w:rsidRPr="00397058">
      <w:rPr>
        <w:rStyle w:val="PageNumber"/>
        <w:rFonts w:asciiTheme="majorHAnsi" w:hAnsiTheme="majorHAnsi"/>
        <w:sz w:val="20"/>
        <w:szCs w:val="20"/>
      </w:rPr>
      <w:instrText xml:space="preserve"> PAGE </w:instrText>
    </w:r>
    <w:r w:rsidR="008B4063" w:rsidRPr="00397058">
      <w:rPr>
        <w:rStyle w:val="PageNumber"/>
        <w:rFonts w:asciiTheme="majorHAnsi" w:hAnsiTheme="majorHAnsi"/>
        <w:sz w:val="20"/>
        <w:szCs w:val="20"/>
      </w:rPr>
      <w:fldChar w:fldCharType="separate"/>
    </w:r>
    <w:r w:rsidR="007449FA">
      <w:rPr>
        <w:rStyle w:val="PageNumber"/>
        <w:rFonts w:asciiTheme="majorHAnsi" w:hAnsiTheme="majorHAnsi"/>
        <w:noProof/>
        <w:sz w:val="20"/>
        <w:szCs w:val="20"/>
      </w:rPr>
      <w:t>vi</w:t>
    </w:r>
    <w:r w:rsidR="008B4063" w:rsidRPr="00397058">
      <w:rPr>
        <w:rStyle w:val="PageNumber"/>
        <w:rFonts w:asciiTheme="majorHAnsi" w:hAnsiTheme="majorHAnsi"/>
        <w:sz w:val="20"/>
        <w:szCs w:val="20"/>
      </w:rPr>
      <w:fldChar w:fldCharType="end"/>
    </w:r>
    <w:r w:rsidRPr="00397058">
      <w:rPr>
        <w:rFonts w:asciiTheme="majorHAnsi" w:hAnsiTheme="majorHAnsi"/>
        <w:sz w:val="20"/>
        <w:szCs w:val="20"/>
      </w:rPr>
      <w:tab/>
    </w:r>
    <w:r w:rsidRPr="00397058">
      <w:rPr>
        <w:rFonts w:asciiTheme="majorHAnsi" w:hAnsiTheme="majorHAnsi"/>
        <w:sz w:val="20"/>
        <w:szCs w:val="20"/>
      </w:rPr>
      <w:tab/>
    </w:r>
    <w:r w:rsidRPr="00397058">
      <w:rPr>
        <w:rFonts w:asciiTheme="majorHAnsi" w:hAnsiTheme="majorHAnsi"/>
        <w:sz w:val="20"/>
        <w:szCs w:val="20"/>
      </w:rPr>
      <w:tab/>
    </w:r>
    <w:r w:rsidRPr="00397058">
      <w:rPr>
        <w:rFonts w:asciiTheme="majorHAnsi" w:hAnsiTheme="majorHAnsi"/>
        <w:sz w:val="20"/>
        <w:szCs w:val="20"/>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13A" w:rsidRPr="00397058" w:rsidRDefault="0017213A">
    <w:pPr>
      <w:pStyle w:val="Footer"/>
      <w:rPr>
        <w:rFonts w:asciiTheme="majorHAnsi" w:hAnsiTheme="majorHAnsi"/>
        <w:sz w:val="20"/>
        <w:szCs w:val="20"/>
      </w:rPr>
    </w:pPr>
    <w:r>
      <w:tab/>
    </w:r>
    <w:r>
      <w:tab/>
    </w:r>
    <w:r w:rsidR="008B4063" w:rsidRPr="00397058">
      <w:rPr>
        <w:rStyle w:val="PageNumber"/>
        <w:rFonts w:asciiTheme="majorHAnsi" w:hAnsiTheme="majorHAnsi"/>
        <w:sz w:val="20"/>
        <w:szCs w:val="20"/>
      </w:rPr>
      <w:fldChar w:fldCharType="begin"/>
    </w:r>
    <w:r w:rsidRPr="00397058">
      <w:rPr>
        <w:rStyle w:val="PageNumber"/>
        <w:rFonts w:asciiTheme="majorHAnsi" w:hAnsiTheme="majorHAnsi"/>
        <w:sz w:val="20"/>
        <w:szCs w:val="20"/>
      </w:rPr>
      <w:instrText xml:space="preserve"> PAGE </w:instrText>
    </w:r>
    <w:r w:rsidR="008B4063" w:rsidRPr="00397058">
      <w:rPr>
        <w:rStyle w:val="PageNumber"/>
        <w:rFonts w:asciiTheme="majorHAnsi" w:hAnsiTheme="majorHAnsi"/>
        <w:sz w:val="20"/>
        <w:szCs w:val="20"/>
      </w:rPr>
      <w:fldChar w:fldCharType="separate"/>
    </w:r>
    <w:r w:rsidR="007449FA">
      <w:rPr>
        <w:rStyle w:val="PageNumber"/>
        <w:rFonts w:asciiTheme="majorHAnsi" w:hAnsiTheme="majorHAnsi"/>
        <w:noProof/>
        <w:sz w:val="20"/>
        <w:szCs w:val="20"/>
      </w:rPr>
      <w:t>i</w:t>
    </w:r>
    <w:r w:rsidR="008B4063" w:rsidRPr="00397058">
      <w:rPr>
        <w:rStyle w:val="PageNumber"/>
        <w:rFonts w:asciiTheme="majorHAnsi" w:hAnsiTheme="majorHAnsi"/>
        <w:sz w:val="20"/>
        <w:szCs w:val="20"/>
      </w:rPr>
      <w:fldChar w:fldCharType="end"/>
    </w:r>
    <w:r w:rsidRPr="00397058">
      <w:rPr>
        <w:rFonts w:asciiTheme="majorHAnsi" w:hAnsiTheme="majorHAnsi"/>
        <w:sz w:val="20"/>
        <w:szCs w:val="20"/>
      </w:rPr>
      <w:tab/>
    </w:r>
    <w:r w:rsidRPr="00397058">
      <w:rPr>
        <w:rFonts w:asciiTheme="majorHAnsi" w:hAnsiTheme="majorHAnsi"/>
        <w:sz w:val="20"/>
        <w:szCs w:val="20"/>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13A" w:rsidRPr="00371DFB" w:rsidRDefault="0017213A">
    <w:pPr>
      <w:pStyle w:val="Footer"/>
      <w:rPr>
        <w:rFonts w:asciiTheme="majorHAnsi" w:hAnsiTheme="majorHAnsi"/>
        <w:sz w:val="20"/>
        <w:szCs w:val="20"/>
      </w:rPr>
    </w:pPr>
    <w:r>
      <w:tab/>
    </w:r>
    <w:r>
      <w:tab/>
    </w:r>
    <w:r w:rsidR="008B4063" w:rsidRPr="00371DFB">
      <w:rPr>
        <w:rStyle w:val="PageNumber"/>
        <w:rFonts w:asciiTheme="majorHAnsi" w:hAnsiTheme="majorHAnsi"/>
        <w:sz w:val="20"/>
        <w:szCs w:val="20"/>
      </w:rPr>
      <w:fldChar w:fldCharType="begin"/>
    </w:r>
    <w:r w:rsidRPr="00371DFB">
      <w:rPr>
        <w:rStyle w:val="PageNumber"/>
        <w:rFonts w:asciiTheme="majorHAnsi" w:hAnsiTheme="majorHAnsi"/>
        <w:sz w:val="20"/>
        <w:szCs w:val="20"/>
      </w:rPr>
      <w:instrText xml:space="preserve"> PAGE </w:instrText>
    </w:r>
    <w:r w:rsidR="008B4063" w:rsidRPr="00371DFB">
      <w:rPr>
        <w:rStyle w:val="PageNumber"/>
        <w:rFonts w:asciiTheme="majorHAnsi" w:hAnsiTheme="majorHAnsi"/>
        <w:sz w:val="20"/>
        <w:szCs w:val="20"/>
      </w:rPr>
      <w:fldChar w:fldCharType="separate"/>
    </w:r>
    <w:r w:rsidR="007449FA">
      <w:rPr>
        <w:rStyle w:val="PageNumber"/>
        <w:rFonts w:asciiTheme="majorHAnsi" w:hAnsiTheme="majorHAnsi"/>
        <w:noProof/>
        <w:sz w:val="20"/>
        <w:szCs w:val="20"/>
      </w:rPr>
      <w:t>2</w:t>
    </w:r>
    <w:r w:rsidR="008B4063" w:rsidRPr="00371DFB">
      <w:rPr>
        <w:rStyle w:val="PageNumber"/>
        <w:rFonts w:asciiTheme="majorHAnsi" w:hAnsiTheme="majorHAnsi"/>
        <w:sz w:val="20"/>
        <w:szCs w:val="20"/>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13A" w:rsidRPr="00371DFB" w:rsidRDefault="0017213A">
    <w:pPr>
      <w:pStyle w:val="Footer"/>
      <w:rPr>
        <w:rFonts w:asciiTheme="majorHAnsi" w:hAnsiTheme="majorHAnsi"/>
        <w:sz w:val="20"/>
        <w:szCs w:val="20"/>
      </w:rPr>
    </w:pPr>
    <w:r>
      <w:tab/>
    </w:r>
    <w:r>
      <w:tab/>
    </w:r>
    <w:r w:rsidR="008B4063" w:rsidRPr="00371DFB">
      <w:rPr>
        <w:rStyle w:val="PageNumber"/>
        <w:rFonts w:asciiTheme="majorHAnsi" w:hAnsiTheme="majorHAnsi"/>
        <w:sz w:val="20"/>
        <w:szCs w:val="20"/>
      </w:rPr>
      <w:fldChar w:fldCharType="begin"/>
    </w:r>
    <w:r w:rsidRPr="00371DFB">
      <w:rPr>
        <w:rStyle w:val="PageNumber"/>
        <w:rFonts w:asciiTheme="majorHAnsi" w:hAnsiTheme="majorHAnsi"/>
        <w:sz w:val="20"/>
        <w:szCs w:val="20"/>
      </w:rPr>
      <w:instrText xml:space="preserve"> PAGE </w:instrText>
    </w:r>
    <w:r w:rsidR="008B4063" w:rsidRPr="00371DFB">
      <w:rPr>
        <w:rStyle w:val="PageNumber"/>
        <w:rFonts w:asciiTheme="majorHAnsi" w:hAnsiTheme="majorHAnsi"/>
        <w:sz w:val="20"/>
        <w:szCs w:val="20"/>
      </w:rPr>
      <w:fldChar w:fldCharType="separate"/>
    </w:r>
    <w:r w:rsidR="007449FA">
      <w:rPr>
        <w:rStyle w:val="PageNumber"/>
        <w:rFonts w:asciiTheme="majorHAnsi" w:hAnsiTheme="majorHAnsi"/>
        <w:noProof/>
        <w:sz w:val="20"/>
        <w:szCs w:val="20"/>
      </w:rPr>
      <w:t>1</w:t>
    </w:r>
    <w:r w:rsidR="008B4063" w:rsidRPr="00371DFB">
      <w:rPr>
        <w:rStyle w:val="PageNumber"/>
        <w:rFonts w:asciiTheme="majorHAnsi" w:hAnsiTheme="majorHAnsi"/>
        <w:sz w:val="20"/>
        <w:szCs w:val="20"/>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13A" w:rsidRPr="00371DFB" w:rsidRDefault="0017213A">
    <w:pPr>
      <w:pStyle w:val="Footer"/>
      <w:rPr>
        <w:rFonts w:asciiTheme="majorHAnsi" w:hAnsiTheme="majorHAnsi"/>
        <w:sz w:val="20"/>
        <w:szCs w:val="20"/>
      </w:rPr>
    </w:pPr>
    <w:r>
      <w:tab/>
    </w:r>
    <w:r>
      <w:tab/>
    </w:r>
    <w:r w:rsidR="008B4063" w:rsidRPr="00371DFB">
      <w:rPr>
        <w:rStyle w:val="PageNumber"/>
        <w:rFonts w:asciiTheme="majorHAnsi" w:hAnsiTheme="majorHAnsi"/>
        <w:sz w:val="20"/>
        <w:szCs w:val="20"/>
      </w:rPr>
      <w:fldChar w:fldCharType="begin"/>
    </w:r>
    <w:r w:rsidRPr="00371DFB">
      <w:rPr>
        <w:rStyle w:val="PageNumber"/>
        <w:rFonts w:asciiTheme="majorHAnsi" w:hAnsiTheme="majorHAnsi"/>
        <w:sz w:val="20"/>
        <w:szCs w:val="20"/>
      </w:rPr>
      <w:instrText xml:space="preserve"> PAGE </w:instrText>
    </w:r>
    <w:r w:rsidR="008B4063" w:rsidRPr="00371DFB">
      <w:rPr>
        <w:rStyle w:val="PageNumber"/>
        <w:rFonts w:asciiTheme="majorHAnsi" w:hAnsiTheme="majorHAnsi"/>
        <w:sz w:val="20"/>
        <w:szCs w:val="20"/>
      </w:rPr>
      <w:fldChar w:fldCharType="separate"/>
    </w:r>
    <w:r w:rsidR="007449FA">
      <w:rPr>
        <w:rStyle w:val="PageNumber"/>
        <w:rFonts w:asciiTheme="majorHAnsi" w:hAnsiTheme="majorHAnsi"/>
        <w:noProof/>
        <w:sz w:val="20"/>
        <w:szCs w:val="20"/>
      </w:rPr>
      <w:t>56</w:t>
    </w:r>
    <w:r w:rsidR="008B4063" w:rsidRPr="00371DFB">
      <w:rPr>
        <w:rStyle w:val="PageNumber"/>
        <w:rFonts w:asciiTheme="majorHAnsi" w:hAnsiTheme="majorHAnsi"/>
        <w:sz w:val="20"/>
        <w:szCs w:val="20"/>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13A" w:rsidRPr="00371DFB" w:rsidRDefault="0017213A">
    <w:pPr>
      <w:pStyle w:val="Footer"/>
      <w:rPr>
        <w:rFonts w:asciiTheme="majorHAnsi" w:hAnsiTheme="majorHAnsi"/>
        <w:sz w:val="20"/>
        <w:szCs w:val="20"/>
      </w:rPr>
    </w:pPr>
    <w:r>
      <w:tab/>
    </w:r>
    <w:r>
      <w:tab/>
    </w:r>
    <w:r w:rsidR="008B4063" w:rsidRPr="00371DFB">
      <w:rPr>
        <w:rStyle w:val="PageNumber"/>
        <w:rFonts w:asciiTheme="majorHAnsi" w:hAnsiTheme="majorHAnsi"/>
        <w:sz w:val="20"/>
        <w:szCs w:val="20"/>
      </w:rPr>
      <w:fldChar w:fldCharType="begin"/>
    </w:r>
    <w:r w:rsidRPr="00371DFB">
      <w:rPr>
        <w:rStyle w:val="PageNumber"/>
        <w:rFonts w:asciiTheme="majorHAnsi" w:hAnsiTheme="majorHAnsi"/>
        <w:sz w:val="20"/>
        <w:szCs w:val="20"/>
      </w:rPr>
      <w:instrText xml:space="preserve"> PAGE </w:instrText>
    </w:r>
    <w:r w:rsidR="008B4063" w:rsidRPr="00371DFB">
      <w:rPr>
        <w:rStyle w:val="PageNumber"/>
        <w:rFonts w:asciiTheme="majorHAnsi" w:hAnsiTheme="majorHAnsi"/>
        <w:sz w:val="20"/>
        <w:szCs w:val="20"/>
      </w:rPr>
      <w:fldChar w:fldCharType="separate"/>
    </w:r>
    <w:r w:rsidR="007449FA">
      <w:rPr>
        <w:rStyle w:val="PageNumber"/>
        <w:rFonts w:asciiTheme="majorHAnsi" w:hAnsiTheme="majorHAnsi"/>
        <w:noProof/>
        <w:sz w:val="20"/>
        <w:szCs w:val="20"/>
      </w:rPr>
      <w:t>53</w:t>
    </w:r>
    <w:r w:rsidR="008B4063" w:rsidRPr="00371DFB">
      <w:rPr>
        <w:rStyle w:val="PageNumber"/>
        <w:rFonts w:asciiTheme="majorHAnsi" w:hAnsiTheme="majorHAnsi"/>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213A" w:rsidRDefault="0017213A" w:rsidP="00371DFB">
      <w:r>
        <w:separator/>
      </w:r>
    </w:p>
  </w:footnote>
  <w:footnote w:type="continuationSeparator" w:id="0">
    <w:p w:rsidR="0017213A" w:rsidRDefault="0017213A" w:rsidP="00371DFB">
      <w:r>
        <w:continuationSeparator/>
      </w:r>
    </w:p>
  </w:footnote>
  <w:footnote w:type="continuationNotice" w:id="1">
    <w:p w:rsidR="0017213A" w:rsidRDefault="0017213A"/>
  </w:footnote>
  <w:footnote w:id="2">
    <w:p w:rsidR="0017213A" w:rsidRPr="00D357A4" w:rsidRDefault="0017213A" w:rsidP="0027558B">
      <w:pPr>
        <w:rPr>
          <w:rFonts w:ascii="Arial" w:hAnsi="Arial" w:cs="Arial"/>
          <w:sz w:val="20"/>
          <w:szCs w:val="20"/>
        </w:rPr>
      </w:pPr>
      <w:r w:rsidRPr="00D357A4">
        <w:rPr>
          <w:rStyle w:val="FootnoteReference"/>
          <w:rFonts w:ascii="Arial" w:hAnsi="Arial" w:cs="Arial"/>
          <w:sz w:val="20"/>
          <w:szCs w:val="20"/>
        </w:rPr>
        <w:footnoteRef/>
      </w:r>
      <w:r w:rsidRPr="00D357A4">
        <w:rPr>
          <w:rFonts w:ascii="Arial" w:hAnsi="Arial" w:cs="Arial"/>
          <w:sz w:val="20"/>
          <w:szCs w:val="20"/>
        </w:rPr>
        <w:t xml:space="preserve"> Department of Treasury and Finance 2011, </w:t>
      </w:r>
      <w:r w:rsidRPr="00D357A4">
        <w:rPr>
          <w:rFonts w:ascii="Arial" w:hAnsi="Arial" w:cs="Arial"/>
          <w:i/>
          <w:sz w:val="20"/>
          <w:szCs w:val="20"/>
        </w:rPr>
        <w:t>Victorian Guide to Regulation incorporating: Guidelines made under the Subordinate Legislation Act 1994</w:t>
      </w:r>
      <w:r w:rsidRPr="00D357A4">
        <w:rPr>
          <w:rFonts w:ascii="Arial" w:hAnsi="Arial" w:cs="Arial"/>
          <w:sz w:val="20"/>
          <w:szCs w:val="20"/>
        </w:rPr>
        <w:t>,</w:t>
      </w:r>
      <w:r w:rsidRPr="00D357A4">
        <w:rPr>
          <w:rFonts w:ascii="Arial" w:hAnsi="Arial" w:cs="Arial"/>
          <w:i/>
          <w:sz w:val="20"/>
          <w:szCs w:val="20"/>
        </w:rPr>
        <w:t xml:space="preserve"> </w:t>
      </w:r>
      <w:r w:rsidRPr="00D357A4">
        <w:rPr>
          <w:rFonts w:ascii="Arial" w:hAnsi="Arial" w:cs="Arial"/>
          <w:sz w:val="20"/>
          <w:szCs w:val="20"/>
        </w:rPr>
        <w:t>2.1 ed, August 2011,</w:t>
      </w:r>
      <w:r w:rsidRPr="00D357A4">
        <w:rPr>
          <w:rFonts w:ascii="Arial" w:hAnsi="Arial" w:cs="Arial"/>
          <w:i/>
          <w:sz w:val="20"/>
          <w:szCs w:val="20"/>
        </w:rPr>
        <w:t xml:space="preserve"> </w:t>
      </w:r>
      <w:r w:rsidRPr="00D357A4">
        <w:rPr>
          <w:rFonts w:ascii="Arial" w:hAnsi="Arial" w:cs="Arial"/>
          <w:sz w:val="20"/>
          <w:szCs w:val="20"/>
        </w:rPr>
        <w:t>Melbourne.</w:t>
      </w:r>
    </w:p>
  </w:footnote>
  <w:footnote w:id="3">
    <w:p w:rsidR="0017213A" w:rsidRPr="00D357A4" w:rsidRDefault="0017213A">
      <w:pPr>
        <w:pStyle w:val="FootnoteText"/>
        <w:rPr>
          <w:rFonts w:ascii="Arial" w:hAnsi="Arial" w:cs="Arial"/>
          <w:sz w:val="20"/>
          <w:szCs w:val="20"/>
        </w:rPr>
      </w:pPr>
      <w:r w:rsidRPr="00D357A4">
        <w:rPr>
          <w:rStyle w:val="FootnoteReference"/>
          <w:rFonts w:ascii="Arial" w:hAnsi="Arial" w:cs="Arial"/>
          <w:sz w:val="20"/>
          <w:szCs w:val="20"/>
        </w:rPr>
        <w:footnoteRef/>
      </w:r>
      <w:r w:rsidRPr="00D357A4">
        <w:rPr>
          <w:rFonts w:ascii="Arial" w:hAnsi="Arial" w:cs="Arial"/>
          <w:sz w:val="20"/>
          <w:szCs w:val="20"/>
        </w:rPr>
        <w:t xml:space="preserve"> Victorian Auditor-General’s Office, 2013, </w:t>
      </w:r>
      <w:r w:rsidRPr="00D357A4">
        <w:rPr>
          <w:rFonts w:ascii="Arial" w:hAnsi="Arial" w:cs="Arial"/>
          <w:bCs/>
          <w:i/>
          <w:sz w:val="20"/>
          <w:szCs w:val="20"/>
          <w:lang w:val="en-AU"/>
        </w:rPr>
        <w:t>Local Government: Results of the 2012–13 Audits</w:t>
      </w:r>
    </w:p>
  </w:footnote>
  <w:footnote w:id="4">
    <w:p w:rsidR="0017213A" w:rsidRPr="00D357A4" w:rsidRDefault="0017213A">
      <w:pPr>
        <w:pStyle w:val="FootnoteText"/>
        <w:rPr>
          <w:rFonts w:ascii="Arial" w:hAnsi="Arial" w:cs="Arial"/>
          <w:bCs/>
          <w:sz w:val="20"/>
          <w:szCs w:val="20"/>
          <w:lang w:val="en-AU"/>
        </w:rPr>
      </w:pPr>
      <w:r w:rsidRPr="00D357A4">
        <w:rPr>
          <w:rStyle w:val="FootnoteReference"/>
          <w:rFonts w:ascii="Arial" w:hAnsi="Arial" w:cs="Arial"/>
          <w:sz w:val="20"/>
          <w:szCs w:val="20"/>
        </w:rPr>
        <w:footnoteRef/>
      </w:r>
      <w:r w:rsidRPr="00D357A4">
        <w:rPr>
          <w:rFonts w:ascii="Arial" w:hAnsi="Arial" w:cs="Arial"/>
          <w:sz w:val="20"/>
          <w:szCs w:val="20"/>
        </w:rPr>
        <w:t xml:space="preserve"> Victorian Auditor-General’s Office</w:t>
      </w:r>
      <w:r w:rsidRPr="00D357A4">
        <w:rPr>
          <w:rFonts w:ascii="Arial" w:hAnsi="Arial" w:cs="Arial"/>
          <w:b/>
          <w:bCs/>
          <w:sz w:val="20"/>
          <w:szCs w:val="20"/>
          <w:lang w:val="en-AU"/>
        </w:rPr>
        <w:t xml:space="preserve">, </w:t>
      </w:r>
      <w:r w:rsidRPr="00D357A4">
        <w:rPr>
          <w:rFonts w:ascii="Arial" w:hAnsi="Arial" w:cs="Arial"/>
          <w:sz w:val="20"/>
          <w:szCs w:val="20"/>
        </w:rPr>
        <w:t xml:space="preserve">2014, </w:t>
      </w:r>
      <w:r w:rsidRPr="00D357A4">
        <w:rPr>
          <w:rFonts w:ascii="Arial" w:hAnsi="Arial" w:cs="Arial"/>
          <w:bCs/>
          <w:i/>
          <w:sz w:val="20"/>
          <w:szCs w:val="20"/>
          <w:lang w:val="en-AU"/>
        </w:rPr>
        <w:t xml:space="preserve">Asset Management and Maintenance by Councils </w:t>
      </w:r>
      <w:r w:rsidRPr="00D357A4">
        <w:rPr>
          <w:rFonts w:ascii="Arial" w:hAnsi="Arial" w:cs="Arial"/>
          <w:bCs/>
          <w:sz w:val="20"/>
          <w:szCs w:val="20"/>
          <w:lang w:val="en-AU"/>
        </w:rPr>
        <w:t>[online webpage]</w:t>
      </w:r>
    </w:p>
  </w:footnote>
  <w:footnote w:id="5">
    <w:p w:rsidR="0017213A" w:rsidRPr="00D357A4" w:rsidRDefault="0017213A">
      <w:pPr>
        <w:pStyle w:val="FootnoteText"/>
        <w:rPr>
          <w:rFonts w:ascii="Arial" w:hAnsi="Arial" w:cs="Arial"/>
          <w:sz w:val="20"/>
          <w:szCs w:val="20"/>
        </w:rPr>
      </w:pPr>
      <w:r w:rsidRPr="00D357A4">
        <w:rPr>
          <w:rStyle w:val="FootnoteReference"/>
          <w:rFonts w:ascii="Arial" w:hAnsi="Arial" w:cs="Arial"/>
          <w:sz w:val="20"/>
          <w:szCs w:val="20"/>
        </w:rPr>
        <w:footnoteRef/>
      </w:r>
      <w:r w:rsidRPr="00D357A4">
        <w:rPr>
          <w:rFonts w:ascii="Arial" w:hAnsi="Arial" w:cs="Arial"/>
          <w:sz w:val="20"/>
          <w:szCs w:val="20"/>
        </w:rPr>
        <w:t xml:space="preserve"> V</w:t>
      </w:r>
      <w:r w:rsidRPr="00D357A4">
        <w:rPr>
          <w:rFonts w:ascii="Arial" w:eastAsia="Times New Roman" w:hAnsi="Arial" w:cs="Arial"/>
          <w:sz w:val="20"/>
          <w:szCs w:val="20"/>
          <w:lang w:val="en-AU" w:eastAsia="en-US"/>
        </w:rPr>
        <w:t xml:space="preserve">ictorian Competition and Efficiency Commission, 2008, </w:t>
      </w:r>
      <w:r w:rsidRPr="00D357A4">
        <w:rPr>
          <w:rFonts w:ascii="Arial" w:eastAsia="Times New Roman" w:hAnsi="Arial" w:cs="Arial"/>
          <w:i/>
          <w:sz w:val="20"/>
          <w:szCs w:val="20"/>
          <w:lang w:val="en-AU" w:eastAsia="en-US"/>
        </w:rPr>
        <w:t>Water Ways: Inquiry into Reform of the Metropolitan Retail Water Sector</w:t>
      </w:r>
      <w:r w:rsidRPr="00D357A4">
        <w:rPr>
          <w:rFonts w:ascii="Arial" w:eastAsia="Times New Roman" w:hAnsi="Arial" w:cs="Arial"/>
          <w:sz w:val="20"/>
          <w:szCs w:val="20"/>
          <w:lang w:val="en-AU" w:eastAsia="en-US"/>
        </w:rPr>
        <w:t>, final report.</w:t>
      </w:r>
    </w:p>
  </w:footnote>
  <w:footnote w:id="6">
    <w:p w:rsidR="0017213A" w:rsidRPr="00D357A4" w:rsidRDefault="0017213A">
      <w:pPr>
        <w:pStyle w:val="FootnoteText"/>
        <w:rPr>
          <w:rFonts w:ascii="Arial" w:hAnsi="Arial" w:cs="Arial"/>
          <w:sz w:val="20"/>
          <w:szCs w:val="20"/>
        </w:rPr>
      </w:pPr>
      <w:r w:rsidRPr="00D357A4">
        <w:rPr>
          <w:rStyle w:val="FootnoteReference"/>
          <w:rFonts w:ascii="Arial" w:hAnsi="Arial" w:cs="Arial"/>
          <w:sz w:val="20"/>
          <w:szCs w:val="20"/>
        </w:rPr>
        <w:footnoteRef/>
      </w:r>
      <w:r w:rsidRPr="00D357A4">
        <w:rPr>
          <w:rFonts w:ascii="Arial" w:hAnsi="Arial" w:cs="Arial"/>
          <w:sz w:val="20"/>
          <w:szCs w:val="20"/>
        </w:rPr>
        <w:t xml:space="preserve"> Victorian Auditor-General’s Office, </w:t>
      </w:r>
      <w:r w:rsidRPr="00D357A4">
        <w:rPr>
          <w:rFonts w:ascii="Arial" w:eastAsia="Calibri" w:hAnsi="Arial" w:cs="Arial"/>
          <w:sz w:val="20"/>
          <w:szCs w:val="20"/>
        </w:rPr>
        <w:t xml:space="preserve">2012, </w:t>
      </w:r>
      <w:r w:rsidRPr="00D357A4">
        <w:rPr>
          <w:rFonts w:ascii="Arial" w:eastAsia="Calibri" w:hAnsi="Arial" w:cs="Arial"/>
          <w:i/>
          <w:sz w:val="20"/>
          <w:szCs w:val="20"/>
        </w:rPr>
        <w:t>Performance Reporting by Local Government</w:t>
      </w:r>
    </w:p>
  </w:footnote>
  <w:footnote w:id="7">
    <w:p w:rsidR="0017213A" w:rsidRPr="001F434F" w:rsidRDefault="0017213A">
      <w:pPr>
        <w:pStyle w:val="FootnoteText"/>
        <w:rPr>
          <w:lang w:val="en-AU"/>
        </w:rPr>
      </w:pPr>
      <w:r>
        <w:rPr>
          <w:rStyle w:val="FootnoteReference"/>
        </w:rPr>
        <w:footnoteRef/>
      </w:r>
      <w:r>
        <w:t xml:space="preserve">  </w:t>
      </w:r>
      <w:r w:rsidRPr="00D733EB">
        <w:rPr>
          <w:rFonts w:ascii="Tahoma" w:hAnsi="Tahoma" w:cs="Tahoma"/>
          <w:sz w:val="20"/>
        </w:rPr>
        <w:t>The 43 councils’ represented in the pilot program included 13 inner metropolitan, 11 outer metropolitan, 5 rural cities and regional centers, 5 large rural shires and 9 small rural shires.</w:t>
      </w:r>
    </w:p>
  </w:footnote>
  <w:footnote w:id="8">
    <w:p w:rsidR="0017213A" w:rsidRPr="00D357A4" w:rsidRDefault="0017213A">
      <w:pPr>
        <w:pStyle w:val="FootnoteText"/>
        <w:rPr>
          <w:rFonts w:ascii="Arial" w:hAnsi="Arial" w:cs="Arial"/>
          <w:sz w:val="20"/>
          <w:szCs w:val="20"/>
        </w:rPr>
      </w:pPr>
      <w:r w:rsidRPr="000575D6">
        <w:rPr>
          <w:rStyle w:val="FootnoteReference"/>
          <w:rFonts w:ascii="Arial" w:hAnsi="Arial" w:cs="Arial"/>
          <w:sz w:val="20"/>
          <w:szCs w:val="20"/>
        </w:rPr>
        <w:footnoteRef/>
      </w:r>
      <w:r w:rsidRPr="000575D6">
        <w:rPr>
          <w:rFonts w:ascii="Arial" w:hAnsi="Arial" w:cs="Arial"/>
          <w:sz w:val="20"/>
          <w:szCs w:val="20"/>
        </w:rPr>
        <w:t xml:space="preserve"> The multi-criteria approach is discussed </w:t>
      </w:r>
      <w:r>
        <w:rPr>
          <w:rFonts w:ascii="Arial" w:hAnsi="Arial" w:cs="Arial"/>
          <w:sz w:val="20"/>
          <w:szCs w:val="20"/>
        </w:rPr>
        <w:t>at section 3.5</w:t>
      </w:r>
      <w:r w:rsidRPr="000575D6">
        <w:rPr>
          <w:rFonts w:ascii="Arial" w:hAnsi="Arial" w:cs="Arial"/>
          <w:sz w:val="20"/>
          <w:szCs w:val="20"/>
        </w:rPr>
        <w:t>, including an explanation of how each criterion has been weighted in the calculation of the overall score.</w:t>
      </w:r>
    </w:p>
  </w:footnote>
  <w:footnote w:id="9">
    <w:p w:rsidR="0017213A" w:rsidRPr="000876C4" w:rsidRDefault="0017213A">
      <w:pPr>
        <w:pStyle w:val="FootnoteText"/>
        <w:rPr>
          <w:rFonts w:ascii="Arial" w:hAnsi="Arial" w:cs="Arial"/>
          <w:sz w:val="20"/>
          <w:szCs w:val="20"/>
        </w:rPr>
      </w:pPr>
      <w:r w:rsidRPr="00D357A4">
        <w:rPr>
          <w:rStyle w:val="FootnoteReference"/>
          <w:rFonts w:ascii="Arial" w:hAnsi="Arial" w:cs="Arial"/>
          <w:sz w:val="20"/>
          <w:szCs w:val="20"/>
        </w:rPr>
        <w:footnoteRef/>
      </w:r>
      <w:r w:rsidRPr="000876C4">
        <w:rPr>
          <w:rFonts w:ascii="Arial" w:hAnsi="Arial" w:cs="Arial"/>
          <w:sz w:val="20"/>
          <w:szCs w:val="20"/>
        </w:rPr>
        <w:t xml:space="preserve"> Local Government Act, section 3C(2)(g).</w:t>
      </w:r>
    </w:p>
  </w:footnote>
  <w:footnote w:id="10">
    <w:p w:rsidR="0017213A" w:rsidRPr="0090145D" w:rsidRDefault="0017213A">
      <w:pPr>
        <w:pStyle w:val="FootnoteText"/>
        <w:rPr>
          <w:rFonts w:ascii="Arial" w:hAnsi="Arial" w:cs="Arial"/>
          <w:sz w:val="20"/>
          <w:szCs w:val="20"/>
        </w:rPr>
      </w:pPr>
      <w:r w:rsidRPr="00B73ADC">
        <w:rPr>
          <w:rStyle w:val="FootnoteReference"/>
          <w:rFonts w:ascii="Arial" w:hAnsi="Arial" w:cs="Arial"/>
          <w:sz w:val="20"/>
          <w:szCs w:val="20"/>
        </w:rPr>
        <w:footnoteRef/>
      </w:r>
      <w:r w:rsidRPr="00B73ADC">
        <w:rPr>
          <w:rFonts w:ascii="Arial" w:hAnsi="Arial" w:cs="Arial"/>
          <w:sz w:val="20"/>
          <w:szCs w:val="20"/>
        </w:rPr>
        <w:t xml:space="preserve"> VAGO, 2012, </w:t>
      </w:r>
      <w:r w:rsidRPr="00292D14">
        <w:rPr>
          <w:rFonts w:ascii="Arial" w:hAnsi="Arial" w:cs="Arial"/>
          <w:i/>
          <w:sz w:val="20"/>
          <w:szCs w:val="20"/>
        </w:rPr>
        <w:t>Performance Reporting by Local Government</w:t>
      </w:r>
      <w:r w:rsidRPr="0090145D">
        <w:rPr>
          <w:rFonts w:ascii="Arial" w:hAnsi="Arial" w:cs="Arial"/>
          <w:sz w:val="20"/>
          <w:szCs w:val="20"/>
        </w:rPr>
        <w:t>, 2011-12:27.</w:t>
      </w:r>
    </w:p>
  </w:footnote>
  <w:footnote w:id="11">
    <w:p w:rsidR="0017213A" w:rsidRPr="00F90890" w:rsidRDefault="0017213A">
      <w:pPr>
        <w:pStyle w:val="FootnoteText"/>
        <w:rPr>
          <w:rFonts w:ascii="Arial" w:hAnsi="Arial" w:cs="Arial"/>
          <w:sz w:val="20"/>
          <w:szCs w:val="20"/>
        </w:rPr>
      </w:pPr>
      <w:r w:rsidRPr="0090145D">
        <w:rPr>
          <w:rStyle w:val="FootnoteReference"/>
          <w:rFonts w:ascii="Arial" w:hAnsi="Arial" w:cs="Arial"/>
          <w:sz w:val="20"/>
          <w:szCs w:val="20"/>
        </w:rPr>
        <w:footnoteRef/>
      </w:r>
      <w:r w:rsidRPr="0090145D">
        <w:rPr>
          <w:rFonts w:ascii="Arial" w:hAnsi="Arial" w:cs="Arial"/>
          <w:sz w:val="20"/>
          <w:szCs w:val="20"/>
        </w:rPr>
        <w:t xml:space="preserve"> Victorian Government 2012, </w:t>
      </w:r>
      <w:r w:rsidRPr="003C6717">
        <w:rPr>
          <w:rFonts w:ascii="Arial" w:hAnsi="Arial" w:cs="Arial"/>
          <w:i/>
          <w:sz w:val="20"/>
          <w:szCs w:val="20"/>
        </w:rPr>
        <w:t xml:space="preserve">Securing Victoria’s Economy – Planning, </w:t>
      </w:r>
      <w:r w:rsidRPr="00E6590B">
        <w:rPr>
          <w:rFonts w:ascii="Arial" w:hAnsi="Arial" w:cs="Arial"/>
          <w:i/>
          <w:sz w:val="20"/>
          <w:szCs w:val="20"/>
        </w:rPr>
        <w:t>Building, Delivering</w:t>
      </w:r>
      <w:r w:rsidRPr="00F90890">
        <w:rPr>
          <w:rFonts w:ascii="Arial" w:hAnsi="Arial" w:cs="Arial"/>
          <w:sz w:val="20"/>
          <w:szCs w:val="20"/>
        </w:rPr>
        <w:t>.</w:t>
      </w:r>
    </w:p>
  </w:footnote>
  <w:footnote w:id="12">
    <w:p w:rsidR="0017213A" w:rsidRPr="00D357A4" w:rsidRDefault="0017213A">
      <w:pPr>
        <w:pStyle w:val="FootnoteText"/>
        <w:rPr>
          <w:rFonts w:ascii="Arial" w:hAnsi="Arial" w:cs="Arial"/>
          <w:sz w:val="20"/>
          <w:szCs w:val="20"/>
        </w:rPr>
      </w:pPr>
      <w:r>
        <w:rPr>
          <w:rStyle w:val="FootnoteReference"/>
          <w:rFonts w:ascii="Arial" w:hAnsi="Arial" w:cs="Arial"/>
          <w:sz w:val="20"/>
          <w:szCs w:val="20"/>
        </w:rPr>
        <w:footnoteRef/>
      </w:r>
      <w:r w:rsidRPr="000575D6">
        <w:rPr>
          <w:rFonts w:ascii="Arial" w:hAnsi="Arial" w:cs="Arial"/>
          <w:sz w:val="20"/>
          <w:szCs w:val="20"/>
        </w:rPr>
        <w:t xml:space="preserve"> Essential Services Commission 2010, </w:t>
      </w:r>
      <w:r w:rsidRPr="000575D6">
        <w:rPr>
          <w:rFonts w:ascii="Arial" w:hAnsi="Arial" w:cs="Arial"/>
          <w:i/>
          <w:sz w:val="20"/>
          <w:szCs w:val="20"/>
        </w:rPr>
        <w:t>About local government and what it does</w:t>
      </w:r>
      <w:r w:rsidRPr="000575D6">
        <w:rPr>
          <w:rFonts w:ascii="Arial" w:hAnsi="Arial" w:cs="Arial"/>
          <w:sz w:val="20"/>
          <w:szCs w:val="20"/>
        </w:rPr>
        <w:t>.</w:t>
      </w:r>
    </w:p>
  </w:footnote>
  <w:footnote w:id="13">
    <w:p w:rsidR="0017213A" w:rsidRPr="00D357A4" w:rsidRDefault="0017213A">
      <w:pPr>
        <w:pStyle w:val="FootnoteText"/>
        <w:rPr>
          <w:rFonts w:ascii="Arial" w:hAnsi="Arial" w:cs="Arial"/>
          <w:sz w:val="20"/>
          <w:szCs w:val="20"/>
        </w:rPr>
      </w:pPr>
      <w:r>
        <w:rPr>
          <w:rStyle w:val="FootnoteReference"/>
          <w:rFonts w:ascii="Arial" w:hAnsi="Arial" w:cs="Arial"/>
          <w:sz w:val="20"/>
          <w:szCs w:val="20"/>
        </w:rPr>
        <w:footnoteRef/>
      </w:r>
      <w:r w:rsidRPr="000575D6">
        <w:rPr>
          <w:rFonts w:ascii="Arial" w:hAnsi="Arial" w:cs="Arial"/>
          <w:sz w:val="20"/>
          <w:szCs w:val="20"/>
        </w:rPr>
        <w:t xml:space="preserve"> Edition 2.1 page 9.</w:t>
      </w:r>
    </w:p>
  </w:footnote>
  <w:footnote w:id="14">
    <w:p w:rsidR="0017213A" w:rsidRPr="00D357A4" w:rsidRDefault="0017213A">
      <w:pPr>
        <w:pStyle w:val="FootnoteText"/>
        <w:rPr>
          <w:rFonts w:ascii="Arial" w:hAnsi="Arial" w:cs="Arial"/>
          <w:sz w:val="20"/>
          <w:szCs w:val="20"/>
        </w:rPr>
      </w:pPr>
      <w:r>
        <w:rPr>
          <w:rStyle w:val="FootnoteReference"/>
          <w:rFonts w:ascii="Arial" w:hAnsi="Arial" w:cs="Arial"/>
          <w:sz w:val="20"/>
          <w:szCs w:val="20"/>
        </w:rPr>
        <w:footnoteRef/>
      </w:r>
      <w:r w:rsidRPr="000575D6">
        <w:rPr>
          <w:rFonts w:ascii="Arial" w:hAnsi="Arial" w:cs="Arial"/>
          <w:sz w:val="20"/>
          <w:szCs w:val="20"/>
        </w:rPr>
        <w:t xml:space="preserve"> VAGO, 2012, </w:t>
      </w:r>
      <w:r w:rsidRPr="000575D6">
        <w:rPr>
          <w:rFonts w:ascii="Arial" w:hAnsi="Arial" w:cs="Arial"/>
          <w:i/>
          <w:sz w:val="20"/>
          <w:szCs w:val="20"/>
        </w:rPr>
        <w:t>Performance Reporting by Local Government</w:t>
      </w:r>
      <w:r w:rsidRPr="000575D6">
        <w:rPr>
          <w:rFonts w:ascii="Arial" w:hAnsi="Arial" w:cs="Arial"/>
          <w:sz w:val="20"/>
          <w:szCs w:val="20"/>
        </w:rPr>
        <w:t>.</w:t>
      </w:r>
    </w:p>
  </w:footnote>
  <w:footnote w:id="15">
    <w:p w:rsidR="0017213A" w:rsidRPr="00D357A4" w:rsidRDefault="0017213A" w:rsidP="006F1FDB">
      <w:pPr>
        <w:pStyle w:val="FootnoteText"/>
        <w:rPr>
          <w:rFonts w:ascii="Arial" w:hAnsi="Arial" w:cs="Arial"/>
          <w:sz w:val="20"/>
          <w:szCs w:val="20"/>
        </w:rPr>
      </w:pPr>
      <w:r>
        <w:rPr>
          <w:rStyle w:val="FootnoteReference"/>
          <w:rFonts w:ascii="Arial" w:hAnsi="Arial" w:cs="Arial"/>
          <w:sz w:val="20"/>
          <w:szCs w:val="20"/>
        </w:rPr>
        <w:footnoteRef/>
      </w:r>
      <w:r w:rsidRPr="000575D6">
        <w:rPr>
          <w:rFonts w:ascii="Arial" w:hAnsi="Arial" w:cs="Arial"/>
          <w:sz w:val="20"/>
          <w:szCs w:val="20"/>
        </w:rPr>
        <w:t xml:space="preserve"> Industry Commission, 1997, </w:t>
      </w:r>
      <w:r w:rsidRPr="000575D6">
        <w:rPr>
          <w:rFonts w:ascii="Arial" w:hAnsi="Arial" w:cs="Arial"/>
          <w:i/>
          <w:sz w:val="20"/>
          <w:szCs w:val="20"/>
        </w:rPr>
        <w:t>Performance Measures for Councils – Improving local government performance indicators</w:t>
      </w:r>
      <w:r w:rsidRPr="000575D6">
        <w:rPr>
          <w:rFonts w:ascii="Arial" w:hAnsi="Arial" w:cs="Arial"/>
          <w:sz w:val="20"/>
          <w:szCs w:val="20"/>
        </w:rPr>
        <w:t>, Research report.</w:t>
      </w:r>
    </w:p>
  </w:footnote>
  <w:footnote w:id="16">
    <w:p w:rsidR="0017213A" w:rsidRPr="0090145D" w:rsidRDefault="0017213A" w:rsidP="00EF0E7A">
      <w:pPr>
        <w:rPr>
          <w:rFonts w:ascii="Arial" w:eastAsia="Times New Roman" w:hAnsi="Arial" w:cs="Arial"/>
          <w:sz w:val="20"/>
          <w:szCs w:val="20"/>
          <w:lang w:val="en-AU" w:eastAsia="en-US"/>
        </w:rPr>
      </w:pPr>
      <w:r w:rsidRPr="00D357A4">
        <w:rPr>
          <w:rStyle w:val="FootnoteReference"/>
          <w:rFonts w:ascii="Arial" w:hAnsi="Arial" w:cs="Arial"/>
          <w:sz w:val="20"/>
          <w:szCs w:val="20"/>
        </w:rPr>
        <w:footnoteRef/>
      </w:r>
      <w:r w:rsidRPr="00D357A4">
        <w:rPr>
          <w:rFonts w:ascii="Arial" w:hAnsi="Arial" w:cs="Arial"/>
          <w:sz w:val="20"/>
          <w:szCs w:val="20"/>
        </w:rPr>
        <w:t xml:space="preserve"> V</w:t>
      </w:r>
      <w:r w:rsidRPr="000876C4">
        <w:rPr>
          <w:rFonts w:ascii="Arial" w:eastAsia="Times New Roman" w:hAnsi="Arial" w:cs="Arial"/>
          <w:sz w:val="20"/>
          <w:szCs w:val="20"/>
          <w:lang w:val="en-AU" w:eastAsia="en-US"/>
        </w:rPr>
        <w:t xml:space="preserve">ictorian Competition and Efficiency Commission 2008, </w:t>
      </w:r>
      <w:r w:rsidRPr="00DD4BFD">
        <w:rPr>
          <w:rFonts w:ascii="Arial" w:eastAsia="Times New Roman" w:hAnsi="Arial" w:cs="Arial"/>
          <w:i/>
          <w:sz w:val="20"/>
          <w:szCs w:val="20"/>
          <w:lang w:val="en-AU" w:eastAsia="en-US"/>
        </w:rPr>
        <w:t>Water Ways: Inquiry into Reform of the Metropolitan Retail Water Sector</w:t>
      </w:r>
      <w:r w:rsidRPr="00B73ADC">
        <w:rPr>
          <w:rFonts w:ascii="Arial" w:eastAsia="Times New Roman" w:hAnsi="Arial" w:cs="Arial"/>
          <w:sz w:val="20"/>
          <w:szCs w:val="20"/>
          <w:lang w:val="en-AU" w:eastAsia="en-US"/>
        </w:rPr>
        <w:t xml:space="preserve">, final report, February; also citing Schleifer, A 1985, ‘A theory of yardstick competition’, </w:t>
      </w:r>
      <w:r w:rsidRPr="00292D14">
        <w:rPr>
          <w:rFonts w:ascii="Arial" w:eastAsia="Times New Roman" w:hAnsi="Arial" w:cs="Arial"/>
          <w:i/>
          <w:sz w:val="20"/>
          <w:szCs w:val="20"/>
          <w:lang w:val="en-AU" w:eastAsia="en-US"/>
        </w:rPr>
        <w:t>Rand Journal of Economics</w:t>
      </w:r>
      <w:r w:rsidRPr="0090145D">
        <w:rPr>
          <w:rFonts w:ascii="Arial" w:eastAsia="Times New Roman" w:hAnsi="Arial" w:cs="Arial"/>
          <w:sz w:val="20"/>
          <w:szCs w:val="20"/>
          <w:lang w:val="en-AU" w:eastAsia="en-US"/>
        </w:rPr>
        <w:t xml:space="preserve">, vol. 16, no. 3, pp. 319–327. </w:t>
      </w:r>
    </w:p>
  </w:footnote>
  <w:footnote w:id="17">
    <w:p w:rsidR="0017213A" w:rsidRPr="00E6590B" w:rsidRDefault="0017213A">
      <w:pPr>
        <w:pStyle w:val="FootnoteText"/>
        <w:rPr>
          <w:rFonts w:ascii="Arial" w:hAnsi="Arial" w:cs="Arial"/>
          <w:sz w:val="20"/>
          <w:szCs w:val="20"/>
        </w:rPr>
      </w:pPr>
      <w:r w:rsidRPr="0090145D">
        <w:rPr>
          <w:rStyle w:val="FootnoteReference"/>
          <w:rFonts w:ascii="Arial" w:hAnsi="Arial" w:cs="Arial"/>
          <w:sz w:val="20"/>
          <w:szCs w:val="20"/>
        </w:rPr>
        <w:footnoteRef/>
      </w:r>
      <w:r w:rsidRPr="0090145D">
        <w:rPr>
          <w:rFonts w:ascii="Arial" w:hAnsi="Arial" w:cs="Arial"/>
          <w:sz w:val="20"/>
          <w:szCs w:val="20"/>
        </w:rPr>
        <w:t xml:space="preserve"> </w:t>
      </w:r>
      <w:r w:rsidRPr="003C6717">
        <w:rPr>
          <w:rFonts w:ascii="Arial" w:hAnsi="Arial" w:cs="Arial"/>
          <w:i/>
          <w:sz w:val="20"/>
          <w:szCs w:val="20"/>
        </w:rPr>
        <w:t>Id</w:t>
      </w:r>
      <w:r w:rsidRPr="00E6590B">
        <w:rPr>
          <w:rFonts w:ascii="Arial" w:hAnsi="Arial" w:cs="Arial"/>
          <w:sz w:val="20"/>
          <w:szCs w:val="20"/>
        </w:rPr>
        <w:t>, page 52.</w:t>
      </w:r>
    </w:p>
  </w:footnote>
  <w:footnote w:id="18">
    <w:p w:rsidR="0017213A" w:rsidRPr="00292D14" w:rsidRDefault="0017213A" w:rsidP="001E5C82">
      <w:pPr>
        <w:rPr>
          <w:rFonts w:ascii="Arial" w:hAnsi="Arial" w:cs="Arial"/>
          <w:sz w:val="20"/>
          <w:szCs w:val="20"/>
        </w:rPr>
      </w:pPr>
      <w:r w:rsidRPr="00D357A4">
        <w:rPr>
          <w:rStyle w:val="FootnoteReference"/>
          <w:rFonts w:ascii="Arial" w:hAnsi="Arial" w:cs="Arial"/>
          <w:sz w:val="20"/>
          <w:szCs w:val="20"/>
        </w:rPr>
        <w:footnoteRef/>
      </w:r>
      <w:r w:rsidRPr="00D357A4">
        <w:rPr>
          <w:rFonts w:ascii="Arial" w:hAnsi="Arial" w:cs="Arial"/>
          <w:sz w:val="20"/>
          <w:szCs w:val="20"/>
        </w:rPr>
        <w:t xml:space="preserve"> </w:t>
      </w:r>
      <w:r w:rsidRPr="000876C4">
        <w:rPr>
          <w:rFonts w:ascii="Arial" w:eastAsia="Times New Roman" w:hAnsi="Arial" w:cs="Arial"/>
          <w:sz w:val="20"/>
          <w:szCs w:val="20"/>
          <w:lang w:val="en-AU" w:eastAsia="en-US"/>
        </w:rPr>
        <w:t xml:space="preserve">Victorian Competition and Efficiency Commission 2010, </w:t>
      </w:r>
      <w:r w:rsidRPr="00DD4BFD">
        <w:rPr>
          <w:rFonts w:ascii="Arial" w:eastAsia="Times New Roman" w:hAnsi="Arial" w:cs="Arial"/>
          <w:i/>
          <w:sz w:val="20"/>
          <w:szCs w:val="20"/>
          <w:lang w:val="en-AU" w:eastAsia="en-US"/>
        </w:rPr>
        <w:t>Local Government for a Better Victoria: An Inquiry into Streamlining Local Government Regulation</w:t>
      </w:r>
      <w:r w:rsidRPr="00B73ADC">
        <w:rPr>
          <w:rFonts w:ascii="Arial" w:eastAsia="Times New Roman" w:hAnsi="Arial" w:cs="Arial"/>
          <w:sz w:val="20"/>
          <w:szCs w:val="20"/>
          <w:lang w:val="en-AU" w:eastAsia="en-US"/>
        </w:rPr>
        <w:t xml:space="preserve">, final report, August. </w:t>
      </w:r>
    </w:p>
  </w:footnote>
  <w:footnote w:id="19">
    <w:p w:rsidR="0017213A" w:rsidRPr="00E6590B" w:rsidRDefault="0017213A" w:rsidP="002F7827">
      <w:pPr>
        <w:pStyle w:val="FootnoteText"/>
        <w:rPr>
          <w:rFonts w:ascii="Arial" w:hAnsi="Arial" w:cs="Arial"/>
          <w:sz w:val="20"/>
          <w:szCs w:val="20"/>
        </w:rPr>
      </w:pPr>
      <w:r w:rsidRPr="0090145D">
        <w:rPr>
          <w:rStyle w:val="FootnoteReference"/>
          <w:rFonts w:ascii="Arial" w:hAnsi="Arial" w:cs="Arial"/>
          <w:sz w:val="20"/>
          <w:szCs w:val="20"/>
        </w:rPr>
        <w:footnoteRef/>
      </w:r>
      <w:r w:rsidRPr="0090145D">
        <w:rPr>
          <w:rFonts w:ascii="Arial" w:hAnsi="Arial" w:cs="Arial"/>
          <w:sz w:val="20"/>
          <w:szCs w:val="20"/>
        </w:rPr>
        <w:t xml:space="preserve"> Jenks, E., 1891, </w:t>
      </w:r>
      <w:r w:rsidRPr="003C6717">
        <w:rPr>
          <w:rFonts w:ascii="Arial" w:hAnsi="Arial" w:cs="Arial"/>
          <w:i/>
          <w:sz w:val="20"/>
          <w:szCs w:val="20"/>
        </w:rPr>
        <w:t>The Government of Victoria</w:t>
      </w:r>
      <w:r w:rsidRPr="00E6590B">
        <w:rPr>
          <w:rFonts w:ascii="Arial" w:hAnsi="Arial" w:cs="Arial"/>
          <w:sz w:val="20"/>
          <w:szCs w:val="20"/>
        </w:rPr>
        <w:t>, Macmillan and Co., London, p. 90</w:t>
      </w:r>
    </w:p>
  </w:footnote>
  <w:footnote w:id="20">
    <w:p w:rsidR="0017213A" w:rsidRPr="00D357A4" w:rsidRDefault="0017213A">
      <w:pPr>
        <w:pStyle w:val="FootnoteText"/>
        <w:rPr>
          <w:rFonts w:ascii="Arial" w:hAnsi="Arial" w:cs="Arial"/>
          <w:sz w:val="20"/>
          <w:szCs w:val="20"/>
        </w:rPr>
      </w:pPr>
      <w:r>
        <w:rPr>
          <w:rStyle w:val="FootnoteReference"/>
          <w:rFonts w:ascii="Arial" w:hAnsi="Arial" w:cs="Arial"/>
          <w:sz w:val="20"/>
          <w:szCs w:val="20"/>
        </w:rPr>
        <w:footnoteRef/>
      </w:r>
      <w:r w:rsidRPr="000575D6">
        <w:rPr>
          <w:rFonts w:ascii="Arial" w:hAnsi="Arial" w:cs="Arial"/>
          <w:sz w:val="20"/>
          <w:szCs w:val="20"/>
        </w:rPr>
        <w:t xml:space="preserve"> Audit Commission (UK), 1997.</w:t>
      </w:r>
    </w:p>
  </w:footnote>
  <w:footnote w:id="21">
    <w:p w:rsidR="0017213A" w:rsidRPr="00D357A4" w:rsidRDefault="0017213A">
      <w:pPr>
        <w:pStyle w:val="FootnoteText"/>
        <w:rPr>
          <w:rFonts w:ascii="Arial" w:hAnsi="Arial" w:cs="Arial"/>
          <w:sz w:val="20"/>
          <w:szCs w:val="20"/>
        </w:rPr>
      </w:pPr>
      <w:r>
        <w:rPr>
          <w:rStyle w:val="FootnoteReference"/>
          <w:rFonts w:ascii="Arial" w:hAnsi="Arial" w:cs="Arial"/>
          <w:sz w:val="20"/>
          <w:szCs w:val="20"/>
        </w:rPr>
        <w:footnoteRef/>
      </w:r>
      <w:r w:rsidRPr="000575D6">
        <w:rPr>
          <w:rFonts w:ascii="Arial" w:hAnsi="Arial" w:cs="Arial"/>
          <w:sz w:val="20"/>
          <w:szCs w:val="20"/>
        </w:rPr>
        <w:t xml:space="preserve"> Victorian Auditor-General’s Office, 2013, </w:t>
      </w:r>
      <w:r w:rsidRPr="000575D6">
        <w:rPr>
          <w:rFonts w:ascii="Arial" w:hAnsi="Arial" w:cs="Arial"/>
          <w:bCs/>
          <w:i/>
          <w:sz w:val="20"/>
          <w:szCs w:val="20"/>
          <w:lang w:val="en-AU"/>
        </w:rPr>
        <w:t>Local Government: Results of the 2012–13 Audits</w:t>
      </w:r>
    </w:p>
  </w:footnote>
  <w:footnote w:id="22">
    <w:p w:rsidR="0017213A" w:rsidRPr="00D357A4" w:rsidRDefault="0017213A" w:rsidP="00716E3E">
      <w:pPr>
        <w:pStyle w:val="FootnoteText"/>
        <w:rPr>
          <w:rFonts w:ascii="Arial" w:hAnsi="Arial" w:cs="Arial"/>
          <w:sz w:val="20"/>
          <w:szCs w:val="20"/>
          <w:lang w:val="en-AU"/>
        </w:rPr>
      </w:pPr>
      <w:r>
        <w:rPr>
          <w:rStyle w:val="FootnoteReference"/>
          <w:rFonts w:ascii="Arial" w:hAnsi="Arial" w:cs="Arial"/>
          <w:sz w:val="20"/>
          <w:szCs w:val="20"/>
        </w:rPr>
        <w:footnoteRef/>
      </w:r>
      <w:r w:rsidRPr="000575D6">
        <w:rPr>
          <w:rFonts w:ascii="Arial" w:hAnsi="Arial" w:cs="Arial"/>
          <w:sz w:val="20"/>
          <w:szCs w:val="20"/>
        </w:rPr>
        <w:t xml:space="preserve"> </w:t>
      </w:r>
      <w:r>
        <w:rPr>
          <w:rStyle w:val="FootnoteReference"/>
          <w:rFonts w:ascii="Arial" w:hAnsi="Arial" w:cs="Arial"/>
          <w:sz w:val="20"/>
          <w:szCs w:val="20"/>
        </w:rPr>
        <w:footnoteRef/>
      </w:r>
      <w:r w:rsidRPr="000575D6">
        <w:rPr>
          <w:rFonts w:ascii="Arial" w:hAnsi="Arial" w:cs="Arial"/>
          <w:sz w:val="20"/>
          <w:szCs w:val="20"/>
        </w:rPr>
        <w:t xml:space="preserve"> Victorian Auditor-General’s Office</w:t>
      </w:r>
      <w:r w:rsidRPr="000575D6">
        <w:rPr>
          <w:rFonts w:ascii="Arial" w:hAnsi="Arial" w:cs="Arial"/>
          <w:b/>
          <w:bCs/>
          <w:sz w:val="20"/>
          <w:szCs w:val="20"/>
          <w:lang w:val="en-AU"/>
        </w:rPr>
        <w:t xml:space="preserve">, </w:t>
      </w:r>
      <w:r w:rsidRPr="000575D6">
        <w:rPr>
          <w:rFonts w:ascii="Arial" w:hAnsi="Arial" w:cs="Arial"/>
          <w:sz w:val="20"/>
          <w:szCs w:val="20"/>
        </w:rPr>
        <w:t xml:space="preserve">2014, </w:t>
      </w:r>
      <w:r w:rsidRPr="000575D6">
        <w:rPr>
          <w:rFonts w:ascii="Arial" w:hAnsi="Arial" w:cs="Arial"/>
          <w:bCs/>
          <w:i/>
          <w:sz w:val="20"/>
          <w:szCs w:val="20"/>
          <w:lang w:val="en-AU"/>
        </w:rPr>
        <w:t xml:space="preserve">Asset Management and Maintenance by Councils </w:t>
      </w:r>
      <w:r w:rsidRPr="000575D6">
        <w:rPr>
          <w:rFonts w:ascii="Arial" w:hAnsi="Arial" w:cs="Arial"/>
          <w:bCs/>
          <w:sz w:val="20"/>
          <w:szCs w:val="20"/>
          <w:lang w:val="en-AU"/>
        </w:rPr>
        <w:t>[online webpage]</w:t>
      </w:r>
    </w:p>
  </w:footnote>
  <w:footnote w:id="23">
    <w:p w:rsidR="0017213A" w:rsidRPr="00D357A4" w:rsidRDefault="0017213A">
      <w:pPr>
        <w:pStyle w:val="FootnoteText"/>
        <w:rPr>
          <w:rFonts w:ascii="Arial" w:hAnsi="Arial" w:cs="Arial"/>
          <w:sz w:val="20"/>
          <w:szCs w:val="20"/>
        </w:rPr>
      </w:pPr>
      <w:r>
        <w:rPr>
          <w:rStyle w:val="FootnoteReference"/>
          <w:rFonts w:ascii="Arial" w:hAnsi="Arial" w:cs="Arial"/>
          <w:sz w:val="20"/>
          <w:szCs w:val="20"/>
        </w:rPr>
        <w:footnoteRef/>
      </w:r>
      <w:r w:rsidRPr="000575D6">
        <w:rPr>
          <w:rFonts w:ascii="Arial" w:hAnsi="Arial" w:cs="Arial"/>
          <w:sz w:val="20"/>
          <w:szCs w:val="20"/>
        </w:rPr>
        <w:t xml:space="preserve"> The relevant changes to the Act and the proposed Regulations will have effect for the financial year commencing 1 July 2014.</w:t>
      </w:r>
    </w:p>
  </w:footnote>
  <w:footnote w:id="24">
    <w:p w:rsidR="0017213A" w:rsidRPr="00D357A4" w:rsidRDefault="0017213A">
      <w:pPr>
        <w:pStyle w:val="FootnoteText"/>
        <w:rPr>
          <w:rFonts w:ascii="Arial" w:hAnsi="Arial" w:cs="Arial"/>
          <w:sz w:val="20"/>
          <w:szCs w:val="20"/>
        </w:rPr>
      </w:pPr>
      <w:r>
        <w:rPr>
          <w:rStyle w:val="FootnoteReference"/>
          <w:rFonts w:ascii="Arial" w:hAnsi="Arial" w:cs="Arial"/>
          <w:sz w:val="20"/>
          <w:szCs w:val="20"/>
        </w:rPr>
        <w:footnoteRef/>
      </w:r>
      <w:r w:rsidRPr="000575D6">
        <w:rPr>
          <w:rFonts w:ascii="Arial" w:hAnsi="Arial" w:cs="Arial"/>
          <w:sz w:val="20"/>
          <w:szCs w:val="20"/>
        </w:rPr>
        <w:t xml:space="preserve"> ESC, 2010, </w:t>
      </w:r>
      <w:r w:rsidRPr="000575D6">
        <w:rPr>
          <w:rFonts w:ascii="Arial" w:hAnsi="Arial" w:cs="Arial"/>
          <w:i/>
          <w:sz w:val="20"/>
          <w:szCs w:val="20"/>
        </w:rPr>
        <w:t>Establishing a Victorian Local Government Services Report</w:t>
      </w:r>
      <w:r w:rsidRPr="000575D6">
        <w:rPr>
          <w:rFonts w:ascii="Arial" w:hAnsi="Arial" w:cs="Arial"/>
          <w:sz w:val="20"/>
          <w:szCs w:val="20"/>
        </w:rPr>
        <w:t xml:space="preserve">. </w:t>
      </w:r>
    </w:p>
  </w:footnote>
  <w:footnote w:id="25">
    <w:p w:rsidR="0017213A" w:rsidRPr="00D357A4" w:rsidRDefault="0017213A" w:rsidP="00E10388">
      <w:pPr>
        <w:pStyle w:val="FootnoteText"/>
        <w:rPr>
          <w:rFonts w:ascii="Arial" w:hAnsi="Arial" w:cs="Arial"/>
          <w:sz w:val="20"/>
          <w:szCs w:val="20"/>
        </w:rPr>
      </w:pPr>
      <w:r>
        <w:rPr>
          <w:rStyle w:val="FootnoteReference"/>
          <w:rFonts w:ascii="Arial" w:hAnsi="Arial" w:cs="Arial"/>
          <w:sz w:val="20"/>
          <w:szCs w:val="20"/>
        </w:rPr>
        <w:footnoteRef/>
      </w:r>
      <w:r w:rsidRPr="000575D6">
        <w:rPr>
          <w:rFonts w:ascii="Arial" w:hAnsi="Arial" w:cs="Arial"/>
          <w:sz w:val="20"/>
          <w:szCs w:val="20"/>
        </w:rPr>
        <w:t xml:space="preserve"> VAGO, 2013, </w:t>
      </w:r>
      <w:r w:rsidRPr="000575D6">
        <w:rPr>
          <w:rFonts w:ascii="Arial" w:hAnsi="Arial" w:cs="Arial"/>
          <w:i/>
          <w:sz w:val="20"/>
          <w:szCs w:val="20"/>
        </w:rPr>
        <w:t>Rating practices in Local Government</w:t>
      </w:r>
    </w:p>
  </w:footnote>
  <w:footnote w:id="26">
    <w:p w:rsidR="0017213A" w:rsidRDefault="0017213A" w:rsidP="000575D6">
      <w:pPr>
        <w:rPr>
          <w:rFonts w:ascii="Arial" w:hAnsi="Arial" w:cs="Arial"/>
          <w:sz w:val="20"/>
          <w:szCs w:val="20"/>
        </w:rPr>
      </w:pPr>
      <w:r>
        <w:rPr>
          <w:rStyle w:val="FootnoteReference"/>
          <w:rFonts w:ascii="Arial" w:hAnsi="Arial" w:cs="Arial"/>
          <w:sz w:val="20"/>
          <w:szCs w:val="20"/>
        </w:rPr>
        <w:footnoteRef/>
      </w:r>
      <w:r w:rsidRPr="000575D6">
        <w:rPr>
          <w:rFonts w:ascii="Arial" w:hAnsi="Arial" w:cs="Arial"/>
          <w:sz w:val="20"/>
          <w:szCs w:val="20"/>
        </w:rPr>
        <w:t xml:space="preserve"> The cost estimates are based on the incremental costs relative to the base case (i.e. compared with what councils would have to do if the Regulations were not in place). In relation to surveys of communities, while some councils in the pilot reported that some data related to community satisfaction was not previously recorded, it is noted that nearly all councils already undertake surveys, and as such the new requirement would only lead to additional or different questions included in existing data collection rather than new surveys per se.</w:t>
      </w:r>
    </w:p>
  </w:footnote>
  <w:footnote w:id="27">
    <w:p w:rsidR="0017213A" w:rsidRPr="00B73ADC" w:rsidRDefault="0017213A">
      <w:pPr>
        <w:pStyle w:val="FootnoteText"/>
        <w:rPr>
          <w:rFonts w:ascii="Arial" w:hAnsi="Arial" w:cs="Arial"/>
          <w:sz w:val="20"/>
          <w:szCs w:val="20"/>
        </w:rPr>
      </w:pPr>
      <w:r w:rsidRPr="00D357A4">
        <w:rPr>
          <w:rStyle w:val="FootnoteReference"/>
          <w:rFonts w:ascii="Arial" w:hAnsi="Arial" w:cs="Arial"/>
          <w:sz w:val="20"/>
          <w:szCs w:val="20"/>
        </w:rPr>
        <w:footnoteRef/>
      </w:r>
      <w:r w:rsidRPr="00D357A4">
        <w:rPr>
          <w:rFonts w:ascii="Arial" w:hAnsi="Arial" w:cs="Arial"/>
          <w:sz w:val="20"/>
          <w:szCs w:val="20"/>
        </w:rPr>
        <w:t xml:space="preserve"> In 2012-13, total rates revenue collected by Victorian local councils was around $4 billion. Total spending by Victorian councils is over $7 billion, making the cost of the p</w:t>
      </w:r>
      <w:r w:rsidRPr="00B73ADC">
        <w:rPr>
          <w:rFonts w:ascii="Arial" w:hAnsi="Arial" w:cs="Arial"/>
          <w:sz w:val="20"/>
          <w:szCs w:val="20"/>
        </w:rPr>
        <w:t>roposed Regulations even smaller in percentage terms.</w:t>
      </w:r>
    </w:p>
  </w:footnote>
  <w:footnote w:id="28">
    <w:p w:rsidR="0017213A" w:rsidRPr="00D357A4" w:rsidRDefault="0017213A" w:rsidP="00A03A45">
      <w:pPr>
        <w:pStyle w:val="FootnoteText"/>
        <w:rPr>
          <w:rFonts w:ascii="Arial" w:hAnsi="Arial" w:cs="Arial"/>
          <w:sz w:val="20"/>
          <w:szCs w:val="20"/>
        </w:rPr>
      </w:pPr>
      <w:r w:rsidRPr="000575D6">
        <w:rPr>
          <w:rStyle w:val="FootnoteReference"/>
          <w:rFonts w:ascii="Arial" w:hAnsi="Arial" w:cs="Arial"/>
          <w:sz w:val="20"/>
          <w:szCs w:val="20"/>
        </w:rPr>
        <w:footnoteRef/>
      </w:r>
      <w:r w:rsidRPr="000575D6">
        <w:rPr>
          <w:rFonts w:ascii="Arial" w:hAnsi="Arial" w:cs="Arial"/>
          <w:sz w:val="20"/>
          <w:szCs w:val="20"/>
        </w:rPr>
        <w:t xml:space="preserve"> This material cost is relative to the base case of having no </w:t>
      </w:r>
      <w:r>
        <w:rPr>
          <w:rFonts w:ascii="Arial" w:hAnsi="Arial" w:cs="Arial"/>
          <w:sz w:val="20"/>
          <w:szCs w:val="20"/>
        </w:rPr>
        <w:t>r</w:t>
      </w:r>
      <w:r w:rsidRPr="00D357A4">
        <w:rPr>
          <w:rFonts w:ascii="Arial" w:hAnsi="Arial" w:cs="Arial"/>
          <w:sz w:val="20"/>
          <w:szCs w:val="20"/>
        </w:rPr>
        <w:t>egulations</w:t>
      </w:r>
      <w:r w:rsidRPr="000575D6">
        <w:rPr>
          <w:rFonts w:ascii="Arial" w:hAnsi="Arial" w:cs="Arial"/>
          <w:sz w:val="20"/>
          <w:szCs w:val="20"/>
        </w:rPr>
        <w:t xml:space="preserve"> after the current </w:t>
      </w:r>
      <w:r w:rsidRPr="00D357A4">
        <w:rPr>
          <w:rFonts w:ascii="Arial" w:hAnsi="Arial" w:cs="Arial"/>
          <w:sz w:val="20"/>
          <w:szCs w:val="20"/>
        </w:rPr>
        <w:t>Regulations</w:t>
      </w:r>
      <w:r w:rsidRPr="000575D6">
        <w:rPr>
          <w:rFonts w:ascii="Arial" w:hAnsi="Arial" w:cs="Arial"/>
          <w:sz w:val="20"/>
          <w:szCs w:val="20"/>
        </w:rPr>
        <w:t xml:space="preserve"> sunset, and hence there would be no indic</w:t>
      </w:r>
      <w:r>
        <w:rPr>
          <w:rFonts w:ascii="Arial" w:hAnsi="Arial" w:cs="Arial"/>
          <w:sz w:val="20"/>
          <w:szCs w:val="20"/>
        </w:rPr>
        <w:t>a</w:t>
      </w:r>
      <w:r w:rsidRPr="000575D6">
        <w:rPr>
          <w:rFonts w:ascii="Arial" w:hAnsi="Arial" w:cs="Arial"/>
          <w:sz w:val="20"/>
          <w:szCs w:val="20"/>
        </w:rPr>
        <w:t xml:space="preserve">tors audited. Currently, councils must have their </w:t>
      </w:r>
      <w:r>
        <w:rPr>
          <w:rFonts w:ascii="Arial" w:hAnsi="Arial" w:cs="Arial"/>
          <w:sz w:val="20"/>
          <w:szCs w:val="20"/>
        </w:rPr>
        <w:t>performance statement audited which includes k</w:t>
      </w:r>
      <w:r w:rsidRPr="000575D6">
        <w:rPr>
          <w:rFonts w:ascii="Arial" w:hAnsi="Arial" w:cs="Arial"/>
          <w:sz w:val="20"/>
          <w:szCs w:val="20"/>
        </w:rPr>
        <w:t xml:space="preserve">ey </w:t>
      </w:r>
      <w:r>
        <w:rPr>
          <w:rFonts w:ascii="Arial" w:hAnsi="Arial" w:cs="Arial"/>
          <w:sz w:val="20"/>
          <w:szCs w:val="20"/>
        </w:rPr>
        <w:t>s</w:t>
      </w:r>
      <w:r w:rsidRPr="000575D6">
        <w:rPr>
          <w:rFonts w:ascii="Arial" w:hAnsi="Arial" w:cs="Arial"/>
          <w:sz w:val="20"/>
          <w:szCs w:val="20"/>
        </w:rPr>
        <w:t xml:space="preserve">trategic </w:t>
      </w:r>
      <w:r>
        <w:rPr>
          <w:rFonts w:ascii="Arial" w:hAnsi="Arial" w:cs="Arial"/>
          <w:sz w:val="20"/>
          <w:szCs w:val="20"/>
        </w:rPr>
        <w:t>activities</w:t>
      </w:r>
      <w:r w:rsidRPr="000575D6">
        <w:rPr>
          <w:rFonts w:ascii="Arial" w:hAnsi="Arial" w:cs="Arial"/>
          <w:sz w:val="20"/>
          <w:szCs w:val="20"/>
        </w:rPr>
        <w:t xml:space="preserve">. Given these are different for each council and in some cases poorly defined, the current costs of auditing these </w:t>
      </w:r>
      <w:r>
        <w:rPr>
          <w:rFonts w:ascii="Arial" w:hAnsi="Arial" w:cs="Arial"/>
          <w:sz w:val="20"/>
          <w:szCs w:val="20"/>
        </w:rPr>
        <w:t>are</w:t>
      </w:r>
      <w:r w:rsidRPr="000575D6">
        <w:rPr>
          <w:rFonts w:ascii="Arial" w:hAnsi="Arial" w:cs="Arial"/>
          <w:sz w:val="20"/>
          <w:szCs w:val="20"/>
        </w:rPr>
        <w:t xml:space="preserve"> relatively high. The move to a standard set of indicators </w:t>
      </w:r>
      <w:r w:rsidRPr="00D357A4">
        <w:rPr>
          <w:rFonts w:ascii="Arial" w:hAnsi="Arial" w:cs="Arial"/>
          <w:sz w:val="20"/>
          <w:szCs w:val="20"/>
        </w:rPr>
        <w:t>acr</w:t>
      </w:r>
      <w:r>
        <w:rPr>
          <w:rFonts w:ascii="Arial" w:hAnsi="Arial" w:cs="Arial"/>
          <w:sz w:val="20"/>
          <w:szCs w:val="20"/>
        </w:rPr>
        <w:t>oss</w:t>
      </w:r>
      <w:r w:rsidRPr="000575D6">
        <w:rPr>
          <w:rFonts w:ascii="Arial" w:hAnsi="Arial" w:cs="Arial"/>
          <w:sz w:val="20"/>
          <w:szCs w:val="20"/>
        </w:rPr>
        <w:t xml:space="preserve"> all councils may result in lower audit costs tha</w:t>
      </w:r>
      <w:r>
        <w:rPr>
          <w:rFonts w:ascii="Arial" w:hAnsi="Arial" w:cs="Arial"/>
          <w:sz w:val="20"/>
          <w:szCs w:val="20"/>
        </w:rPr>
        <w:t>n</w:t>
      </w:r>
      <w:r w:rsidRPr="000575D6">
        <w:rPr>
          <w:rFonts w:ascii="Arial" w:hAnsi="Arial" w:cs="Arial"/>
          <w:sz w:val="20"/>
          <w:szCs w:val="20"/>
        </w:rPr>
        <w:t xml:space="preserve"> at present.</w:t>
      </w:r>
      <w:r>
        <w:rPr>
          <w:rFonts w:ascii="Arial" w:hAnsi="Arial" w:cs="Arial"/>
          <w:sz w:val="20"/>
          <w:szCs w:val="20"/>
        </w:rPr>
        <w:t xml:space="preserve"> In addition the audit fees charged by VAGO in 2012/13 ranged from $24,000 to $217,000 and related to the audit of the standard statements, financial statements and performance statement. Changes made to the Act and reflected in the proposed Regulations means that the audit fee will only relate to the financial statements and performance statement from 2014-15 onwards.</w:t>
      </w:r>
    </w:p>
  </w:footnote>
  <w:footnote w:id="29">
    <w:p w:rsidR="0017213A" w:rsidRPr="00B73ADC" w:rsidRDefault="0017213A">
      <w:pPr>
        <w:pStyle w:val="FootnoteText"/>
        <w:rPr>
          <w:rFonts w:ascii="Arial" w:hAnsi="Arial" w:cs="Arial"/>
          <w:sz w:val="20"/>
          <w:szCs w:val="20"/>
        </w:rPr>
      </w:pPr>
      <w:r w:rsidRPr="00D357A4">
        <w:rPr>
          <w:rStyle w:val="FootnoteReference"/>
          <w:rFonts w:ascii="Arial" w:hAnsi="Arial" w:cs="Arial"/>
          <w:sz w:val="20"/>
          <w:szCs w:val="20"/>
        </w:rPr>
        <w:footnoteRef/>
      </w:r>
      <w:r w:rsidRPr="000876C4">
        <w:rPr>
          <w:rFonts w:ascii="Arial" w:hAnsi="Arial" w:cs="Arial"/>
          <w:sz w:val="20"/>
          <w:szCs w:val="20"/>
        </w:rPr>
        <w:t xml:space="preserve"> Tan, S F and Artist, S. 201</w:t>
      </w:r>
      <w:r w:rsidRPr="00DD4BFD">
        <w:rPr>
          <w:rFonts w:ascii="Arial" w:hAnsi="Arial" w:cs="Arial"/>
          <w:sz w:val="20"/>
          <w:szCs w:val="20"/>
        </w:rPr>
        <w:t xml:space="preserve">3, </w:t>
      </w:r>
      <w:r w:rsidRPr="00F97B8C">
        <w:rPr>
          <w:rFonts w:ascii="Arial" w:hAnsi="Arial" w:cs="Arial"/>
          <w:i/>
          <w:sz w:val="20"/>
          <w:szCs w:val="20"/>
        </w:rPr>
        <w:t>Strategic Planning in Australian Local Government: A comparative analysis of state frameworks</w:t>
      </w:r>
      <w:r w:rsidRPr="00B73ADC">
        <w:rPr>
          <w:rFonts w:ascii="Arial" w:hAnsi="Arial" w:cs="Arial"/>
          <w:sz w:val="20"/>
          <w:szCs w:val="20"/>
        </w:rPr>
        <w:t>, Australian Centre of Excellence for Local Government, University of Technology, Sydney.</w:t>
      </w:r>
    </w:p>
  </w:footnote>
  <w:footnote w:id="30">
    <w:p w:rsidR="0017213A" w:rsidRPr="00D357A4" w:rsidRDefault="0017213A">
      <w:pPr>
        <w:pStyle w:val="FootnoteText"/>
        <w:rPr>
          <w:rFonts w:ascii="Arial" w:hAnsi="Arial" w:cs="Arial"/>
          <w:sz w:val="20"/>
          <w:szCs w:val="20"/>
        </w:rPr>
      </w:pPr>
      <w:r w:rsidRPr="00B73ADC">
        <w:rPr>
          <w:rStyle w:val="FootnoteReference"/>
          <w:rFonts w:ascii="Arial" w:hAnsi="Arial" w:cs="Arial"/>
          <w:sz w:val="20"/>
          <w:szCs w:val="20"/>
        </w:rPr>
        <w:footnoteRef/>
      </w:r>
      <w:r w:rsidRPr="00292D14">
        <w:rPr>
          <w:rFonts w:ascii="Arial" w:hAnsi="Arial" w:cs="Arial"/>
          <w:sz w:val="20"/>
          <w:szCs w:val="20"/>
        </w:rPr>
        <w:t xml:space="preserve"> </w:t>
      </w:r>
      <w:r w:rsidRPr="0090145D">
        <w:rPr>
          <w:rFonts w:ascii="Arial" w:eastAsia="Times New Roman" w:hAnsi="Arial" w:cs="Arial"/>
          <w:sz w:val="20"/>
          <w:szCs w:val="20"/>
        </w:rPr>
        <w:t xml:space="preserve">ACELG 2013 "Review of Current Local Government Reform Processes in Australia and New Zealand " </w:t>
      </w:r>
      <w:hyperlink r:id="rId1" w:tgtFrame="_blank" w:history="1">
        <w:r>
          <w:rPr>
            <w:rStyle w:val="Hyperlink"/>
            <w:rFonts w:ascii="Arial" w:eastAsia="Times New Roman" w:hAnsi="Arial" w:cs="Arial"/>
            <w:sz w:val="20"/>
            <w:szCs w:val="20"/>
          </w:rPr>
          <w:t>http://www.acelg.org.au/news-detail.php?id=322</w:t>
        </w:r>
      </w:hyperlink>
    </w:p>
  </w:footnote>
  <w:footnote w:id="31">
    <w:p w:rsidR="0017213A" w:rsidRPr="00D357A4" w:rsidRDefault="0017213A" w:rsidP="00FE72B0">
      <w:pPr>
        <w:pStyle w:val="FootnoteText"/>
        <w:rPr>
          <w:rFonts w:ascii="Arial" w:hAnsi="Arial" w:cs="Arial"/>
          <w:sz w:val="20"/>
          <w:szCs w:val="20"/>
          <w:lang w:val="en-AU"/>
        </w:rPr>
      </w:pPr>
      <w:r>
        <w:rPr>
          <w:rStyle w:val="FootnoteReference"/>
          <w:rFonts w:ascii="Arial" w:hAnsi="Arial" w:cs="Arial"/>
          <w:sz w:val="20"/>
          <w:szCs w:val="20"/>
        </w:rPr>
        <w:footnoteRef/>
      </w:r>
      <w:r w:rsidRPr="000575D6">
        <w:rPr>
          <w:rFonts w:ascii="Arial" w:hAnsi="Arial" w:cs="Arial"/>
          <w:sz w:val="20"/>
          <w:szCs w:val="20"/>
        </w:rPr>
        <w:t xml:space="preserve"> NSW </w:t>
      </w:r>
      <w:r w:rsidRPr="000575D6">
        <w:rPr>
          <w:rFonts w:ascii="Arial" w:hAnsi="Arial" w:cs="Arial"/>
          <w:sz w:val="20"/>
          <w:szCs w:val="20"/>
          <w:lang w:val="en-AU"/>
        </w:rPr>
        <w:t xml:space="preserve">Division of Local Government, 2013, </w:t>
      </w:r>
      <w:r w:rsidRPr="000575D6">
        <w:rPr>
          <w:rFonts w:ascii="Arial" w:hAnsi="Arial" w:cs="Arial"/>
          <w:i/>
          <w:sz w:val="20"/>
          <w:szCs w:val="20"/>
          <w:lang w:val="en-AU"/>
        </w:rPr>
        <w:t>Strengthening councils and communities</w:t>
      </w:r>
      <w:r w:rsidRPr="000575D6">
        <w:rPr>
          <w:rFonts w:ascii="Arial" w:hAnsi="Arial" w:cs="Arial"/>
          <w:sz w:val="20"/>
          <w:szCs w:val="20"/>
          <w:lang w:val="en-AU"/>
        </w:rPr>
        <w:t xml:space="preserve">: </w:t>
      </w:r>
      <w:r w:rsidRPr="000575D6">
        <w:rPr>
          <w:rFonts w:ascii="Arial" w:hAnsi="Arial" w:cs="Arial"/>
          <w:i/>
          <w:iCs/>
          <w:sz w:val="20"/>
          <w:szCs w:val="20"/>
          <w:lang w:val="en-AU"/>
        </w:rPr>
        <w:t xml:space="preserve">Building a new framework for measuring performance in Local Government </w:t>
      </w:r>
    </w:p>
  </w:footnote>
  <w:footnote w:id="32">
    <w:p w:rsidR="0017213A" w:rsidRPr="00D357A4" w:rsidRDefault="0017213A" w:rsidP="005576AE">
      <w:pPr>
        <w:pStyle w:val="FootnoteText"/>
        <w:rPr>
          <w:rFonts w:ascii="Arial" w:hAnsi="Arial" w:cs="Arial"/>
          <w:i/>
          <w:sz w:val="20"/>
          <w:szCs w:val="20"/>
          <w:lang w:val="en-AU"/>
        </w:rPr>
      </w:pPr>
      <w:r>
        <w:rPr>
          <w:rStyle w:val="FootnoteReference"/>
          <w:rFonts w:ascii="Arial" w:hAnsi="Arial" w:cs="Arial"/>
          <w:sz w:val="20"/>
          <w:szCs w:val="20"/>
        </w:rPr>
        <w:footnoteRef/>
      </w:r>
      <w:r w:rsidRPr="000575D6">
        <w:rPr>
          <w:rFonts w:ascii="Arial" w:hAnsi="Arial" w:cs="Arial"/>
          <w:sz w:val="20"/>
          <w:szCs w:val="20"/>
        </w:rPr>
        <w:t xml:space="preserve"> </w:t>
      </w:r>
      <w:r w:rsidRPr="000575D6">
        <w:rPr>
          <w:rFonts w:ascii="Arial" w:hAnsi="Arial" w:cs="Arial"/>
          <w:sz w:val="20"/>
          <w:szCs w:val="20"/>
          <w:lang w:val="en-AU"/>
        </w:rPr>
        <w:t xml:space="preserve">ESC, 2010. </w:t>
      </w:r>
      <w:r w:rsidRPr="000575D6">
        <w:rPr>
          <w:rFonts w:ascii="Arial" w:hAnsi="Arial" w:cs="Arial"/>
          <w:i/>
          <w:sz w:val="20"/>
          <w:szCs w:val="20"/>
          <w:lang w:val="en-AU"/>
        </w:rPr>
        <w:t>Establishing a Victorian Local Government Services Report – Final Report.</w:t>
      </w:r>
    </w:p>
  </w:footnote>
  <w:footnote w:id="33">
    <w:p w:rsidR="0017213A" w:rsidRPr="0090145D" w:rsidRDefault="0017213A" w:rsidP="006A766E">
      <w:pPr>
        <w:autoSpaceDE w:val="0"/>
        <w:autoSpaceDN w:val="0"/>
        <w:adjustRightInd w:val="0"/>
        <w:rPr>
          <w:rFonts w:ascii="Arial" w:hAnsi="Arial" w:cs="Arial"/>
          <w:bCs/>
          <w:color w:val="000000"/>
          <w:sz w:val="20"/>
          <w:szCs w:val="20"/>
          <w:lang w:val="en-AU"/>
        </w:rPr>
      </w:pPr>
      <w:r w:rsidRPr="00D357A4">
        <w:rPr>
          <w:rStyle w:val="FootnoteReference"/>
          <w:rFonts w:ascii="Arial" w:hAnsi="Arial" w:cs="Arial"/>
          <w:sz w:val="20"/>
          <w:szCs w:val="20"/>
        </w:rPr>
        <w:footnoteRef/>
      </w:r>
      <w:r w:rsidRPr="00D357A4">
        <w:rPr>
          <w:rFonts w:ascii="Arial" w:hAnsi="Arial" w:cs="Arial"/>
          <w:sz w:val="20"/>
          <w:szCs w:val="20"/>
        </w:rPr>
        <w:t xml:space="preserve"> </w:t>
      </w:r>
      <w:r w:rsidRPr="000876C4">
        <w:rPr>
          <w:rFonts w:ascii="Arial" w:hAnsi="Arial" w:cs="Arial"/>
          <w:bCs/>
          <w:color w:val="000000"/>
          <w:sz w:val="20"/>
          <w:szCs w:val="20"/>
          <w:lang w:val="en-AU"/>
        </w:rPr>
        <w:t xml:space="preserve">In developing the service performance indicators in the </w:t>
      </w:r>
      <w:r w:rsidRPr="00DD4BFD">
        <w:rPr>
          <w:rFonts w:ascii="Arial" w:hAnsi="Arial" w:cs="Arial"/>
          <w:bCs/>
          <w:color w:val="000000"/>
          <w:sz w:val="20"/>
          <w:szCs w:val="20"/>
          <w:lang w:val="en-AU"/>
        </w:rPr>
        <w:t>proposed Regulations, a total of 40 common services were identif</w:t>
      </w:r>
      <w:r w:rsidRPr="00B73ADC">
        <w:rPr>
          <w:rFonts w:ascii="Arial" w:hAnsi="Arial" w:cs="Arial"/>
          <w:bCs/>
          <w:color w:val="000000"/>
          <w:sz w:val="20"/>
          <w:szCs w:val="20"/>
          <w:lang w:val="en-AU"/>
        </w:rPr>
        <w:t xml:space="preserve">ied for inclusion in the framework. In consultation with the sector this was initially reduced to 18 common services and then following the first pilot this was reduced to the final 11 common services. This is consistent with the VAGO report </w:t>
      </w:r>
      <w:r w:rsidRPr="0090145D">
        <w:rPr>
          <w:rFonts w:ascii="Arial" w:hAnsi="Arial" w:cs="Arial"/>
          <w:bCs/>
          <w:i/>
          <w:color w:val="000000"/>
          <w:sz w:val="20"/>
          <w:szCs w:val="20"/>
          <w:lang w:val="en-AU"/>
        </w:rPr>
        <w:t>Performance Reporting by Local Government</w:t>
      </w:r>
      <w:r w:rsidRPr="0090145D">
        <w:rPr>
          <w:rFonts w:ascii="Arial" w:hAnsi="Arial" w:cs="Arial"/>
          <w:bCs/>
          <w:color w:val="000000"/>
          <w:sz w:val="20"/>
          <w:szCs w:val="20"/>
          <w:lang w:val="en-AU"/>
        </w:rPr>
        <w:t xml:space="preserve"> April 2012 (p. 37), which recommended that the framework should initially focus on a small handful of services.</w:t>
      </w:r>
    </w:p>
    <w:p w:rsidR="0017213A" w:rsidRPr="003C6717" w:rsidRDefault="0017213A">
      <w:pPr>
        <w:pStyle w:val="FootnoteText"/>
        <w:rPr>
          <w:rFonts w:ascii="Arial" w:hAnsi="Arial" w:cs="Arial"/>
          <w:sz w:val="20"/>
          <w:szCs w:val="20"/>
        </w:rPr>
      </w:pPr>
    </w:p>
  </w:footnote>
  <w:footnote w:id="34">
    <w:p w:rsidR="0017213A" w:rsidRPr="000B3D24" w:rsidRDefault="0017213A" w:rsidP="008A2D52">
      <w:pPr>
        <w:pStyle w:val="FootnoteText"/>
        <w:rPr>
          <w:rFonts w:ascii="Arial" w:hAnsi="Arial" w:cs="Arial"/>
          <w:sz w:val="20"/>
          <w:szCs w:val="20"/>
        </w:rPr>
      </w:pPr>
      <w:r w:rsidRPr="003C6717">
        <w:rPr>
          <w:rStyle w:val="FootnoteReference"/>
          <w:rFonts w:ascii="Arial" w:hAnsi="Arial" w:cs="Arial"/>
          <w:sz w:val="20"/>
          <w:szCs w:val="20"/>
        </w:rPr>
        <w:footnoteRef/>
      </w:r>
      <w:r w:rsidRPr="00E6590B">
        <w:rPr>
          <w:rFonts w:ascii="Arial" w:hAnsi="Arial" w:cs="Arial"/>
          <w:sz w:val="20"/>
          <w:szCs w:val="20"/>
        </w:rPr>
        <w:t xml:space="preserve"> Australian National Audit Office 2004</w:t>
      </w:r>
      <w:r w:rsidRPr="00F90890">
        <w:rPr>
          <w:rFonts w:ascii="Arial" w:hAnsi="Arial" w:cs="Arial"/>
          <w:sz w:val="20"/>
          <w:szCs w:val="20"/>
        </w:rPr>
        <w:t xml:space="preserve">, </w:t>
      </w:r>
      <w:r w:rsidRPr="000B3D24">
        <w:rPr>
          <w:rFonts w:ascii="Arial" w:hAnsi="Arial" w:cs="Arial"/>
          <w:i/>
          <w:sz w:val="20"/>
          <w:szCs w:val="20"/>
        </w:rPr>
        <w:t>Better Practice in Annual Performance Reporting</w:t>
      </w:r>
      <w:r w:rsidRPr="000B3D24">
        <w:rPr>
          <w:rFonts w:ascii="Arial" w:hAnsi="Arial" w:cs="Arial"/>
          <w:sz w:val="20"/>
          <w:szCs w:val="20"/>
        </w:rPr>
        <w:t>, Canberra.</w:t>
      </w:r>
    </w:p>
  </w:footnote>
  <w:footnote w:id="35">
    <w:p w:rsidR="0017213A" w:rsidRPr="00D357A4" w:rsidRDefault="0017213A" w:rsidP="00E46CD4">
      <w:pPr>
        <w:pStyle w:val="FootnoteText"/>
        <w:rPr>
          <w:rFonts w:ascii="Arial" w:hAnsi="Arial" w:cs="Arial"/>
          <w:sz w:val="20"/>
          <w:szCs w:val="20"/>
        </w:rPr>
      </w:pPr>
      <w:r>
        <w:rPr>
          <w:rStyle w:val="FootnoteReference"/>
          <w:rFonts w:ascii="Arial" w:hAnsi="Arial" w:cs="Arial"/>
          <w:sz w:val="20"/>
          <w:szCs w:val="20"/>
        </w:rPr>
        <w:footnoteRef/>
      </w:r>
      <w:r w:rsidRPr="000575D6">
        <w:rPr>
          <w:rFonts w:ascii="Arial" w:hAnsi="Arial" w:cs="Arial"/>
          <w:sz w:val="20"/>
          <w:szCs w:val="20"/>
        </w:rPr>
        <w:t xml:space="preserve"> Tan, S F and Artist, S. 2013, </w:t>
      </w:r>
      <w:r w:rsidRPr="000575D6">
        <w:rPr>
          <w:rFonts w:ascii="Arial" w:hAnsi="Arial" w:cs="Arial"/>
          <w:i/>
          <w:sz w:val="20"/>
          <w:szCs w:val="20"/>
        </w:rPr>
        <w:t>Strategic Planning in Australian Local Government: A comparative analysis of state frameworks</w:t>
      </w:r>
      <w:r w:rsidRPr="000575D6">
        <w:rPr>
          <w:rFonts w:ascii="Arial" w:hAnsi="Arial" w:cs="Arial"/>
          <w:sz w:val="20"/>
          <w:szCs w:val="20"/>
        </w:rPr>
        <w:t xml:space="preserve">, Australian Centre of Excellence for Local Government, University of Technology, Sydney.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13A" w:rsidRDefault="0017213A">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13A" w:rsidRPr="00371DFB" w:rsidRDefault="0017213A" w:rsidP="00371DFB">
    <w:pPr>
      <w:pStyle w:val="Header"/>
      <w:jc w:val="right"/>
      <w:rPr>
        <w:rFonts w:asciiTheme="majorHAnsi" w:hAnsiTheme="majorHAnsi"/>
        <w:i/>
        <w:sz w:val="20"/>
        <w:szCs w:val="20"/>
      </w:rPr>
    </w:pPr>
    <w:r w:rsidRPr="00371DFB">
      <w:rPr>
        <w:rFonts w:asciiTheme="majorHAnsi" w:hAnsiTheme="majorHAnsi"/>
        <w:i/>
        <w:sz w:val="20"/>
        <w:szCs w:val="20"/>
      </w:rPr>
      <w:t xml:space="preserve">Chapter </w:t>
    </w:r>
    <w:r>
      <w:rPr>
        <w:rFonts w:asciiTheme="majorHAnsi" w:hAnsiTheme="majorHAnsi"/>
        <w:i/>
        <w:sz w:val="20"/>
        <w:szCs w:val="20"/>
      </w:rPr>
      <w:t>6</w:t>
    </w:r>
    <w:r w:rsidRPr="00371DFB">
      <w:rPr>
        <w:rFonts w:asciiTheme="majorHAnsi" w:hAnsiTheme="majorHAnsi"/>
        <w:i/>
        <w:sz w:val="20"/>
        <w:szCs w:val="20"/>
      </w:rPr>
      <w:t xml:space="preserve">: </w:t>
    </w:r>
    <w:r>
      <w:rPr>
        <w:rFonts w:asciiTheme="majorHAnsi" w:hAnsiTheme="majorHAnsi"/>
        <w:i/>
        <w:sz w:val="20"/>
        <w:szCs w:val="20"/>
      </w:rPr>
      <w:t>Impacts on competition</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13A" w:rsidRPr="00DC6BA4" w:rsidRDefault="0017213A" w:rsidP="00371DFB">
    <w:pPr>
      <w:pStyle w:val="Header"/>
      <w:jc w:val="right"/>
      <w:rPr>
        <w:rFonts w:ascii="Tahoma" w:hAnsi="Tahoma" w:cs="Tahoma"/>
        <w:i/>
        <w:sz w:val="20"/>
        <w:szCs w:val="20"/>
      </w:rPr>
    </w:pPr>
    <w:r w:rsidRPr="00633927">
      <w:rPr>
        <w:rFonts w:ascii="Tahoma" w:hAnsi="Tahoma" w:cs="Tahoma"/>
        <w:i/>
        <w:sz w:val="20"/>
        <w:szCs w:val="20"/>
      </w:rPr>
      <w:t>Chapter 7: Consultation</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13A" w:rsidRPr="00DC6BA4" w:rsidRDefault="0017213A" w:rsidP="00371DFB">
    <w:pPr>
      <w:pStyle w:val="Header"/>
      <w:jc w:val="right"/>
      <w:rPr>
        <w:rFonts w:ascii="Tahoma" w:hAnsi="Tahoma" w:cs="Tahoma"/>
        <w:i/>
        <w:sz w:val="20"/>
        <w:szCs w:val="20"/>
      </w:rPr>
    </w:pPr>
    <w:r w:rsidRPr="00633927">
      <w:rPr>
        <w:rFonts w:ascii="Tahoma" w:hAnsi="Tahoma" w:cs="Tahoma"/>
        <w:i/>
        <w:sz w:val="20"/>
        <w:szCs w:val="20"/>
      </w:rPr>
      <w:t>Attachment B</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13A" w:rsidRPr="00DC6BA4" w:rsidRDefault="0017213A" w:rsidP="00371DFB">
    <w:pPr>
      <w:pStyle w:val="Header"/>
      <w:jc w:val="right"/>
      <w:rPr>
        <w:rFonts w:ascii="Tahoma" w:hAnsi="Tahoma" w:cs="Tahoma"/>
        <w:i/>
        <w:sz w:val="20"/>
        <w:szCs w:val="20"/>
      </w:rPr>
    </w:pPr>
    <w:r w:rsidRPr="00633927">
      <w:rPr>
        <w:rFonts w:ascii="Tahoma" w:hAnsi="Tahoma" w:cs="Tahoma"/>
        <w:i/>
        <w:sz w:val="20"/>
        <w:szCs w:val="20"/>
      </w:rPr>
      <w:t>Attachment C</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13A" w:rsidRPr="00DC6BA4" w:rsidRDefault="0017213A" w:rsidP="00371DFB">
    <w:pPr>
      <w:pStyle w:val="Header"/>
      <w:jc w:val="right"/>
      <w:rPr>
        <w:rFonts w:ascii="Tahoma" w:hAnsi="Tahoma" w:cs="Tahoma"/>
        <w:i/>
        <w:sz w:val="20"/>
        <w:szCs w:val="20"/>
      </w:rPr>
    </w:pPr>
    <w:r w:rsidRPr="00633927">
      <w:rPr>
        <w:rFonts w:ascii="Tahoma" w:hAnsi="Tahoma" w:cs="Tahoma"/>
        <w:i/>
        <w:sz w:val="20"/>
        <w:szCs w:val="20"/>
      </w:rPr>
      <w:t>Attachment 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13A" w:rsidRDefault="0017213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13A" w:rsidRDefault="0017213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13A" w:rsidRPr="00DC6BA4" w:rsidRDefault="0017213A" w:rsidP="00371DFB">
    <w:pPr>
      <w:pStyle w:val="Header"/>
      <w:jc w:val="right"/>
      <w:rPr>
        <w:rFonts w:ascii="Tahoma" w:hAnsi="Tahoma" w:cs="Tahoma"/>
        <w:i/>
        <w:sz w:val="20"/>
        <w:szCs w:val="20"/>
      </w:rPr>
    </w:pPr>
    <w:r w:rsidRPr="00633927">
      <w:rPr>
        <w:rFonts w:ascii="Tahoma" w:hAnsi="Tahoma" w:cs="Tahoma"/>
        <w:i/>
        <w:sz w:val="20"/>
        <w:szCs w:val="20"/>
      </w:rPr>
      <w:t>Executive Summary</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13A" w:rsidRDefault="0017213A">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13A" w:rsidRPr="00DC6BA4" w:rsidRDefault="0017213A" w:rsidP="00371DFB">
    <w:pPr>
      <w:pStyle w:val="Header"/>
      <w:jc w:val="right"/>
      <w:rPr>
        <w:rFonts w:ascii="Tahoma" w:hAnsi="Tahoma" w:cs="Tahoma"/>
        <w:i/>
        <w:sz w:val="18"/>
        <w:szCs w:val="18"/>
      </w:rPr>
    </w:pPr>
    <w:r w:rsidRPr="00633927">
      <w:rPr>
        <w:rFonts w:ascii="Tahoma" w:hAnsi="Tahoma" w:cs="Tahoma"/>
        <w:i/>
        <w:sz w:val="18"/>
        <w:szCs w:val="18"/>
      </w:rPr>
      <w:t>Chapter 1: Introduction</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13A" w:rsidRPr="00DC6BA4" w:rsidRDefault="0017213A" w:rsidP="00371DFB">
    <w:pPr>
      <w:pStyle w:val="Header"/>
      <w:jc w:val="right"/>
      <w:rPr>
        <w:rFonts w:ascii="Tahoma" w:hAnsi="Tahoma" w:cs="Tahoma"/>
        <w:i/>
        <w:sz w:val="18"/>
        <w:szCs w:val="18"/>
      </w:rPr>
    </w:pPr>
    <w:r w:rsidRPr="00633927">
      <w:rPr>
        <w:rFonts w:ascii="Tahoma" w:hAnsi="Tahoma" w:cs="Tahoma"/>
        <w:i/>
        <w:sz w:val="18"/>
        <w:szCs w:val="18"/>
      </w:rPr>
      <w:t>Chapter 2: The reasons for regulating local government planning and reporting</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13A" w:rsidRPr="00DC6BA4" w:rsidRDefault="0017213A" w:rsidP="00371DFB">
    <w:pPr>
      <w:pStyle w:val="Header"/>
      <w:jc w:val="right"/>
      <w:rPr>
        <w:rFonts w:ascii="Tahoma" w:hAnsi="Tahoma" w:cs="Tahoma"/>
        <w:i/>
        <w:sz w:val="20"/>
        <w:szCs w:val="20"/>
      </w:rPr>
    </w:pPr>
    <w:r w:rsidRPr="00633927">
      <w:rPr>
        <w:rFonts w:ascii="Tahoma" w:hAnsi="Tahoma" w:cs="Tahoma"/>
        <w:i/>
        <w:sz w:val="20"/>
        <w:szCs w:val="20"/>
      </w:rPr>
      <w:t>Chapter 4: Alternative options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13A" w:rsidRPr="00DC6BA4" w:rsidRDefault="0017213A" w:rsidP="00371DFB">
    <w:pPr>
      <w:pStyle w:val="Header"/>
      <w:jc w:val="right"/>
      <w:rPr>
        <w:rFonts w:ascii="Tahoma" w:hAnsi="Tahoma" w:cs="Tahoma"/>
        <w:i/>
        <w:sz w:val="20"/>
        <w:szCs w:val="20"/>
      </w:rPr>
    </w:pPr>
    <w:r w:rsidRPr="00633927">
      <w:rPr>
        <w:rFonts w:ascii="Tahoma" w:hAnsi="Tahoma" w:cs="Tahoma"/>
        <w:i/>
        <w:sz w:val="20"/>
        <w:szCs w:val="20"/>
      </w:rPr>
      <w:t>Chapter 5: Implementation and enforcement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76DE9"/>
    <w:multiLevelType w:val="multilevel"/>
    <w:tmpl w:val="C898F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B77327"/>
    <w:multiLevelType w:val="hybridMultilevel"/>
    <w:tmpl w:val="34AAE920"/>
    <w:lvl w:ilvl="0" w:tplc="3136313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9A5616"/>
    <w:multiLevelType w:val="hybridMultilevel"/>
    <w:tmpl w:val="8040805A"/>
    <w:lvl w:ilvl="0" w:tplc="730ACA3C">
      <w:start w:val="1"/>
      <w:numFmt w:val="bullet"/>
      <w:lvlRestart w:val="0"/>
      <w:lvlText w:val=""/>
      <w:lvlJc w:val="left"/>
      <w:pPr>
        <w:tabs>
          <w:tab w:val="num" w:pos="1134"/>
        </w:tabs>
        <w:ind w:left="1701" w:hanging="567"/>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0A1264A"/>
    <w:multiLevelType w:val="multilevel"/>
    <w:tmpl w:val="5D0CF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A41434"/>
    <w:multiLevelType w:val="hybridMultilevel"/>
    <w:tmpl w:val="60F871C6"/>
    <w:lvl w:ilvl="0" w:tplc="BB4CE93C">
      <w:start w:val="1"/>
      <w:numFmt w:val="bullet"/>
      <w:lvlRestart w:val="0"/>
      <w:lvlText w:val=""/>
      <w:lvlJc w:val="left"/>
      <w:pPr>
        <w:tabs>
          <w:tab w:val="num" w:pos="1134"/>
        </w:tabs>
        <w:ind w:left="1701" w:hanging="567"/>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1257BA3"/>
    <w:multiLevelType w:val="multilevel"/>
    <w:tmpl w:val="E4ECEBA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12987767"/>
    <w:multiLevelType w:val="hybridMultilevel"/>
    <w:tmpl w:val="E280F5F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nsid w:val="135F4719"/>
    <w:multiLevelType w:val="multilevel"/>
    <w:tmpl w:val="96522C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nsid w:val="15592794"/>
    <w:multiLevelType w:val="multilevel"/>
    <w:tmpl w:val="291EC1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nsid w:val="16171FDD"/>
    <w:multiLevelType w:val="hybridMultilevel"/>
    <w:tmpl w:val="696838A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nsid w:val="1913197C"/>
    <w:multiLevelType w:val="multilevel"/>
    <w:tmpl w:val="C4C0AD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nsid w:val="1A544230"/>
    <w:multiLevelType w:val="hybridMultilevel"/>
    <w:tmpl w:val="E6062D4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nsid w:val="1C2974FD"/>
    <w:multiLevelType w:val="hybridMultilevel"/>
    <w:tmpl w:val="A80EAD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EB12ACF"/>
    <w:multiLevelType w:val="hybridMultilevel"/>
    <w:tmpl w:val="DEE802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0284874"/>
    <w:multiLevelType w:val="multilevel"/>
    <w:tmpl w:val="8BC0CD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nsid w:val="22D050A6"/>
    <w:multiLevelType w:val="multilevel"/>
    <w:tmpl w:val="78DE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5473DAB"/>
    <w:multiLevelType w:val="multilevel"/>
    <w:tmpl w:val="202C7E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nsid w:val="262C2AD9"/>
    <w:multiLevelType w:val="multilevel"/>
    <w:tmpl w:val="E078EA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nsid w:val="275235AA"/>
    <w:multiLevelType w:val="multilevel"/>
    <w:tmpl w:val="17D81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76100DF"/>
    <w:multiLevelType w:val="multilevel"/>
    <w:tmpl w:val="1E18F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7E81D05"/>
    <w:multiLevelType w:val="hybridMultilevel"/>
    <w:tmpl w:val="207234D4"/>
    <w:lvl w:ilvl="0" w:tplc="456CD192">
      <w:start w:val="1"/>
      <w:numFmt w:val="bullet"/>
      <w:lvlRestart w:val="0"/>
      <w:lvlText w:val=""/>
      <w:lvlJc w:val="left"/>
      <w:pPr>
        <w:tabs>
          <w:tab w:val="num" w:pos="1134"/>
        </w:tabs>
        <w:ind w:left="1701" w:hanging="567"/>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2A7E599F"/>
    <w:multiLevelType w:val="multilevel"/>
    <w:tmpl w:val="DC7C2A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nsid w:val="2ACD34F4"/>
    <w:multiLevelType w:val="hybridMultilevel"/>
    <w:tmpl w:val="5ED80D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nsid w:val="2D4D13D6"/>
    <w:multiLevelType w:val="hybridMultilevel"/>
    <w:tmpl w:val="638689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2E301EC8"/>
    <w:multiLevelType w:val="multilevel"/>
    <w:tmpl w:val="29C86A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nsid w:val="2EB33729"/>
    <w:multiLevelType w:val="hybridMultilevel"/>
    <w:tmpl w:val="CBC82C8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26">
    <w:nsid w:val="2F4D4AF9"/>
    <w:multiLevelType w:val="hybridMultilevel"/>
    <w:tmpl w:val="CDE6A6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0EE4D23"/>
    <w:multiLevelType w:val="hybridMultilevel"/>
    <w:tmpl w:val="F5D22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5BC1918"/>
    <w:multiLevelType w:val="hybridMultilevel"/>
    <w:tmpl w:val="B64AD9C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nsid w:val="3B4465CB"/>
    <w:multiLevelType w:val="multilevel"/>
    <w:tmpl w:val="F522D3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nsid w:val="3CF0153B"/>
    <w:multiLevelType w:val="multilevel"/>
    <w:tmpl w:val="5852C9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nsid w:val="3D163C4F"/>
    <w:multiLevelType w:val="hybridMultilevel"/>
    <w:tmpl w:val="E1588A16"/>
    <w:lvl w:ilvl="0" w:tplc="C8A85C3A">
      <w:start w:val="1"/>
      <w:numFmt w:val="bullet"/>
      <w:lvlRestart w:val="0"/>
      <w:lvlText w:val=""/>
      <w:lvlJc w:val="left"/>
      <w:pPr>
        <w:tabs>
          <w:tab w:val="num" w:pos="1134"/>
        </w:tabs>
        <w:ind w:left="1701" w:hanging="567"/>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3EFD2BF7"/>
    <w:multiLevelType w:val="multilevel"/>
    <w:tmpl w:val="C62ABC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nsid w:val="3F92736E"/>
    <w:multiLevelType w:val="hybridMultilevel"/>
    <w:tmpl w:val="41EC5E5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nsid w:val="40BA6DD1"/>
    <w:multiLevelType w:val="hybridMultilevel"/>
    <w:tmpl w:val="958CC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4269041B"/>
    <w:multiLevelType w:val="singleLevel"/>
    <w:tmpl w:val="7C7653B4"/>
    <w:lvl w:ilvl="0">
      <w:start w:val="1"/>
      <w:numFmt w:val="bullet"/>
      <w:pStyle w:val="Bullet"/>
      <w:lvlText w:val=""/>
      <w:lvlJc w:val="left"/>
      <w:pPr>
        <w:tabs>
          <w:tab w:val="num" w:pos="360"/>
        </w:tabs>
        <w:ind w:left="360" w:hanging="360"/>
      </w:pPr>
      <w:rPr>
        <w:rFonts w:ascii="Symbol" w:hAnsi="Symbol" w:hint="default"/>
        <w:sz w:val="20"/>
      </w:rPr>
    </w:lvl>
  </w:abstractNum>
  <w:abstractNum w:abstractNumId="36">
    <w:nsid w:val="49CF4C05"/>
    <w:multiLevelType w:val="hybridMultilevel"/>
    <w:tmpl w:val="D81A1C2E"/>
    <w:lvl w:ilvl="0" w:tplc="62CEF220">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nsid w:val="53B214E0"/>
    <w:multiLevelType w:val="hybridMultilevel"/>
    <w:tmpl w:val="0106B408"/>
    <w:lvl w:ilvl="0" w:tplc="F9724808">
      <w:start w:val="1"/>
      <w:numFmt w:val="bullet"/>
      <w:lvlRestart w:val="0"/>
      <w:lvlText w:val=""/>
      <w:lvlJc w:val="left"/>
      <w:pPr>
        <w:tabs>
          <w:tab w:val="num" w:pos="1134"/>
        </w:tabs>
        <w:ind w:left="1701" w:hanging="567"/>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556706E3"/>
    <w:multiLevelType w:val="multilevel"/>
    <w:tmpl w:val="BBF6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DE30F3A"/>
    <w:multiLevelType w:val="hybridMultilevel"/>
    <w:tmpl w:val="0AA004C8"/>
    <w:lvl w:ilvl="0" w:tplc="BE184E32">
      <w:start w:val="1"/>
      <w:numFmt w:val="bullet"/>
      <w:pStyle w:val="ListParagraph"/>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40">
    <w:nsid w:val="5F7C5207"/>
    <w:multiLevelType w:val="hybridMultilevel"/>
    <w:tmpl w:val="38FED808"/>
    <w:lvl w:ilvl="0" w:tplc="AB50A4BE">
      <w:start w:val="1"/>
      <w:numFmt w:val="bullet"/>
      <w:lvlRestart w:val="0"/>
      <w:lvlText w:val=""/>
      <w:lvlJc w:val="left"/>
      <w:pPr>
        <w:tabs>
          <w:tab w:val="num" w:pos="1134"/>
        </w:tabs>
        <w:ind w:left="1701" w:hanging="567"/>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5FB57B33"/>
    <w:multiLevelType w:val="hybridMultilevel"/>
    <w:tmpl w:val="3AD2E99C"/>
    <w:lvl w:ilvl="0" w:tplc="8D1ABB44">
      <w:start w:val="1"/>
      <w:numFmt w:val="bullet"/>
      <w:lvlRestart w:val="0"/>
      <w:lvlText w:val=""/>
      <w:lvlJc w:val="left"/>
      <w:pPr>
        <w:tabs>
          <w:tab w:val="num" w:pos="1134"/>
        </w:tabs>
        <w:ind w:left="1701" w:hanging="567"/>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nsid w:val="622867F6"/>
    <w:multiLevelType w:val="multilevel"/>
    <w:tmpl w:val="37C279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nsid w:val="66CC6556"/>
    <w:multiLevelType w:val="hybridMultilevel"/>
    <w:tmpl w:val="C14AD8E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4">
    <w:nsid w:val="6BD22045"/>
    <w:multiLevelType w:val="hybridMultilevel"/>
    <w:tmpl w:val="438EEA3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5">
    <w:nsid w:val="6CF24B9E"/>
    <w:multiLevelType w:val="hybridMultilevel"/>
    <w:tmpl w:val="87E0153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6">
    <w:nsid w:val="6CF379B6"/>
    <w:multiLevelType w:val="hybridMultilevel"/>
    <w:tmpl w:val="2D8248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nsid w:val="6E492B8A"/>
    <w:multiLevelType w:val="multilevel"/>
    <w:tmpl w:val="29FACF9C"/>
    <w:lvl w:ilvl="0">
      <w:start w:val="1"/>
      <w:numFmt w:val="decimal"/>
      <w:pStyle w:val="ListBullet2"/>
      <w:lvlText w:val="%1."/>
      <w:lvlJc w:val="left"/>
      <w:pPr>
        <w:ind w:left="360" w:hanging="360"/>
      </w:pPr>
      <w:rPr>
        <w:rFonts w:hint="default"/>
        <w:b/>
        <w:i w:val="0"/>
        <w:color w:val="auto"/>
        <w:sz w:val="22"/>
      </w:rPr>
    </w:lvl>
    <w:lvl w:ilvl="1">
      <w:start w:val="1"/>
      <w:numFmt w:val="lowerLetter"/>
      <w:pStyle w:val="ListBullet3"/>
      <w:lvlText w:val="%2)"/>
      <w:lvlJc w:val="left"/>
      <w:pPr>
        <w:tabs>
          <w:tab w:val="num" w:pos="720"/>
        </w:tabs>
        <w:ind w:left="720" w:hanging="360"/>
      </w:pPr>
      <w:rPr>
        <w:rFonts w:hint="default"/>
        <w:b w:val="0"/>
        <w:i w:val="0"/>
        <w:color w:val="auto"/>
        <w:sz w:val="22"/>
      </w:rPr>
    </w:lvl>
    <w:lvl w:ilvl="2">
      <w:start w:val="1"/>
      <w:numFmt w:val="bullet"/>
      <w:pStyle w:val="ListBullet4"/>
      <w:lvlText w:val=""/>
      <w:lvlJc w:val="left"/>
      <w:pPr>
        <w:tabs>
          <w:tab w:val="num" w:pos="1077"/>
        </w:tabs>
        <w:ind w:left="1080" w:hanging="360"/>
      </w:pPr>
      <w:rPr>
        <w:rFonts w:ascii="Symbol" w:hAnsi="Symbol" w:hint="default"/>
        <w:b w:val="0"/>
        <w:i w:val="0"/>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
    <w:nsid w:val="70AF2DD1"/>
    <w:multiLevelType w:val="multilevel"/>
    <w:tmpl w:val="DC122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16A2D41"/>
    <w:multiLevelType w:val="hybridMultilevel"/>
    <w:tmpl w:val="9294BB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nsid w:val="73C100DF"/>
    <w:multiLevelType w:val="multilevel"/>
    <w:tmpl w:val="4E7EA5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
    <w:nsid w:val="76932C19"/>
    <w:multiLevelType w:val="hybridMultilevel"/>
    <w:tmpl w:val="FB544B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nsid w:val="76B37692"/>
    <w:multiLevelType w:val="hybridMultilevel"/>
    <w:tmpl w:val="191A411A"/>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53">
    <w:nsid w:val="79AF008F"/>
    <w:multiLevelType w:val="hybridMultilevel"/>
    <w:tmpl w:val="515EF3F8"/>
    <w:lvl w:ilvl="0" w:tplc="52D29300">
      <w:start w:val="1"/>
      <w:numFmt w:val="bullet"/>
      <w:lvlRestart w:val="0"/>
      <w:lvlText w:val=""/>
      <w:lvlJc w:val="left"/>
      <w:pPr>
        <w:tabs>
          <w:tab w:val="num" w:pos="1134"/>
        </w:tabs>
        <w:ind w:left="1701" w:hanging="567"/>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nsid w:val="7F635226"/>
    <w:multiLevelType w:val="hybridMultilevel"/>
    <w:tmpl w:val="B070597E"/>
    <w:lvl w:ilvl="0" w:tplc="C3EA6210">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35"/>
  </w:num>
  <w:num w:numId="3">
    <w:abstractNumId w:val="27"/>
  </w:num>
  <w:num w:numId="4">
    <w:abstractNumId w:val="34"/>
  </w:num>
  <w:num w:numId="5">
    <w:abstractNumId w:val="12"/>
  </w:num>
  <w:num w:numId="6">
    <w:abstractNumId w:val="13"/>
  </w:num>
  <w:num w:numId="7">
    <w:abstractNumId w:val="20"/>
  </w:num>
  <w:num w:numId="8">
    <w:abstractNumId w:val="37"/>
  </w:num>
  <w:num w:numId="9">
    <w:abstractNumId w:val="31"/>
  </w:num>
  <w:num w:numId="10">
    <w:abstractNumId w:val="53"/>
  </w:num>
  <w:num w:numId="11">
    <w:abstractNumId w:val="40"/>
  </w:num>
  <w:num w:numId="12">
    <w:abstractNumId w:val="2"/>
  </w:num>
  <w:num w:numId="13">
    <w:abstractNumId w:val="41"/>
  </w:num>
  <w:num w:numId="14">
    <w:abstractNumId w:val="4"/>
  </w:num>
  <w:num w:numId="15">
    <w:abstractNumId w:val="1"/>
  </w:num>
  <w:num w:numId="16">
    <w:abstractNumId w:val="24"/>
  </w:num>
  <w:num w:numId="17">
    <w:abstractNumId w:val="50"/>
  </w:num>
  <w:num w:numId="18">
    <w:abstractNumId w:val="17"/>
  </w:num>
  <w:num w:numId="19">
    <w:abstractNumId w:val="8"/>
  </w:num>
  <w:num w:numId="20">
    <w:abstractNumId w:val="29"/>
  </w:num>
  <w:num w:numId="21">
    <w:abstractNumId w:val="10"/>
  </w:num>
  <w:num w:numId="22">
    <w:abstractNumId w:val="16"/>
  </w:num>
  <w:num w:numId="23">
    <w:abstractNumId w:val="42"/>
  </w:num>
  <w:num w:numId="24">
    <w:abstractNumId w:val="7"/>
  </w:num>
  <w:num w:numId="25">
    <w:abstractNumId w:val="21"/>
  </w:num>
  <w:num w:numId="26">
    <w:abstractNumId w:val="14"/>
  </w:num>
  <w:num w:numId="27">
    <w:abstractNumId w:val="32"/>
  </w:num>
  <w:num w:numId="28">
    <w:abstractNumId w:val="30"/>
  </w:num>
  <w:num w:numId="29">
    <w:abstractNumId w:val="26"/>
  </w:num>
  <w:num w:numId="30">
    <w:abstractNumId w:val="6"/>
  </w:num>
  <w:num w:numId="31">
    <w:abstractNumId w:val="1"/>
  </w:num>
  <w:num w:numId="32">
    <w:abstractNumId w:val="1"/>
  </w:num>
  <w:num w:numId="33">
    <w:abstractNumId w:val="1"/>
  </w:num>
  <w:num w:numId="34">
    <w:abstractNumId w:val="1"/>
  </w:num>
  <w:num w:numId="35">
    <w:abstractNumId w:val="36"/>
  </w:num>
  <w:num w:numId="36">
    <w:abstractNumId w:val="9"/>
  </w:num>
  <w:num w:numId="37">
    <w:abstractNumId w:val="1"/>
  </w:num>
  <w:num w:numId="38">
    <w:abstractNumId w:val="1"/>
  </w:num>
  <w:num w:numId="39">
    <w:abstractNumId w:val="5"/>
  </w:num>
  <w:num w:numId="40">
    <w:abstractNumId w:val="18"/>
  </w:num>
  <w:num w:numId="41">
    <w:abstractNumId w:val="38"/>
  </w:num>
  <w:num w:numId="42">
    <w:abstractNumId w:val="19"/>
  </w:num>
  <w:num w:numId="43">
    <w:abstractNumId w:val="3"/>
  </w:num>
  <w:num w:numId="44">
    <w:abstractNumId w:val="0"/>
  </w:num>
  <w:num w:numId="45">
    <w:abstractNumId w:val="48"/>
  </w:num>
  <w:num w:numId="46">
    <w:abstractNumId w:val="15"/>
  </w:num>
  <w:num w:numId="47">
    <w:abstractNumId w:val="1"/>
  </w:num>
  <w:num w:numId="48">
    <w:abstractNumId w:val="1"/>
  </w:num>
  <w:num w:numId="49">
    <w:abstractNumId w:val="1"/>
  </w:num>
  <w:num w:numId="50">
    <w:abstractNumId w:val="1"/>
  </w:num>
  <w:num w:numId="51">
    <w:abstractNumId w:val="11"/>
  </w:num>
  <w:num w:numId="52">
    <w:abstractNumId w:val="46"/>
  </w:num>
  <w:num w:numId="53">
    <w:abstractNumId w:val="39"/>
  </w:num>
  <w:num w:numId="54">
    <w:abstractNumId w:val="39"/>
  </w:num>
  <w:num w:numId="55">
    <w:abstractNumId w:val="52"/>
  </w:num>
  <w:num w:numId="56">
    <w:abstractNumId w:val="25"/>
  </w:num>
  <w:num w:numId="57">
    <w:abstractNumId w:val="39"/>
  </w:num>
  <w:num w:numId="58">
    <w:abstractNumId w:val="47"/>
  </w:num>
  <w:num w:numId="59">
    <w:abstractNumId w:val="33"/>
  </w:num>
  <w:num w:numId="60">
    <w:abstractNumId w:val="39"/>
  </w:num>
  <w:num w:numId="61">
    <w:abstractNumId w:val="43"/>
  </w:num>
  <w:num w:numId="62">
    <w:abstractNumId w:val="45"/>
  </w:num>
  <w:num w:numId="63">
    <w:abstractNumId w:val="28"/>
  </w:num>
  <w:num w:numId="64">
    <w:abstractNumId w:val="22"/>
  </w:num>
  <w:num w:numId="65">
    <w:abstractNumId w:val="39"/>
  </w:num>
  <w:num w:numId="66">
    <w:abstractNumId w:val="39"/>
  </w:num>
  <w:num w:numId="67">
    <w:abstractNumId w:val="39"/>
  </w:num>
  <w:num w:numId="68">
    <w:abstractNumId w:val="39"/>
  </w:num>
  <w:num w:numId="69">
    <w:abstractNumId w:val="49"/>
  </w:num>
  <w:num w:numId="70">
    <w:abstractNumId w:val="23"/>
  </w:num>
  <w:num w:numId="71">
    <w:abstractNumId w:val="51"/>
  </w:num>
  <w:num w:numId="72">
    <w:abstractNumId w:val="44"/>
  </w:num>
  <w:num w:numId="73">
    <w:abstractNumId w:val="5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5"/>
  <w:activeWritingStyle w:appName="MSWord" w:lang="en-US" w:vendorID="64" w:dllVersion="131078" w:nlCheck="1" w:checkStyle="1"/>
  <w:activeWritingStyle w:appName="MSWord" w:lang="en-AU" w:vendorID="64" w:dllVersion="131078" w:nlCheck="1" w:checkStyle="1"/>
  <w:activeWritingStyle w:appName="MSWord" w:lang="en-GB" w:vendorID="64" w:dllVersion="131078" w:nlCheck="1" w:checkStyle="1"/>
  <w:activeWritingStyle w:appName="MSWord" w:lang="en-NZ" w:vendorID="64" w:dllVersion="131078" w:nlCheck="1" w:checkStyle="1"/>
  <w:defaultTabStop w:val="720"/>
  <w:characterSpacingControl w:val="doNotCompress"/>
  <w:hdrShapeDefaults>
    <o:shapedefaults v:ext="edit" spidmax="26625"/>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486"/>
    <w:rsid w:val="00001CA3"/>
    <w:rsid w:val="00001EAC"/>
    <w:rsid w:val="000020F3"/>
    <w:rsid w:val="00002601"/>
    <w:rsid w:val="00002A90"/>
    <w:rsid w:val="000034B1"/>
    <w:rsid w:val="00003FB0"/>
    <w:rsid w:val="000052C6"/>
    <w:rsid w:val="000052EA"/>
    <w:rsid w:val="00005D3A"/>
    <w:rsid w:val="0000614C"/>
    <w:rsid w:val="00006447"/>
    <w:rsid w:val="00006B3E"/>
    <w:rsid w:val="000073E5"/>
    <w:rsid w:val="00007EFD"/>
    <w:rsid w:val="000110E4"/>
    <w:rsid w:val="00011AC8"/>
    <w:rsid w:val="000129AC"/>
    <w:rsid w:val="00013605"/>
    <w:rsid w:val="000137E3"/>
    <w:rsid w:val="00014104"/>
    <w:rsid w:val="00015C95"/>
    <w:rsid w:val="0001739B"/>
    <w:rsid w:val="00017A15"/>
    <w:rsid w:val="00017A2E"/>
    <w:rsid w:val="00017AF2"/>
    <w:rsid w:val="0002213D"/>
    <w:rsid w:val="00022FB1"/>
    <w:rsid w:val="0002341A"/>
    <w:rsid w:val="00023612"/>
    <w:rsid w:val="00023F12"/>
    <w:rsid w:val="00024952"/>
    <w:rsid w:val="00024D47"/>
    <w:rsid w:val="0002671A"/>
    <w:rsid w:val="000272F8"/>
    <w:rsid w:val="00027846"/>
    <w:rsid w:val="000279B8"/>
    <w:rsid w:val="00027D75"/>
    <w:rsid w:val="00030194"/>
    <w:rsid w:val="00030629"/>
    <w:rsid w:val="00031643"/>
    <w:rsid w:val="00031E0B"/>
    <w:rsid w:val="0003458E"/>
    <w:rsid w:val="00034C20"/>
    <w:rsid w:val="000357B1"/>
    <w:rsid w:val="00037B22"/>
    <w:rsid w:val="00037B2A"/>
    <w:rsid w:val="00037E37"/>
    <w:rsid w:val="00040479"/>
    <w:rsid w:val="000406F4"/>
    <w:rsid w:val="00041CC0"/>
    <w:rsid w:val="000449B6"/>
    <w:rsid w:val="0004588F"/>
    <w:rsid w:val="00046741"/>
    <w:rsid w:val="00047513"/>
    <w:rsid w:val="00050392"/>
    <w:rsid w:val="0005070E"/>
    <w:rsid w:val="00050B7B"/>
    <w:rsid w:val="00051241"/>
    <w:rsid w:val="00051FB0"/>
    <w:rsid w:val="00052076"/>
    <w:rsid w:val="00052BED"/>
    <w:rsid w:val="0005419C"/>
    <w:rsid w:val="00055B10"/>
    <w:rsid w:val="00055F08"/>
    <w:rsid w:val="000560A3"/>
    <w:rsid w:val="000561A0"/>
    <w:rsid w:val="000563A1"/>
    <w:rsid w:val="0005650D"/>
    <w:rsid w:val="0005677C"/>
    <w:rsid w:val="00056D51"/>
    <w:rsid w:val="00057423"/>
    <w:rsid w:val="000575D6"/>
    <w:rsid w:val="00057C5B"/>
    <w:rsid w:val="00057D40"/>
    <w:rsid w:val="00060312"/>
    <w:rsid w:val="0006097C"/>
    <w:rsid w:val="00061182"/>
    <w:rsid w:val="0006138D"/>
    <w:rsid w:val="000613D8"/>
    <w:rsid w:val="00061D36"/>
    <w:rsid w:val="000621DD"/>
    <w:rsid w:val="0006225A"/>
    <w:rsid w:val="00063CE9"/>
    <w:rsid w:val="0006465D"/>
    <w:rsid w:val="000662D1"/>
    <w:rsid w:val="00070163"/>
    <w:rsid w:val="0007019F"/>
    <w:rsid w:val="00070766"/>
    <w:rsid w:val="00070D4A"/>
    <w:rsid w:val="0007119C"/>
    <w:rsid w:val="00072009"/>
    <w:rsid w:val="000736A0"/>
    <w:rsid w:val="00073786"/>
    <w:rsid w:val="00075095"/>
    <w:rsid w:val="00075A14"/>
    <w:rsid w:val="00076083"/>
    <w:rsid w:val="00077780"/>
    <w:rsid w:val="000777B5"/>
    <w:rsid w:val="00077E1F"/>
    <w:rsid w:val="00081254"/>
    <w:rsid w:val="000815ED"/>
    <w:rsid w:val="000821E2"/>
    <w:rsid w:val="00082DAF"/>
    <w:rsid w:val="00082DE2"/>
    <w:rsid w:val="00083923"/>
    <w:rsid w:val="000839A3"/>
    <w:rsid w:val="00083A96"/>
    <w:rsid w:val="00084B87"/>
    <w:rsid w:val="00084E3E"/>
    <w:rsid w:val="00086E5F"/>
    <w:rsid w:val="000876C4"/>
    <w:rsid w:val="0008778C"/>
    <w:rsid w:val="000877C3"/>
    <w:rsid w:val="00087B21"/>
    <w:rsid w:val="00087DE7"/>
    <w:rsid w:val="000901B7"/>
    <w:rsid w:val="00090F45"/>
    <w:rsid w:val="000918FA"/>
    <w:rsid w:val="00091CBB"/>
    <w:rsid w:val="0009228D"/>
    <w:rsid w:val="00092596"/>
    <w:rsid w:val="00093687"/>
    <w:rsid w:val="00093BEB"/>
    <w:rsid w:val="00093C3D"/>
    <w:rsid w:val="000944D9"/>
    <w:rsid w:val="00094581"/>
    <w:rsid w:val="00094D0F"/>
    <w:rsid w:val="000952FA"/>
    <w:rsid w:val="00095AD7"/>
    <w:rsid w:val="00096313"/>
    <w:rsid w:val="00096B04"/>
    <w:rsid w:val="00096B81"/>
    <w:rsid w:val="00096E94"/>
    <w:rsid w:val="0009701E"/>
    <w:rsid w:val="000973B0"/>
    <w:rsid w:val="0009771B"/>
    <w:rsid w:val="000A0390"/>
    <w:rsid w:val="000A05F2"/>
    <w:rsid w:val="000A09BB"/>
    <w:rsid w:val="000A18B7"/>
    <w:rsid w:val="000A1E1B"/>
    <w:rsid w:val="000A2376"/>
    <w:rsid w:val="000A2FDC"/>
    <w:rsid w:val="000A32B0"/>
    <w:rsid w:val="000A3EDC"/>
    <w:rsid w:val="000A3EFB"/>
    <w:rsid w:val="000A45B4"/>
    <w:rsid w:val="000A4AC5"/>
    <w:rsid w:val="000A4C0C"/>
    <w:rsid w:val="000A5F09"/>
    <w:rsid w:val="000A61F1"/>
    <w:rsid w:val="000A6755"/>
    <w:rsid w:val="000A68AA"/>
    <w:rsid w:val="000A7420"/>
    <w:rsid w:val="000B07E2"/>
    <w:rsid w:val="000B0EA1"/>
    <w:rsid w:val="000B115F"/>
    <w:rsid w:val="000B12ED"/>
    <w:rsid w:val="000B1E2F"/>
    <w:rsid w:val="000B23CF"/>
    <w:rsid w:val="000B3D24"/>
    <w:rsid w:val="000B56F9"/>
    <w:rsid w:val="000B590D"/>
    <w:rsid w:val="000B65F2"/>
    <w:rsid w:val="000B69B5"/>
    <w:rsid w:val="000B777B"/>
    <w:rsid w:val="000C014A"/>
    <w:rsid w:val="000C0282"/>
    <w:rsid w:val="000C03C0"/>
    <w:rsid w:val="000C0588"/>
    <w:rsid w:val="000C0DBC"/>
    <w:rsid w:val="000C278D"/>
    <w:rsid w:val="000C3129"/>
    <w:rsid w:val="000C3170"/>
    <w:rsid w:val="000C3908"/>
    <w:rsid w:val="000C3E07"/>
    <w:rsid w:val="000C46C4"/>
    <w:rsid w:val="000C5441"/>
    <w:rsid w:val="000C564E"/>
    <w:rsid w:val="000C5F36"/>
    <w:rsid w:val="000C6CD6"/>
    <w:rsid w:val="000C7CFF"/>
    <w:rsid w:val="000D008A"/>
    <w:rsid w:val="000D075F"/>
    <w:rsid w:val="000D1CC9"/>
    <w:rsid w:val="000D24CD"/>
    <w:rsid w:val="000D25CD"/>
    <w:rsid w:val="000D2754"/>
    <w:rsid w:val="000D3559"/>
    <w:rsid w:val="000D42DC"/>
    <w:rsid w:val="000D4794"/>
    <w:rsid w:val="000D5464"/>
    <w:rsid w:val="000D63FD"/>
    <w:rsid w:val="000D73B0"/>
    <w:rsid w:val="000D76C9"/>
    <w:rsid w:val="000D7DFD"/>
    <w:rsid w:val="000E03F4"/>
    <w:rsid w:val="000E099B"/>
    <w:rsid w:val="000E0B41"/>
    <w:rsid w:val="000E4882"/>
    <w:rsid w:val="000E546E"/>
    <w:rsid w:val="000E5A33"/>
    <w:rsid w:val="000E5F8B"/>
    <w:rsid w:val="000E60CA"/>
    <w:rsid w:val="000E665B"/>
    <w:rsid w:val="000E6E49"/>
    <w:rsid w:val="000E7EB0"/>
    <w:rsid w:val="000F0C4B"/>
    <w:rsid w:val="000F165D"/>
    <w:rsid w:val="000F19C4"/>
    <w:rsid w:val="000F1A26"/>
    <w:rsid w:val="000F3991"/>
    <w:rsid w:val="000F39A8"/>
    <w:rsid w:val="000F43BD"/>
    <w:rsid w:val="000F5FC2"/>
    <w:rsid w:val="000F6C22"/>
    <w:rsid w:val="000F718B"/>
    <w:rsid w:val="00100DB0"/>
    <w:rsid w:val="00100F3A"/>
    <w:rsid w:val="001012A0"/>
    <w:rsid w:val="001014E1"/>
    <w:rsid w:val="001027D3"/>
    <w:rsid w:val="00102FC1"/>
    <w:rsid w:val="001031FE"/>
    <w:rsid w:val="00103BE4"/>
    <w:rsid w:val="00103F10"/>
    <w:rsid w:val="00104E72"/>
    <w:rsid w:val="00104F0E"/>
    <w:rsid w:val="00105189"/>
    <w:rsid w:val="00105612"/>
    <w:rsid w:val="00105BA0"/>
    <w:rsid w:val="00106565"/>
    <w:rsid w:val="001066F7"/>
    <w:rsid w:val="00106885"/>
    <w:rsid w:val="00106CA5"/>
    <w:rsid w:val="00106DF6"/>
    <w:rsid w:val="0011034F"/>
    <w:rsid w:val="0011084F"/>
    <w:rsid w:val="00110B5D"/>
    <w:rsid w:val="001119C6"/>
    <w:rsid w:val="00112292"/>
    <w:rsid w:val="001135D4"/>
    <w:rsid w:val="00113BF8"/>
    <w:rsid w:val="00113C58"/>
    <w:rsid w:val="00113C80"/>
    <w:rsid w:val="00114AC8"/>
    <w:rsid w:val="0011528A"/>
    <w:rsid w:val="00115713"/>
    <w:rsid w:val="001167F6"/>
    <w:rsid w:val="00116870"/>
    <w:rsid w:val="00117A49"/>
    <w:rsid w:val="001203C1"/>
    <w:rsid w:val="00121D75"/>
    <w:rsid w:val="00122EDA"/>
    <w:rsid w:val="0012410C"/>
    <w:rsid w:val="001257D2"/>
    <w:rsid w:val="00126486"/>
    <w:rsid w:val="00126521"/>
    <w:rsid w:val="00126741"/>
    <w:rsid w:val="00127DB0"/>
    <w:rsid w:val="00127E52"/>
    <w:rsid w:val="001302E5"/>
    <w:rsid w:val="00130711"/>
    <w:rsid w:val="00131901"/>
    <w:rsid w:val="001322DB"/>
    <w:rsid w:val="00134B49"/>
    <w:rsid w:val="00134BAD"/>
    <w:rsid w:val="00135119"/>
    <w:rsid w:val="0013518F"/>
    <w:rsid w:val="00136746"/>
    <w:rsid w:val="00136968"/>
    <w:rsid w:val="001376A8"/>
    <w:rsid w:val="00137A62"/>
    <w:rsid w:val="00140027"/>
    <w:rsid w:val="001414FB"/>
    <w:rsid w:val="00141BFF"/>
    <w:rsid w:val="00142334"/>
    <w:rsid w:val="00143C11"/>
    <w:rsid w:val="00144177"/>
    <w:rsid w:val="00144797"/>
    <w:rsid w:val="00144906"/>
    <w:rsid w:val="00147424"/>
    <w:rsid w:val="00147877"/>
    <w:rsid w:val="00147BAD"/>
    <w:rsid w:val="00150977"/>
    <w:rsid w:val="001509A5"/>
    <w:rsid w:val="00150BEE"/>
    <w:rsid w:val="00151410"/>
    <w:rsid w:val="00152233"/>
    <w:rsid w:val="00152DA1"/>
    <w:rsid w:val="00153C01"/>
    <w:rsid w:val="00153C29"/>
    <w:rsid w:val="0015413D"/>
    <w:rsid w:val="0015425A"/>
    <w:rsid w:val="0015465F"/>
    <w:rsid w:val="00154A54"/>
    <w:rsid w:val="00154EF1"/>
    <w:rsid w:val="00155E20"/>
    <w:rsid w:val="00156739"/>
    <w:rsid w:val="00156976"/>
    <w:rsid w:val="00156C98"/>
    <w:rsid w:val="00157553"/>
    <w:rsid w:val="0015755A"/>
    <w:rsid w:val="00157561"/>
    <w:rsid w:val="00160088"/>
    <w:rsid w:val="0016009F"/>
    <w:rsid w:val="00160835"/>
    <w:rsid w:val="00163E4B"/>
    <w:rsid w:val="00164579"/>
    <w:rsid w:val="001647FE"/>
    <w:rsid w:val="0016502F"/>
    <w:rsid w:val="00165980"/>
    <w:rsid w:val="00165D03"/>
    <w:rsid w:val="00166042"/>
    <w:rsid w:val="001664BE"/>
    <w:rsid w:val="0016700F"/>
    <w:rsid w:val="00171182"/>
    <w:rsid w:val="0017213A"/>
    <w:rsid w:val="00172965"/>
    <w:rsid w:val="00172C12"/>
    <w:rsid w:val="001734BA"/>
    <w:rsid w:val="001747C8"/>
    <w:rsid w:val="001748D2"/>
    <w:rsid w:val="00174F3C"/>
    <w:rsid w:val="00176A6C"/>
    <w:rsid w:val="00177E5C"/>
    <w:rsid w:val="00180533"/>
    <w:rsid w:val="00180BF6"/>
    <w:rsid w:val="001812FD"/>
    <w:rsid w:val="00181339"/>
    <w:rsid w:val="00182300"/>
    <w:rsid w:val="00182350"/>
    <w:rsid w:val="00182597"/>
    <w:rsid w:val="001836AA"/>
    <w:rsid w:val="00183B8F"/>
    <w:rsid w:val="00183C0D"/>
    <w:rsid w:val="001858CF"/>
    <w:rsid w:val="00185E8C"/>
    <w:rsid w:val="001863C1"/>
    <w:rsid w:val="00186590"/>
    <w:rsid w:val="00192119"/>
    <w:rsid w:val="00193547"/>
    <w:rsid w:val="0019381F"/>
    <w:rsid w:val="00193C74"/>
    <w:rsid w:val="00195412"/>
    <w:rsid w:val="00195E4A"/>
    <w:rsid w:val="00196532"/>
    <w:rsid w:val="0019689E"/>
    <w:rsid w:val="00196D1B"/>
    <w:rsid w:val="0019725B"/>
    <w:rsid w:val="001978F9"/>
    <w:rsid w:val="00197AC0"/>
    <w:rsid w:val="00197ACA"/>
    <w:rsid w:val="00197E53"/>
    <w:rsid w:val="001A1636"/>
    <w:rsid w:val="001A1D47"/>
    <w:rsid w:val="001A2547"/>
    <w:rsid w:val="001A306A"/>
    <w:rsid w:val="001A4442"/>
    <w:rsid w:val="001A4865"/>
    <w:rsid w:val="001A5CE5"/>
    <w:rsid w:val="001A623F"/>
    <w:rsid w:val="001A6276"/>
    <w:rsid w:val="001A66C3"/>
    <w:rsid w:val="001A67FA"/>
    <w:rsid w:val="001B083F"/>
    <w:rsid w:val="001B0BE1"/>
    <w:rsid w:val="001B1130"/>
    <w:rsid w:val="001B11CA"/>
    <w:rsid w:val="001B1E2E"/>
    <w:rsid w:val="001B3FE5"/>
    <w:rsid w:val="001B58F2"/>
    <w:rsid w:val="001B5A9B"/>
    <w:rsid w:val="001B6377"/>
    <w:rsid w:val="001B6484"/>
    <w:rsid w:val="001B6734"/>
    <w:rsid w:val="001B6837"/>
    <w:rsid w:val="001B6E5E"/>
    <w:rsid w:val="001B7417"/>
    <w:rsid w:val="001B74BF"/>
    <w:rsid w:val="001B75A9"/>
    <w:rsid w:val="001C02B1"/>
    <w:rsid w:val="001C07CD"/>
    <w:rsid w:val="001C0C7A"/>
    <w:rsid w:val="001C1B53"/>
    <w:rsid w:val="001C2B52"/>
    <w:rsid w:val="001C3521"/>
    <w:rsid w:val="001C3ABF"/>
    <w:rsid w:val="001C46EF"/>
    <w:rsid w:val="001C4964"/>
    <w:rsid w:val="001C53A1"/>
    <w:rsid w:val="001C6E16"/>
    <w:rsid w:val="001C709E"/>
    <w:rsid w:val="001C7B62"/>
    <w:rsid w:val="001D1046"/>
    <w:rsid w:val="001D1E8B"/>
    <w:rsid w:val="001D2759"/>
    <w:rsid w:val="001D276A"/>
    <w:rsid w:val="001D2D6A"/>
    <w:rsid w:val="001D48EB"/>
    <w:rsid w:val="001D48F7"/>
    <w:rsid w:val="001D554B"/>
    <w:rsid w:val="001D576F"/>
    <w:rsid w:val="001D5BC4"/>
    <w:rsid w:val="001D6418"/>
    <w:rsid w:val="001D6C16"/>
    <w:rsid w:val="001D761C"/>
    <w:rsid w:val="001E0025"/>
    <w:rsid w:val="001E1FB3"/>
    <w:rsid w:val="001E2278"/>
    <w:rsid w:val="001E2741"/>
    <w:rsid w:val="001E33B6"/>
    <w:rsid w:val="001E40D7"/>
    <w:rsid w:val="001E5784"/>
    <w:rsid w:val="001E5C82"/>
    <w:rsid w:val="001E65BE"/>
    <w:rsid w:val="001E6A7E"/>
    <w:rsid w:val="001F03CF"/>
    <w:rsid w:val="001F0C62"/>
    <w:rsid w:val="001F0D94"/>
    <w:rsid w:val="001F11FF"/>
    <w:rsid w:val="001F26EA"/>
    <w:rsid w:val="001F2A3A"/>
    <w:rsid w:val="001F2CDB"/>
    <w:rsid w:val="001F2D5A"/>
    <w:rsid w:val="001F30A7"/>
    <w:rsid w:val="001F434F"/>
    <w:rsid w:val="001F456E"/>
    <w:rsid w:val="001F462B"/>
    <w:rsid w:val="001F4FD0"/>
    <w:rsid w:val="00201543"/>
    <w:rsid w:val="00203C82"/>
    <w:rsid w:val="0020417C"/>
    <w:rsid w:val="00204291"/>
    <w:rsid w:val="00204E25"/>
    <w:rsid w:val="002072EC"/>
    <w:rsid w:val="002072F7"/>
    <w:rsid w:val="00207BF3"/>
    <w:rsid w:val="0021053D"/>
    <w:rsid w:val="00210FF6"/>
    <w:rsid w:val="0021122A"/>
    <w:rsid w:val="0021198D"/>
    <w:rsid w:val="00212C48"/>
    <w:rsid w:val="00212D8E"/>
    <w:rsid w:val="00213213"/>
    <w:rsid w:val="0021399C"/>
    <w:rsid w:val="0021413D"/>
    <w:rsid w:val="00214903"/>
    <w:rsid w:val="00214C66"/>
    <w:rsid w:val="00216B06"/>
    <w:rsid w:val="00216E16"/>
    <w:rsid w:val="002173F8"/>
    <w:rsid w:val="00217563"/>
    <w:rsid w:val="00217AFD"/>
    <w:rsid w:val="00217CB7"/>
    <w:rsid w:val="00220943"/>
    <w:rsid w:val="00220E82"/>
    <w:rsid w:val="00221A99"/>
    <w:rsid w:val="00221CF1"/>
    <w:rsid w:val="00222C20"/>
    <w:rsid w:val="00223515"/>
    <w:rsid w:val="00224111"/>
    <w:rsid w:val="00224426"/>
    <w:rsid w:val="00224DB7"/>
    <w:rsid w:val="00225E0F"/>
    <w:rsid w:val="00225EF3"/>
    <w:rsid w:val="0022617F"/>
    <w:rsid w:val="00230920"/>
    <w:rsid w:val="00230A31"/>
    <w:rsid w:val="00230C1D"/>
    <w:rsid w:val="00231960"/>
    <w:rsid w:val="00231A41"/>
    <w:rsid w:val="00231D85"/>
    <w:rsid w:val="00232033"/>
    <w:rsid w:val="00232528"/>
    <w:rsid w:val="002332E6"/>
    <w:rsid w:val="00234253"/>
    <w:rsid w:val="002342F4"/>
    <w:rsid w:val="00234FE4"/>
    <w:rsid w:val="0023641C"/>
    <w:rsid w:val="002366AD"/>
    <w:rsid w:val="00236D83"/>
    <w:rsid w:val="002376CC"/>
    <w:rsid w:val="00237809"/>
    <w:rsid w:val="002378CE"/>
    <w:rsid w:val="00237DAE"/>
    <w:rsid w:val="00240CD3"/>
    <w:rsid w:val="002427A5"/>
    <w:rsid w:val="00242D4B"/>
    <w:rsid w:val="00242FD7"/>
    <w:rsid w:val="00243050"/>
    <w:rsid w:val="00244126"/>
    <w:rsid w:val="00244690"/>
    <w:rsid w:val="00245478"/>
    <w:rsid w:val="00245F37"/>
    <w:rsid w:val="0024726A"/>
    <w:rsid w:val="00250302"/>
    <w:rsid w:val="00250CA0"/>
    <w:rsid w:val="0025151C"/>
    <w:rsid w:val="00251BC6"/>
    <w:rsid w:val="00251FA2"/>
    <w:rsid w:val="002533B2"/>
    <w:rsid w:val="00254AB4"/>
    <w:rsid w:val="00254D80"/>
    <w:rsid w:val="0025538D"/>
    <w:rsid w:val="00256C4B"/>
    <w:rsid w:val="00257361"/>
    <w:rsid w:val="00257440"/>
    <w:rsid w:val="002577CE"/>
    <w:rsid w:val="002578E5"/>
    <w:rsid w:val="00260603"/>
    <w:rsid w:val="00260CA4"/>
    <w:rsid w:val="0026185D"/>
    <w:rsid w:val="002625AA"/>
    <w:rsid w:val="00262848"/>
    <w:rsid w:val="00263C7C"/>
    <w:rsid w:val="00263FFE"/>
    <w:rsid w:val="002646CB"/>
    <w:rsid w:val="00264D6E"/>
    <w:rsid w:val="00265064"/>
    <w:rsid w:val="002654C3"/>
    <w:rsid w:val="002654D4"/>
    <w:rsid w:val="00265CE5"/>
    <w:rsid w:val="00266614"/>
    <w:rsid w:val="00266BB9"/>
    <w:rsid w:val="00270B0C"/>
    <w:rsid w:val="00270CDE"/>
    <w:rsid w:val="00271ABE"/>
    <w:rsid w:val="00271E65"/>
    <w:rsid w:val="00271F46"/>
    <w:rsid w:val="0027204F"/>
    <w:rsid w:val="00272D6E"/>
    <w:rsid w:val="00273C83"/>
    <w:rsid w:val="00273E5F"/>
    <w:rsid w:val="002740C9"/>
    <w:rsid w:val="0027432F"/>
    <w:rsid w:val="002748A1"/>
    <w:rsid w:val="0027517B"/>
    <w:rsid w:val="0027558B"/>
    <w:rsid w:val="00276518"/>
    <w:rsid w:val="002770C2"/>
    <w:rsid w:val="002771A9"/>
    <w:rsid w:val="0027794F"/>
    <w:rsid w:val="002801C4"/>
    <w:rsid w:val="002802EE"/>
    <w:rsid w:val="00280BC2"/>
    <w:rsid w:val="002810CA"/>
    <w:rsid w:val="00281559"/>
    <w:rsid w:val="002815F0"/>
    <w:rsid w:val="00281DB0"/>
    <w:rsid w:val="00282246"/>
    <w:rsid w:val="00282A68"/>
    <w:rsid w:val="002831E4"/>
    <w:rsid w:val="0028338E"/>
    <w:rsid w:val="002838B2"/>
    <w:rsid w:val="00286687"/>
    <w:rsid w:val="002869B1"/>
    <w:rsid w:val="00291655"/>
    <w:rsid w:val="00292433"/>
    <w:rsid w:val="00292D14"/>
    <w:rsid w:val="00292ECB"/>
    <w:rsid w:val="00293755"/>
    <w:rsid w:val="00293A35"/>
    <w:rsid w:val="002946A0"/>
    <w:rsid w:val="002951CE"/>
    <w:rsid w:val="002953D5"/>
    <w:rsid w:val="002964E6"/>
    <w:rsid w:val="00297646"/>
    <w:rsid w:val="002977C3"/>
    <w:rsid w:val="002A0855"/>
    <w:rsid w:val="002A0A13"/>
    <w:rsid w:val="002A0A32"/>
    <w:rsid w:val="002A1B60"/>
    <w:rsid w:val="002A27F8"/>
    <w:rsid w:val="002A2C45"/>
    <w:rsid w:val="002A39AE"/>
    <w:rsid w:val="002A5B52"/>
    <w:rsid w:val="002A5F82"/>
    <w:rsid w:val="002A671A"/>
    <w:rsid w:val="002A6A6A"/>
    <w:rsid w:val="002A6BA0"/>
    <w:rsid w:val="002A7F34"/>
    <w:rsid w:val="002B21D9"/>
    <w:rsid w:val="002B3854"/>
    <w:rsid w:val="002B3B7F"/>
    <w:rsid w:val="002B3CE2"/>
    <w:rsid w:val="002B4590"/>
    <w:rsid w:val="002B53D7"/>
    <w:rsid w:val="002B5DDA"/>
    <w:rsid w:val="002B6AF3"/>
    <w:rsid w:val="002B6E23"/>
    <w:rsid w:val="002B6E77"/>
    <w:rsid w:val="002B7383"/>
    <w:rsid w:val="002C1214"/>
    <w:rsid w:val="002C1416"/>
    <w:rsid w:val="002C1EEC"/>
    <w:rsid w:val="002C2F07"/>
    <w:rsid w:val="002C39CC"/>
    <w:rsid w:val="002C467D"/>
    <w:rsid w:val="002C47AA"/>
    <w:rsid w:val="002C4FF5"/>
    <w:rsid w:val="002C6464"/>
    <w:rsid w:val="002D0A53"/>
    <w:rsid w:val="002D1BF2"/>
    <w:rsid w:val="002D2607"/>
    <w:rsid w:val="002D2E8C"/>
    <w:rsid w:val="002D3215"/>
    <w:rsid w:val="002D37E6"/>
    <w:rsid w:val="002D3982"/>
    <w:rsid w:val="002D42F7"/>
    <w:rsid w:val="002D430E"/>
    <w:rsid w:val="002D50B8"/>
    <w:rsid w:val="002D5453"/>
    <w:rsid w:val="002D601A"/>
    <w:rsid w:val="002D60F2"/>
    <w:rsid w:val="002D6369"/>
    <w:rsid w:val="002D67BB"/>
    <w:rsid w:val="002D6ECF"/>
    <w:rsid w:val="002D75AA"/>
    <w:rsid w:val="002D7AFA"/>
    <w:rsid w:val="002E0407"/>
    <w:rsid w:val="002E04D5"/>
    <w:rsid w:val="002E0661"/>
    <w:rsid w:val="002E181A"/>
    <w:rsid w:val="002E2BB3"/>
    <w:rsid w:val="002E319A"/>
    <w:rsid w:val="002E4250"/>
    <w:rsid w:val="002E4863"/>
    <w:rsid w:val="002E5696"/>
    <w:rsid w:val="002E569F"/>
    <w:rsid w:val="002E792C"/>
    <w:rsid w:val="002E7BBC"/>
    <w:rsid w:val="002F0BEE"/>
    <w:rsid w:val="002F0C1C"/>
    <w:rsid w:val="002F14C0"/>
    <w:rsid w:val="002F1C88"/>
    <w:rsid w:val="002F2159"/>
    <w:rsid w:val="002F21F6"/>
    <w:rsid w:val="002F29D3"/>
    <w:rsid w:val="002F2FAD"/>
    <w:rsid w:val="002F4233"/>
    <w:rsid w:val="002F4505"/>
    <w:rsid w:val="002F5308"/>
    <w:rsid w:val="002F54CE"/>
    <w:rsid w:val="002F5551"/>
    <w:rsid w:val="002F6547"/>
    <w:rsid w:val="002F66CC"/>
    <w:rsid w:val="002F7827"/>
    <w:rsid w:val="002F7C69"/>
    <w:rsid w:val="002F7E0A"/>
    <w:rsid w:val="002F7F4D"/>
    <w:rsid w:val="00300266"/>
    <w:rsid w:val="00300395"/>
    <w:rsid w:val="00301184"/>
    <w:rsid w:val="003013B9"/>
    <w:rsid w:val="00301BD0"/>
    <w:rsid w:val="00303000"/>
    <w:rsid w:val="0030342D"/>
    <w:rsid w:val="003038DE"/>
    <w:rsid w:val="00303DB4"/>
    <w:rsid w:val="0030448D"/>
    <w:rsid w:val="00305091"/>
    <w:rsid w:val="003051A0"/>
    <w:rsid w:val="00305E10"/>
    <w:rsid w:val="003063F0"/>
    <w:rsid w:val="003064F7"/>
    <w:rsid w:val="00306694"/>
    <w:rsid w:val="0030699D"/>
    <w:rsid w:val="00307D6A"/>
    <w:rsid w:val="00310B23"/>
    <w:rsid w:val="0031122A"/>
    <w:rsid w:val="00311512"/>
    <w:rsid w:val="0031197F"/>
    <w:rsid w:val="00311E21"/>
    <w:rsid w:val="003125B3"/>
    <w:rsid w:val="00313739"/>
    <w:rsid w:val="00313D5E"/>
    <w:rsid w:val="0031517C"/>
    <w:rsid w:val="0031546D"/>
    <w:rsid w:val="00316128"/>
    <w:rsid w:val="00316A56"/>
    <w:rsid w:val="00316E85"/>
    <w:rsid w:val="00317358"/>
    <w:rsid w:val="00317A04"/>
    <w:rsid w:val="00317C1A"/>
    <w:rsid w:val="00320A9B"/>
    <w:rsid w:val="003218F6"/>
    <w:rsid w:val="00321AD0"/>
    <w:rsid w:val="00321CBD"/>
    <w:rsid w:val="00321F0F"/>
    <w:rsid w:val="003221F6"/>
    <w:rsid w:val="003221FE"/>
    <w:rsid w:val="00322240"/>
    <w:rsid w:val="00322B94"/>
    <w:rsid w:val="00323F76"/>
    <w:rsid w:val="00324B8B"/>
    <w:rsid w:val="003254CC"/>
    <w:rsid w:val="0032660F"/>
    <w:rsid w:val="00326965"/>
    <w:rsid w:val="00327F3A"/>
    <w:rsid w:val="00330459"/>
    <w:rsid w:val="003318C2"/>
    <w:rsid w:val="00331CD5"/>
    <w:rsid w:val="00331FE7"/>
    <w:rsid w:val="003320BF"/>
    <w:rsid w:val="00332410"/>
    <w:rsid w:val="00332B3F"/>
    <w:rsid w:val="00332D65"/>
    <w:rsid w:val="00333CB1"/>
    <w:rsid w:val="003341DD"/>
    <w:rsid w:val="003345CF"/>
    <w:rsid w:val="00334BC4"/>
    <w:rsid w:val="00334BEF"/>
    <w:rsid w:val="00334F8A"/>
    <w:rsid w:val="00335755"/>
    <w:rsid w:val="00335D0B"/>
    <w:rsid w:val="00336723"/>
    <w:rsid w:val="0033675A"/>
    <w:rsid w:val="00336A58"/>
    <w:rsid w:val="00336B26"/>
    <w:rsid w:val="00337096"/>
    <w:rsid w:val="0033741F"/>
    <w:rsid w:val="00337EE4"/>
    <w:rsid w:val="003404DE"/>
    <w:rsid w:val="00340699"/>
    <w:rsid w:val="00340E11"/>
    <w:rsid w:val="00341E43"/>
    <w:rsid w:val="003422A6"/>
    <w:rsid w:val="003424CC"/>
    <w:rsid w:val="0034285E"/>
    <w:rsid w:val="003429AA"/>
    <w:rsid w:val="003436D8"/>
    <w:rsid w:val="0034404F"/>
    <w:rsid w:val="00344EB0"/>
    <w:rsid w:val="003452C4"/>
    <w:rsid w:val="00346232"/>
    <w:rsid w:val="00346464"/>
    <w:rsid w:val="003467F0"/>
    <w:rsid w:val="00346AB8"/>
    <w:rsid w:val="00346FD4"/>
    <w:rsid w:val="0034703B"/>
    <w:rsid w:val="0034709D"/>
    <w:rsid w:val="00347C5A"/>
    <w:rsid w:val="003500AB"/>
    <w:rsid w:val="00350761"/>
    <w:rsid w:val="00350B99"/>
    <w:rsid w:val="00350C31"/>
    <w:rsid w:val="00350D16"/>
    <w:rsid w:val="003519C5"/>
    <w:rsid w:val="00351CC1"/>
    <w:rsid w:val="00352450"/>
    <w:rsid w:val="0035251B"/>
    <w:rsid w:val="00353367"/>
    <w:rsid w:val="003546EF"/>
    <w:rsid w:val="0035487A"/>
    <w:rsid w:val="0035561E"/>
    <w:rsid w:val="00356C91"/>
    <w:rsid w:val="003579C6"/>
    <w:rsid w:val="0036003A"/>
    <w:rsid w:val="0036098B"/>
    <w:rsid w:val="00361489"/>
    <w:rsid w:val="00362156"/>
    <w:rsid w:val="003621CD"/>
    <w:rsid w:val="00362810"/>
    <w:rsid w:val="00362AF9"/>
    <w:rsid w:val="00362BB1"/>
    <w:rsid w:val="00362C96"/>
    <w:rsid w:val="00362DC0"/>
    <w:rsid w:val="00363AEB"/>
    <w:rsid w:val="00364852"/>
    <w:rsid w:val="0036499D"/>
    <w:rsid w:val="00364BFE"/>
    <w:rsid w:val="00365A83"/>
    <w:rsid w:val="00366EDA"/>
    <w:rsid w:val="00370858"/>
    <w:rsid w:val="003708F4"/>
    <w:rsid w:val="0037090A"/>
    <w:rsid w:val="00371485"/>
    <w:rsid w:val="00371DFB"/>
    <w:rsid w:val="00372105"/>
    <w:rsid w:val="003729D5"/>
    <w:rsid w:val="00372BF7"/>
    <w:rsid w:val="00373444"/>
    <w:rsid w:val="0037362E"/>
    <w:rsid w:val="00373F73"/>
    <w:rsid w:val="0037513D"/>
    <w:rsid w:val="0037572B"/>
    <w:rsid w:val="003757B3"/>
    <w:rsid w:val="00375B3B"/>
    <w:rsid w:val="00376431"/>
    <w:rsid w:val="003769E8"/>
    <w:rsid w:val="00377A13"/>
    <w:rsid w:val="00377F0F"/>
    <w:rsid w:val="00377F7E"/>
    <w:rsid w:val="00380C41"/>
    <w:rsid w:val="00380DEA"/>
    <w:rsid w:val="003812FD"/>
    <w:rsid w:val="00381399"/>
    <w:rsid w:val="00381958"/>
    <w:rsid w:val="00381DDE"/>
    <w:rsid w:val="00381EB3"/>
    <w:rsid w:val="00383705"/>
    <w:rsid w:val="003838E2"/>
    <w:rsid w:val="003839D3"/>
    <w:rsid w:val="00385284"/>
    <w:rsid w:val="00385F50"/>
    <w:rsid w:val="0038625C"/>
    <w:rsid w:val="003868D4"/>
    <w:rsid w:val="00386BF6"/>
    <w:rsid w:val="00386D25"/>
    <w:rsid w:val="00386DE8"/>
    <w:rsid w:val="00386DEB"/>
    <w:rsid w:val="003877C8"/>
    <w:rsid w:val="00387BE6"/>
    <w:rsid w:val="00387F66"/>
    <w:rsid w:val="00387F6B"/>
    <w:rsid w:val="00392526"/>
    <w:rsid w:val="003947E0"/>
    <w:rsid w:val="00394A54"/>
    <w:rsid w:val="00394ABD"/>
    <w:rsid w:val="00396F85"/>
    <w:rsid w:val="00397058"/>
    <w:rsid w:val="00397C49"/>
    <w:rsid w:val="00397EC1"/>
    <w:rsid w:val="003A223F"/>
    <w:rsid w:val="003A23AA"/>
    <w:rsid w:val="003A278C"/>
    <w:rsid w:val="003A325D"/>
    <w:rsid w:val="003A3561"/>
    <w:rsid w:val="003A40AB"/>
    <w:rsid w:val="003A4679"/>
    <w:rsid w:val="003A57C8"/>
    <w:rsid w:val="003A6512"/>
    <w:rsid w:val="003A76D3"/>
    <w:rsid w:val="003B0598"/>
    <w:rsid w:val="003B07FB"/>
    <w:rsid w:val="003B0C2A"/>
    <w:rsid w:val="003B3B82"/>
    <w:rsid w:val="003B3F4C"/>
    <w:rsid w:val="003B4118"/>
    <w:rsid w:val="003B4263"/>
    <w:rsid w:val="003B4A67"/>
    <w:rsid w:val="003B4B53"/>
    <w:rsid w:val="003B4DA7"/>
    <w:rsid w:val="003B51E0"/>
    <w:rsid w:val="003B5C66"/>
    <w:rsid w:val="003B61F1"/>
    <w:rsid w:val="003B66A9"/>
    <w:rsid w:val="003B6755"/>
    <w:rsid w:val="003C025F"/>
    <w:rsid w:val="003C2022"/>
    <w:rsid w:val="003C2764"/>
    <w:rsid w:val="003C2DB6"/>
    <w:rsid w:val="003C3AF3"/>
    <w:rsid w:val="003C3D87"/>
    <w:rsid w:val="003C3E86"/>
    <w:rsid w:val="003C6717"/>
    <w:rsid w:val="003C6D80"/>
    <w:rsid w:val="003C700B"/>
    <w:rsid w:val="003C72E7"/>
    <w:rsid w:val="003C7C29"/>
    <w:rsid w:val="003D0BB5"/>
    <w:rsid w:val="003D104F"/>
    <w:rsid w:val="003D2C34"/>
    <w:rsid w:val="003D2D07"/>
    <w:rsid w:val="003D2F37"/>
    <w:rsid w:val="003D3341"/>
    <w:rsid w:val="003D3893"/>
    <w:rsid w:val="003D3B5C"/>
    <w:rsid w:val="003D3DF8"/>
    <w:rsid w:val="003D4B8A"/>
    <w:rsid w:val="003D4DEF"/>
    <w:rsid w:val="003D626D"/>
    <w:rsid w:val="003D6B20"/>
    <w:rsid w:val="003D6BCD"/>
    <w:rsid w:val="003D6C5E"/>
    <w:rsid w:val="003D78F3"/>
    <w:rsid w:val="003D7ECB"/>
    <w:rsid w:val="003E248B"/>
    <w:rsid w:val="003E35DB"/>
    <w:rsid w:val="003E3775"/>
    <w:rsid w:val="003E377D"/>
    <w:rsid w:val="003E3CB4"/>
    <w:rsid w:val="003E3EDD"/>
    <w:rsid w:val="003E4128"/>
    <w:rsid w:val="003E487C"/>
    <w:rsid w:val="003E4D67"/>
    <w:rsid w:val="003E4DED"/>
    <w:rsid w:val="003E75D8"/>
    <w:rsid w:val="003E7923"/>
    <w:rsid w:val="003F09C5"/>
    <w:rsid w:val="003F0B2F"/>
    <w:rsid w:val="003F0B92"/>
    <w:rsid w:val="003F1705"/>
    <w:rsid w:val="003F1808"/>
    <w:rsid w:val="003F2098"/>
    <w:rsid w:val="003F3567"/>
    <w:rsid w:val="003F388A"/>
    <w:rsid w:val="003F40C1"/>
    <w:rsid w:val="003F52E2"/>
    <w:rsid w:val="003F5DA0"/>
    <w:rsid w:val="003F75D2"/>
    <w:rsid w:val="003F776A"/>
    <w:rsid w:val="003F77E3"/>
    <w:rsid w:val="004026D6"/>
    <w:rsid w:val="00402AF9"/>
    <w:rsid w:val="00403031"/>
    <w:rsid w:val="004030FE"/>
    <w:rsid w:val="004038BB"/>
    <w:rsid w:val="004043B1"/>
    <w:rsid w:val="00404879"/>
    <w:rsid w:val="00404DFE"/>
    <w:rsid w:val="004059A5"/>
    <w:rsid w:val="004062F3"/>
    <w:rsid w:val="00406B2D"/>
    <w:rsid w:val="00406D22"/>
    <w:rsid w:val="0040700F"/>
    <w:rsid w:val="0040795F"/>
    <w:rsid w:val="00410894"/>
    <w:rsid w:val="00410BFF"/>
    <w:rsid w:val="00410EE9"/>
    <w:rsid w:val="00411C9C"/>
    <w:rsid w:val="00411DE2"/>
    <w:rsid w:val="004123BD"/>
    <w:rsid w:val="004126E2"/>
    <w:rsid w:val="00412FAD"/>
    <w:rsid w:val="0041341F"/>
    <w:rsid w:val="00415043"/>
    <w:rsid w:val="0041508B"/>
    <w:rsid w:val="00415B6A"/>
    <w:rsid w:val="00416FF0"/>
    <w:rsid w:val="004175D6"/>
    <w:rsid w:val="0041765F"/>
    <w:rsid w:val="004202C4"/>
    <w:rsid w:val="004202E2"/>
    <w:rsid w:val="004204B4"/>
    <w:rsid w:val="00420F30"/>
    <w:rsid w:val="00422417"/>
    <w:rsid w:val="004233FF"/>
    <w:rsid w:val="0042365D"/>
    <w:rsid w:val="004244F6"/>
    <w:rsid w:val="0042530D"/>
    <w:rsid w:val="0042593B"/>
    <w:rsid w:val="00425C75"/>
    <w:rsid w:val="004261E8"/>
    <w:rsid w:val="0042655A"/>
    <w:rsid w:val="00427146"/>
    <w:rsid w:val="00427297"/>
    <w:rsid w:val="00427749"/>
    <w:rsid w:val="004303D0"/>
    <w:rsid w:val="00430C7D"/>
    <w:rsid w:val="00431E69"/>
    <w:rsid w:val="00434705"/>
    <w:rsid w:val="00434BCA"/>
    <w:rsid w:val="0043629F"/>
    <w:rsid w:val="0043648E"/>
    <w:rsid w:val="00436595"/>
    <w:rsid w:val="00437334"/>
    <w:rsid w:val="00437537"/>
    <w:rsid w:val="004409FE"/>
    <w:rsid w:val="0044160A"/>
    <w:rsid w:val="00441EA6"/>
    <w:rsid w:val="00442DA0"/>
    <w:rsid w:val="00443CF4"/>
    <w:rsid w:val="00443E5D"/>
    <w:rsid w:val="004446CF"/>
    <w:rsid w:val="00444E59"/>
    <w:rsid w:val="004451BC"/>
    <w:rsid w:val="00445252"/>
    <w:rsid w:val="00445939"/>
    <w:rsid w:val="00445C03"/>
    <w:rsid w:val="004465C5"/>
    <w:rsid w:val="00450549"/>
    <w:rsid w:val="004507B0"/>
    <w:rsid w:val="0045088A"/>
    <w:rsid w:val="004509D1"/>
    <w:rsid w:val="0045103E"/>
    <w:rsid w:val="00451914"/>
    <w:rsid w:val="00451C78"/>
    <w:rsid w:val="00452302"/>
    <w:rsid w:val="00452664"/>
    <w:rsid w:val="00452922"/>
    <w:rsid w:val="0045297A"/>
    <w:rsid w:val="004529F4"/>
    <w:rsid w:val="004531AF"/>
    <w:rsid w:val="00453415"/>
    <w:rsid w:val="00453E23"/>
    <w:rsid w:val="0045472A"/>
    <w:rsid w:val="004548F4"/>
    <w:rsid w:val="00454968"/>
    <w:rsid w:val="00454D36"/>
    <w:rsid w:val="00455A43"/>
    <w:rsid w:val="00455C43"/>
    <w:rsid w:val="004576BD"/>
    <w:rsid w:val="00457A6D"/>
    <w:rsid w:val="00460CFF"/>
    <w:rsid w:val="004613C1"/>
    <w:rsid w:val="004619CA"/>
    <w:rsid w:val="004631AC"/>
    <w:rsid w:val="00463286"/>
    <w:rsid w:val="00465810"/>
    <w:rsid w:val="00466291"/>
    <w:rsid w:val="0046660B"/>
    <w:rsid w:val="00466BBF"/>
    <w:rsid w:val="00466F1F"/>
    <w:rsid w:val="00467342"/>
    <w:rsid w:val="00467E2A"/>
    <w:rsid w:val="004709D8"/>
    <w:rsid w:val="004710EE"/>
    <w:rsid w:val="00471466"/>
    <w:rsid w:val="00471E50"/>
    <w:rsid w:val="00472500"/>
    <w:rsid w:val="00472AC4"/>
    <w:rsid w:val="00473806"/>
    <w:rsid w:val="00475442"/>
    <w:rsid w:val="004754D3"/>
    <w:rsid w:val="00476932"/>
    <w:rsid w:val="00480506"/>
    <w:rsid w:val="00480B7D"/>
    <w:rsid w:val="00480F47"/>
    <w:rsid w:val="00482065"/>
    <w:rsid w:val="0048272D"/>
    <w:rsid w:val="004830BF"/>
    <w:rsid w:val="004847B6"/>
    <w:rsid w:val="00485CE7"/>
    <w:rsid w:val="004867E8"/>
    <w:rsid w:val="00487039"/>
    <w:rsid w:val="0048794C"/>
    <w:rsid w:val="0048796E"/>
    <w:rsid w:val="004905BE"/>
    <w:rsid w:val="00491613"/>
    <w:rsid w:val="0049220F"/>
    <w:rsid w:val="00492DBE"/>
    <w:rsid w:val="00493700"/>
    <w:rsid w:val="00493C75"/>
    <w:rsid w:val="00493F12"/>
    <w:rsid w:val="00494197"/>
    <w:rsid w:val="00494DBF"/>
    <w:rsid w:val="00495AFF"/>
    <w:rsid w:val="00495E51"/>
    <w:rsid w:val="00496B95"/>
    <w:rsid w:val="004979D9"/>
    <w:rsid w:val="004A0B02"/>
    <w:rsid w:val="004A3456"/>
    <w:rsid w:val="004A3FF7"/>
    <w:rsid w:val="004A452C"/>
    <w:rsid w:val="004A4707"/>
    <w:rsid w:val="004A471D"/>
    <w:rsid w:val="004A5ACB"/>
    <w:rsid w:val="004A5B1C"/>
    <w:rsid w:val="004A6029"/>
    <w:rsid w:val="004A65F5"/>
    <w:rsid w:val="004A755E"/>
    <w:rsid w:val="004A7961"/>
    <w:rsid w:val="004B09F5"/>
    <w:rsid w:val="004B0A37"/>
    <w:rsid w:val="004B1031"/>
    <w:rsid w:val="004B11B0"/>
    <w:rsid w:val="004B1530"/>
    <w:rsid w:val="004B2297"/>
    <w:rsid w:val="004B3E9E"/>
    <w:rsid w:val="004B4078"/>
    <w:rsid w:val="004B41B9"/>
    <w:rsid w:val="004B4707"/>
    <w:rsid w:val="004B4DB3"/>
    <w:rsid w:val="004B53DF"/>
    <w:rsid w:val="004B54BE"/>
    <w:rsid w:val="004B5F1D"/>
    <w:rsid w:val="004B64BA"/>
    <w:rsid w:val="004B6970"/>
    <w:rsid w:val="004B7047"/>
    <w:rsid w:val="004B71BD"/>
    <w:rsid w:val="004B7814"/>
    <w:rsid w:val="004C2628"/>
    <w:rsid w:val="004C2C67"/>
    <w:rsid w:val="004C3338"/>
    <w:rsid w:val="004C3844"/>
    <w:rsid w:val="004C46E3"/>
    <w:rsid w:val="004C4A64"/>
    <w:rsid w:val="004C5658"/>
    <w:rsid w:val="004C64AD"/>
    <w:rsid w:val="004C67B4"/>
    <w:rsid w:val="004C7B95"/>
    <w:rsid w:val="004D05FD"/>
    <w:rsid w:val="004D0A46"/>
    <w:rsid w:val="004D19C7"/>
    <w:rsid w:val="004D1FCE"/>
    <w:rsid w:val="004D2761"/>
    <w:rsid w:val="004D2D69"/>
    <w:rsid w:val="004D3D9F"/>
    <w:rsid w:val="004D4B88"/>
    <w:rsid w:val="004D581B"/>
    <w:rsid w:val="004D5895"/>
    <w:rsid w:val="004D5897"/>
    <w:rsid w:val="004D6182"/>
    <w:rsid w:val="004D626D"/>
    <w:rsid w:val="004D671B"/>
    <w:rsid w:val="004D6C6A"/>
    <w:rsid w:val="004D6ED7"/>
    <w:rsid w:val="004D7081"/>
    <w:rsid w:val="004D71C5"/>
    <w:rsid w:val="004D734F"/>
    <w:rsid w:val="004E1901"/>
    <w:rsid w:val="004E1DAE"/>
    <w:rsid w:val="004E1E0C"/>
    <w:rsid w:val="004E2A74"/>
    <w:rsid w:val="004E2BF0"/>
    <w:rsid w:val="004E2EA0"/>
    <w:rsid w:val="004E2EE4"/>
    <w:rsid w:val="004E3337"/>
    <w:rsid w:val="004E454B"/>
    <w:rsid w:val="004E4A33"/>
    <w:rsid w:val="004E616C"/>
    <w:rsid w:val="004E6EB6"/>
    <w:rsid w:val="004E7283"/>
    <w:rsid w:val="004E7377"/>
    <w:rsid w:val="004E779D"/>
    <w:rsid w:val="004E7A2D"/>
    <w:rsid w:val="004E7A31"/>
    <w:rsid w:val="004F0C21"/>
    <w:rsid w:val="004F0DEB"/>
    <w:rsid w:val="004F1295"/>
    <w:rsid w:val="004F2CB6"/>
    <w:rsid w:val="004F403A"/>
    <w:rsid w:val="004F42B5"/>
    <w:rsid w:val="004F48C3"/>
    <w:rsid w:val="004F63CC"/>
    <w:rsid w:val="004F6AA3"/>
    <w:rsid w:val="004F7388"/>
    <w:rsid w:val="004F73D2"/>
    <w:rsid w:val="004F7541"/>
    <w:rsid w:val="004F77F0"/>
    <w:rsid w:val="004F7F8D"/>
    <w:rsid w:val="005002DE"/>
    <w:rsid w:val="00502A0A"/>
    <w:rsid w:val="005034DF"/>
    <w:rsid w:val="005038DF"/>
    <w:rsid w:val="00504B1B"/>
    <w:rsid w:val="00505AB7"/>
    <w:rsid w:val="0050701C"/>
    <w:rsid w:val="005072E0"/>
    <w:rsid w:val="005101D6"/>
    <w:rsid w:val="005107AD"/>
    <w:rsid w:val="00511413"/>
    <w:rsid w:val="00512963"/>
    <w:rsid w:val="00512CA5"/>
    <w:rsid w:val="00512D3B"/>
    <w:rsid w:val="0051353B"/>
    <w:rsid w:val="00513C7D"/>
    <w:rsid w:val="00514B15"/>
    <w:rsid w:val="00514BA6"/>
    <w:rsid w:val="00514C26"/>
    <w:rsid w:val="005152EB"/>
    <w:rsid w:val="00515358"/>
    <w:rsid w:val="00515A3D"/>
    <w:rsid w:val="00515C37"/>
    <w:rsid w:val="00515DFD"/>
    <w:rsid w:val="0051660D"/>
    <w:rsid w:val="00516C71"/>
    <w:rsid w:val="00520278"/>
    <w:rsid w:val="00520E5D"/>
    <w:rsid w:val="00521223"/>
    <w:rsid w:val="00521264"/>
    <w:rsid w:val="00521335"/>
    <w:rsid w:val="00522044"/>
    <w:rsid w:val="005226D7"/>
    <w:rsid w:val="005235A5"/>
    <w:rsid w:val="00524CC6"/>
    <w:rsid w:val="00525466"/>
    <w:rsid w:val="00525CE9"/>
    <w:rsid w:val="00527503"/>
    <w:rsid w:val="005275E3"/>
    <w:rsid w:val="005277DC"/>
    <w:rsid w:val="00530D60"/>
    <w:rsid w:val="00531B75"/>
    <w:rsid w:val="00531D59"/>
    <w:rsid w:val="00531F7C"/>
    <w:rsid w:val="00532B66"/>
    <w:rsid w:val="005336AC"/>
    <w:rsid w:val="00533875"/>
    <w:rsid w:val="00533BA8"/>
    <w:rsid w:val="005344C0"/>
    <w:rsid w:val="005344FE"/>
    <w:rsid w:val="00534ACB"/>
    <w:rsid w:val="0053521D"/>
    <w:rsid w:val="005352F1"/>
    <w:rsid w:val="005358D5"/>
    <w:rsid w:val="00535931"/>
    <w:rsid w:val="00536951"/>
    <w:rsid w:val="00536A78"/>
    <w:rsid w:val="00537D98"/>
    <w:rsid w:val="00537DB6"/>
    <w:rsid w:val="00537F2D"/>
    <w:rsid w:val="005403BC"/>
    <w:rsid w:val="00540E91"/>
    <w:rsid w:val="00542266"/>
    <w:rsid w:val="005428CB"/>
    <w:rsid w:val="00543427"/>
    <w:rsid w:val="00543A36"/>
    <w:rsid w:val="00543E4D"/>
    <w:rsid w:val="005440CD"/>
    <w:rsid w:val="0054497A"/>
    <w:rsid w:val="0054645F"/>
    <w:rsid w:val="0055159A"/>
    <w:rsid w:val="0055289A"/>
    <w:rsid w:val="00552BE3"/>
    <w:rsid w:val="005531FE"/>
    <w:rsid w:val="00553526"/>
    <w:rsid w:val="00553A6B"/>
    <w:rsid w:val="00553DE9"/>
    <w:rsid w:val="00553FFE"/>
    <w:rsid w:val="00554BB6"/>
    <w:rsid w:val="00554E5B"/>
    <w:rsid w:val="005554E1"/>
    <w:rsid w:val="00555E41"/>
    <w:rsid w:val="0055620A"/>
    <w:rsid w:val="00556281"/>
    <w:rsid w:val="00556367"/>
    <w:rsid w:val="00557673"/>
    <w:rsid w:val="005576AE"/>
    <w:rsid w:val="00557D86"/>
    <w:rsid w:val="0056007E"/>
    <w:rsid w:val="005605AC"/>
    <w:rsid w:val="0056101A"/>
    <w:rsid w:val="00561ECC"/>
    <w:rsid w:val="00562860"/>
    <w:rsid w:val="0056339D"/>
    <w:rsid w:val="00563E5F"/>
    <w:rsid w:val="005640D5"/>
    <w:rsid w:val="00564497"/>
    <w:rsid w:val="00564C91"/>
    <w:rsid w:val="0056588A"/>
    <w:rsid w:val="0056616E"/>
    <w:rsid w:val="00566396"/>
    <w:rsid w:val="00566776"/>
    <w:rsid w:val="00567058"/>
    <w:rsid w:val="00570217"/>
    <w:rsid w:val="00573494"/>
    <w:rsid w:val="00574D1D"/>
    <w:rsid w:val="00575B01"/>
    <w:rsid w:val="00576E1F"/>
    <w:rsid w:val="00577101"/>
    <w:rsid w:val="00577296"/>
    <w:rsid w:val="00582C9E"/>
    <w:rsid w:val="00583405"/>
    <w:rsid w:val="00583DAD"/>
    <w:rsid w:val="00583F85"/>
    <w:rsid w:val="005845D8"/>
    <w:rsid w:val="00584748"/>
    <w:rsid w:val="005850F8"/>
    <w:rsid w:val="00585516"/>
    <w:rsid w:val="005858A1"/>
    <w:rsid w:val="00585E70"/>
    <w:rsid w:val="005861E1"/>
    <w:rsid w:val="0058628B"/>
    <w:rsid w:val="00586952"/>
    <w:rsid w:val="00586B71"/>
    <w:rsid w:val="00586C54"/>
    <w:rsid w:val="00587130"/>
    <w:rsid w:val="005872A1"/>
    <w:rsid w:val="00590260"/>
    <w:rsid w:val="00591028"/>
    <w:rsid w:val="005910F2"/>
    <w:rsid w:val="005912B6"/>
    <w:rsid w:val="00591C00"/>
    <w:rsid w:val="00591F14"/>
    <w:rsid w:val="00592983"/>
    <w:rsid w:val="00592D71"/>
    <w:rsid w:val="00593A49"/>
    <w:rsid w:val="00594219"/>
    <w:rsid w:val="005943C8"/>
    <w:rsid w:val="00595362"/>
    <w:rsid w:val="00595A97"/>
    <w:rsid w:val="00595D26"/>
    <w:rsid w:val="00596DC2"/>
    <w:rsid w:val="00597BC2"/>
    <w:rsid w:val="005A0125"/>
    <w:rsid w:val="005A1287"/>
    <w:rsid w:val="005A1400"/>
    <w:rsid w:val="005A1691"/>
    <w:rsid w:val="005A1B78"/>
    <w:rsid w:val="005A1F37"/>
    <w:rsid w:val="005A3B3A"/>
    <w:rsid w:val="005A415A"/>
    <w:rsid w:val="005A43BB"/>
    <w:rsid w:val="005A49F2"/>
    <w:rsid w:val="005A4D05"/>
    <w:rsid w:val="005A4E96"/>
    <w:rsid w:val="005A576C"/>
    <w:rsid w:val="005A7C5A"/>
    <w:rsid w:val="005B0192"/>
    <w:rsid w:val="005B0A57"/>
    <w:rsid w:val="005B1012"/>
    <w:rsid w:val="005B105B"/>
    <w:rsid w:val="005B25CF"/>
    <w:rsid w:val="005B2A8F"/>
    <w:rsid w:val="005B33CC"/>
    <w:rsid w:val="005B3CED"/>
    <w:rsid w:val="005B3EB2"/>
    <w:rsid w:val="005B400C"/>
    <w:rsid w:val="005B43A4"/>
    <w:rsid w:val="005B5037"/>
    <w:rsid w:val="005B5242"/>
    <w:rsid w:val="005B5B8C"/>
    <w:rsid w:val="005B6AE4"/>
    <w:rsid w:val="005B73A0"/>
    <w:rsid w:val="005B74E7"/>
    <w:rsid w:val="005B7506"/>
    <w:rsid w:val="005B762E"/>
    <w:rsid w:val="005C03CD"/>
    <w:rsid w:val="005C056D"/>
    <w:rsid w:val="005C0E23"/>
    <w:rsid w:val="005C1928"/>
    <w:rsid w:val="005C2209"/>
    <w:rsid w:val="005C393B"/>
    <w:rsid w:val="005C3C75"/>
    <w:rsid w:val="005C3E5F"/>
    <w:rsid w:val="005C4FCC"/>
    <w:rsid w:val="005C6961"/>
    <w:rsid w:val="005C70C0"/>
    <w:rsid w:val="005D0C39"/>
    <w:rsid w:val="005D1265"/>
    <w:rsid w:val="005D127F"/>
    <w:rsid w:val="005D142E"/>
    <w:rsid w:val="005D206F"/>
    <w:rsid w:val="005D209D"/>
    <w:rsid w:val="005D23CD"/>
    <w:rsid w:val="005D2CBD"/>
    <w:rsid w:val="005D4DDF"/>
    <w:rsid w:val="005D603C"/>
    <w:rsid w:val="005D620F"/>
    <w:rsid w:val="005D6C5A"/>
    <w:rsid w:val="005D7305"/>
    <w:rsid w:val="005D7574"/>
    <w:rsid w:val="005E0787"/>
    <w:rsid w:val="005E0E25"/>
    <w:rsid w:val="005E171A"/>
    <w:rsid w:val="005E1A1B"/>
    <w:rsid w:val="005E27C9"/>
    <w:rsid w:val="005E287C"/>
    <w:rsid w:val="005E2E22"/>
    <w:rsid w:val="005E32E3"/>
    <w:rsid w:val="005E3FEC"/>
    <w:rsid w:val="005E48E4"/>
    <w:rsid w:val="005E6841"/>
    <w:rsid w:val="005E6945"/>
    <w:rsid w:val="005E7F80"/>
    <w:rsid w:val="005F067F"/>
    <w:rsid w:val="005F1F5F"/>
    <w:rsid w:val="005F25B3"/>
    <w:rsid w:val="005F264F"/>
    <w:rsid w:val="005F2EAD"/>
    <w:rsid w:val="005F2F18"/>
    <w:rsid w:val="005F3662"/>
    <w:rsid w:val="005F5F5E"/>
    <w:rsid w:val="005F5FA6"/>
    <w:rsid w:val="005F63D5"/>
    <w:rsid w:val="005F7420"/>
    <w:rsid w:val="00600AAB"/>
    <w:rsid w:val="00601134"/>
    <w:rsid w:val="0060114B"/>
    <w:rsid w:val="0060160F"/>
    <w:rsid w:val="00601F6F"/>
    <w:rsid w:val="006026F3"/>
    <w:rsid w:val="0060280D"/>
    <w:rsid w:val="00603C52"/>
    <w:rsid w:val="00603EA3"/>
    <w:rsid w:val="00603F3F"/>
    <w:rsid w:val="00604258"/>
    <w:rsid w:val="0060429D"/>
    <w:rsid w:val="00604D6B"/>
    <w:rsid w:val="00605A26"/>
    <w:rsid w:val="00605C23"/>
    <w:rsid w:val="006066D7"/>
    <w:rsid w:val="00606B78"/>
    <w:rsid w:val="00607793"/>
    <w:rsid w:val="00610737"/>
    <w:rsid w:val="00610AE8"/>
    <w:rsid w:val="0061142E"/>
    <w:rsid w:val="00613131"/>
    <w:rsid w:val="00614BD2"/>
    <w:rsid w:val="00615ABF"/>
    <w:rsid w:val="00615C13"/>
    <w:rsid w:val="00615D86"/>
    <w:rsid w:val="00616E5E"/>
    <w:rsid w:val="00617328"/>
    <w:rsid w:val="006177BB"/>
    <w:rsid w:val="00617AED"/>
    <w:rsid w:val="006200CD"/>
    <w:rsid w:val="006208C6"/>
    <w:rsid w:val="00620DFB"/>
    <w:rsid w:val="00622DFF"/>
    <w:rsid w:val="00622E21"/>
    <w:rsid w:val="006230EC"/>
    <w:rsid w:val="00623555"/>
    <w:rsid w:val="006236FF"/>
    <w:rsid w:val="006254C8"/>
    <w:rsid w:val="00625AF3"/>
    <w:rsid w:val="006269C5"/>
    <w:rsid w:val="00626EDF"/>
    <w:rsid w:val="00627192"/>
    <w:rsid w:val="006305D8"/>
    <w:rsid w:val="00630912"/>
    <w:rsid w:val="00631962"/>
    <w:rsid w:val="00631DB9"/>
    <w:rsid w:val="00632924"/>
    <w:rsid w:val="00632A85"/>
    <w:rsid w:val="00633927"/>
    <w:rsid w:val="0063393B"/>
    <w:rsid w:val="0063461B"/>
    <w:rsid w:val="006358A1"/>
    <w:rsid w:val="00635938"/>
    <w:rsid w:val="006365B8"/>
    <w:rsid w:val="00640DFD"/>
    <w:rsid w:val="00640E70"/>
    <w:rsid w:val="00641EF1"/>
    <w:rsid w:val="00641FEE"/>
    <w:rsid w:val="0064432D"/>
    <w:rsid w:val="00644A3C"/>
    <w:rsid w:val="0064511D"/>
    <w:rsid w:val="00645378"/>
    <w:rsid w:val="006459DD"/>
    <w:rsid w:val="00646751"/>
    <w:rsid w:val="00646846"/>
    <w:rsid w:val="0064685B"/>
    <w:rsid w:val="006473A9"/>
    <w:rsid w:val="006501E4"/>
    <w:rsid w:val="006508CB"/>
    <w:rsid w:val="006513F0"/>
    <w:rsid w:val="0065196F"/>
    <w:rsid w:val="0065217E"/>
    <w:rsid w:val="0065223C"/>
    <w:rsid w:val="00652531"/>
    <w:rsid w:val="00652C2F"/>
    <w:rsid w:val="00653211"/>
    <w:rsid w:val="006532B1"/>
    <w:rsid w:val="006543A6"/>
    <w:rsid w:val="00654E40"/>
    <w:rsid w:val="00654F87"/>
    <w:rsid w:val="006553D0"/>
    <w:rsid w:val="0065597B"/>
    <w:rsid w:val="00655AF2"/>
    <w:rsid w:val="00655EC9"/>
    <w:rsid w:val="006562FB"/>
    <w:rsid w:val="006564E8"/>
    <w:rsid w:val="006600C6"/>
    <w:rsid w:val="00660750"/>
    <w:rsid w:val="00660C10"/>
    <w:rsid w:val="00660FA3"/>
    <w:rsid w:val="006615C0"/>
    <w:rsid w:val="006631AF"/>
    <w:rsid w:val="006632C1"/>
    <w:rsid w:val="00663590"/>
    <w:rsid w:val="00663D36"/>
    <w:rsid w:val="00663E62"/>
    <w:rsid w:val="00663E81"/>
    <w:rsid w:val="00664015"/>
    <w:rsid w:val="00664171"/>
    <w:rsid w:val="00664767"/>
    <w:rsid w:val="006647BD"/>
    <w:rsid w:val="006647C5"/>
    <w:rsid w:val="00664DF4"/>
    <w:rsid w:val="0066526E"/>
    <w:rsid w:val="00665B5A"/>
    <w:rsid w:val="00666358"/>
    <w:rsid w:val="00666A02"/>
    <w:rsid w:val="00666A2A"/>
    <w:rsid w:val="00667997"/>
    <w:rsid w:val="00670C0A"/>
    <w:rsid w:val="00670D40"/>
    <w:rsid w:val="00670D5E"/>
    <w:rsid w:val="00670E5A"/>
    <w:rsid w:val="006724BF"/>
    <w:rsid w:val="00672EDE"/>
    <w:rsid w:val="0067420A"/>
    <w:rsid w:val="0067463E"/>
    <w:rsid w:val="00674D1E"/>
    <w:rsid w:val="00675BB2"/>
    <w:rsid w:val="00675CE9"/>
    <w:rsid w:val="006769E6"/>
    <w:rsid w:val="00677925"/>
    <w:rsid w:val="00680631"/>
    <w:rsid w:val="00680C55"/>
    <w:rsid w:val="00683725"/>
    <w:rsid w:val="00684025"/>
    <w:rsid w:val="00684260"/>
    <w:rsid w:val="00684B82"/>
    <w:rsid w:val="00684EB3"/>
    <w:rsid w:val="00685C66"/>
    <w:rsid w:val="00685E4E"/>
    <w:rsid w:val="00687972"/>
    <w:rsid w:val="006901D6"/>
    <w:rsid w:val="006907C4"/>
    <w:rsid w:val="0069080E"/>
    <w:rsid w:val="00692155"/>
    <w:rsid w:val="0069223C"/>
    <w:rsid w:val="0069245F"/>
    <w:rsid w:val="00692913"/>
    <w:rsid w:val="006933C3"/>
    <w:rsid w:val="0069381C"/>
    <w:rsid w:val="0069509D"/>
    <w:rsid w:val="006953F8"/>
    <w:rsid w:val="00695686"/>
    <w:rsid w:val="0069683F"/>
    <w:rsid w:val="00696B7C"/>
    <w:rsid w:val="006A0205"/>
    <w:rsid w:val="006A073A"/>
    <w:rsid w:val="006A1D57"/>
    <w:rsid w:val="006A3741"/>
    <w:rsid w:val="006A4F17"/>
    <w:rsid w:val="006A51A6"/>
    <w:rsid w:val="006A54FE"/>
    <w:rsid w:val="006A5546"/>
    <w:rsid w:val="006A7145"/>
    <w:rsid w:val="006A766E"/>
    <w:rsid w:val="006B07F3"/>
    <w:rsid w:val="006B0C1F"/>
    <w:rsid w:val="006B1042"/>
    <w:rsid w:val="006B19B9"/>
    <w:rsid w:val="006B19E0"/>
    <w:rsid w:val="006B1BE4"/>
    <w:rsid w:val="006B1F95"/>
    <w:rsid w:val="006B2D6D"/>
    <w:rsid w:val="006B3151"/>
    <w:rsid w:val="006B386C"/>
    <w:rsid w:val="006B4E47"/>
    <w:rsid w:val="006B517E"/>
    <w:rsid w:val="006B52EA"/>
    <w:rsid w:val="006B5687"/>
    <w:rsid w:val="006B5F68"/>
    <w:rsid w:val="006B647D"/>
    <w:rsid w:val="006B65AC"/>
    <w:rsid w:val="006B6913"/>
    <w:rsid w:val="006C018F"/>
    <w:rsid w:val="006C1AA7"/>
    <w:rsid w:val="006C1E1C"/>
    <w:rsid w:val="006C206B"/>
    <w:rsid w:val="006C280C"/>
    <w:rsid w:val="006C2976"/>
    <w:rsid w:val="006C2BB2"/>
    <w:rsid w:val="006C2DCE"/>
    <w:rsid w:val="006C2E4C"/>
    <w:rsid w:val="006C32E6"/>
    <w:rsid w:val="006C33AF"/>
    <w:rsid w:val="006C36D5"/>
    <w:rsid w:val="006C3826"/>
    <w:rsid w:val="006C396A"/>
    <w:rsid w:val="006C4380"/>
    <w:rsid w:val="006C44FD"/>
    <w:rsid w:val="006C56FF"/>
    <w:rsid w:val="006C5E41"/>
    <w:rsid w:val="006C5E4E"/>
    <w:rsid w:val="006C7171"/>
    <w:rsid w:val="006C7CEF"/>
    <w:rsid w:val="006D02A2"/>
    <w:rsid w:val="006D0A8F"/>
    <w:rsid w:val="006D0FC1"/>
    <w:rsid w:val="006D2FD4"/>
    <w:rsid w:val="006D34FE"/>
    <w:rsid w:val="006D3616"/>
    <w:rsid w:val="006D4B48"/>
    <w:rsid w:val="006D4B87"/>
    <w:rsid w:val="006D4D63"/>
    <w:rsid w:val="006D638A"/>
    <w:rsid w:val="006D75D1"/>
    <w:rsid w:val="006D7685"/>
    <w:rsid w:val="006D7DAA"/>
    <w:rsid w:val="006D7FD8"/>
    <w:rsid w:val="006E0FAA"/>
    <w:rsid w:val="006E33F3"/>
    <w:rsid w:val="006E366B"/>
    <w:rsid w:val="006E523E"/>
    <w:rsid w:val="006E69E5"/>
    <w:rsid w:val="006E6FD1"/>
    <w:rsid w:val="006E799C"/>
    <w:rsid w:val="006F0D0F"/>
    <w:rsid w:val="006F0E23"/>
    <w:rsid w:val="006F1FDB"/>
    <w:rsid w:val="006F22F2"/>
    <w:rsid w:val="006F237E"/>
    <w:rsid w:val="006F2E16"/>
    <w:rsid w:val="006F359D"/>
    <w:rsid w:val="006F3A83"/>
    <w:rsid w:val="006F40BE"/>
    <w:rsid w:val="006F41BF"/>
    <w:rsid w:val="006F50A6"/>
    <w:rsid w:val="006F649D"/>
    <w:rsid w:val="006F65B3"/>
    <w:rsid w:val="006F687B"/>
    <w:rsid w:val="006F6A4C"/>
    <w:rsid w:val="006F712B"/>
    <w:rsid w:val="007018C4"/>
    <w:rsid w:val="0070282C"/>
    <w:rsid w:val="00702AAE"/>
    <w:rsid w:val="0070423A"/>
    <w:rsid w:val="00704F94"/>
    <w:rsid w:val="00705165"/>
    <w:rsid w:val="007061B4"/>
    <w:rsid w:val="007065E8"/>
    <w:rsid w:val="00710085"/>
    <w:rsid w:val="00711686"/>
    <w:rsid w:val="00711930"/>
    <w:rsid w:val="00712E59"/>
    <w:rsid w:val="0071321F"/>
    <w:rsid w:val="0071384C"/>
    <w:rsid w:val="00714396"/>
    <w:rsid w:val="007150B3"/>
    <w:rsid w:val="00715277"/>
    <w:rsid w:val="0071568A"/>
    <w:rsid w:val="00716D8A"/>
    <w:rsid w:val="00716DDA"/>
    <w:rsid w:val="00716E3E"/>
    <w:rsid w:val="00717207"/>
    <w:rsid w:val="00720038"/>
    <w:rsid w:val="00720291"/>
    <w:rsid w:val="00720C4B"/>
    <w:rsid w:val="007210F9"/>
    <w:rsid w:val="00721560"/>
    <w:rsid w:val="0072193B"/>
    <w:rsid w:val="00721BF8"/>
    <w:rsid w:val="00721DEF"/>
    <w:rsid w:val="0072203C"/>
    <w:rsid w:val="007225B4"/>
    <w:rsid w:val="0072272C"/>
    <w:rsid w:val="00722AE4"/>
    <w:rsid w:val="007230D9"/>
    <w:rsid w:val="00723F40"/>
    <w:rsid w:val="00724771"/>
    <w:rsid w:val="00724B40"/>
    <w:rsid w:val="00724C48"/>
    <w:rsid w:val="00727430"/>
    <w:rsid w:val="007277BA"/>
    <w:rsid w:val="00727BB3"/>
    <w:rsid w:val="00730031"/>
    <w:rsid w:val="00730C45"/>
    <w:rsid w:val="007314CA"/>
    <w:rsid w:val="00731CBE"/>
    <w:rsid w:val="007325EC"/>
    <w:rsid w:val="0073263A"/>
    <w:rsid w:val="00732914"/>
    <w:rsid w:val="00732B16"/>
    <w:rsid w:val="00732EED"/>
    <w:rsid w:val="00733788"/>
    <w:rsid w:val="00733976"/>
    <w:rsid w:val="007347F8"/>
    <w:rsid w:val="0073486B"/>
    <w:rsid w:val="00735042"/>
    <w:rsid w:val="007353EF"/>
    <w:rsid w:val="00735470"/>
    <w:rsid w:val="00737853"/>
    <w:rsid w:val="00737971"/>
    <w:rsid w:val="00737C73"/>
    <w:rsid w:val="0074041C"/>
    <w:rsid w:val="007417F8"/>
    <w:rsid w:val="007418CA"/>
    <w:rsid w:val="00741D86"/>
    <w:rsid w:val="0074295A"/>
    <w:rsid w:val="00742D86"/>
    <w:rsid w:val="00742F53"/>
    <w:rsid w:val="00743DDD"/>
    <w:rsid w:val="007449FA"/>
    <w:rsid w:val="00744C2F"/>
    <w:rsid w:val="007450B0"/>
    <w:rsid w:val="007451A5"/>
    <w:rsid w:val="00745486"/>
    <w:rsid w:val="00745625"/>
    <w:rsid w:val="007456D7"/>
    <w:rsid w:val="0075027C"/>
    <w:rsid w:val="00750890"/>
    <w:rsid w:val="007524FC"/>
    <w:rsid w:val="0075253A"/>
    <w:rsid w:val="00752A6E"/>
    <w:rsid w:val="00753B53"/>
    <w:rsid w:val="00753DFE"/>
    <w:rsid w:val="00753E39"/>
    <w:rsid w:val="00754584"/>
    <w:rsid w:val="0075462E"/>
    <w:rsid w:val="00757AD3"/>
    <w:rsid w:val="00757E31"/>
    <w:rsid w:val="00761AF1"/>
    <w:rsid w:val="00761ED3"/>
    <w:rsid w:val="00762BA7"/>
    <w:rsid w:val="0076344E"/>
    <w:rsid w:val="00763B42"/>
    <w:rsid w:val="00764119"/>
    <w:rsid w:val="007643E0"/>
    <w:rsid w:val="00765BC2"/>
    <w:rsid w:val="007664B8"/>
    <w:rsid w:val="00770173"/>
    <w:rsid w:val="00773102"/>
    <w:rsid w:val="0077375B"/>
    <w:rsid w:val="00773F34"/>
    <w:rsid w:val="0077482D"/>
    <w:rsid w:val="00775600"/>
    <w:rsid w:val="0077690E"/>
    <w:rsid w:val="00776A81"/>
    <w:rsid w:val="00776EA3"/>
    <w:rsid w:val="00777C6E"/>
    <w:rsid w:val="00777E46"/>
    <w:rsid w:val="007801EC"/>
    <w:rsid w:val="00780CAB"/>
    <w:rsid w:val="00780FED"/>
    <w:rsid w:val="00781347"/>
    <w:rsid w:val="00782535"/>
    <w:rsid w:val="00783897"/>
    <w:rsid w:val="0078439F"/>
    <w:rsid w:val="00784EAA"/>
    <w:rsid w:val="00784F64"/>
    <w:rsid w:val="0078527D"/>
    <w:rsid w:val="007856CA"/>
    <w:rsid w:val="00785B04"/>
    <w:rsid w:val="007867F2"/>
    <w:rsid w:val="00787B8B"/>
    <w:rsid w:val="0079048C"/>
    <w:rsid w:val="00791260"/>
    <w:rsid w:val="00791C0F"/>
    <w:rsid w:val="007924B9"/>
    <w:rsid w:val="0079273D"/>
    <w:rsid w:val="00792CC5"/>
    <w:rsid w:val="0079320E"/>
    <w:rsid w:val="007932B0"/>
    <w:rsid w:val="00794488"/>
    <w:rsid w:val="007948D9"/>
    <w:rsid w:val="00794AF2"/>
    <w:rsid w:val="00794C4B"/>
    <w:rsid w:val="00796F4C"/>
    <w:rsid w:val="007971D3"/>
    <w:rsid w:val="007977BC"/>
    <w:rsid w:val="00797FDD"/>
    <w:rsid w:val="007A0DBA"/>
    <w:rsid w:val="007A0DEA"/>
    <w:rsid w:val="007A10CA"/>
    <w:rsid w:val="007A1D4D"/>
    <w:rsid w:val="007A26B6"/>
    <w:rsid w:val="007A2ACB"/>
    <w:rsid w:val="007A305F"/>
    <w:rsid w:val="007A343A"/>
    <w:rsid w:val="007A3475"/>
    <w:rsid w:val="007A4532"/>
    <w:rsid w:val="007A495F"/>
    <w:rsid w:val="007A69B5"/>
    <w:rsid w:val="007A6FD8"/>
    <w:rsid w:val="007A7F7C"/>
    <w:rsid w:val="007B031D"/>
    <w:rsid w:val="007B0BE8"/>
    <w:rsid w:val="007B23EF"/>
    <w:rsid w:val="007B240D"/>
    <w:rsid w:val="007B2C27"/>
    <w:rsid w:val="007B3989"/>
    <w:rsid w:val="007B3DE1"/>
    <w:rsid w:val="007B4826"/>
    <w:rsid w:val="007B4BDB"/>
    <w:rsid w:val="007B65D4"/>
    <w:rsid w:val="007B7CCF"/>
    <w:rsid w:val="007C0657"/>
    <w:rsid w:val="007C0C93"/>
    <w:rsid w:val="007C162A"/>
    <w:rsid w:val="007C1F48"/>
    <w:rsid w:val="007C283E"/>
    <w:rsid w:val="007C28A7"/>
    <w:rsid w:val="007C28B9"/>
    <w:rsid w:val="007C2B6F"/>
    <w:rsid w:val="007C2B9F"/>
    <w:rsid w:val="007C32AD"/>
    <w:rsid w:val="007C357C"/>
    <w:rsid w:val="007C46A1"/>
    <w:rsid w:val="007C4BD0"/>
    <w:rsid w:val="007C4F64"/>
    <w:rsid w:val="007C52E2"/>
    <w:rsid w:val="007C54CC"/>
    <w:rsid w:val="007C5D0A"/>
    <w:rsid w:val="007C6504"/>
    <w:rsid w:val="007C6EC6"/>
    <w:rsid w:val="007C717B"/>
    <w:rsid w:val="007C7D7A"/>
    <w:rsid w:val="007D0BFD"/>
    <w:rsid w:val="007D1BFB"/>
    <w:rsid w:val="007D2783"/>
    <w:rsid w:val="007D3C47"/>
    <w:rsid w:val="007D47B2"/>
    <w:rsid w:val="007D4F98"/>
    <w:rsid w:val="007D54F3"/>
    <w:rsid w:val="007D5F53"/>
    <w:rsid w:val="007D6E3B"/>
    <w:rsid w:val="007D6EE3"/>
    <w:rsid w:val="007D73D2"/>
    <w:rsid w:val="007D7C9F"/>
    <w:rsid w:val="007D7D92"/>
    <w:rsid w:val="007E0EFB"/>
    <w:rsid w:val="007E1955"/>
    <w:rsid w:val="007E24A7"/>
    <w:rsid w:val="007E3645"/>
    <w:rsid w:val="007E3D03"/>
    <w:rsid w:val="007E535E"/>
    <w:rsid w:val="007E58A1"/>
    <w:rsid w:val="007E59AB"/>
    <w:rsid w:val="007E658F"/>
    <w:rsid w:val="007E75AC"/>
    <w:rsid w:val="007E7E86"/>
    <w:rsid w:val="007F1A71"/>
    <w:rsid w:val="007F1BE7"/>
    <w:rsid w:val="007F25AF"/>
    <w:rsid w:val="007F34F8"/>
    <w:rsid w:val="007F49B4"/>
    <w:rsid w:val="007F4EBC"/>
    <w:rsid w:val="007F5456"/>
    <w:rsid w:val="007F5994"/>
    <w:rsid w:val="007F5A91"/>
    <w:rsid w:val="007F7969"/>
    <w:rsid w:val="008010B0"/>
    <w:rsid w:val="00801B6D"/>
    <w:rsid w:val="00801F25"/>
    <w:rsid w:val="0080246F"/>
    <w:rsid w:val="00803ECB"/>
    <w:rsid w:val="0080500F"/>
    <w:rsid w:val="00805985"/>
    <w:rsid w:val="00805A21"/>
    <w:rsid w:val="00805BB3"/>
    <w:rsid w:val="00806DE7"/>
    <w:rsid w:val="008076F8"/>
    <w:rsid w:val="00807895"/>
    <w:rsid w:val="0080798C"/>
    <w:rsid w:val="00807E3B"/>
    <w:rsid w:val="00810A42"/>
    <w:rsid w:val="00810AD5"/>
    <w:rsid w:val="00810D5F"/>
    <w:rsid w:val="00811A93"/>
    <w:rsid w:val="00812077"/>
    <w:rsid w:val="00812D67"/>
    <w:rsid w:val="008132B4"/>
    <w:rsid w:val="00813817"/>
    <w:rsid w:val="00813890"/>
    <w:rsid w:val="00813BFC"/>
    <w:rsid w:val="008142CD"/>
    <w:rsid w:val="00814896"/>
    <w:rsid w:val="00814A1D"/>
    <w:rsid w:val="00815DBB"/>
    <w:rsid w:val="00815DE6"/>
    <w:rsid w:val="008169C5"/>
    <w:rsid w:val="00816EBD"/>
    <w:rsid w:val="008179FC"/>
    <w:rsid w:val="00820229"/>
    <w:rsid w:val="0082066E"/>
    <w:rsid w:val="00820A74"/>
    <w:rsid w:val="0082126B"/>
    <w:rsid w:val="008214F2"/>
    <w:rsid w:val="00821867"/>
    <w:rsid w:val="00821969"/>
    <w:rsid w:val="00821D9A"/>
    <w:rsid w:val="00821DB8"/>
    <w:rsid w:val="00821F82"/>
    <w:rsid w:val="008222D2"/>
    <w:rsid w:val="00823BB3"/>
    <w:rsid w:val="0082444F"/>
    <w:rsid w:val="008246F1"/>
    <w:rsid w:val="008248C4"/>
    <w:rsid w:val="00825428"/>
    <w:rsid w:val="0082720F"/>
    <w:rsid w:val="0082766C"/>
    <w:rsid w:val="00830643"/>
    <w:rsid w:val="00831C18"/>
    <w:rsid w:val="008321F3"/>
    <w:rsid w:val="008327B9"/>
    <w:rsid w:val="008336DE"/>
    <w:rsid w:val="00834EE8"/>
    <w:rsid w:val="00835653"/>
    <w:rsid w:val="00836770"/>
    <w:rsid w:val="0083746E"/>
    <w:rsid w:val="008377C1"/>
    <w:rsid w:val="00840667"/>
    <w:rsid w:val="00840CB9"/>
    <w:rsid w:val="0084119E"/>
    <w:rsid w:val="0084201C"/>
    <w:rsid w:val="00842796"/>
    <w:rsid w:val="00842C50"/>
    <w:rsid w:val="00842DF3"/>
    <w:rsid w:val="00842F20"/>
    <w:rsid w:val="00843077"/>
    <w:rsid w:val="00843C28"/>
    <w:rsid w:val="008442D2"/>
    <w:rsid w:val="0084461B"/>
    <w:rsid w:val="008446B0"/>
    <w:rsid w:val="00844D1D"/>
    <w:rsid w:val="00844F50"/>
    <w:rsid w:val="00845147"/>
    <w:rsid w:val="00845191"/>
    <w:rsid w:val="00845732"/>
    <w:rsid w:val="00845ACE"/>
    <w:rsid w:val="00850012"/>
    <w:rsid w:val="00850751"/>
    <w:rsid w:val="00851355"/>
    <w:rsid w:val="00851B97"/>
    <w:rsid w:val="008523E6"/>
    <w:rsid w:val="0085388C"/>
    <w:rsid w:val="008539D7"/>
    <w:rsid w:val="00853C3F"/>
    <w:rsid w:val="00853F6B"/>
    <w:rsid w:val="00854313"/>
    <w:rsid w:val="008556F2"/>
    <w:rsid w:val="0085683B"/>
    <w:rsid w:val="00857AFD"/>
    <w:rsid w:val="00857F01"/>
    <w:rsid w:val="0086028E"/>
    <w:rsid w:val="008610DC"/>
    <w:rsid w:val="0086151A"/>
    <w:rsid w:val="00862C26"/>
    <w:rsid w:val="008631E1"/>
    <w:rsid w:val="008632BF"/>
    <w:rsid w:val="008633F9"/>
    <w:rsid w:val="00866494"/>
    <w:rsid w:val="008668E5"/>
    <w:rsid w:val="00866BF2"/>
    <w:rsid w:val="00867A86"/>
    <w:rsid w:val="00867ECF"/>
    <w:rsid w:val="008700C7"/>
    <w:rsid w:val="008700E9"/>
    <w:rsid w:val="00871CE1"/>
    <w:rsid w:val="008731B9"/>
    <w:rsid w:val="0087377B"/>
    <w:rsid w:val="00873CD5"/>
    <w:rsid w:val="00874A6E"/>
    <w:rsid w:val="0087506C"/>
    <w:rsid w:val="008753E8"/>
    <w:rsid w:val="00876DB5"/>
    <w:rsid w:val="0087700A"/>
    <w:rsid w:val="00877920"/>
    <w:rsid w:val="00880B9C"/>
    <w:rsid w:val="00881998"/>
    <w:rsid w:val="00882051"/>
    <w:rsid w:val="00882612"/>
    <w:rsid w:val="00883234"/>
    <w:rsid w:val="008834DD"/>
    <w:rsid w:val="00883559"/>
    <w:rsid w:val="00883EC2"/>
    <w:rsid w:val="008849E9"/>
    <w:rsid w:val="00884B72"/>
    <w:rsid w:val="00884BB7"/>
    <w:rsid w:val="00884C7B"/>
    <w:rsid w:val="00884C99"/>
    <w:rsid w:val="008851D8"/>
    <w:rsid w:val="00885C0B"/>
    <w:rsid w:val="0088696B"/>
    <w:rsid w:val="00887157"/>
    <w:rsid w:val="0088782D"/>
    <w:rsid w:val="008901B1"/>
    <w:rsid w:val="008910CA"/>
    <w:rsid w:val="008914DF"/>
    <w:rsid w:val="00891893"/>
    <w:rsid w:val="00891993"/>
    <w:rsid w:val="00891A33"/>
    <w:rsid w:val="00892A7B"/>
    <w:rsid w:val="00892D7F"/>
    <w:rsid w:val="008936D3"/>
    <w:rsid w:val="008937DB"/>
    <w:rsid w:val="00893B36"/>
    <w:rsid w:val="00893D59"/>
    <w:rsid w:val="008954B9"/>
    <w:rsid w:val="008958E8"/>
    <w:rsid w:val="00895E07"/>
    <w:rsid w:val="008962A0"/>
    <w:rsid w:val="00896889"/>
    <w:rsid w:val="0089698C"/>
    <w:rsid w:val="00896EC7"/>
    <w:rsid w:val="008A2544"/>
    <w:rsid w:val="008A2D52"/>
    <w:rsid w:val="008A3A49"/>
    <w:rsid w:val="008A491F"/>
    <w:rsid w:val="008A4EDF"/>
    <w:rsid w:val="008A50F2"/>
    <w:rsid w:val="008A57B4"/>
    <w:rsid w:val="008A5A95"/>
    <w:rsid w:val="008A61B1"/>
    <w:rsid w:val="008A6E06"/>
    <w:rsid w:val="008A7844"/>
    <w:rsid w:val="008B13FC"/>
    <w:rsid w:val="008B33F4"/>
    <w:rsid w:val="008B4063"/>
    <w:rsid w:val="008B4144"/>
    <w:rsid w:val="008B423A"/>
    <w:rsid w:val="008B4829"/>
    <w:rsid w:val="008B4ACC"/>
    <w:rsid w:val="008B5343"/>
    <w:rsid w:val="008B5B82"/>
    <w:rsid w:val="008B67A4"/>
    <w:rsid w:val="008B6FFC"/>
    <w:rsid w:val="008B7615"/>
    <w:rsid w:val="008B7753"/>
    <w:rsid w:val="008B79D5"/>
    <w:rsid w:val="008C07FC"/>
    <w:rsid w:val="008C11F9"/>
    <w:rsid w:val="008C284D"/>
    <w:rsid w:val="008C3416"/>
    <w:rsid w:val="008C350C"/>
    <w:rsid w:val="008C356F"/>
    <w:rsid w:val="008C3659"/>
    <w:rsid w:val="008C5771"/>
    <w:rsid w:val="008C6BED"/>
    <w:rsid w:val="008C7505"/>
    <w:rsid w:val="008D00F4"/>
    <w:rsid w:val="008D1E73"/>
    <w:rsid w:val="008D2BE8"/>
    <w:rsid w:val="008D2E17"/>
    <w:rsid w:val="008D3474"/>
    <w:rsid w:val="008D364E"/>
    <w:rsid w:val="008D37F8"/>
    <w:rsid w:val="008D3B32"/>
    <w:rsid w:val="008D480D"/>
    <w:rsid w:val="008D48FC"/>
    <w:rsid w:val="008D6399"/>
    <w:rsid w:val="008D70DC"/>
    <w:rsid w:val="008D715B"/>
    <w:rsid w:val="008D751B"/>
    <w:rsid w:val="008D7C5F"/>
    <w:rsid w:val="008D7C80"/>
    <w:rsid w:val="008E05B6"/>
    <w:rsid w:val="008E05EE"/>
    <w:rsid w:val="008E1FEE"/>
    <w:rsid w:val="008E2B0D"/>
    <w:rsid w:val="008E316D"/>
    <w:rsid w:val="008E3692"/>
    <w:rsid w:val="008E3D00"/>
    <w:rsid w:val="008E4060"/>
    <w:rsid w:val="008E482B"/>
    <w:rsid w:val="008E5A75"/>
    <w:rsid w:val="008E60A6"/>
    <w:rsid w:val="008E659F"/>
    <w:rsid w:val="008E696B"/>
    <w:rsid w:val="008E7648"/>
    <w:rsid w:val="008F0BB7"/>
    <w:rsid w:val="008F0D7F"/>
    <w:rsid w:val="008F11A1"/>
    <w:rsid w:val="008F15DB"/>
    <w:rsid w:val="008F1C75"/>
    <w:rsid w:val="008F2E58"/>
    <w:rsid w:val="008F3DCB"/>
    <w:rsid w:val="008F3F25"/>
    <w:rsid w:val="008F4EF1"/>
    <w:rsid w:val="008F7B67"/>
    <w:rsid w:val="0090091F"/>
    <w:rsid w:val="0090145D"/>
    <w:rsid w:val="009015F1"/>
    <w:rsid w:val="009016E8"/>
    <w:rsid w:val="00902147"/>
    <w:rsid w:val="00902DBA"/>
    <w:rsid w:val="0090345F"/>
    <w:rsid w:val="0090369F"/>
    <w:rsid w:val="00903BBA"/>
    <w:rsid w:val="009046B0"/>
    <w:rsid w:val="00904E99"/>
    <w:rsid w:val="00904EFB"/>
    <w:rsid w:val="009053FB"/>
    <w:rsid w:val="009054B0"/>
    <w:rsid w:val="009058A9"/>
    <w:rsid w:val="00906B3A"/>
    <w:rsid w:val="00906CDB"/>
    <w:rsid w:val="00907BBC"/>
    <w:rsid w:val="0091013B"/>
    <w:rsid w:val="009106D2"/>
    <w:rsid w:val="00910BA3"/>
    <w:rsid w:val="00911B87"/>
    <w:rsid w:val="00911D26"/>
    <w:rsid w:val="009123AE"/>
    <w:rsid w:val="0091258A"/>
    <w:rsid w:val="00912AA9"/>
    <w:rsid w:val="009138DA"/>
    <w:rsid w:val="00913FE3"/>
    <w:rsid w:val="00914A7D"/>
    <w:rsid w:val="009154F9"/>
    <w:rsid w:val="00915AFF"/>
    <w:rsid w:val="00916100"/>
    <w:rsid w:val="00920C93"/>
    <w:rsid w:val="009210A2"/>
    <w:rsid w:val="009210E3"/>
    <w:rsid w:val="009212FC"/>
    <w:rsid w:val="00921A1A"/>
    <w:rsid w:val="00921B3C"/>
    <w:rsid w:val="0092213D"/>
    <w:rsid w:val="009222C9"/>
    <w:rsid w:val="0092358D"/>
    <w:rsid w:val="00923A20"/>
    <w:rsid w:val="009258BB"/>
    <w:rsid w:val="00926BCE"/>
    <w:rsid w:val="0092708A"/>
    <w:rsid w:val="009278BB"/>
    <w:rsid w:val="0092794E"/>
    <w:rsid w:val="00927EB1"/>
    <w:rsid w:val="00930BAD"/>
    <w:rsid w:val="00930CC6"/>
    <w:rsid w:val="00932F74"/>
    <w:rsid w:val="00933225"/>
    <w:rsid w:val="00933566"/>
    <w:rsid w:val="009344BA"/>
    <w:rsid w:val="00935DFF"/>
    <w:rsid w:val="0093697F"/>
    <w:rsid w:val="00936D20"/>
    <w:rsid w:val="00940E1B"/>
    <w:rsid w:val="00941D2A"/>
    <w:rsid w:val="009428F9"/>
    <w:rsid w:val="009431D2"/>
    <w:rsid w:val="0094338A"/>
    <w:rsid w:val="009435E7"/>
    <w:rsid w:val="009441A2"/>
    <w:rsid w:val="00944BB6"/>
    <w:rsid w:val="00944BD9"/>
    <w:rsid w:val="00944E44"/>
    <w:rsid w:val="00944F47"/>
    <w:rsid w:val="009457A2"/>
    <w:rsid w:val="0094650D"/>
    <w:rsid w:val="009467C1"/>
    <w:rsid w:val="00946D44"/>
    <w:rsid w:val="00946E6A"/>
    <w:rsid w:val="00947639"/>
    <w:rsid w:val="00947B5D"/>
    <w:rsid w:val="00947FCB"/>
    <w:rsid w:val="009504B9"/>
    <w:rsid w:val="00950F3B"/>
    <w:rsid w:val="00951330"/>
    <w:rsid w:val="0095153E"/>
    <w:rsid w:val="00951844"/>
    <w:rsid w:val="00951A6D"/>
    <w:rsid w:val="009520BF"/>
    <w:rsid w:val="00953F07"/>
    <w:rsid w:val="0095459F"/>
    <w:rsid w:val="00955F3A"/>
    <w:rsid w:val="00956428"/>
    <w:rsid w:val="0095647D"/>
    <w:rsid w:val="00956A21"/>
    <w:rsid w:val="009570C8"/>
    <w:rsid w:val="0095776E"/>
    <w:rsid w:val="00960EBB"/>
    <w:rsid w:val="00961A2B"/>
    <w:rsid w:val="00961B0F"/>
    <w:rsid w:val="00962B6C"/>
    <w:rsid w:val="00964B94"/>
    <w:rsid w:val="009656CC"/>
    <w:rsid w:val="00965D99"/>
    <w:rsid w:val="00965F56"/>
    <w:rsid w:val="00966089"/>
    <w:rsid w:val="00967015"/>
    <w:rsid w:val="00967A84"/>
    <w:rsid w:val="00967BA8"/>
    <w:rsid w:val="009703C5"/>
    <w:rsid w:val="00970659"/>
    <w:rsid w:val="009707BD"/>
    <w:rsid w:val="009710DF"/>
    <w:rsid w:val="009715F5"/>
    <w:rsid w:val="009716BF"/>
    <w:rsid w:val="00971B62"/>
    <w:rsid w:val="009721DD"/>
    <w:rsid w:val="0097328D"/>
    <w:rsid w:val="009734D0"/>
    <w:rsid w:val="00974117"/>
    <w:rsid w:val="00974542"/>
    <w:rsid w:val="0097695A"/>
    <w:rsid w:val="00976F42"/>
    <w:rsid w:val="009772EC"/>
    <w:rsid w:val="00977D42"/>
    <w:rsid w:val="0098089B"/>
    <w:rsid w:val="00981269"/>
    <w:rsid w:val="009814CC"/>
    <w:rsid w:val="00981694"/>
    <w:rsid w:val="00982120"/>
    <w:rsid w:val="00982D1F"/>
    <w:rsid w:val="00982E9F"/>
    <w:rsid w:val="009830EF"/>
    <w:rsid w:val="00983E4D"/>
    <w:rsid w:val="00984324"/>
    <w:rsid w:val="0098484E"/>
    <w:rsid w:val="009853B5"/>
    <w:rsid w:val="00985B7B"/>
    <w:rsid w:val="00985DE4"/>
    <w:rsid w:val="00986350"/>
    <w:rsid w:val="00986923"/>
    <w:rsid w:val="00986A72"/>
    <w:rsid w:val="00986EFD"/>
    <w:rsid w:val="00987190"/>
    <w:rsid w:val="009872A4"/>
    <w:rsid w:val="009906DB"/>
    <w:rsid w:val="0099071B"/>
    <w:rsid w:val="00990E25"/>
    <w:rsid w:val="00991E60"/>
    <w:rsid w:val="00991FF3"/>
    <w:rsid w:val="0099327C"/>
    <w:rsid w:val="0099375A"/>
    <w:rsid w:val="00993940"/>
    <w:rsid w:val="00993BB1"/>
    <w:rsid w:val="00994A29"/>
    <w:rsid w:val="00994E27"/>
    <w:rsid w:val="00995380"/>
    <w:rsid w:val="009954AF"/>
    <w:rsid w:val="00997F68"/>
    <w:rsid w:val="009A001F"/>
    <w:rsid w:val="009A06B8"/>
    <w:rsid w:val="009A07D4"/>
    <w:rsid w:val="009A111F"/>
    <w:rsid w:val="009A17EF"/>
    <w:rsid w:val="009A2214"/>
    <w:rsid w:val="009A29FC"/>
    <w:rsid w:val="009A4139"/>
    <w:rsid w:val="009A6724"/>
    <w:rsid w:val="009A6914"/>
    <w:rsid w:val="009A7B55"/>
    <w:rsid w:val="009B0A8C"/>
    <w:rsid w:val="009B0C51"/>
    <w:rsid w:val="009B1C8E"/>
    <w:rsid w:val="009B1DE0"/>
    <w:rsid w:val="009B24EB"/>
    <w:rsid w:val="009B2C09"/>
    <w:rsid w:val="009B3268"/>
    <w:rsid w:val="009B3BF7"/>
    <w:rsid w:val="009B6594"/>
    <w:rsid w:val="009B6D34"/>
    <w:rsid w:val="009B6E8F"/>
    <w:rsid w:val="009B7820"/>
    <w:rsid w:val="009C00FA"/>
    <w:rsid w:val="009C0EDA"/>
    <w:rsid w:val="009C1635"/>
    <w:rsid w:val="009C1D20"/>
    <w:rsid w:val="009C2DE1"/>
    <w:rsid w:val="009C38C5"/>
    <w:rsid w:val="009C4F89"/>
    <w:rsid w:val="009C57F5"/>
    <w:rsid w:val="009C5922"/>
    <w:rsid w:val="009C5977"/>
    <w:rsid w:val="009C633E"/>
    <w:rsid w:val="009C64E8"/>
    <w:rsid w:val="009C7151"/>
    <w:rsid w:val="009C7189"/>
    <w:rsid w:val="009C7D15"/>
    <w:rsid w:val="009D17AB"/>
    <w:rsid w:val="009D1CDD"/>
    <w:rsid w:val="009D1FA6"/>
    <w:rsid w:val="009D202C"/>
    <w:rsid w:val="009D2407"/>
    <w:rsid w:val="009D3126"/>
    <w:rsid w:val="009D3EB0"/>
    <w:rsid w:val="009D444D"/>
    <w:rsid w:val="009D46A6"/>
    <w:rsid w:val="009D4A71"/>
    <w:rsid w:val="009D5162"/>
    <w:rsid w:val="009D5CDE"/>
    <w:rsid w:val="009D5D3F"/>
    <w:rsid w:val="009D6A86"/>
    <w:rsid w:val="009D72CA"/>
    <w:rsid w:val="009D78A8"/>
    <w:rsid w:val="009D7EB6"/>
    <w:rsid w:val="009E0044"/>
    <w:rsid w:val="009E016C"/>
    <w:rsid w:val="009E1187"/>
    <w:rsid w:val="009E1372"/>
    <w:rsid w:val="009E18C4"/>
    <w:rsid w:val="009E31C9"/>
    <w:rsid w:val="009E422F"/>
    <w:rsid w:val="009E4356"/>
    <w:rsid w:val="009E638F"/>
    <w:rsid w:val="009E64FD"/>
    <w:rsid w:val="009E6B44"/>
    <w:rsid w:val="009E7588"/>
    <w:rsid w:val="009F1E8C"/>
    <w:rsid w:val="009F242F"/>
    <w:rsid w:val="009F27EC"/>
    <w:rsid w:val="009F2C02"/>
    <w:rsid w:val="009F2E78"/>
    <w:rsid w:val="009F4179"/>
    <w:rsid w:val="009F486E"/>
    <w:rsid w:val="009F4890"/>
    <w:rsid w:val="009F4F6F"/>
    <w:rsid w:val="009F5727"/>
    <w:rsid w:val="009F5971"/>
    <w:rsid w:val="009F656C"/>
    <w:rsid w:val="009F6E47"/>
    <w:rsid w:val="009F7E1B"/>
    <w:rsid w:val="00A00078"/>
    <w:rsid w:val="00A00108"/>
    <w:rsid w:val="00A005FB"/>
    <w:rsid w:val="00A00EC5"/>
    <w:rsid w:val="00A0133C"/>
    <w:rsid w:val="00A02EC0"/>
    <w:rsid w:val="00A03A45"/>
    <w:rsid w:val="00A0459F"/>
    <w:rsid w:val="00A047AE"/>
    <w:rsid w:val="00A047C1"/>
    <w:rsid w:val="00A04C9F"/>
    <w:rsid w:val="00A05248"/>
    <w:rsid w:val="00A05A50"/>
    <w:rsid w:val="00A06046"/>
    <w:rsid w:val="00A06047"/>
    <w:rsid w:val="00A06B52"/>
    <w:rsid w:val="00A07143"/>
    <w:rsid w:val="00A07276"/>
    <w:rsid w:val="00A07CB3"/>
    <w:rsid w:val="00A1098C"/>
    <w:rsid w:val="00A10F42"/>
    <w:rsid w:val="00A11267"/>
    <w:rsid w:val="00A114A4"/>
    <w:rsid w:val="00A11936"/>
    <w:rsid w:val="00A11C7E"/>
    <w:rsid w:val="00A1207A"/>
    <w:rsid w:val="00A12F16"/>
    <w:rsid w:val="00A13032"/>
    <w:rsid w:val="00A131C4"/>
    <w:rsid w:val="00A1392D"/>
    <w:rsid w:val="00A14E07"/>
    <w:rsid w:val="00A15076"/>
    <w:rsid w:val="00A152B3"/>
    <w:rsid w:val="00A154B0"/>
    <w:rsid w:val="00A1563E"/>
    <w:rsid w:val="00A16ACA"/>
    <w:rsid w:val="00A174CA"/>
    <w:rsid w:val="00A175D8"/>
    <w:rsid w:val="00A200A2"/>
    <w:rsid w:val="00A20C21"/>
    <w:rsid w:val="00A20CC2"/>
    <w:rsid w:val="00A212A8"/>
    <w:rsid w:val="00A22065"/>
    <w:rsid w:val="00A22110"/>
    <w:rsid w:val="00A2268B"/>
    <w:rsid w:val="00A22B28"/>
    <w:rsid w:val="00A25886"/>
    <w:rsid w:val="00A25E7B"/>
    <w:rsid w:val="00A26A00"/>
    <w:rsid w:val="00A26FD2"/>
    <w:rsid w:val="00A30490"/>
    <w:rsid w:val="00A30C08"/>
    <w:rsid w:val="00A31317"/>
    <w:rsid w:val="00A33B98"/>
    <w:rsid w:val="00A33CFA"/>
    <w:rsid w:val="00A3545F"/>
    <w:rsid w:val="00A35B6A"/>
    <w:rsid w:val="00A360B6"/>
    <w:rsid w:val="00A37012"/>
    <w:rsid w:val="00A3709E"/>
    <w:rsid w:val="00A376FE"/>
    <w:rsid w:val="00A37881"/>
    <w:rsid w:val="00A40F16"/>
    <w:rsid w:val="00A410FA"/>
    <w:rsid w:val="00A41120"/>
    <w:rsid w:val="00A41739"/>
    <w:rsid w:val="00A4225B"/>
    <w:rsid w:val="00A42806"/>
    <w:rsid w:val="00A42F2B"/>
    <w:rsid w:val="00A42FCA"/>
    <w:rsid w:val="00A4357C"/>
    <w:rsid w:val="00A44EF6"/>
    <w:rsid w:val="00A44FEE"/>
    <w:rsid w:val="00A457DB"/>
    <w:rsid w:val="00A46D3A"/>
    <w:rsid w:val="00A47315"/>
    <w:rsid w:val="00A50B5D"/>
    <w:rsid w:val="00A50C11"/>
    <w:rsid w:val="00A5106B"/>
    <w:rsid w:val="00A511FD"/>
    <w:rsid w:val="00A51750"/>
    <w:rsid w:val="00A52B3A"/>
    <w:rsid w:val="00A52DAB"/>
    <w:rsid w:val="00A54460"/>
    <w:rsid w:val="00A54C3B"/>
    <w:rsid w:val="00A54F1A"/>
    <w:rsid w:val="00A550F7"/>
    <w:rsid w:val="00A561D8"/>
    <w:rsid w:val="00A573B5"/>
    <w:rsid w:val="00A57498"/>
    <w:rsid w:val="00A57753"/>
    <w:rsid w:val="00A5791B"/>
    <w:rsid w:val="00A57A4A"/>
    <w:rsid w:val="00A60A9B"/>
    <w:rsid w:val="00A60A9F"/>
    <w:rsid w:val="00A60E35"/>
    <w:rsid w:val="00A61743"/>
    <w:rsid w:val="00A6277F"/>
    <w:rsid w:val="00A62851"/>
    <w:rsid w:val="00A62F31"/>
    <w:rsid w:val="00A64CC7"/>
    <w:rsid w:val="00A64FCF"/>
    <w:rsid w:val="00A65952"/>
    <w:rsid w:val="00A6646C"/>
    <w:rsid w:val="00A67B47"/>
    <w:rsid w:val="00A70882"/>
    <w:rsid w:val="00A71A5F"/>
    <w:rsid w:val="00A720F8"/>
    <w:rsid w:val="00A7299F"/>
    <w:rsid w:val="00A72D5A"/>
    <w:rsid w:val="00A73FA9"/>
    <w:rsid w:val="00A74975"/>
    <w:rsid w:val="00A749E2"/>
    <w:rsid w:val="00A74A15"/>
    <w:rsid w:val="00A752C8"/>
    <w:rsid w:val="00A754EF"/>
    <w:rsid w:val="00A762FE"/>
    <w:rsid w:val="00A766EE"/>
    <w:rsid w:val="00A7689C"/>
    <w:rsid w:val="00A76F8B"/>
    <w:rsid w:val="00A77084"/>
    <w:rsid w:val="00A81557"/>
    <w:rsid w:val="00A81A7A"/>
    <w:rsid w:val="00A81F98"/>
    <w:rsid w:val="00A830FF"/>
    <w:rsid w:val="00A83FB2"/>
    <w:rsid w:val="00A8429B"/>
    <w:rsid w:val="00A84710"/>
    <w:rsid w:val="00A8564B"/>
    <w:rsid w:val="00A86403"/>
    <w:rsid w:val="00A8779C"/>
    <w:rsid w:val="00A90D56"/>
    <w:rsid w:val="00A9144F"/>
    <w:rsid w:val="00A92D74"/>
    <w:rsid w:val="00A92F43"/>
    <w:rsid w:val="00A93580"/>
    <w:rsid w:val="00A93A7A"/>
    <w:rsid w:val="00A94422"/>
    <w:rsid w:val="00A9653D"/>
    <w:rsid w:val="00A9699D"/>
    <w:rsid w:val="00A96F12"/>
    <w:rsid w:val="00A96F7D"/>
    <w:rsid w:val="00AA0479"/>
    <w:rsid w:val="00AA1292"/>
    <w:rsid w:val="00AA2020"/>
    <w:rsid w:val="00AA2156"/>
    <w:rsid w:val="00AA2A1F"/>
    <w:rsid w:val="00AA2DEF"/>
    <w:rsid w:val="00AA317A"/>
    <w:rsid w:val="00AA4D6C"/>
    <w:rsid w:val="00AA4F3F"/>
    <w:rsid w:val="00AA5725"/>
    <w:rsid w:val="00AB2DCD"/>
    <w:rsid w:val="00AB3D7B"/>
    <w:rsid w:val="00AB3E02"/>
    <w:rsid w:val="00AB4381"/>
    <w:rsid w:val="00AB53F4"/>
    <w:rsid w:val="00AB5548"/>
    <w:rsid w:val="00AB60E9"/>
    <w:rsid w:val="00AB6522"/>
    <w:rsid w:val="00AB71F6"/>
    <w:rsid w:val="00AB742B"/>
    <w:rsid w:val="00AB77B6"/>
    <w:rsid w:val="00AB7BD3"/>
    <w:rsid w:val="00AC0044"/>
    <w:rsid w:val="00AC052B"/>
    <w:rsid w:val="00AC0F3D"/>
    <w:rsid w:val="00AC1BF9"/>
    <w:rsid w:val="00AC36E6"/>
    <w:rsid w:val="00AC3CBA"/>
    <w:rsid w:val="00AC407F"/>
    <w:rsid w:val="00AC4916"/>
    <w:rsid w:val="00AC5442"/>
    <w:rsid w:val="00AC6299"/>
    <w:rsid w:val="00AC6F22"/>
    <w:rsid w:val="00AC75C0"/>
    <w:rsid w:val="00AC7C5D"/>
    <w:rsid w:val="00AC7C95"/>
    <w:rsid w:val="00AD1863"/>
    <w:rsid w:val="00AD21BA"/>
    <w:rsid w:val="00AD2229"/>
    <w:rsid w:val="00AD4095"/>
    <w:rsid w:val="00AD4888"/>
    <w:rsid w:val="00AD5159"/>
    <w:rsid w:val="00AD6EFE"/>
    <w:rsid w:val="00AD75EF"/>
    <w:rsid w:val="00AD7918"/>
    <w:rsid w:val="00AE0C95"/>
    <w:rsid w:val="00AE0EDB"/>
    <w:rsid w:val="00AE180C"/>
    <w:rsid w:val="00AE1E2B"/>
    <w:rsid w:val="00AE3220"/>
    <w:rsid w:val="00AE33EE"/>
    <w:rsid w:val="00AE39A5"/>
    <w:rsid w:val="00AE41CA"/>
    <w:rsid w:val="00AE450A"/>
    <w:rsid w:val="00AE4AAA"/>
    <w:rsid w:val="00AE538A"/>
    <w:rsid w:val="00AE554A"/>
    <w:rsid w:val="00AE56BD"/>
    <w:rsid w:val="00AE5932"/>
    <w:rsid w:val="00AE6496"/>
    <w:rsid w:val="00AE7D2C"/>
    <w:rsid w:val="00AE7F23"/>
    <w:rsid w:val="00AF0417"/>
    <w:rsid w:val="00AF112D"/>
    <w:rsid w:val="00AF3CCF"/>
    <w:rsid w:val="00AF4349"/>
    <w:rsid w:val="00AF5722"/>
    <w:rsid w:val="00AF6192"/>
    <w:rsid w:val="00AF6222"/>
    <w:rsid w:val="00AF701D"/>
    <w:rsid w:val="00B0070B"/>
    <w:rsid w:val="00B0093D"/>
    <w:rsid w:val="00B01936"/>
    <w:rsid w:val="00B01C45"/>
    <w:rsid w:val="00B02251"/>
    <w:rsid w:val="00B02C90"/>
    <w:rsid w:val="00B032D3"/>
    <w:rsid w:val="00B039D6"/>
    <w:rsid w:val="00B041A8"/>
    <w:rsid w:val="00B045ED"/>
    <w:rsid w:val="00B0549F"/>
    <w:rsid w:val="00B05644"/>
    <w:rsid w:val="00B05A9F"/>
    <w:rsid w:val="00B05ADB"/>
    <w:rsid w:val="00B05B1F"/>
    <w:rsid w:val="00B0653B"/>
    <w:rsid w:val="00B0731E"/>
    <w:rsid w:val="00B07B57"/>
    <w:rsid w:val="00B07C1C"/>
    <w:rsid w:val="00B10718"/>
    <w:rsid w:val="00B11186"/>
    <w:rsid w:val="00B11992"/>
    <w:rsid w:val="00B139DD"/>
    <w:rsid w:val="00B13EE8"/>
    <w:rsid w:val="00B14634"/>
    <w:rsid w:val="00B148CA"/>
    <w:rsid w:val="00B151BE"/>
    <w:rsid w:val="00B158DE"/>
    <w:rsid w:val="00B15924"/>
    <w:rsid w:val="00B20384"/>
    <w:rsid w:val="00B20825"/>
    <w:rsid w:val="00B2142D"/>
    <w:rsid w:val="00B215D1"/>
    <w:rsid w:val="00B22622"/>
    <w:rsid w:val="00B23001"/>
    <w:rsid w:val="00B23913"/>
    <w:rsid w:val="00B23933"/>
    <w:rsid w:val="00B24434"/>
    <w:rsid w:val="00B24E75"/>
    <w:rsid w:val="00B25292"/>
    <w:rsid w:val="00B253CD"/>
    <w:rsid w:val="00B30CF7"/>
    <w:rsid w:val="00B320B9"/>
    <w:rsid w:val="00B3220D"/>
    <w:rsid w:val="00B322B0"/>
    <w:rsid w:val="00B32BCF"/>
    <w:rsid w:val="00B35CAF"/>
    <w:rsid w:val="00B360C8"/>
    <w:rsid w:val="00B3617D"/>
    <w:rsid w:val="00B3640B"/>
    <w:rsid w:val="00B36C29"/>
    <w:rsid w:val="00B36F5C"/>
    <w:rsid w:val="00B37194"/>
    <w:rsid w:val="00B37E38"/>
    <w:rsid w:val="00B417D3"/>
    <w:rsid w:val="00B41D55"/>
    <w:rsid w:val="00B42391"/>
    <w:rsid w:val="00B42DA9"/>
    <w:rsid w:val="00B43FC9"/>
    <w:rsid w:val="00B443CE"/>
    <w:rsid w:val="00B4526D"/>
    <w:rsid w:val="00B453D1"/>
    <w:rsid w:val="00B4650A"/>
    <w:rsid w:val="00B46B61"/>
    <w:rsid w:val="00B46C46"/>
    <w:rsid w:val="00B46E58"/>
    <w:rsid w:val="00B46EAE"/>
    <w:rsid w:val="00B46F41"/>
    <w:rsid w:val="00B4736B"/>
    <w:rsid w:val="00B475AD"/>
    <w:rsid w:val="00B47814"/>
    <w:rsid w:val="00B47C01"/>
    <w:rsid w:val="00B47FAD"/>
    <w:rsid w:val="00B5031E"/>
    <w:rsid w:val="00B510DA"/>
    <w:rsid w:val="00B512C4"/>
    <w:rsid w:val="00B516CE"/>
    <w:rsid w:val="00B51DC4"/>
    <w:rsid w:val="00B52CB4"/>
    <w:rsid w:val="00B53650"/>
    <w:rsid w:val="00B55D44"/>
    <w:rsid w:val="00B5637A"/>
    <w:rsid w:val="00B56488"/>
    <w:rsid w:val="00B57824"/>
    <w:rsid w:val="00B578FE"/>
    <w:rsid w:val="00B57B6C"/>
    <w:rsid w:val="00B630E6"/>
    <w:rsid w:val="00B63E8E"/>
    <w:rsid w:val="00B64029"/>
    <w:rsid w:val="00B64F88"/>
    <w:rsid w:val="00B6524E"/>
    <w:rsid w:val="00B66994"/>
    <w:rsid w:val="00B67113"/>
    <w:rsid w:val="00B67BE1"/>
    <w:rsid w:val="00B67C1C"/>
    <w:rsid w:val="00B709F4"/>
    <w:rsid w:val="00B71175"/>
    <w:rsid w:val="00B712F2"/>
    <w:rsid w:val="00B713D5"/>
    <w:rsid w:val="00B716B1"/>
    <w:rsid w:val="00B717F7"/>
    <w:rsid w:val="00B718C4"/>
    <w:rsid w:val="00B7341D"/>
    <w:rsid w:val="00B73ADC"/>
    <w:rsid w:val="00B7438A"/>
    <w:rsid w:val="00B74708"/>
    <w:rsid w:val="00B747AA"/>
    <w:rsid w:val="00B76F4C"/>
    <w:rsid w:val="00B76F86"/>
    <w:rsid w:val="00B7799A"/>
    <w:rsid w:val="00B81F11"/>
    <w:rsid w:val="00B8237D"/>
    <w:rsid w:val="00B827DC"/>
    <w:rsid w:val="00B82F03"/>
    <w:rsid w:val="00B836C9"/>
    <w:rsid w:val="00B83823"/>
    <w:rsid w:val="00B83FB1"/>
    <w:rsid w:val="00B84C54"/>
    <w:rsid w:val="00B84D6C"/>
    <w:rsid w:val="00B85DAE"/>
    <w:rsid w:val="00B868F9"/>
    <w:rsid w:val="00B86D60"/>
    <w:rsid w:val="00B901BC"/>
    <w:rsid w:val="00B902BE"/>
    <w:rsid w:val="00B907D9"/>
    <w:rsid w:val="00B90F91"/>
    <w:rsid w:val="00B91206"/>
    <w:rsid w:val="00B92088"/>
    <w:rsid w:val="00B922A4"/>
    <w:rsid w:val="00B92460"/>
    <w:rsid w:val="00B9300C"/>
    <w:rsid w:val="00B934C9"/>
    <w:rsid w:val="00B93D49"/>
    <w:rsid w:val="00B945D3"/>
    <w:rsid w:val="00B95660"/>
    <w:rsid w:val="00B96457"/>
    <w:rsid w:val="00B96DC6"/>
    <w:rsid w:val="00B97BC0"/>
    <w:rsid w:val="00BA1237"/>
    <w:rsid w:val="00BA1C31"/>
    <w:rsid w:val="00BA3F1C"/>
    <w:rsid w:val="00BA40D7"/>
    <w:rsid w:val="00BA5036"/>
    <w:rsid w:val="00BA6017"/>
    <w:rsid w:val="00BA67E4"/>
    <w:rsid w:val="00BA6C21"/>
    <w:rsid w:val="00BA6EA1"/>
    <w:rsid w:val="00BA71E0"/>
    <w:rsid w:val="00BA725C"/>
    <w:rsid w:val="00BA7A15"/>
    <w:rsid w:val="00BA7A5F"/>
    <w:rsid w:val="00BB01D1"/>
    <w:rsid w:val="00BB0789"/>
    <w:rsid w:val="00BB23CF"/>
    <w:rsid w:val="00BB23E0"/>
    <w:rsid w:val="00BB2A07"/>
    <w:rsid w:val="00BB3660"/>
    <w:rsid w:val="00BB40F5"/>
    <w:rsid w:val="00BB4E63"/>
    <w:rsid w:val="00BB503C"/>
    <w:rsid w:val="00BB5CD7"/>
    <w:rsid w:val="00BB61F7"/>
    <w:rsid w:val="00BB6AE3"/>
    <w:rsid w:val="00BB6B54"/>
    <w:rsid w:val="00BB7122"/>
    <w:rsid w:val="00BB723C"/>
    <w:rsid w:val="00BB7690"/>
    <w:rsid w:val="00BC0A7E"/>
    <w:rsid w:val="00BC0B95"/>
    <w:rsid w:val="00BC0BBE"/>
    <w:rsid w:val="00BC1119"/>
    <w:rsid w:val="00BC1CEB"/>
    <w:rsid w:val="00BC2232"/>
    <w:rsid w:val="00BC27BB"/>
    <w:rsid w:val="00BC3ABC"/>
    <w:rsid w:val="00BC421D"/>
    <w:rsid w:val="00BC4668"/>
    <w:rsid w:val="00BC4B2E"/>
    <w:rsid w:val="00BC4E48"/>
    <w:rsid w:val="00BC4F60"/>
    <w:rsid w:val="00BC5132"/>
    <w:rsid w:val="00BC5955"/>
    <w:rsid w:val="00BC5A06"/>
    <w:rsid w:val="00BC5A95"/>
    <w:rsid w:val="00BC5C25"/>
    <w:rsid w:val="00BC7180"/>
    <w:rsid w:val="00BD000C"/>
    <w:rsid w:val="00BD0247"/>
    <w:rsid w:val="00BD1912"/>
    <w:rsid w:val="00BD2714"/>
    <w:rsid w:val="00BD3354"/>
    <w:rsid w:val="00BD368E"/>
    <w:rsid w:val="00BD61E8"/>
    <w:rsid w:val="00BD6874"/>
    <w:rsid w:val="00BD6E29"/>
    <w:rsid w:val="00BE04BF"/>
    <w:rsid w:val="00BE261D"/>
    <w:rsid w:val="00BE2C2A"/>
    <w:rsid w:val="00BE2CF1"/>
    <w:rsid w:val="00BE316F"/>
    <w:rsid w:val="00BE37E6"/>
    <w:rsid w:val="00BE4E18"/>
    <w:rsid w:val="00BE5721"/>
    <w:rsid w:val="00BE630F"/>
    <w:rsid w:val="00BE775E"/>
    <w:rsid w:val="00BE7C4C"/>
    <w:rsid w:val="00BF0884"/>
    <w:rsid w:val="00BF131B"/>
    <w:rsid w:val="00BF2630"/>
    <w:rsid w:val="00BF2AAA"/>
    <w:rsid w:val="00BF336B"/>
    <w:rsid w:val="00BF368B"/>
    <w:rsid w:val="00BF410C"/>
    <w:rsid w:val="00BF4146"/>
    <w:rsid w:val="00BF46C3"/>
    <w:rsid w:val="00BF486F"/>
    <w:rsid w:val="00BF4933"/>
    <w:rsid w:val="00BF52CC"/>
    <w:rsid w:val="00BF5D25"/>
    <w:rsid w:val="00BF62B8"/>
    <w:rsid w:val="00BF69B7"/>
    <w:rsid w:val="00BF6A90"/>
    <w:rsid w:val="00BF6A9A"/>
    <w:rsid w:val="00BF7919"/>
    <w:rsid w:val="00C00174"/>
    <w:rsid w:val="00C025BF"/>
    <w:rsid w:val="00C0281E"/>
    <w:rsid w:val="00C02A74"/>
    <w:rsid w:val="00C02BA0"/>
    <w:rsid w:val="00C03307"/>
    <w:rsid w:val="00C03579"/>
    <w:rsid w:val="00C04AD2"/>
    <w:rsid w:val="00C04CEB"/>
    <w:rsid w:val="00C0568E"/>
    <w:rsid w:val="00C06D4D"/>
    <w:rsid w:val="00C075D5"/>
    <w:rsid w:val="00C103B0"/>
    <w:rsid w:val="00C10A73"/>
    <w:rsid w:val="00C10F25"/>
    <w:rsid w:val="00C11D2C"/>
    <w:rsid w:val="00C1284B"/>
    <w:rsid w:val="00C1341B"/>
    <w:rsid w:val="00C142A1"/>
    <w:rsid w:val="00C1486E"/>
    <w:rsid w:val="00C14FDE"/>
    <w:rsid w:val="00C15343"/>
    <w:rsid w:val="00C15B35"/>
    <w:rsid w:val="00C16E4F"/>
    <w:rsid w:val="00C176AC"/>
    <w:rsid w:val="00C17E73"/>
    <w:rsid w:val="00C2138C"/>
    <w:rsid w:val="00C25772"/>
    <w:rsid w:val="00C25DB1"/>
    <w:rsid w:val="00C264D6"/>
    <w:rsid w:val="00C2671F"/>
    <w:rsid w:val="00C26C32"/>
    <w:rsid w:val="00C27432"/>
    <w:rsid w:val="00C27C2C"/>
    <w:rsid w:val="00C3016E"/>
    <w:rsid w:val="00C30C84"/>
    <w:rsid w:val="00C310E2"/>
    <w:rsid w:val="00C316E0"/>
    <w:rsid w:val="00C3222D"/>
    <w:rsid w:val="00C3298D"/>
    <w:rsid w:val="00C329A3"/>
    <w:rsid w:val="00C32BB6"/>
    <w:rsid w:val="00C330E7"/>
    <w:rsid w:val="00C3319A"/>
    <w:rsid w:val="00C3402D"/>
    <w:rsid w:val="00C340A8"/>
    <w:rsid w:val="00C34229"/>
    <w:rsid w:val="00C34605"/>
    <w:rsid w:val="00C358C5"/>
    <w:rsid w:val="00C36DDE"/>
    <w:rsid w:val="00C40256"/>
    <w:rsid w:val="00C4051C"/>
    <w:rsid w:val="00C4101B"/>
    <w:rsid w:val="00C41B05"/>
    <w:rsid w:val="00C42243"/>
    <w:rsid w:val="00C42251"/>
    <w:rsid w:val="00C42568"/>
    <w:rsid w:val="00C42FA0"/>
    <w:rsid w:val="00C43190"/>
    <w:rsid w:val="00C43453"/>
    <w:rsid w:val="00C44BF0"/>
    <w:rsid w:val="00C44C2B"/>
    <w:rsid w:val="00C45B6B"/>
    <w:rsid w:val="00C45C94"/>
    <w:rsid w:val="00C46399"/>
    <w:rsid w:val="00C464F2"/>
    <w:rsid w:val="00C465DE"/>
    <w:rsid w:val="00C5021A"/>
    <w:rsid w:val="00C507C8"/>
    <w:rsid w:val="00C507FD"/>
    <w:rsid w:val="00C5129F"/>
    <w:rsid w:val="00C513BD"/>
    <w:rsid w:val="00C51491"/>
    <w:rsid w:val="00C52B08"/>
    <w:rsid w:val="00C535D9"/>
    <w:rsid w:val="00C53CB2"/>
    <w:rsid w:val="00C55319"/>
    <w:rsid w:val="00C554B5"/>
    <w:rsid w:val="00C5585A"/>
    <w:rsid w:val="00C55A4E"/>
    <w:rsid w:val="00C55AF8"/>
    <w:rsid w:val="00C5636A"/>
    <w:rsid w:val="00C564A0"/>
    <w:rsid w:val="00C567AC"/>
    <w:rsid w:val="00C56C43"/>
    <w:rsid w:val="00C57500"/>
    <w:rsid w:val="00C57B17"/>
    <w:rsid w:val="00C60B53"/>
    <w:rsid w:val="00C6233C"/>
    <w:rsid w:val="00C62544"/>
    <w:rsid w:val="00C62B65"/>
    <w:rsid w:val="00C63212"/>
    <w:rsid w:val="00C640C5"/>
    <w:rsid w:val="00C640EC"/>
    <w:rsid w:val="00C65253"/>
    <w:rsid w:val="00C67830"/>
    <w:rsid w:val="00C6783A"/>
    <w:rsid w:val="00C67850"/>
    <w:rsid w:val="00C67934"/>
    <w:rsid w:val="00C67ADE"/>
    <w:rsid w:val="00C67D05"/>
    <w:rsid w:val="00C70ACD"/>
    <w:rsid w:val="00C70C0D"/>
    <w:rsid w:val="00C7109B"/>
    <w:rsid w:val="00C722C1"/>
    <w:rsid w:val="00C726F9"/>
    <w:rsid w:val="00C74244"/>
    <w:rsid w:val="00C74A07"/>
    <w:rsid w:val="00C7556A"/>
    <w:rsid w:val="00C757CA"/>
    <w:rsid w:val="00C75831"/>
    <w:rsid w:val="00C764A8"/>
    <w:rsid w:val="00C80F10"/>
    <w:rsid w:val="00C82423"/>
    <w:rsid w:val="00C82548"/>
    <w:rsid w:val="00C8259C"/>
    <w:rsid w:val="00C8270C"/>
    <w:rsid w:val="00C852A9"/>
    <w:rsid w:val="00C8562A"/>
    <w:rsid w:val="00C85DE9"/>
    <w:rsid w:val="00C865A9"/>
    <w:rsid w:val="00C865E5"/>
    <w:rsid w:val="00C86B11"/>
    <w:rsid w:val="00C871D5"/>
    <w:rsid w:val="00C873B6"/>
    <w:rsid w:val="00C87BF9"/>
    <w:rsid w:val="00C87E5B"/>
    <w:rsid w:val="00C9095E"/>
    <w:rsid w:val="00C90CF1"/>
    <w:rsid w:val="00C90E2E"/>
    <w:rsid w:val="00C91784"/>
    <w:rsid w:val="00C92C0E"/>
    <w:rsid w:val="00C92C86"/>
    <w:rsid w:val="00C93660"/>
    <w:rsid w:val="00C93A44"/>
    <w:rsid w:val="00C941E5"/>
    <w:rsid w:val="00C94723"/>
    <w:rsid w:val="00C94EAC"/>
    <w:rsid w:val="00C9523F"/>
    <w:rsid w:val="00C9580C"/>
    <w:rsid w:val="00C9674C"/>
    <w:rsid w:val="00C97B25"/>
    <w:rsid w:val="00CA2A8E"/>
    <w:rsid w:val="00CA2CD4"/>
    <w:rsid w:val="00CA3010"/>
    <w:rsid w:val="00CA32A5"/>
    <w:rsid w:val="00CA3517"/>
    <w:rsid w:val="00CA4AB8"/>
    <w:rsid w:val="00CA4F0C"/>
    <w:rsid w:val="00CA4FA7"/>
    <w:rsid w:val="00CA5470"/>
    <w:rsid w:val="00CA62AC"/>
    <w:rsid w:val="00CA6E42"/>
    <w:rsid w:val="00CA6F93"/>
    <w:rsid w:val="00CA7892"/>
    <w:rsid w:val="00CA7EC1"/>
    <w:rsid w:val="00CB027B"/>
    <w:rsid w:val="00CB1041"/>
    <w:rsid w:val="00CB1370"/>
    <w:rsid w:val="00CB14DB"/>
    <w:rsid w:val="00CB1507"/>
    <w:rsid w:val="00CB1D18"/>
    <w:rsid w:val="00CB221C"/>
    <w:rsid w:val="00CB35C6"/>
    <w:rsid w:val="00CB3853"/>
    <w:rsid w:val="00CB4570"/>
    <w:rsid w:val="00CB4C39"/>
    <w:rsid w:val="00CB53B3"/>
    <w:rsid w:val="00CB57D0"/>
    <w:rsid w:val="00CB5F3B"/>
    <w:rsid w:val="00CB66D3"/>
    <w:rsid w:val="00CB6BB7"/>
    <w:rsid w:val="00CB77E0"/>
    <w:rsid w:val="00CB7CA9"/>
    <w:rsid w:val="00CB7F10"/>
    <w:rsid w:val="00CC066E"/>
    <w:rsid w:val="00CC0821"/>
    <w:rsid w:val="00CC085B"/>
    <w:rsid w:val="00CC0B0F"/>
    <w:rsid w:val="00CC0E97"/>
    <w:rsid w:val="00CC5953"/>
    <w:rsid w:val="00CC5D46"/>
    <w:rsid w:val="00CC6102"/>
    <w:rsid w:val="00CC7634"/>
    <w:rsid w:val="00CD0703"/>
    <w:rsid w:val="00CD0960"/>
    <w:rsid w:val="00CD153E"/>
    <w:rsid w:val="00CD2078"/>
    <w:rsid w:val="00CD374B"/>
    <w:rsid w:val="00CD3BB2"/>
    <w:rsid w:val="00CD430E"/>
    <w:rsid w:val="00CD462C"/>
    <w:rsid w:val="00CD4E43"/>
    <w:rsid w:val="00CD55D0"/>
    <w:rsid w:val="00CD5F0C"/>
    <w:rsid w:val="00CD679D"/>
    <w:rsid w:val="00CD7075"/>
    <w:rsid w:val="00CD72B2"/>
    <w:rsid w:val="00CD7FFD"/>
    <w:rsid w:val="00CE00FE"/>
    <w:rsid w:val="00CE05AB"/>
    <w:rsid w:val="00CE0947"/>
    <w:rsid w:val="00CE09D5"/>
    <w:rsid w:val="00CE0DBD"/>
    <w:rsid w:val="00CE0EEC"/>
    <w:rsid w:val="00CE28F4"/>
    <w:rsid w:val="00CE323C"/>
    <w:rsid w:val="00CE34B8"/>
    <w:rsid w:val="00CE36FE"/>
    <w:rsid w:val="00CE4638"/>
    <w:rsid w:val="00CE4AA6"/>
    <w:rsid w:val="00CE510A"/>
    <w:rsid w:val="00CE5566"/>
    <w:rsid w:val="00CE5C79"/>
    <w:rsid w:val="00CE5D61"/>
    <w:rsid w:val="00CF00C4"/>
    <w:rsid w:val="00CF0F36"/>
    <w:rsid w:val="00CF254B"/>
    <w:rsid w:val="00CF254D"/>
    <w:rsid w:val="00CF3364"/>
    <w:rsid w:val="00CF50BF"/>
    <w:rsid w:val="00CF51F4"/>
    <w:rsid w:val="00D005DB"/>
    <w:rsid w:val="00D00DD5"/>
    <w:rsid w:val="00D0133E"/>
    <w:rsid w:val="00D017D9"/>
    <w:rsid w:val="00D01CE1"/>
    <w:rsid w:val="00D01E2C"/>
    <w:rsid w:val="00D02C78"/>
    <w:rsid w:val="00D0329D"/>
    <w:rsid w:val="00D044A6"/>
    <w:rsid w:val="00D047AB"/>
    <w:rsid w:val="00D04849"/>
    <w:rsid w:val="00D04B40"/>
    <w:rsid w:val="00D052D7"/>
    <w:rsid w:val="00D0644F"/>
    <w:rsid w:val="00D071BC"/>
    <w:rsid w:val="00D073A3"/>
    <w:rsid w:val="00D076C5"/>
    <w:rsid w:val="00D07B88"/>
    <w:rsid w:val="00D108F2"/>
    <w:rsid w:val="00D1126F"/>
    <w:rsid w:val="00D12144"/>
    <w:rsid w:val="00D12D1B"/>
    <w:rsid w:val="00D13AD5"/>
    <w:rsid w:val="00D13FCE"/>
    <w:rsid w:val="00D14934"/>
    <w:rsid w:val="00D153A0"/>
    <w:rsid w:val="00D163E2"/>
    <w:rsid w:val="00D16A44"/>
    <w:rsid w:val="00D16DB4"/>
    <w:rsid w:val="00D16DE5"/>
    <w:rsid w:val="00D170A0"/>
    <w:rsid w:val="00D173AD"/>
    <w:rsid w:val="00D17B08"/>
    <w:rsid w:val="00D218F5"/>
    <w:rsid w:val="00D2206D"/>
    <w:rsid w:val="00D22846"/>
    <w:rsid w:val="00D22BB1"/>
    <w:rsid w:val="00D23804"/>
    <w:rsid w:val="00D2392F"/>
    <w:rsid w:val="00D240C1"/>
    <w:rsid w:val="00D2471C"/>
    <w:rsid w:val="00D26142"/>
    <w:rsid w:val="00D26E11"/>
    <w:rsid w:val="00D272AD"/>
    <w:rsid w:val="00D30589"/>
    <w:rsid w:val="00D30713"/>
    <w:rsid w:val="00D30867"/>
    <w:rsid w:val="00D31D95"/>
    <w:rsid w:val="00D31FF1"/>
    <w:rsid w:val="00D32048"/>
    <w:rsid w:val="00D338F5"/>
    <w:rsid w:val="00D3455F"/>
    <w:rsid w:val="00D34BD2"/>
    <w:rsid w:val="00D34C40"/>
    <w:rsid w:val="00D3559B"/>
    <w:rsid w:val="00D357A4"/>
    <w:rsid w:val="00D364D4"/>
    <w:rsid w:val="00D36D69"/>
    <w:rsid w:val="00D3778A"/>
    <w:rsid w:val="00D40046"/>
    <w:rsid w:val="00D403C4"/>
    <w:rsid w:val="00D40559"/>
    <w:rsid w:val="00D40702"/>
    <w:rsid w:val="00D42380"/>
    <w:rsid w:val="00D43678"/>
    <w:rsid w:val="00D438D1"/>
    <w:rsid w:val="00D43CBA"/>
    <w:rsid w:val="00D447D7"/>
    <w:rsid w:val="00D45334"/>
    <w:rsid w:val="00D45580"/>
    <w:rsid w:val="00D4597A"/>
    <w:rsid w:val="00D45BA1"/>
    <w:rsid w:val="00D45E33"/>
    <w:rsid w:val="00D47A2A"/>
    <w:rsid w:val="00D47DBE"/>
    <w:rsid w:val="00D50802"/>
    <w:rsid w:val="00D50D41"/>
    <w:rsid w:val="00D51D69"/>
    <w:rsid w:val="00D523B8"/>
    <w:rsid w:val="00D52A8D"/>
    <w:rsid w:val="00D52AEB"/>
    <w:rsid w:val="00D547DD"/>
    <w:rsid w:val="00D55F34"/>
    <w:rsid w:val="00D566E2"/>
    <w:rsid w:val="00D56C30"/>
    <w:rsid w:val="00D5724E"/>
    <w:rsid w:val="00D576C6"/>
    <w:rsid w:val="00D57B58"/>
    <w:rsid w:val="00D57B6A"/>
    <w:rsid w:val="00D600E9"/>
    <w:rsid w:val="00D61380"/>
    <w:rsid w:val="00D623D6"/>
    <w:rsid w:val="00D6323B"/>
    <w:rsid w:val="00D638A9"/>
    <w:rsid w:val="00D63B93"/>
    <w:rsid w:val="00D65685"/>
    <w:rsid w:val="00D656EA"/>
    <w:rsid w:val="00D65B49"/>
    <w:rsid w:val="00D663B1"/>
    <w:rsid w:val="00D667BA"/>
    <w:rsid w:val="00D66DA7"/>
    <w:rsid w:val="00D67A66"/>
    <w:rsid w:val="00D67FAA"/>
    <w:rsid w:val="00D70348"/>
    <w:rsid w:val="00D70C07"/>
    <w:rsid w:val="00D71E5F"/>
    <w:rsid w:val="00D722D7"/>
    <w:rsid w:val="00D733EB"/>
    <w:rsid w:val="00D7382D"/>
    <w:rsid w:val="00D73A11"/>
    <w:rsid w:val="00D7401D"/>
    <w:rsid w:val="00D74FD1"/>
    <w:rsid w:val="00D755D9"/>
    <w:rsid w:val="00D75B45"/>
    <w:rsid w:val="00D75E41"/>
    <w:rsid w:val="00D7694C"/>
    <w:rsid w:val="00D76BE7"/>
    <w:rsid w:val="00D76F11"/>
    <w:rsid w:val="00D773D0"/>
    <w:rsid w:val="00D77E4F"/>
    <w:rsid w:val="00D80214"/>
    <w:rsid w:val="00D8052E"/>
    <w:rsid w:val="00D8319B"/>
    <w:rsid w:val="00D834D7"/>
    <w:rsid w:val="00D83555"/>
    <w:rsid w:val="00D85AD2"/>
    <w:rsid w:val="00D85D20"/>
    <w:rsid w:val="00D874BF"/>
    <w:rsid w:val="00D9084B"/>
    <w:rsid w:val="00D90919"/>
    <w:rsid w:val="00D91201"/>
    <w:rsid w:val="00D913DE"/>
    <w:rsid w:val="00D91B31"/>
    <w:rsid w:val="00D92337"/>
    <w:rsid w:val="00D928DB"/>
    <w:rsid w:val="00D92DA1"/>
    <w:rsid w:val="00D93E77"/>
    <w:rsid w:val="00D94092"/>
    <w:rsid w:val="00D94805"/>
    <w:rsid w:val="00D94E6F"/>
    <w:rsid w:val="00D95445"/>
    <w:rsid w:val="00D95A78"/>
    <w:rsid w:val="00D9669E"/>
    <w:rsid w:val="00D969E2"/>
    <w:rsid w:val="00D97119"/>
    <w:rsid w:val="00D975B5"/>
    <w:rsid w:val="00D975CD"/>
    <w:rsid w:val="00DA0F81"/>
    <w:rsid w:val="00DA1380"/>
    <w:rsid w:val="00DA2356"/>
    <w:rsid w:val="00DA2621"/>
    <w:rsid w:val="00DA2C0B"/>
    <w:rsid w:val="00DA3772"/>
    <w:rsid w:val="00DA397A"/>
    <w:rsid w:val="00DA3B98"/>
    <w:rsid w:val="00DA424C"/>
    <w:rsid w:val="00DA666F"/>
    <w:rsid w:val="00DA75F4"/>
    <w:rsid w:val="00DA7AD5"/>
    <w:rsid w:val="00DB02FF"/>
    <w:rsid w:val="00DB083F"/>
    <w:rsid w:val="00DB0D11"/>
    <w:rsid w:val="00DB233D"/>
    <w:rsid w:val="00DB39D0"/>
    <w:rsid w:val="00DB3A62"/>
    <w:rsid w:val="00DB69E3"/>
    <w:rsid w:val="00DB70B1"/>
    <w:rsid w:val="00DB74E4"/>
    <w:rsid w:val="00DB77AC"/>
    <w:rsid w:val="00DB7E6B"/>
    <w:rsid w:val="00DC0346"/>
    <w:rsid w:val="00DC0D25"/>
    <w:rsid w:val="00DC14B1"/>
    <w:rsid w:val="00DC2A84"/>
    <w:rsid w:val="00DC2D9F"/>
    <w:rsid w:val="00DC2E29"/>
    <w:rsid w:val="00DC3D24"/>
    <w:rsid w:val="00DC3FA8"/>
    <w:rsid w:val="00DC4042"/>
    <w:rsid w:val="00DC4A74"/>
    <w:rsid w:val="00DC4B32"/>
    <w:rsid w:val="00DC4CB4"/>
    <w:rsid w:val="00DC5086"/>
    <w:rsid w:val="00DC6BA4"/>
    <w:rsid w:val="00DC6EDB"/>
    <w:rsid w:val="00DC7041"/>
    <w:rsid w:val="00DC743F"/>
    <w:rsid w:val="00DC7590"/>
    <w:rsid w:val="00DD04AD"/>
    <w:rsid w:val="00DD04FA"/>
    <w:rsid w:val="00DD0553"/>
    <w:rsid w:val="00DD14F3"/>
    <w:rsid w:val="00DD1AD5"/>
    <w:rsid w:val="00DD1ADF"/>
    <w:rsid w:val="00DD3978"/>
    <w:rsid w:val="00DD3C46"/>
    <w:rsid w:val="00DD487B"/>
    <w:rsid w:val="00DD4BFD"/>
    <w:rsid w:val="00DD5187"/>
    <w:rsid w:val="00DD5FEC"/>
    <w:rsid w:val="00DD77C5"/>
    <w:rsid w:val="00DE0510"/>
    <w:rsid w:val="00DE05D3"/>
    <w:rsid w:val="00DE0846"/>
    <w:rsid w:val="00DE0965"/>
    <w:rsid w:val="00DE2CAE"/>
    <w:rsid w:val="00DE3996"/>
    <w:rsid w:val="00DE484E"/>
    <w:rsid w:val="00DE4AF7"/>
    <w:rsid w:val="00DE6B5D"/>
    <w:rsid w:val="00DE6CB3"/>
    <w:rsid w:val="00DE7869"/>
    <w:rsid w:val="00DE7A41"/>
    <w:rsid w:val="00DE7F2C"/>
    <w:rsid w:val="00DF0214"/>
    <w:rsid w:val="00DF06A7"/>
    <w:rsid w:val="00DF1EB8"/>
    <w:rsid w:val="00DF2371"/>
    <w:rsid w:val="00DF3AF0"/>
    <w:rsid w:val="00DF472E"/>
    <w:rsid w:val="00DF49AD"/>
    <w:rsid w:val="00DF5110"/>
    <w:rsid w:val="00DF5C75"/>
    <w:rsid w:val="00DF6747"/>
    <w:rsid w:val="00DF7109"/>
    <w:rsid w:val="00DF7470"/>
    <w:rsid w:val="00DF7F7A"/>
    <w:rsid w:val="00E00BB0"/>
    <w:rsid w:val="00E00D67"/>
    <w:rsid w:val="00E01689"/>
    <w:rsid w:val="00E017ED"/>
    <w:rsid w:val="00E020D0"/>
    <w:rsid w:val="00E03842"/>
    <w:rsid w:val="00E03AB6"/>
    <w:rsid w:val="00E04869"/>
    <w:rsid w:val="00E050CA"/>
    <w:rsid w:val="00E05D8D"/>
    <w:rsid w:val="00E061E6"/>
    <w:rsid w:val="00E07A3B"/>
    <w:rsid w:val="00E07BF1"/>
    <w:rsid w:val="00E10388"/>
    <w:rsid w:val="00E118BF"/>
    <w:rsid w:val="00E13E03"/>
    <w:rsid w:val="00E13EC3"/>
    <w:rsid w:val="00E16685"/>
    <w:rsid w:val="00E172A8"/>
    <w:rsid w:val="00E1757B"/>
    <w:rsid w:val="00E17F66"/>
    <w:rsid w:val="00E20717"/>
    <w:rsid w:val="00E212A3"/>
    <w:rsid w:val="00E21E8C"/>
    <w:rsid w:val="00E22CE5"/>
    <w:rsid w:val="00E2376C"/>
    <w:rsid w:val="00E23C50"/>
    <w:rsid w:val="00E23F37"/>
    <w:rsid w:val="00E24990"/>
    <w:rsid w:val="00E24A3D"/>
    <w:rsid w:val="00E25AAD"/>
    <w:rsid w:val="00E26F7A"/>
    <w:rsid w:val="00E27FB2"/>
    <w:rsid w:val="00E30A43"/>
    <w:rsid w:val="00E30DFD"/>
    <w:rsid w:val="00E3180C"/>
    <w:rsid w:val="00E318B5"/>
    <w:rsid w:val="00E31D60"/>
    <w:rsid w:val="00E31F4F"/>
    <w:rsid w:val="00E34285"/>
    <w:rsid w:val="00E3556C"/>
    <w:rsid w:val="00E3559C"/>
    <w:rsid w:val="00E357AD"/>
    <w:rsid w:val="00E35BBA"/>
    <w:rsid w:val="00E35C15"/>
    <w:rsid w:val="00E36B12"/>
    <w:rsid w:val="00E3773E"/>
    <w:rsid w:val="00E37CA8"/>
    <w:rsid w:val="00E40083"/>
    <w:rsid w:val="00E408F2"/>
    <w:rsid w:val="00E411C1"/>
    <w:rsid w:val="00E4171E"/>
    <w:rsid w:val="00E418EB"/>
    <w:rsid w:val="00E418F7"/>
    <w:rsid w:val="00E4194D"/>
    <w:rsid w:val="00E41C5B"/>
    <w:rsid w:val="00E4210E"/>
    <w:rsid w:val="00E4242B"/>
    <w:rsid w:val="00E43738"/>
    <w:rsid w:val="00E43F92"/>
    <w:rsid w:val="00E445C4"/>
    <w:rsid w:val="00E449CF"/>
    <w:rsid w:val="00E44AA9"/>
    <w:rsid w:val="00E44CDD"/>
    <w:rsid w:val="00E44D89"/>
    <w:rsid w:val="00E45B39"/>
    <w:rsid w:val="00E46239"/>
    <w:rsid w:val="00E46CD4"/>
    <w:rsid w:val="00E47A27"/>
    <w:rsid w:val="00E47C57"/>
    <w:rsid w:val="00E50015"/>
    <w:rsid w:val="00E50285"/>
    <w:rsid w:val="00E50575"/>
    <w:rsid w:val="00E5162C"/>
    <w:rsid w:val="00E51F49"/>
    <w:rsid w:val="00E52327"/>
    <w:rsid w:val="00E523FB"/>
    <w:rsid w:val="00E52643"/>
    <w:rsid w:val="00E528BA"/>
    <w:rsid w:val="00E52A0C"/>
    <w:rsid w:val="00E532E0"/>
    <w:rsid w:val="00E54150"/>
    <w:rsid w:val="00E542B6"/>
    <w:rsid w:val="00E5472A"/>
    <w:rsid w:val="00E55AE6"/>
    <w:rsid w:val="00E55B7B"/>
    <w:rsid w:val="00E55F26"/>
    <w:rsid w:val="00E560CA"/>
    <w:rsid w:val="00E56FBB"/>
    <w:rsid w:val="00E5748B"/>
    <w:rsid w:val="00E577C8"/>
    <w:rsid w:val="00E57B22"/>
    <w:rsid w:val="00E60FC0"/>
    <w:rsid w:val="00E61454"/>
    <w:rsid w:val="00E62805"/>
    <w:rsid w:val="00E63022"/>
    <w:rsid w:val="00E64444"/>
    <w:rsid w:val="00E6475B"/>
    <w:rsid w:val="00E64B17"/>
    <w:rsid w:val="00E64C29"/>
    <w:rsid w:val="00E6590B"/>
    <w:rsid w:val="00E66820"/>
    <w:rsid w:val="00E66840"/>
    <w:rsid w:val="00E67453"/>
    <w:rsid w:val="00E6751D"/>
    <w:rsid w:val="00E67C8E"/>
    <w:rsid w:val="00E709F4"/>
    <w:rsid w:val="00E70F23"/>
    <w:rsid w:val="00E710AA"/>
    <w:rsid w:val="00E71181"/>
    <w:rsid w:val="00E71300"/>
    <w:rsid w:val="00E718F2"/>
    <w:rsid w:val="00E71FD9"/>
    <w:rsid w:val="00E72123"/>
    <w:rsid w:val="00E721DD"/>
    <w:rsid w:val="00E7225D"/>
    <w:rsid w:val="00E72B50"/>
    <w:rsid w:val="00E73AB5"/>
    <w:rsid w:val="00E73CD3"/>
    <w:rsid w:val="00E73D7E"/>
    <w:rsid w:val="00E73DB4"/>
    <w:rsid w:val="00E73F78"/>
    <w:rsid w:val="00E741E7"/>
    <w:rsid w:val="00E74A55"/>
    <w:rsid w:val="00E74DE4"/>
    <w:rsid w:val="00E7528F"/>
    <w:rsid w:val="00E7581D"/>
    <w:rsid w:val="00E75F15"/>
    <w:rsid w:val="00E760DC"/>
    <w:rsid w:val="00E767CB"/>
    <w:rsid w:val="00E80C99"/>
    <w:rsid w:val="00E81CCF"/>
    <w:rsid w:val="00E81CE6"/>
    <w:rsid w:val="00E8235E"/>
    <w:rsid w:val="00E82A61"/>
    <w:rsid w:val="00E82E7F"/>
    <w:rsid w:val="00E83684"/>
    <w:rsid w:val="00E8394D"/>
    <w:rsid w:val="00E84518"/>
    <w:rsid w:val="00E84CE8"/>
    <w:rsid w:val="00E84DC2"/>
    <w:rsid w:val="00E84E23"/>
    <w:rsid w:val="00E85449"/>
    <w:rsid w:val="00E85D72"/>
    <w:rsid w:val="00E8689D"/>
    <w:rsid w:val="00E871AE"/>
    <w:rsid w:val="00E8785F"/>
    <w:rsid w:val="00E87E65"/>
    <w:rsid w:val="00E9023F"/>
    <w:rsid w:val="00E90240"/>
    <w:rsid w:val="00E908B5"/>
    <w:rsid w:val="00E90913"/>
    <w:rsid w:val="00E90E25"/>
    <w:rsid w:val="00E92C3D"/>
    <w:rsid w:val="00E930FA"/>
    <w:rsid w:val="00E933F0"/>
    <w:rsid w:val="00E934F7"/>
    <w:rsid w:val="00E947EB"/>
    <w:rsid w:val="00E9498C"/>
    <w:rsid w:val="00E95175"/>
    <w:rsid w:val="00E953CF"/>
    <w:rsid w:val="00E95FDA"/>
    <w:rsid w:val="00E9659C"/>
    <w:rsid w:val="00E96F3D"/>
    <w:rsid w:val="00E97F21"/>
    <w:rsid w:val="00EA010E"/>
    <w:rsid w:val="00EA127D"/>
    <w:rsid w:val="00EA1C76"/>
    <w:rsid w:val="00EA1CB5"/>
    <w:rsid w:val="00EA2D16"/>
    <w:rsid w:val="00EA3830"/>
    <w:rsid w:val="00EA428F"/>
    <w:rsid w:val="00EA4DAC"/>
    <w:rsid w:val="00EA4E5D"/>
    <w:rsid w:val="00EA5677"/>
    <w:rsid w:val="00EA5F0D"/>
    <w:rsid w:val="00EA72BD"/>
    <w:rsid w:val="00EA7999"/>
    <w:rsid w:val="00EA7C64"/>
    <w:rsid w:val="00EB1151"/>
    <w:rsid w:val="00EB115C"/>
    <w:rsid w:val="00EB1592"/>
    <w:rsid w:val="00EB1FBC"/>
    <w:rsid w:val="00EB344C"/>
    <w:rsid w:val="00EB35CE"/>
    <w:rsid w:val="00EB3819"/>
    <w:rsid w:val="00EB39DF"/>
    <w:rsid w:val="00EB3C80"/>
    <w:rsid w:val="00EB43B3"/>
    <w:rsid w:val="00EB4674"/>
    <w:rsid w:val="00EB4749"/>
    <w:rsid w:val="00EB4B79"/>
    <w:rsid w:val="00EB5C2C"/>
    <w:rsid w:val="00EB5C7B"/>
    <w:rsid w:val="00EB6700"/>
    <w:rsid w:val="00EB6736"/>
    <w:rsid w:val="00EB69B0"/>
    <w:rsid w:val="00EC09FF"/>
    <w:rsid w:val="00EC0D5B"/>
    <w:rsid w:val="00EC2536"/>
    <w:rsid w:val="00EC2960"/>
    <w:rsid w:val="00EC2FD7"/>
    <w:rsid w:val="00EC3583"/>
    <w:rsid w:val="00EC38AE"/>
    <w:rsid w:val="00EC3F5A"/>
    <w:rsid w:val="00EC44B9"/>
    <w:rsid w:val="00EC4DA1"/>
    <w:rsid w:val="00EC55D5"/>
    <w:rsid w:val="00EC6C9F"/>
    <w:rsid w:val="00EC6EE9"/>
    <w:rsid w:val="00EC701B"/>
    <w:rsid w:val="00EC77DE"/>
    <w:rsid w:val="00ED1016"/>
    <w:rsid w:val="00ED38AD"/>
    <w:rsid w:val="00ED428B"/>
    <w:rsid w:val="00ED4C9E"/>
    <w:rsid w:val="00ED579D"/>
    <w:rsid w:val="00ED5C9A"/>
    <w:rsid w:val="00ED656D"/>
    <w:rsid w:val="00ED6EE8"/>
    <w:rsid w:val="00ED7F00"/>
    <w:rsid w:val="00EE00EF"/>
    <w:rsid w:val="00EE08F3"/>
    <w:rsid w:val="00EE1881"/>
    <w:rsid w:val="00EE1CC7"/>
    <w:rsid w:val="00EE23E3"/>
    <w:rsid w:val="00EE27F4"/>
    <w:rsid w:val="00EE2B07"/>
    <w:rsid w:val="00EE5288"/>
    <w:rsid w:val="00EE55D1"/>
    <w:rsid w:val="00EE5B7A"/>
    <w:rsid w:val="00EE5DED"/>
    <w:rsid w:val="00EE6099"/>
    <w:rsid w:val="00EE7551"/>
    <w:rsid w:val="00EE7AA6"/>
    <w:rsid w:val="00EE7D63"/>
    <w:rsid w:val="00EF0A54"/>
    <w:rsid w:val="00EF0E7A"/>
    <w:rsid w:val="00EF1805"/>
    <w:rsid w:val="00EF2AC5"/>
    <w:rsid w:val="00EF2D04"/>
    <w:rsid w:val="00EF2F55"/>
    <w:rsid w:val="00EF41EB"/>
    <w:rsid w:val="00EF468C"/>
    <w:rsid w:val="00EF50ED"/>
    <w:rsid w:val="00EF6554"/>
    <w:rsid w:val="00EF6D68"/>
    <w:rsid w:val="00EF72E6"/>
    <w:rsid w:val="00EF766A"/>
    <w:rsid w:val="00EF791D"/>
    <w:rsid w:val="00EF7D4E"/>
    <w:rsid w:val="00EF7D74"/>
    <w:rsid w:val="00F00316"/>
    <w:rsid w:val="00F0086F"/>
    <w:rsid w:val="00F00986"/>
    <w:rsid w:val="00F00C0D"/>
    <w:rsid w:val="00F00C82"/>
    <w:rsid w:val="00F013C2"/>
    <w:rsid w:val="00F027EB"/>
    <w:rsid w:val="00F02AE9"/>
    <w:rsid w:val="00F02ECA"/>
    <w:rsid w:val="00F034F3"/>
    <w:rsid w:val="00F044AD"/>
    <w:rsid w:val="00F047E6"/>
    <w:rsid w:val="00F05118"/>
    <w:rsid w:val="00F05571"/>
    <w:rsid w:val="00F0719A"/>
    <w:rsid w:val="00F0721E"/>
    <w:rsid w:val="00F07628"/>
    <w:rsid w:val="00F07AD5"/>
    <w:rsid w:val="00F07D7C"/>
    <w:rsid w:val="00F07F68"/>
    <w:rsid w:val="00F10E55"/>
    <w:rsid w:val="00F11456"/>
    <w:rsid w:val="00F11620"/>
    <w:rsid w:val="00F134D3"/>
    <w:rsid w:val="00F13623"/>
    <w:rsid w:val="00F13C3F"/>
    <w:rsid w:val="00F13D3E"/>
    <w:rsid w:val="00F14903"/>
    <w:rsid w:val="00F154B2"/>
    <w:rsid w:val="00F155BA"/>
    <w:rsid w:val="00F171A8"/>
    <w:rsid w:val="00F20679"/>
    <w:rsid w:val="00F2082A"/>
    <w:rsid w:val="00F2096A"/>
    <w:rsid w:val="00F20F01"/>
    <w:rsid w:val="00F214DB"/>
    <w:rsid w:val="00F22122"/>
    <w:rsid w:val="00F235DD"/>
    <w:rsid w:val="00F242C6"/>
    <w:rsid w:val="00F267B4"/>
    <w:rsid w:val="00F26F8D"/>
    <w:rsid w:val="00F2729D"/>
    <w:rsid w:val="00F27A5F"/>
    <w:rsid w:val="00F27DC1"/>
    <w:rsid w:val="00F30169"/>
    <w:rsid w:val="00F30268"/>
    <w:rsid w:val="00F30ED0"/>
    <w:rsid w:val="00F30F2D"/>
    <w:rsid w:val="00F30FB2"/>
    <w:rsid w:val="00F32115"/>
    <w:rsid w:val="00F32195"/>
    <w:rsid w:val="00F32ACD"/>
    <w:rsid w:val="00F32E47"/>
    <w:rsid w:val="00F33592"/>
    <w:rsid w:val="00F3378A"/>
    <w:rsid w:val="00F33EBF"/>
    <w:rsid w:val="00F349FD"/>
    <w:rsid w:val="00F3554F"/>
    <w:rsid w:val="00F40554"/>
    <w:rsid w:val="00F40574"/>
    <w:rsid w:val="00F40B24"/>
    <w:rsid w:val="00F40D51"/>
    <w:rsid w:val="00F414E8"/>
    <w:rsid w:val="00F42560"/>
    <w:rsid w:val="00F428ED"/>
    <w:rsid w:val="00F432E5"/>
    <w:rsid w:val="00F43BCF"/>
    <w:rsid w:val="00F43DC1"/>
    <w:rsid w:val="00F4471E"/>
    <w:rsid w:val="00F452BB"/>
    <w:rsid w:val="00F455AD"/>
    <w:rsid w:val="00F4606B"/>
    <w:rsid w:val="00F4708B"/>
    <w:rsid w:val="00F47FDE"/>
    <w:rsid w:val="00F504E5"/>
    <w:rsid w:val="00F5053B"/>
    <w:rsid w:val="00F520EB"/>
    <w:rsid w:val="00F52D03"/>
    <w:rsid w:val="00F52E22"/>
    <w:rsid w:val="00F53373"/>
    <w:rsid w:val="00F5524F"/>
    <w:rsid w:val="00F56292"/>
    <w:rsid w:val="00F57104"/>
    <w:rsid w:val="00F572D1"/>
    <w:rsid w:val="00F57F6A"/>
    <w:rsid w:val="00F6019F"/>
    <w:rsid w:val="00F60CB9"/>
    <w:rsid w:val="00F60EBD"/>
    <w:rsid w:val="00F62F3E"/>
    <w:rsid w:val="00F632B3"/>
    <w:rsid w:val="00F63FAD"/>
    <w:rsid w:val="00F658D4"/>
    <w:rsid w:val="00F66A7E"/>
    <w:rsid w:val="00F6709E"/>
    <w:rsid w:val="00F672BA"/>
    <w:rsid w:val="00F672FE"/>
    <w:rsid w:val="00F6761B"/>
    <w:rsid w:val="00F67D72"/>
    <w:rsid w:val="00F70AD2"/>
    <w:rsid w:val="00F714DB"/>
    <w:rsid w:val="00F71C65"/>
    <w:rsid w:val="00F72D21"/>
    <w:rsid w:val="00F72D7A"/>
    <w:rsid w:val="00F72EF1"/>
    <w:rsid w:val="00F7341B"/>
    <w:rsid w:val="00F738D2"/>
    <w:rsid w:val="00F74905"/>
    <w:rsid w:val="00F74EA7"/>
    <w:rsid w:val="00F756F1"/>
    <w:rsid w:val="00F767B9"/>
    <w:rsid w:val="00F7726A"/>
    <w:rsid w:val="00F77748"/>
    <w:rsid w:val="00F77863"/>
    <w:rsid w:val="00F8045F"/>
    <w:rsid w:val="00F80DFD"/>
    <w:rsid w:val="00F817BF"/>
    <w:rsid w:val="00F824CD"/>
    <w:rsid w:val="00F82B1A"/>
    <w:rsid w:val="00F836C5"/>
    <w:rsid w:val="00F83A4C"/>
    <w:rsid w:val="00F84999"/>
    <w:rsid w:val="00F85313"/>
    <w:rsid w:val="00F87858"/>
    <w:rsid w:val="00F87C76"/>
    <w:rsid w:val="00F90890"/>
    <w:rsid w:val="00F90EFB"/>
    <w:rsid w:val="00F93477"/>
    <w:rsid w:val="00F938B1"/>
    <w:rsid w:val="00F94164"/>
    <w:rsid w:val="00F947A9"/>
    <w:rsid w:val="00F94AD0"/>
    <w:rsid w:val="00F94F9B"/>
    <w:rsid w:val="00F952AE"/>
    <w:rsid w:val="00F9629A"/>
    <w:rsid w:val="00F96347"/>
    <w:rsid w:val="00F9707F"/>
    <w:rsid w:val="00F9722F"/>
    <w:rsid w:val="00F97B8C"/>
    <w:rsid w:val="00FA0A10"/>
    <w:rsid w:val="00FA3959"/>
    <w:rsid w:val="00FA3CF7"/>
    <w:rsid w:val="00FA4A90"/>
    <w:rsid w:val="00FA4BE7"/>
    <w:rsid w:val="00FA57F9"/>
    <w:rsid w:val="00FA5D3B"/>
    <w:rsid w:val="00FA6505"/>
    <w:rsid w:val="00FA724D"/>
    <w:rsid w:val="00FA7D40"/>
    <w:rsid w:val="00FB0478"/>
    <w:rsid w:val="00FB0622"/>
    <w:rsid w:val="00FB1577"/>
    <w:rsid w:val="00FB1EB3"/>
    <w:rsid w:val="00FB20A2"/>
    <w:rsid w:val="00FB223A"/>
    <w:rsid w:val="00FB2D99"/>
    <w:rsid w:val="00FB34F3"/>
    <w:rsid w:val="00FB3746"/>
    <w:rsid w:val="00FB4155"/>
    <w:rsid w:val="00FB43B5"/>
    <w:rsid w:val="00FB43ED"/>
    <w:rsid w:val="00FB515D"/>
    <w:rsid w:val="00FB54F1"/>
    <w:rsid w:val="00FB73BD"/>
    <w:rsid w:val="00FB73FF"/>
    <w:rsid w:val="00FB7823"/>
    <w:rsid w:val="00FC0647"/>
    <w:rsid w:val="00FC0DAC"/>
    <w:rsid w:val="00FC1A14"/>
    <w:rsid w:val="00FC20A3"/>
    <w:rsid w:val="00FC2149"/>
    <w:rsid w:val="00FC26B1"/>
    <w:rsid w:val="00FC2D79"/>
    <w:rsid w:val="00FC2DDB"/>
    <w:rsid w:val="00FC5D9F"/>
    <w:rsid w:val="00FC6331"/>
    <w:rsid w:val="00FC7180"/>
    <w:rsid w:val="00FC7203"/>
    <w:rsid w:val="00FC7379"/>
    <w:rsid w:val="00FD0DB9"/>
    <w:rsid w:val="00FD27D9"/>
    <w:rsid w:val="00FD30C1"/>
    <w:rsid w:val="00FD3124"/>
    <w:rsid w:val="00FD37DE"/>
    <w:rsid w:val="00FD47AD"/>
    <w:rsid w:val="00FD47EE"/>
    <w:rsid w:val="00FD4A41"/>
    <w:rsid w:val="00FD4AF1"/>
    <w:rsid w:val="00FD5338"/>
    <w:rsid w:val="00FD6176"/>
    <w:rsid w:val="00FD70B8"/>
    <w:rsid w:val="00FD717B"/>
    <w:rsid w:val="00FE06F8"/>
    <w:rsid w:val="00FE0CB9"/>
    <w:rsid w:val="00FE11AD"/>
    <w:rsid w:val="00FE1CA7"/>
    <w:rsid w:val="00FE2CA3"/>
    <w:rsid w:val="00FE2CDB"/>
    <w:rsid w:val="00FE2EE2"/>
    <w:rsid w:val="00FE46CF"/>
    <w:rsid w:val="00FE5DA3"/>
    <w:rsid w:val="00FE6B8A"/>
    <w:rsid w:val="00FE6E60"/>
    <w:rsid w:val="00FE72B0"/>
    <w:rsid w:val="00FF058B"/>
    <w:rsid w:val="00FF0820"/>
    <w:rsid w:val="00FF0AF9"/>
    <w:rsid w:val="00FF1213"/>
    <w:rsid w:val="00FF2DF6"/>
    <w:rsid w:val="00FF30A0"/>
    <w:rsid w:val="00FF38F6"/>
    <w:rsid w:val="00FF40EE"/>
    <w:rsid w:val="00FF4A58"/>
    <w:rsid w:val="00FF4BF7"/>
    <w:rsid w:val="00FF5773"/>
    <w:rsid w:val="00FF6C3F"/>
    <w:rsid w:val="00FF6D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6625"/>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6" w:unhideWhenUsed="0" w:qFormat="1"/>
    <w:lsdException w:name="heading 2" w:uiPriority="7" w:qFormat="1"/>
    <w:lsdException w:name="heading 3" w:uiPriority="8"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119"/>
  </w:style>
  <w:style w:type="paragraph" w:styleId="Heading1">
    <w:name w:val="heading 1"/>
    <w:basedOn w:val="Normal"/>
    <w:next w:val="Normal"/>
    <w:link w:val="Heading1Char"/>
    <w:autoRedefine/>
    <w:uiPriority w:val="6"/>
    <w:qFormat/>
    <w:rsid w:val="00E84CE8"/>
    <w:pPr>
      <w:keepNext/>
      <w:keepLines/>
      <w:numPr>
        <w:numId w:val="1"/>
      </w:numPr>
      <w:spacing w:before="480"/>
      <w:outlineLvl w:val="0"/>
    </w:pPr>
    <w:rPr>
      <w:rFonts w:ascii="Tahoma" w:eastAsiaTheme="majorEastAsia" w:hAnsi="Tahoma" w:cs="Tahoma"/>
      <w:b/>
      <w:bCs/>
      <w:sz w:val="32"/>
      <w:szCs w:val="32"/>
      <w:lang w:val="en-AU"/>
    </w:rPr>
  </w:style>
  <w:style w:type="paragraph" w:styleId="Heading2">
    <w:name w:val="heading 2"/>
    <w:basedOn w:val="Normal"/>
    <w:next w:val="Normal"/>
    <w:link w:val="Heading2Char"/>
    <w:uiPriority w:val="7"/>
    <w:unhideWhenUsed/>
    <w:qFormat/>
    <w:rsid w:val="00E84CE8"/>
    <w:pPr>
      <w:keepNext/>
      <w:keepLines/>
      <w:numPr>
        <w:ilvl w:val="1"/>
        <w:numId w:val="1"/>
      </w:numPr>
      <w:spacing w:before="280"/>
      <w:outlineLvl w:val="1"/>
    </w:pPr>
    <w:rPr>
      <w:rFonts w:ascii="Tahoma" w:eastAsiaTheme="majorEastAsia" w:hAnsi="Tahoma" w:cs="Tahoma"/>
      <w:b/>
      <w:bCs/>
      <w:sz w:val="26"/>
      <w:szCs w:val="26"/>
      <w:lang w:val="en-AU"/>
    </w:rPr>
  </w:style>
  <w:style w:type="paragraph" w:styleId="Heading3">
    <w:name w:val="heading 3"/>
    <w:basedOn w:val="Normal"/>
    <w:next w:val="Normal"/>
    <w:link w:val="Heading3Char"/>
    <w:uiPriority w:val="8"/>
    <w:unhideWhenUsed/>
    <w:qFormat/>
    <w:rsid w:val="00D45580"/>
    <w:pPr>
      <w:keepNext/>
      <w:keepLines/>
      <w:numPr>
        <w:ilvl w:val="2"/>
        <w:numId w:val="1"/>
      </w:numPr>
      <w:spacing w:before="280"/>
      <w:outlineLvl w:val="2"/>
    </w:pPr>
    <w:rPr>
      <w:rFonts w:ascii="Arial" w:eastAsiaTheme="majorEastAsia" w:hAnsi="Arial" w:cs="Arial"/>
      <w:b/>
      <w:bCs/>
      <w:color w:val="4F81BD" w:themeColor="accent1"/>
      <w:lang w:val="en-AU"/>
    </w:rPr>
  </w:style>
  <w:style w:type="paragraph" w:styleId="Heading4">
    <w:name w:val="heading 4"/>
    <w:basedOn w:val="Normal"/>
    <w:next w:val="Normal"/>
    <w:link w:val="Heading4Char"/>
    <w:uiPriority w:val="9"/>
    <w:unhideWhenUsed/>
    <w:qFormat/>
    <w:rsid w:val="00371DF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71DF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71DF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71DF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71DF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71DF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6"/>
    <w:rsid w:val="00E84CE8"/>
    <w:rPr>
      <w:rFonts w:ascii="Tahoma" w:eastAsiaTheme="majorEastAsia" w:hAnsi="Tahoma" w:cs="Tahoma"/>
      <w:b/>
      <w:bCs/>
      <w:sz w:val="32"/>
      <w:szCs w:val="32"/>
      <w:lang w:val="en-AU"/>
    </w:rPr>
  </w:style>
  <w:style w:type="character" w:customStyle="1" w:styleId="Heading2Char">
    <w:name w:val="Heading 2 Char"/>
    <w:basedOn w:val="DefaultParagraphFont"/>
    <w:link w:val="Heading2"/>
    <w:uiPriority w:val="7"/>
    <w:rsid w:val="00E84CE8"/>
    <w:rPr>
      <w:rFonts w:ascii="Tahoma" w:eastAsiaTheme="majorEastAsia" w:hAnsi="Tahoma" w:cs="Tahoma"/>
      <w:b/>
      <w:bCs/>
      <w:sz w:val="26"/>
      <w:szCs w:val="26"/>
      <w:lang w:val="en-AU"/>
    </w:rPr>
  </w:style>
  <w:style w:type="character" w:customStyle="1" w:styleId="Heading3Char">
    <w:name w:val="Heading 3 Char"/>
    <w:basedOn w:val="DefaultParagraphFont"/>
    <w:link w:val="Heading3"/>
    <w:uiPriority w:val="8"/>
    <w:rsid w:val="00D45580"/>
    <w:rPr>
      <w:rFonts w:ascii="Arial" w:eastAsiaTheme="majorEastAsia" w:hAnsi="Arial" w:cs="Arial"/>
      <w:b/>
      <w:bCs/>
      <w:color w:val="4F81BD" w:themeColor="accent1"/>
      <w:lang w:val="en-AU"/>
    </w:rPr>
  </w:style>
  <w:style w:type="character" w:customStyle="1" w:styleId="Heading4Char">
    <w:name w:val="Heading 4 Char"/>
    <w:basedOn w:val="DefaultParagraphFont"/>
    <w:link w:val="Heading4"/>
    <w:uiPriority w:val="9"/>
    <w:rsid w:val="00371DF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71D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71DF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71D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71D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71DFB"/>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371DFB"/>
    <w:pPr>
      <w:tabs>
        <w:tab w:val="center" w:pos="4320"/>
        <w:tab w:val="right" w:pos="8640"/>
      </w:tabs>
    </w:pPr>
  </w:style>
  <w:style w:type="character" w:customStyle="1" w:styleId="HeaderChar">
    <w:name w:val="Header Char"/>
    <w:basedOn w:val="DefaultParagraphFont"/>
    <w:link w:val="Header"/>
    <w:uiPriority w:val="99"/>
    <w:rsid w:val="00371DFB"/>
  </w:style>
  <w:style w:type="paragraph" w:styleId="Footer">
    <w:name w:val="footer"/>
    <w:basedOn w:val="Normal"/>
    <w:link w:val="FooterChar"/>
    <w:uiPriority w:val="99"/>
    <w:unhideWhenUsed/>
    <w:rsid w:val="00371DFB"/>
    <w:pPr>
      <w:tabs>
        <w:tab w:val="center" w:pos="4320"/>
        <w:tab w:val="right" w:pos="8640"/>
      </w:tabs>
    </w:pPr>
  </w:style>
  <w:style w:type="character" w:customStyle="1" w:styleId="FooterChar">
    <w:name w:val="Footer Char"/>
    <w:basedOn w:val="DefaultParagraphFont"/>
    <w:link w:val="Footer"/>
    <w:uiPriority w:val="99"/>
    <w:rsid w:val="00371DFB"/>
  </w:style>
  <w:style w:type="character" w:styleId="PageNumber">
    <w:name w:val="page number"/>
    <w:basedOn w:val="DefaultParagraphFont"/>
    <w:uiPriority w:val="99"/>
    <w:semiHidden/>
    <w:unhideWhenUsed/>
    <w:rsid w:val="00371DFB"/>
  </w:style>
  <w:style w:type="paragraph" w:styleId="ListParagraph">
    <w:name w:val="List Paragraph"/>
    <w:basedOn w:val="Normal"/>
    <w:autoRedefine/>
    <w:uiPriority w:val="34"/>
    <w:qFormat/>
    <w:rsid w:val="00C3402D"/>
    <w:pPr>
      <w:numPr>
        <w:numId w:val="53"/>
      </w:numPr>
      <w:spacing w:before="60"/>
    </w:pPr>
    <w:rPr>
      <w:rFonts w:ascii="Helvetica" w:hAnsi="Helvetica"/>
      <w:sz w:val="22"/>
      <w:szCs w:val="22"/>
    </w:rPr>
  </w:style>
  <w:style w:type="paragraph" w:styleId="FootnoteText">
    <w:name w:val="footnote text"/>
    <w:basedOn w:val="Normal"/>
    <w:link w:val="FootnoteTextChar"/>
    <w:unhideWhenUsed/>
    <w:rsid w:val="00F87C76"/>
  </w:style>
  <w:style w:type="character" w:customStyle="1" w:styleId="FootnoteTextChar">
    <w:name w:val="Footnote Text Char"/>
    <w:basedOn w:val="DefaultParagraphFont"/>
    <w:link w:val="FootnoteText"/>
    <w:uiPriority w:val="99"/>
    <w:rsid w:val="00F87C76"/>
  </w:style>
  <w:style w:type="character" w:styleId="FootnoteReference">
    <w:name w:val="footnote reference"/>
    <w:basedOn w:val="DefaultParagraphFont"/>
    <w:uiPriority w:val="99"/>
    <w:unhideWhenUsed/>
    <w:rsid w:val="00F87C76"/>
    <w:rPr>
      <w:vertAlign w:val="superscript"/>
    </w:rPr>
  </w:style>
  <w:style w:type="character" w:styleId="Hyperlink">
    <w:name w:val="Hyperlink"/>
    <w:basedOn w:val="DefaultParagraphFont"/>
    <w:uiPriority w:val="99"/>
    <w:unhideWhenUsed/>
    <w:rsid w:val="00724C48"/>
    <w:rPr>
      <w:color w:val="0000FF" w:themeColor="hyperlink"/>
      <w:u w:val="single"/>
    </w:rPr>
  </w:style>
  <w:style w:type="paragraph" w:customStyle="1" w:styleId="DraftHeading3">
    <w:name w:val="Draft Heading 3"/>
    <w:basedOn w:val="Normal"/>
    <w:next w:val="Normal"/>
    <w:rsid w:val="00981269"/>
    <w:pPr>
      <w:overflowPunct w:val="0"/>
      <w:autoSpaceDE w:val="0"/>
      <w:autoSpaceDN w:val="0"/>
      <w:adjustRightInd w:val="0"/>
      <w:spacing w:before="120"/>
    </w:pPr>
    <w:rPr>
      <w:rFonts w:ascii="Times New Roman" w:eastAsia="Times New Roman" w:hAnsi="Times New Roman" w:cs="Times New Roman"/>
      <w:szCs w:val="20"/>
      <w:lang w:val="en-AU" w:eastAsia="en-US"/>
    </w:rPr>
  </w:style>
  <w:style w:type="paragraph" w:customStyle="1" w:styleId="DraftHeading2">
    <w:name w:val="Draft Heading 2"/>
    <w:basedOn w:val="Normal"/>
    <w:next w:val="Normal"/>
    <w:rsid w:val="00981269"/>
    <w:pPr>
      <w:overflowPunct w:val="0"/>
      <w:autoSpaceDE w:val="0"/>
      <w:autoSpaceDN w:val="0"/>
      <w:adjustRightInd w:val="0"/>
      <w:spacing w:before="120"/>
    </w:pPr>
    <w:rPr>
      <w:rFonts w:ascii="Times New Roman" w:eastAsia="Times New Roman" w:hAnsi="Times New Roman" w:cs="Times New Roman"/>
      <w:szCs w:val="20"/>
      <w:lang w:val="en-AU" w:eastAsia="en-US"/>
    </w:rPr>
  </w:style>
  <w:style w:type="paragraph" w:customStyle="1" w:styleId="DraftHeading4">
    <w:name w:val="Draft Heading 4"/>
    <w:basedOn w:val="Normal"/>
    <w:next w:val="Normal"/>
    <w:rsid w:val="00981269"/>
    <w:pPr>
      <w:overflowPunct w:val="0"/>
      <w:autoSpaceDE w:val="0"/>
      <w:autoSpaceDN w:val="0"/>
      <w:adjustRightInd w:val="0"/>
      <w:spacing w:before="120"/>
    </w:pPr>
    <w:rPr>
      <w:rFonts w:ascii="Times New Roman" w:eastAsia="Times New Roman" w:hAnsi="Times New Roman" w:cs="Times New Roman"/>
      <w:szCs w:val="20"/>
      <w:lang w:val="en-AU" w:eastAsia="en-US"/>
    </w:rPr>
  </w:style>
  <w:style w:type="paragraph" w:customStyle="1" w:styleId="BodySection">
    <w:name w:val="Body Section"/>
    <w:next w:val="Normal"/>
    <w:rsid w:val="00D218F5"/>
    <w:pPr>
      <w:overflowPunct w:val="0"/>
      <w:autoSpaceDE w:val="0"/>
      <w:autoSpaceDN w:val="0"/>
      <w:adjustRightInd w:val="0"/>
      <w:spacing w:before="120"/>
      <w:ind w:left="1361"/>
    </w:pPr>
    <w:rPr>
      <w:rFonts w:ascii="Times New Roman" w:eastAsia="Times New Roman" w:hAnsi="Times New Roman" w:cs="Times New Roman"/>
      <w:szCs w:val="20"/>
      <w:lang w:val="en-AU" w:eastAsia="en-US"/>
    </w:rPr>
  </w:style>
  <w:style w:type="paragraph" w:customStyle="1" w:styleId="DraftHeading1">
    <w:name w:val="Draft Heading 1"/>
    <w:basedOn w:val="Normal"/>
    <w:next w:val="Normal"/>
    <w:rsid w:val="00D218F5"/>
    <w:pPr>
      <w:overflowPunct w:val="0"/>
      <w:autoSpaceDE w:val="0"/>
      <w:autoSpaceDN w:val="0"/>
      <w:adjustRightInd w:val="0"/>
      <w:spacing w:before="120"/>
      <w:outlineLvl w:val="2"/>
    </w:pPr>
    <w:rPr>
      <w:rFonts w:ascii="Times New Roman" w:eastAsia="Times New Roman" w:hAnsi="Times New Roman" w:cs="Times New Roman"/>
      <w:b/>
      <w:szCs w:val="20"/>
      <w:lang w:val="en-AU" w:eastAsia="en-US"/>
    </w:rPr>
  </w:style>
  <w:style w:type="paragraph" w:customStyle="1" w:styleId="Penalty">
    <w:name w:val="Penalty"/>
    <w:next w:val="Normal"/>
    <w:rsid w:val="00D218F5"/>
    <w:pPr>
      <w:tabs>
        <w:tab w:val="left" w:pos="851"/>
        <w:tab w:val="left" w:pos="1361"/>
        <w:tab w:val="left" w:pos="1871"/>
        <w:tab w:val="decimal" w:pos="2381"/>
        <w:tab w:val="decimal" w:pos="2892"/>
        <w:tab w:val="decimal" w:pos="3402"/>
      </w:tabs>
      <w:overflowPunct w:val="0"/>
      <w:autoSpaceDE w:val="0"/>
      <w:autoSpaceDN w:val="0"/>
      <w:adjustRightInd w:val="0"/>
      <w:spacing w:before="120"/>
      <w:ind w:left="2382" w:hanging="1021"/>
    </w:pPr>
    <w:rPr>
      <w:rFonts w:ascii="Times New Roman" w:eastAsia="Times New Roman" w:hAnsi="Times New Roman" w:cs="Times New Roman"/>
      <w:szCs w:val="20"/>
      <w:lang w:val="en-AU" w:eastAsia="en-US"/>
    </w:rPr>
  </w:style>
  <w:style w:type="paragraph" w:styleId="BalloonText">
    <w:name w:val="Balloon Text"/>
    <w:basedOn w:val="Normal"/>
    <w:link w:val="BalloonTextChar"/>
    <w:uiPriority w:val="99"/>
    <w:semiHidden/>
    <w:unhideWhenUsed/>
    <w:rsid w:val="003013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13B9"/>
    <w:rPr>
      <w:rFonts w:ascii="Lucida Grande" w:hAnsi="Lucida Grande" w:cs="Lucida Grande"/>
      <w:sz w:val="18"/>
      <w:szCs w:val="18"/>
    </w:rPr>
  </w:style>
  <w:style w:type="paragraph" w:styleId="TOC1">
    <w:name w:val="toc 1"/>
    <w:basedOn w:val="Normal"/>
    <w:next w:val="Normal"/>
    <w:autoRedefine/>
    <w:uiPriority w:val="39"/>
    <w:unhideWhenUsed/>
    <w:rsid w:val="001D48EB"/>
    <w:pPr>
      <w:tabs>
        <w:tab w:val="left" w:pos="352"/>
        <w:tab w:val="left" w:pos="382"/>
        <w:tab w:val="right" w:leader="dot" w:pos="8290"/>
      </w:tabs>
      <w:spacing w:before="120"/>
    </w:pPr>
    <w:rPr>
      <w:rFonts w:asciiTheme="majorHAnsi" w:hAnsiTheme="majorHAnsi"/>
      <w:b/>
      <w:noProof/>
      <w:sz w:val="22"/>
      <w:szCs w:val="22"/>
      <w:lang w:val="en-AU"/>
    </w:rPr>
  </w:style>
  <w:style w:type="paragraph" w:styleId="TOC2">
    <w:name w:val="toc 2"/>
    <w:basedOn w:val="Normal"/>
    <w:next w:val="Normal"/>
    <w:autoRedefine/>
    <w:uiPriority w:val="39"/>
    <w:unhideWhenUsed/>
    <w:rsid w:val="0084461B"/>
    <w:pPr>
      <w:ind w:left="240"/>
    </w:pPr>
    <w:rPr>
      <w:b/>
      <w:sz w:val="22"/>
      <w:szCs w:val="22"/>
    </w:rPr>
  </w:style>
  <w:style w:type="paragraph" w:styleId="TOC3">
    <w:name w:val="toc 3"/>
    <w:basedOn w:val="Normal"/>
    <w:next w:val="Normal"/>
    <w:autoRedefine/>
    <w:uiPriority w:val="39"/>
    <w:unhideWhenUsed/>
    <w:rsid w:val="0084461B"/>
    <w:pPr>
      <w:ind w:left="480"/>
    </w:pPr>
    <w:rPr>
      <w:sz w:val="22"/>
      <w:szCs w:val="22"/>
    </w:rPr>
  </w:style>
  <w:style w:type="paragraph" w:styleId="TOC4">
    <w:name w:val="toc 4"/>
    <w:basedOn w:val="Normal"/>
    <w:next w:val="Normal"/>
    <w:autoRedefine/>
    <w:uiPriority w:val="39"/>
    <w:unhideWhenUsed/>
    <w:rsid w:val="0084461B"/>
    <w:pPr>
      <w:ind w:left="720"/>
    </w:pPr>
    <w:rPr>
      <w:sz w:val="20"/>
      <w:szCs w:val="20"/>
    </w:rPr>
  </w:style>
  <w:style w:type="paragraph" w:styleId="TOC5">
    <w:name w:val="toc 5"/>
    <w:basedOn w:val="Normal"/>
    <w:next w:val="Normal"/>
    <w:autoRedefine/>
    <w:uiPriority w:val="39"/>
    <w:unhideWhenUsed/>
    <w:rsid w:val="0084461B"/>
    <w:pPr>
      <w:ind w:left="960"/>
    </w:pPr>
    <w:rPr>
      <w:sz w:val="20"/>
      <w:szCs w:val="20"/>
    </w:rPr>
  </w:style>
  <w:style w:type="paragraph" w:styleId="TOC6">
    <w:name w:val="toc 6"/>
    <w:basedOn w:val="Normal"/>
    <w:next w:val="Normal"/>
    <w:autoRedefine/>
    <w:uiPriority w:val="39"/>
    <w:unhideWhenUsed/>
    <w:rsid w:val="0084461B"/>
    <w:pPr>
      <w:ind w:left="1200"/>
    </w:pPr>
    <w:rPr>
      <w:sz w:val="20"/>
      <w:szCs w:val="20"/>
    </w:rPr>
  </w:style>
  <w:style w:type="paragraph" w:styleId="TOC7">
    <w:name w:val="toc 7"/>
    <w:basedOn w:val="Normal"/>
    <w:next w:val="Normal"/>
    <w:autoRedefine/>
    <w:uiPriority w:val="39"/>
    <w:unhideWhenUsed/>
    <w:rsid w:val="0084461B"/>
    <w:pPr>
      <w:ind w:left="1440"/>
    </w:pPr>
    <w:rPr>
      <w:sz w:val="20"/>
      <w:szCs w:val="20"/>
    </w:rPr>
  </w:style>
  <w:style w:type="paragraph" w:styleId="TOC8">
    <w:name w:val="toc 8"/>
    <w:basedOn w:val="Normal"/>
    <w:next w:val="Normal"/>
    <w:autoRedefine/>
    <w:uiPriority w:val="39"/>
    <w:unhideWhenUsed/>
    <w:rsid w:val="0084461B"/>
    <w:pPr>
      <w:ind w:left="1680"/>
    </w:pPr>
    <w:rPr>
      <w:sz w:val="20"/>
      <w:szCs w:val="20"/>
    </w:rPr>
  </w:style>
  <w:style w:type="paragraph" w:styleId="TOC9">
    <w:name w:val="toc 9"/>
    <w:basedOn w:val="Normal"/>
    <w:next w:val="Normal"/>
    <w:autoRedefine/>
    <w:uiPriority w:val="39"/>
    <w:unhideWhenUsed/>
    <w:rsid w:val="0084461B"/>
    <w:pPr>
      <w:ind w:left="1920"/>
    </w:pPr>
    <w:rPr>
      <w:sz w:val="20"/>
      <w:szCs w:val="20"/>
    </w:rPr>
  </w:style>
  <w:style w:type="paragraph" w:customStyle="1" w:styleId="ShoulderReference">
    <w:name w:val="Shoulder Reference"/>
    <w:next w:val="Normal"/>
    <w:rsid w:val="009B6E8F"/>
    <w:pPr>
      <w:framePr w:w="964" w:h="340" w:hSpace="180" w:vSpace="180" w:wrap="around" w:vAnchor="page" w:hAnchor="page" w:xAlign="inside" w:y="2553" w:anchorLock="1"/>
      <w:pBdr>
        <w:top w:val="single" w:sz="6" w:space="1" w:color="auto"/>
        <w:left w:val="single" w:sz="6" w:space="1" w:color="auto"/>
        <w:bottom w:val="single" w:sz="6" w:space="1" w:color="auto"/>
        <w:right w:val="single" w:sz="6" w:space="1" w:color="auto"/>
      </w:pBdr>
      <w:overflowPunct w:val="0"/>
      <w:autoSpaceDE w:val="0"/>
      <w:autoSpaceDN w:val="0"/>
      <w:adjustRightInd w:val="0"/>
      <w:ind w:left="85"/>
    </w:pPr>
    <w:rPr>
      <w:rFonts w:ascii="Times New Roman" w:eastAsia="Times New Roman" w:hAnsi="Times New Roman" w:cs="Times New Roman"/>
      <w:b/>
      <w:noProof/>
      <w:spacing w:val="-6"/>
      <w:sz w:val="20"/>
      <w:szCs w:val="20"/>
      <w:lang w:val="en-AU" w:eastAsia="en-US"/>
    </w:rPr>
  </w:style>
  <w:style w:type="paragraph" w:customStyle="1" w:styleId="SideNote">
    <w:name w:val="Side Note"/>
    <w:basedOn w:val="Normal"/>
    <w:rsid w:val="00CC066E"/>
    <w:pPr>
      <w:framePr w:w="964" w:h="340" w:hSpace="180" w:vSpace="180" w:wrap="around" w:vAnchor="text" w:hAnchor="page" w:xAlign="inside" w:y="1"/>
      <w:suppressLineNumbers/>
      <w:overflowPunct w:val="0"/>
      <w:autoSpaceDE w:val="0"/>
      <w:autoSpaceDN w:val="0"/>
      <w:adjustRightInd w:val="0"/>
      <w:spacing w:before="120"/>
    </w:pPr>
    <w:rPr>
      <w:rFonts w:ascii="Arial" w:eastAsia="Times New Roman" w:hAnsi="Arial" w:cs="Times New Roman"/>
      <w:b/>
      <w:spacing w:val="-10"/>
      <w:sz w:val="16"/>
      <w:szCs w:val="20"/>
      <w:lang w:val="en-AU" w:eastAsia="en-US"/>
    </w:rPr>
  </w:style>
  <w:style w:type="paragraph" w:customStyle="1" w:styleId="Stars">
    <w:name w:val="Stars"/>
    <w:basedOn w:val="Normal"/>
    <w:next w:val="Normal"/>
    <w:rsid w:val="00CC066E"/>
    <w:pPr>
      <w:tabs>
        <w:tab w:val="right" w:pos="1418"/>
        <w:tab w:val="right" w:pos="2552"/>
        <w:tab w:val="right" w:pos="3686"/>
        <w:tab w:val="right" w:pos="4820"/>
        <w:tab w:val="right" w:pos="5954"/>
      </w:tabs>
      <w:overflowPunct w:val="0"/>
      <w:autoSpaceDE w:val="0"/>
      <w:autoSpaceDN w:val="0"/>
      <w:adjustRightInd w:val="0"/>
      <w:spacing w:before="120"/>
      <w:ind w:left="851"/>
    </w:pPr>
    <w:rPr>
      <w:rFonts w:ascii="Times New Roman" w:eastAsia="Times New Roman" w:hAnsi="Times New Roman" w:cs="Times New Roman"/>
      <w:szCs w:val="20"/>
      <w:lang w:val="en-AU" w:eastAsia="en-US"/>
    </w:rPr>
  </w:style>
  <w:style w:type="paragraph" w:customStyle="1" w:styleId="Char">
    <w:name w:val="Char"/>
    <w:basedOn w:val="Normal"/>
    <w:rsid w:val="00EF6D68"/>
    <w:rPr>
      <w:rFonts w:ascii="Arial" w:eastAsia="Times New Roman" w:hAnsi="Arial" w:cs="Arial"/>
      <w:sz w:val="22"/>
      <w:szCs w:val="22"/>
      <w:lang w:val="en-AU" w:eastAsia="en-US"/>
    </w:rPr>
  </w:style>
  <w:style w:type="table" w:styleId="TableGrid">
    <w:name w:val="Table Grid"/>
    <w:basedOn w:val="TableNormal"/>
    <w:uiPriority w:val="59"/>
    <w:rsid w:val="00EB11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6">
    <w:name w:val="Medium Shading 1 Accent 6"/>
    <w:basedOn w:val="TableNormal"/>
    <w:uiPriority w:val="63"/>
    <w:rsid w:val="00EB115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customStyle="1" w:styleId="EPANormal">
    <w:name w:val="EPA Normal"/>
    <w:basedOn w:val="Normal"/>
    <w:uiPriority w:val="2"/>
    <w:qFormat/>
    <w:rsid w:val="00A16ACA"/>
    <w:rPr>
      <w:rFonts w:ascii="Times New Roman" w:eastAsia="Times New Roman" w:hAnsi="Times New Roman" w:cs="Times New Roman"/>
      <w:szCs w:val="20"/>
      <w:lang w:val="en-AU" w:eastAsia="en-US"/>
    </w:rPr>
  </w:style>
  <w:style w:type="paragraph" w:customStyle="1" w:styleId="BodyText2">
    <w:name w:val="Body Text2"/>
    <w:basedOn w:val="Normal"/>
    <w:rsid w:val="00B516CE"/>
    <w:pPr>
      <w:spacing w:after="80" w:line="220" w:lineRule="exact"/>
    </w:pPr>
    <w:rPr>
      <w:rFonts w:ascii="Interstate-Light" w:eastAsia="Times New Roman" w:hAnsi="Interstate-Light" w:cs="Times New Roman"/>
      <w:sz w:val="18"/>
      <w:szCs w:val="20"/>
      <w:lang w:val="en-AU" w:eastAsia="en-US"/>
    </w:rPr>
  </w:style>
  <w:style w:type="paragraph" w:styleId="NormalWeb">
    <w:name w:val="Normal (Web)"/>
    <w:basedOn w:val="Normal"/>
    <w:uiPriority w:val="99"/>
    <w:rsid w:val="004E7283"/>
    <w:pPr>
      <w:spacing w:before="100" w:beforeAutospacing="1" w:after="100" w:afterAutospacing="1"/>
    </w:pPr>
    <w:rPr>
      <w:rFonts w:ascii="Times New Roman" w:eastAsia="Times New Roman" w:hAnsi="Times New Roman" w:cs="Times New Roman"/>
      <w:lang w:val="en-AU" w:eastAsia="en-AU"/>
    </w:rPr>
  </w:style>
  <w:style w:type="paragraph" w:customStyle="1" w:styleId="Fill">
    <w:name w:val="Fill"/>
    <w:basedOn w:val="Normal"/>
    <w:uiPriority w:val="8"/>
    <w:rsid w:val="004E7283"/>
    <w:pPr>
      <w:spacing w:after="80" w:line="240" w:lineRule="exact"/>
    </w:pPr>
    <w:rPr>
      <w:rFonts w:ascii="Arial" w:eastAsiaTheme="minorHAnsi" w:hAnsi="Arial"/>
      <w:sz w:val="22"/>
      <w:szCs w:val="20"/>
      <w:lang w:val="en-AU" w:eastAsia="en-US"/>
    </w:rPr>
  </w:style>
  <w:style w:type="paragraph" w:customStyle="1" w:styleId="Default">
    <w:name w:val="Default"/>
    <w:rsid w:val="000C278D"/>
    <w:pPr>
      <w:widowControl w:val="0"/>
      <w:autoSpaceDE w:val="0"/>
      <w:autoSpaceDN w:val="0"/>
      <w:adjustRightInd w:val="0"/>
    </w:pPr>
    <w:rPr>
      <w:rFonts w:ascii="Times New Roman" w:hAnsi="Times New Roman" w:cs="Times New Roman"/>
      <w:color w:val="000000"/>
    </w:rPr>
  </w:style>
  <w:style w:type="paragraph" w:customStyle="1" w:styleId="Tablehead">
    <w:name w:val="Table head"/>
    <w:basedOn w:val="Normal"/>
    <w:rsid w:val="005E287C"/>
    <w:pPr>
      <w:spacing w:before="120" w:after="120" w:line="210" w:lineRule="exact"/>
      <w:jc w:val="center"/>
    </w:pPr>
    <w:rPr>
      <w:rFonts w:ascii="MetaBold-Roman" w:eastAsia="Times New Roman" w:hAnsi="MetaBold-Roman" w:cs="Times New Roman"/>
      <w:color w:val="666699"/>
      <w:sz w:val="18"/>
      <w:szCs w:val="20"/>
      <w:lang w:val="en-AU" w:eastAsia="en-US"/>
    </w:rPr>
  </w:style>
  <w:style w:type="table" w:styleId="LightShading-Accent5">
    <w:name w:val="Light Shading Accent 5"/>
    <w:basedOn w:val="TableNormal"/>
    <w:uiPriority w:val="60"/>
    <w:rsid w:val="003467F0"/>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Accent11">
    <w:name w:val="Light Shading - Accent 11"/>
    <w:basedOn w:val="TableNormal"/>
    <w:uiPriority w:val="60"/>
    <w:rsid w:val="003467F0"/>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unhideWhenUsed/>
    <w:rsid w:val="00DB3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AU" w:eastAsia="en-US"/>
    </w:rPr>
  </w:style>
  <w:style w:type="character" w:customStyle="1" w:styleId="HTMLPreformattedChar">
    <w:name w:val="HTML Preformatted Char"/>
    <w:basedOn w:val="DefaultParagraphFont"/>
    <w:link w:val="HTMLPreformatted"/>
    <w:uiPriority w:val="99"/>
    <w:rsid w:val="00DB39D0"/>
    <w:rPr>
      <w:rFonts w:ascii="Courier" w:hAnsi="Courier" w:cs="Courier"/>
      <w:sz w:val="20"/>
      <w:szCs w:val="20"/>
      <w:lang w:val="en-AU" w:eastAsia="en-US"/>
    </w:rPr>
  </w:style>
  <w:style w:type="character" w:styleId="CommentReference">
    <w:name w:val="annotation reference"/>
    <w:basedOn w:val="DefaultParagraphFont"/>
    <w:uiPriority w:val="99"/>
    <w:semiHidden/>
    <w:unhideWhenUsed/>
    <w:rsid w:val="00C40256"/>
    <w:rPr>
      <w:sz w:val="16"/>
      <w:szCs w:val="16"/>
    </w:rPr>
  </w:style>
  <w:style w:type="paragraph" w:styleId="CommentText">
    <w:name w:val="annotation text"/>
    <w:basedOn w:val="Normal"/>
    <w:link w:val="CommentTextChar"/>
    <w:uiPriority w:val="99"/>
    <w:semiHidden/>
    <w:unhideWhenUsed/>
    <w:rsid w:val="00C40256"/>
    <w:rPr>
      <w:sz w:val="20"/>
      <w:szCs w:val="20"/>
    </w:rPr>
  </w:style>
  <w:style w:type="character" w:customStyle="1" w:styleId="CommentTextChar">
    <w:name w:val="Comment Text Char"/>
    <w:basedOn w:val="DefaultParagraphFont"/>
    <w:link w:val="CommentText"/>
    <w:uiPriority w:val="99"/>
    <w:semiHidden/>
    <w:rsid w:val="00C40256"/>
    <w:rPr>
      <w:sz w:val="20"/>
      <w:szCs w:val="20"/>
    </w:rPr>
  </w:style>
  <w:style w:type="paragraph" w:styleId="CommentSubject">
    <w:name w:val="annotation subject"/>
    <w:basedOn w:val="CommentText"/>
    <w:next w:val="CommentText"/>
    <w:link w:val="CommentSubjectChar"/>
    <w:uiPriority w:val="99"/>
    <w:semiHidden/>
    <w:unhideWhenUsed/>
    <w:rsid w:val="00C40256"/>
    <w:rPr>
      <w:b/>
      <w:bCs/>
    </w:rPr>
  </w:style>
  <w:style w:type="character" w:customStyle="1" w:styleId="CommentSubjectChar">
    <w:name w:val="Comment Subject Char"/>
    <w:basedOn w:val="CommentTextChar"/>
    <w:link w:val="CommentSubject"/>
    <w:uiPriority w:val="99"/>
    <w:semiHidden/>
    <w:rsid w:val="00C40256"/>
    <w:rPr>
      <w:b/>
      <w:bCs/>
      <w:sz w:val="20"/>
      <w:szCs w:val="20"/>
    </w:rPr>
  </w:style>
  <w:style w:type="paragraph" w:styleId="Revision">
    <w:name w:val="Revision"/>
    <w:hidden/>
    <w:uiPriority w:val="99"/>
    <w:semiHidden/>
    <w:rsid w:val="00073786"/>
  </w:style>
  <w:style w:type="paragraph" w:customStyle="1" w:styleId="Bullet">
    <w:name w:val="Bullet"/>
    <w:basedOn w:val="BodyText"/>
    <w:rsid w:val="001D576F"/>
    <w:pPr>
      <w:numPr>
        <w:numId w:val="2"/>
      </w:numPr>
    </w:pPr>
  </w:style>
  <w:style w:type="paragraph" w:styleId="BodyText">
    <w:name w:val="Body Text"/>
    <w:basedOn w:val="Normal"/>
    <w:link w:val="BodyTextChar"/>
    <w:rsid w:val="001D576F"/>
    <w:pPr>
      <w:spacing w:after="240"/>
      <w:jc w:val="both"/>
    </w:pPr>
    <w:rPr>
      <w:rFonts w:ascii="Arial" w:eastAsia="Times New Roman" w:hAnsi="Arial" w:cs="Times New Roman"/>
      <w:sz w:val="20"/>
      <w:szCs w:val="20"/>
      <w:lang w:val="en-AU" w:eastAsia="en-US"/>
    </w:rPr>
  </w:style>
  <w:style w:type="character" w:customStyle="1" w:styleId="BodyTextChar">
    <w:name w:val="Body Text Char"/>
    <w:basedOn w:val="DefaultParagraphFont"/>
    <w:link w:val="BodyText"/>
    <w:rsid w:val="001D576F"/>
    <w:rPr>
      <w:rFonts w:ascii="Arial" w:eastAsia="Times New Roman" w:hAnsi="Arial" w:cs="Times New Roman"/>
      <w:sz w:val="20"/>
      <w:szCs w:val="20"/>
      <w:lang w:val="en-AU" w:eastAsia="en-US"/>
    </w:rPr>
  </w:style>
  <w:style w:type="table" w:styleId="MediumList2-Accent1">
    <w:name w:val="Medium List 2 Accent 1"/>
    <w:basedOn w:val="TableNormal"/>
    <w:uiPriority w:val="66"/>
    <w:rsid w:val="007E658F"/>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HTMLTypewriter">
    <w:name w:val="HTML Typewriter"/>
    <w:basedOn w:val="DefaultParagraphFont"/>
    <w:uiPriority w:val="99"/>
    <w:semiHidden/>
    <w:unhideWhenUsed/>
    <w:rsid w:val="00AE7F23"/>
    <w:rPr>
      <w:rFonts w:ascii="Courier" w:eastAsiaTheme="minorEastAsia" w:hAnsi="Courier" w:cs="Courier"/>
      <w:sz w:val="20"/>
      <w:szCs w:val="20"/>
    </w:rPr>
  </w:style>
  <w:style w:type="character" w:customStyle="1" w:styleId="citation">
    <w:name w:val="citation"/>
    <w:basedOn w:val="DefaultParagraphFont"/>
    <w:rsid w:val="00537D98"/>
  </w:style>
  <w:style w:type="character" w:customStyle="1" w:styleId="reference-text">
    <w:name w:val="reference-text"/>
    <w:basedOn w:val="DefaultParagraphFont"/>
    <w:rsid w:val="00946E6A"/>
  </w:style>
  <w:style w:type="table" w:customStyle="1" w:styleId="Standard">
    <w:name w:val="Standard"/>
    <w:basedOn w:val="TableProfessional"/>
    <w:uiPriority w:val="99"/>
    <w:rsid w:val="00083A96"/>
    <w:rPr>
      <w:rFonts w:ascii="Arial" w:hAnsi="Arial"/>
      <w:sz w:val="20"/>
      <w:szCs w:val="20"/>
      <w:lang w:val="en-AU" w:eastAsia="en-US"/>
    </w:rPr>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cPr>
    <w:tblStylePr w:type="firstRow">
      <w:rPr>
        <w:b/>
        <w:bCs/>
        <w:color w:val="auto"/>
      </w:rPr>
      <w:tblPr/>
      <w:tcPr>
        <w:tcBorders>
          <w:top w:val="nil"/>
          <w:left w:val="nil"/>
          <w:bottom w:val="nil"/>
          <w:right w:val="nil"/>
          <w:insideH w:val="nil"/>
          <w:insideV w:val="nil"/>
          <w:tl2br w:val="nil"/>
          <w:tr2bl w:val="nil"/>
        </w:tcBorders>
        <w:shd w:val="clear" w:color="auto" w:fill="000080"/>
      </w:tcPr>
    </w:tblStylePr>
  </w:style>
  <w:style w:type="table" w:customStyle="1" w:styleId="MediumShading21">
    <w:name w:val="Medium Shading 21"/>
    <w:basedOn w:val="TableNormal"/>
    <w:uiPriority w:val="64"/>
    <w:rsid w:val="00083A9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Shading1">
    <w:name w:val="Light Shading1"/>
    <w:basedOn w:val="TableNormal"/>
    <w:uiPriority w:val="60"/>
    <w:rsid w:val="00083A9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tyle1">
    <w:name w:val="Style1"/>
    <w:basedOn w:val="TableProfessional"/>
    <w:uiPriority w:val="99"/>
    <w:rsid w:val="005F7420"/>
    <w:tblPr>
      <w:tblInd w:w="0" w:type="dxa"/>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6E6"/>
    </w:tcPr>
    <w:tblStylePr w:type="firstRow">
      <w:rPr>
        <w:b/>
        <w:bCs/>
        <w:color w:val="auto"/>
      </w:rPr>
      <w:tblPr/>
      <w:tcPr>
        <w:tcBorders>
          <w:top w:val="nil"/>
          <w:left w:val="nil"/>
          <w:bottom w:val="nil"/>
          <w:right w:val="nil"/>
          <w:insideH w:val="nil"/>
          <w:insideV w:val="nil"/>
          <w:tl2br w:val="nil"/>
          <w:tr2bl w:val="nil"/>
        </w:tcBorders>
        <w:shd w:val="clear" w:color="auto" w:fill="000091"/>
      </w:tcPr>
    </w:tblStylePr>
  </w:style>
  <w:style w:type="table" w:styleId="TableProfessional">
    <w:name w:val="Table Professional"/>
    <w:basedOn w:val="TableNormal"/>
    <w:uiPriority w:val="99"/>
    <w:semiHidden/>
    <w:unhideWhenUsed/>
    <w:rsid w:val="00083A9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customStyle="1" w:styleId="CM55">
    <w:name w:val="CM55"/>
    <w:basedOn w:val="Normal"/>
    <w:next w:val="Normal"/>
    <w:uiPriority w:val="99"/>
    <w:rsid w:val="00AF112D"/>
    <w:pPr>
      <w:widowControl w:val="0"/>
      <w:autoSpaceDE w:val="0"/>
      <w:autoSpaceDN w:val="0"/>
      <w:adjustRightInd w:val="0"/>
    </w:pPr>
    <w:rPr>
      <w:rFonts w:ascii="Verdana" w:hAnsi="Verdana" w:cs="Times New Roman"/>
      <w:lang w:eastAsia="en-US"/>
    </w:rPr>
  </w:style>
  <w:style w:type="paragraph" w:customStyle="1" w:styleId="CM54">
    <w:name w:val="CM54"/>
    <w:basedOn w:val="Normal"/>
    <w:next w:val="Normal"/>
    <w:uiPriority w:val="99"/>
    <w:rsid w:val="00AF112D"/>
    <w:pPr>
      <w:widowControl w:val="0"/>
      <w:autoSpaceDE w:val="0"/>
      <w:autoSpaceDN w:val="0"/>
      <w:adjustRightInd w:val="0"/>
    </w:pPr>
    <w:rPr>
      <w:rFonts w:ascii="Verdana" w:hAnsi="Verdana" w:cs="Times New Roman"/>
      <w:lang w:eastAsia="en-US"/>
    </w:rPr>
  </w:style>
  <w:style w:type="paragraph" w:customStyle="1" w:styleId="CM52">
    <w:name w:val="CM52"/>
    <w:basedOn w:val="Default"/>
    <w:next w:val="Default"/>
    <w:uiPriority w:val="99"/>
    <w:rsid w:val="00AF112D"/>
    <w:rPr>
      <w:rFonts w:ascii="Praxis Regular/Regular SC" w:hAnsi="Praxis Regular/Regular SC"/>
      <w:color w:val="auto"/>
      <w:lang w:eastAsia="en-US"/>
    </w:rPr>
  </w:style>
  <w:style w:type="paragraph" w:customStyle="1" w:styleId="FigureTablefootnote">
    <w:name w:val="Figure/Table footnote"/>
    <w:basedOn w:val="Normal"/>
    <w:next w:val="FigureTablenote"/>
    <w:uiPriority w:val="13"/>
    <w:qFormat/>
    <w:rsid w:val="00D76BE7"/>
    <w:pPr>
      <w:keepLines/>
      <w:tabs>
        <w:tab w:val="num" w:pos="0"/>
      </w:tabs>
      <w:spacing w:before="40" w:after="40"/>
      <w:ind w:left="283" w:hanging="283"/>
    </w:pPr>
    <w:rPr>
      <w:rFonts w:ascii="Arial" w:eastAsia="Times New Roman" w:hAnsi="Arial" w:cs="Times New Roman"/>
      <w:kern w:val="14"/>
      <w:sz w:val="17"/>
      <w:szCs w:val="17"/>
      <w:lang w:val="en-AU" w:eastAsia="en-US"/>
    </w:rPr>
  </w:style>
  <w:style w:type="paragraph" w:customStyle="1" w:styleId="FigureTableheading">
    <w:name w:val="Figure/Table heading"/>
    <w:basedOn w:val="Normal"/>
    <w:next w:val="Normal"/>
    <w:uiPriority w:val="12"/>
    <w:qFormat/>
    <w:rsid w:val="00D76BE7"/>
    <w:pPr>
      <w:keepNext/>
      <w:keepLines/>
      <w:tabs>
        <w:tab w:val="num" w:pos="0"/>
      </w:tabs>
      <w:spacing w:before="240" w:after="40" w:line="260" w:lineRule="exact"/>
      <w:jc w:val="center"/>
    </w:pPr>
    <w:rPr>
      <w:rFonts w:ascii="Arial Bold" w:eastAsia="Times New Roman" w:hAnsi="Arial Bold" w:cs="Times New Roman"/>
      <w:b/>
      <w:kern w:val="14"/>
      <w:sz w:val="20"/>
      <w:szCs w:val="20"/>
      <w:lang w:val="en-AU" w:eastAsia="en-US"/>
    </w:rPr>
  </w:style>
  <w:style w:type="paragraph" w:customStyle="1" w:styleId="FigureTablenote">
    <w:name w:val="Figure/Table note"/>
    <w:basedOn w:val="Normal"/>
    <w:next w:val="FigureTablesource"/>
    <w:uiPriority w:val="14"/>
    <w:qFormat/>
    <w:rsid w:val="00D76BE7"/>
    <w:pPr>
      <w:keepLines/>
      <w:tabs>
        <w:tab w:val="num" w:pos="0"/>
      </w:tabs>
      <w:spacing w:before="40" w:after="40"/>
    </w:pPr>
    <w:rPr>
      <w:rFonts w:ascii="Arial" w:eastAsia="Times New Roman" w:hAnsi="Arial" w:cs="Times New Roman"/>
      <w:kern w:val="14"/>
      <w:sz w:val="17"/>
      <w:szCs w:val="17"/>
      <w:lang w:val="en-AU" w:eastAsia="en-US"/>
    </w:rPr>
  </w:style>
  <w:style w:type="paragraph" w:customStyle="1" w:styleId="FigureTablesource">
    <w:name w:val="Figure/Table source"/>
    <w:basedOn w:val="Normal"/>
    <w:next w:val="Normal"/>
    <w:uiPriority w:val="15"/>
    <w:qFormat/>
    <w:rsid w:val="00D76BE7"/>
    <w:pPr>
      <w:keepLines/>
      <w:tabs>
        <w:tab w:val="num" w:pos="0"/>
      </w:tabs>
      <w:spacing w:before="40" w:after="240"/>
    </w:pPr>
    <w:rPr>
      <w:rFonts w:ascii="Arial" w:eastAsia="Times New Roman" w:hAnsi="Arial" w:cs="Times New Roman"/>
      <w:kern w:val="14"/>
      <w:sz w:val="17"/>
      <w:szCs w:val="17"/>
      <w:lang w:val="en-AU" w:eastAsia="en-US"/>
    </w:rPr>
  </w:style>
  <w:style w:type="paragraph" w:customStyle="1" w:styleId="Clause">
    <w:name w:val="Clause"/>
    <w:basedOn w:val="Normal"/>
    <w:next w:val="Normal"/>
    <w:link w:val="ClauseChar"/>
    <w:rsid w:val="008B4829"/>
    <w:pPr>
      <w:suppressLineNumbers/>
      <w:tabs>
        <w:tab w:val="left" w:pos="426"/>
        <w:tab w:val="left" w:pos="992"/>
        <w:tab w:val="left" w:pos="1559"/>
        <w:tab w:val="left" w:pos="2126"/>
        <w:tab w:val="left" w:pos="2693"/>
        <w:tab w:val="left" w:pos="3260"/>
      </w:tabs>
      <w:overflowPunct w:val="0"/>
      <w:autoSpaceDE w:val="0"/>
      <w:autoSpaceDN w:val="0"/>
      <w:adjustRightInd w:val="0"/>
      <w:spacing w:before="180" w:line="264" w:lineRule="auto"/>
      <w:ind w:left="964" w:hanging="964"/>
      <w:textAlignment w:val="baseline"/>
    </w:pPr>
    <w:rPr>
      <w:rFonts w:ascii="Times New Roman" w:eastAsia="Times New Roman" w:hAnsi="Times New Roman" w:cs="Times New Roman"/>
      <w:sz w:val="20"/>
      <w:szCs w:val="20"/>
      <w:lang w:val="en-AU" w:eastAsia="en-US"/>
    </w:rPr>
  </w:style>
  <w:style w:type="character" w:customStyle="1" w:styleId="ClauseChar">
    <w:name w:val="Clause Char"/>
    <w:basedOn w:val="DefaultParagraphFont"/>
    <w:link w:val="Clause"/>
    <w:rsid w:val="008B4829"/>
    <w:rPr>
      <w:rFonts w:ascii="Times New Roman" w:eastAsia="Times New Roman" w:hAnsi="Times New Roman" w:cs="Times New Roman"/>
      <w:sz w:val="20"/>
      <w:szCs w:val="20"/>
      <w:lang w:val="en-AU" w:eastAsia="en-US"/>
    </w:rPr>
  </w:style>
  <w:style w:type="table" w:customStyle="1" w:styleId="LightList-Accent11">
    <w:name w:val="Light List - Accent 11"/>
    <w:basedOn w:val="TableNormal"/>
    <w:uiPriority w:val="61"/>
    <w:rsid w:val="00B93D4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TMLCite">
    <w:name w:val="HTML Cite"/>
    <w:basedOn w:val="DefaultParagraphFont"/>
    <w:uiPriority w:val="99"/>
    <w:semiHidden/>
    <w:unhideWhenUsed/>
    <w:rsid w:val="001978F9"/>
    <w:rPr>
      <w:i/>
      <w:iCs/>
    </w:rPr>
  </w:style>
  <w:style w:type="character" w:customStyle="1" w:styleId="highlight">
    <w:name w:val="highlight"/>
    <w:basedOn w:val="DefaultParagraphFont"/>
    <w:rsid w:val="00B96DC6"/>
  </w:style>
  <w:style w:type="character" w:customStyle="1" w:styleId="includeassetsummary">
    <w:name w:val="include_asset_summary"/>
    <w:basedOn w:val="DefaultParagraphFont"/>
    <w:rsid w:val="00FB73BD"/>
  </w:style>
  <w:style w:type="table" w:customStyle="1" w:styleId="LightList-Accent111">
    <w:name w:val="Light List - Accent 111"/>
    <w:basedOn w:val="TableNormal"/>
    <w:uiPriority w:val="61"/>
    <w:rsid w:val="0006225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Indent2">
    <w:name w:val="Body Text Indent 2"/>
    <w:basedOn w:val="Normal"/>
    <w:link w:val="BodyTextIndent2Char"/>
    <w:semiHidden/>
    <w:rsid w:val="00956A21"/>
    <w:pPr>
      <w:spacing w:after="120" w:line="480" w:lineRule="auto"/>
      <w:ind w:left="283"/>
      <w:jc w:val="both"/>
    </w:pPr>
    <w:rPr>
      <w:rFonts w:ascii="Arial" w:eastAsia="Times New Roman" w:hAnsi="Arial" w:cs="Times New Roman"/>
      <w:sz w:val="22"/>
      <w:szCs w:val="20"/>
      <w:lang w:val="en-AU" w:eastAsia="en-US"/>
    </w:rPr>
  </w:style>
  <w:style w:type="character" w:customStyle="1" w:styleId="BodyTextIndent2Char">
    <w:name w:val="Body Text Indent 2 Char"/>
    <w:basedOn w:val="DefaultParagraphFont"/>
    <w:link w:val="BodyTextIndent2"/>
    <w:semiHidden/>
    <w:rsid w:val="00956A21"/>
    <w:rPr>
      <w:rFonts w:ascii="Arial" w:eastAsia="Times New Roman" w:hAnsi="Arial" w:cs="Times New Roman"/>
      <w:sz w:val="22"/>
      <w:szCs w:val="20"/>
      <w:lang w:val="en-AU" w:eastAsia="en-US"/>
    </w:rPr>
  </w:style>
  <w:style w:type="paragraph" w:styleId="ListBullet2">
    <w:name w:val="List Bullet 2"/>
    <w:basedOn w:val="Normal"/>
    <w:uiPriority w:val="99"/>
    <w:rsid w:val="008248C4"/>
    <w:pPr>
      <w:numPr>
        <w:numId w:val="58"/>
      </w:numPr>
      <w:spacing w:before="360" w:after="120"/>
    </w:pPr>
    <w:rPr>
      <w:rFonts w:ascii="Arial" w:eastAsia="Calibri" w:hAnsi="Arial" w:cs="Times New Roman"/>
      <w:b/>
      <w:sz w:val="22"/>
      <w:szCs w:val="22"/>
      <w:lang w:val="en-AU" w:eastAsia="en-US"/>
    </w:rPr>
  </w:style>
  <w:style w:type="paragraph" w:styleId="ListBullet3">
    <w:name w:val="List Bullet 3"/>
    <w:basedOn w:val="Normal"/>
    <w:uiPriority w:val="99"/>
    <w:rsid w:val="008248C4"/>
    <w:pPr>
      <w:numPr>
        <w:ilvl w:val="1"/>
        <w:numId w:val="58"/>
      </w:numPr>
      <w:spacing w:before="120" w:after="120"/>
    </w:pPr>
    <w:rPr>
      <w:rFonts w:ascii="Arial" w:eastAsia="Calibri" w:hAnsi="Arial" w:cs="Times New Roman"/>
      <w:sz w:val="22"/>
      <w:szCs w:val="22"/>
      <w:lang w:val="en-AU" w:eastAsia="en-US"/>
    </w:rPr>
  </w:style>
  <w:style w:type="paragraph" w:styleId="ListBullet4">
    <w:name w:val="List Bullet 4"/>
    <w:basedOn w:val="Normal"/>
    <w:uiPriority w:val="99"/>
    <w:rsid w:val="008248C4"/>
    <w:pPr>
      <w:numPr>
        <w:ilvl w:val="2"/>
        <w:numId w:val="58"/>
      </w:numPr>
      <w:spacing w:after="60"/>
      <w:jc w:val="both"/>
    </w:pPr>
    <w:rPr>
      <w:rFonts w:ascii="Arial" w:eastAsia="Calibri" w:hAnsi="Arial" w:cs="Times New Roman"/>
      <w:sz w:val="22"/>
      <w:szCs w:val="22"/>
      <w:lang w:val="en-AU"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6" w:unhideWhenUsed="0" w:qFormat="1"/>
    <w:lsdException w:name="heading 2" w:uiPriority="7" w:qFormat="1"/>
    <w:lsdException w:name="heading 3" w:uiPriority="8"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119"/>
  </w:style>
  <w:style w:type="paragraph" w:styleId="Heading1">
    <w:name w:val="heading 1"/>
    <w:basedOn w:val="Normal"/>
    <w:next w:val="Normal"/>
    <w:link w:val="Heading1Char"/>
    <w:autoRedefine/>
    <w:uiPriority w:val="6"/>
    <w:qFormat/>
    <w:rsid w:val="00E84CE8"/>
    <w:pPr>
      <w:keepNext/>
      <w:keepLines/>
      <w:numPr>
        <w:numId w:val="1"/>
      </w:numPr>
      <w:spacing w:before="480"/>
      <w:outlineLvl w:val="0"/>
    </w:pPr>
    <w:rPr>
      <w:rFonts w:ascii="Tahoma" w:eastAsiaTheme="majorEastAsia" w:hAnsi="Tahoma" w:cs="Tahoma"/>
      <w:b/>
      <w:bCs/>
      <w:sz w:val="32"/>
      <w:szCs w:val="32"/>
      <w:lang w:val="en-AU"/>
    </w:rPr>
  </w:style>
  <w:style w:type="paragraph" w:styleId="Heading2">
    <w:name w:val="heading 2"/>
    <w:basedOn w:val="Normal"/>
    <w:next w:val="Normal"/>
    <w:link w:val="Heading2Char"/>
    <w:uiPriority w:val="7"/>
    <w:unhideWhenUsed/>
    <w:qFormat/>
    <w:rsid w:val="00E84CE8"/>
    <w:pPr>
      <w:keepNext/>
      <w:keepLines/>
      <w:numPr>
        <w:ilvl w:val="1"/>
        <w:numId w:val="1"/>
      </w:numPr>
      <w:spacing w:before="280"/>
      <w:outlineLvl w:val="1"/>
    </w:pPr>
    <w:rPr>
      <w:rFonts w:ascii="Tahoma" w:eastAsiaTheme="majorEastAsia" w:hAnsi="Tahoma" w:cs="Tahoma"/>
      <w:b/>
      <w:bCs/>
      <w:sz w:val="26"/>
      <w:szCs w:val="26"/>
      <w:lang w:val="en-AU"/>
    </w:rPr>
  </w:style>
  <w:style w:type="paragraph" w:styleId="Heading3">
    <w:name w:val="heading 3"/>
    <w:basedOn w:val="Normal"/>
    <w:next w:val="Normal"/>
    <w:link w:val="Heading3Char"/>
    <w:uiPriority w:val="8"/>
    <w:unhideWhenUsed/>
    <w:qFormat/>
    <w:rsid w:val="00D45580"/>
    <w:pPr>
      <w:keepNext/>
      <w:keepLines/>
      <w:numPr>
        <w:ilvl w:val="2"/>
        <w:numId w:val="1"/>
      </w:numPr>
      <w:spacing w:before="280"/>
      <w:outlineLvl w:val="2"/>
    </w:pPr>
    <w:rPr>
      <w:rFonts w:ascii="Arial" w:eastAsiaTheme="majorEastAsia" w:hAnsi="Arial" w:cs="Arial"/>
      <w:b/>
      <w:bCs/>
      <w:color w:val="4F81BD" w:themeColor="accent1"/>
      <w:lang w:val="en-AU"/>
    </w:rPr>
  </w:style>
  <w:style w:type="paragraph" w:styleId="Heading4">
    <w:name w:val="heading 4"/>
    <w:basedOn w:val="Normal"/>
    <w:next w:val="Normal"/>
    <w:link w:val="Heading4Char"/>
    <w:uiPriority w:val="9"/>
    <w:unhideWhenUsed/>
    <w:qFormat/>
    <w:rsid w:val="00371DF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71DF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71DF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71DF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71DF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71DF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6"/>
    <w:rsid w:val="00E84CE8"/>
    <w:rPr>
      <w:rFonts w:ascii="Tahoma" w:eastAsiaTheme="majorEastAsia" w:hAnsi="Tahoma" w:cs="Tahoma"/>
      <w:b/>
      <w:bCs/>
      <w:sz w:val="32"/>
      <w:szCs w:val="32"/>
      <w:lang w:val="en-AU"/>
    </w:rPr>
  </w:style>
  <w:style w:type="character" w:customStyle="1" w:styleId="Heading2Char">
    <w:name w:val="Heading 2 Char"/>
    <w:basedOn w:val="DefaultParagraphFont"/>
    <w:link w:val="Heading2"/>
    <w:uiPriority w:val="7"/>
    <w:rsid w:val="00E84CE8"/>
    <w:rPr>
      <w:rFonts w:ascii="Tahoma" w:eastAsiaTheme="majorEastAsia" w:hAnsi="Tahoma" w:cs="Tahoma"/>
      <w:b/>
      <w:bCs/>
      <w:sz w:val="26"/>
      <w:szCs w:val="26"/>
      <w:lang w:val="en-AU"/>
    </w:rPr>
  </w:style>
  <w:style w:type="character" w:customStyle="1" w:styleId="Heading3Char">
    <w:name w:val="Heading 3 Char"/>
    <w:basedOn w:val="DefaultParagraphFont"/>
    <w:link w:val="Heading3"/>
    <w:uiPriority w:val="8"/>
    <w:rsid w:val="00D45580"/>
    <w:rPr>
      <w:rFonts w:ascii="Arial" w:eastAsiaTheme="majorEastAsia" w:hAnsi="Arial" w:cs="Arial"/>
      <w:b/>
      <w:bCs/>
      <w:color w:val="4F81BD" w:themeColor="accent1"/>
      <w:lang w:val="en-AU"/>
    </w:rPr>
  </w:style>
  <w:style w:type="character" w:customStyle="1" w:styleId="Heading4Char">
    <w:name w:val="Heading 4 Char"/>
    <w:basedOn w:val="DefaultParagraphFont"/>
    <w:link w:val="Heading4"/>
    <w:uiPriority w:val="9"/>
    <w:rsid w:val="00371DF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71D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71DF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71D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71D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71DFB"/>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371DFB"/>
    <w:pPr>
      <w:tabs>
        <w:tab w:val="center" w:pos="4320"/>
        <w:tab w:val="right" w:pos="8640"/>
      </w:tabs>
    </w:pPr>
  </w:style>
  <w:style w:type="character" w:customStyle="1" w:styleId="HeaderChar">
    <w:name w:val="Header Char"/>
    <w:basedOn w:val="DefaultParagraphFont"/>
    <w:link w:val="Header"/>
    <w:uiPriority w:val="99"/>
    <w:rsid w:val="00371DFB"/>
  </w:style>
  <w:style w:type="paragraph" w:styleId="Footer">
    <w:name w:val="footer"/>
    <w:basedOn w:val="Normal"/>
    <w:link w:val="FooterChar"/>
    <w:uiPriority w:val="99"/>
    <w:unhideWhenUsed/>
    <w:rsid w:val="00371DFB"/>
    <w:pPr>
      <w:tabs>
        <w:tab w:val="center" w:pos="4320"/>
        <w:tab w:val="right" w:pos="8640"/>
      </w:tabs>
    </w:pPr>
  </w:style>
  <w:style w:type="character" w:customStyle="1" w:styleId="FooterChar">
    <w:name w:val="Footer Char"/>
    <w:basedOn w:val="DefaultParagraphFont"/>
    <w:link w:val="Footer"/>
    <w:uiPriority w:val="99"/>
    <w:rsid w:val="00371DFB"/>
  </w:style>
  <w:style w:type="character" w:styleId="PageNumber">
    <w:name w:val="page number"/>
    <w:basedOn w:val="DefaultParagraphFont"/>
    <w:uiPriority w:val="99"/>
    <w:semiHidden/>
    <w:unhideWhenUsed/>
    <w:rsid w:val="00371DFB"/>
  </w:style>
  <w:style w:type="paragraph" w:styleId="ListParagraph">
    <w:name w:val="List Paragraph"/>
    <w:basedOn w:val="Normal"/>
    <w:autoRedefine/>
    <w:uiPriority w:val="34"/>
    <w:qFormat/>
    <w:rsid w:val="00C3402D"/>
    <w:pPr>
      <w:numPr>
        <w:numId w:val="53"/>
      </w:numPr>
      <w:spacing w:before="60"/>
    </w:pPr>
    <w:rPr>
      <w:rFonts w:ascii="Helvetica" w:hAnsi="Helvetica"/>
      <w:sz w:val="22"/>
      <w:szCs w:val="22"/>
    </w:rPr>
  </w:style>
  <w:style w:type="paragraph" w:styleId="FootnoteText">
    <w:name w:val="footnote text"/>
    <w:basedOn w:val="Normal"/>
    <w:link w:val="FootnoteTextChar"/>
    <w:unhideWhenUsed/>
    <w:rsid w:val="00F87C76"/>
  </w:style>
  <w:style w:type="character" w:customStyle="1" w:styleId="FootnoteTextChar">
    <w:name w:val="Footnote Text Char"/>
    <w:basedOn w:val="DefaultParagraphFont"/>
    <w:link w:val="FootnoteText"/>
    <w:uiPriority w:val="99"/>
    <w:rsid w:val="00F87C76"/>
  </w:style>
  <w:style w:type="character" w:styleId="FootnoteReference">
    <w:name w:val="footnote reference"/>
    <w:basedOn w:val="DefaultParagraphFont"/>
    <w:uiPriority w:val="99"/>
    <w:unhideWhenUsed/>
    <w:rsid w:val="00F87C76"/>
    <w:rPr>
      <w:vertAlign w:val="superscript"/>
    </w:rPr>
  </w:style>
  <w:style w:type="character" w:styleId="Hyperlink">
    <w:name w:val="Hyperlink"/>
    <w:basedOn w:val="DefaultParagraphFont"/>
    <w:uiPriority w:val="99"/>
    <w:unhideWhenUsed/>
    <w:rsid w:val="00724C48"/>
    <w:rPr>
      <w:color w:val="0000FF" w:themeColor="hyperlink"/>
      <w:u w:val="single"/>
    </w:rPr>
  </w:style>
  <w:style w:type="paragraph" w:customStyle="1" w:styleId="DraftHeading3">
    <w:name w:val="Draft Heading 3"/>
    <w:basedOn w:val="Normal"/>
    <w:next w:val="Normal"/>
    <w:rsid w:val="00981269"/>
    <w:pPr>
      <w:overflowPunct w:val="0"/>
      <w:autoSpaceDE w:val="0"/>
      <w:autoSpaceDN w:val="0"/>
      <w:adjustRightInd w:val="0"/>
      <w:spacing w:before="120"/>
    </w:pPr>
    <w:rPr>
      <w:rFonts w:ascii="Times New Roman" w:eastAsia="Times New Roman" w:hAnsi="Times New Roman" w:cs="Times New Roman"/>
      <w:szCs w:val="20"/>
      <w:lang w:val="en-AU" w:eastAsia="en-US"/>
    </w:rPr>
  </w:style>
  <w:style w:type="paragraph" w:customStyle="1" w:styleId="DraftHeading2">
    <w:name w:val="Draft Heading 2"/>
    <w:basedOn w:val="Normal"/>
    <w:next w:val="Normal"/>
    <w:rsid w:val="00981269"/>
    <w:pPr>
      <w:overflowPunct w:val="0"/>
      <w:autoSpaceDE w:val="0"/>
      <w:autoSpaceDN w:val="0"/>
      <w:adjustRightInd w:val="0"/>
      <w:spacing w:before="120"/>
    </w:pPr>
    <w:rPr>
      <w:rFonts w:ascii="Times New Roman" w:eastAsia="Times New Roman" w:hAnsi="Times New Roman" w:cs="Times New Roman"/>
      <w:szCs w:val="20"/>
      <w:lang w:val="en-AU" w:eastAsia="en-US"/>
    </w:rPr>
  </w:style>
  <w:style w:type="paragraph" w:customStyle="1" w:styleId="DraftHeading4">
    <w:name w:val="Draft Heading 4"/>
    <w:basedOn w:val="Normal"/>
    <w:next w:val="Normal"/>
    <w:rsid w:val="00981269"/>
    <w:pPr>
      <w:overflowPunct w:val="0"/>
      <w:autoSpaceDE w:val="0"/>
      <w:autoSpaceDN w:val="0"/>
      <w:adjustRightInd w:val="0"/>
      <w:spacing w:before="120"/>
    </w:pPr>
    <w:rPr>
      <w:rFonts w:ascii="Times New Roman" w:eastAsia="Times New Roman" w:hAnsi="Times New Roman" w:cs="Times New Roman"/>
      <w:szCs w:val="20"/>
      <w:lang w:val="en-AU" w:eastAsia="en-US"/>
    </w:rPr>
  </w:style>
  <w:style w:type="paragraph" w:customStyle="1" w:styleId="BodySection">
    <w:name w:val="Body Section"/>
    <w:next w:val="Normal"/>
    <w:rsid w:val="00D218F5"/>
    <w:pPr>
      <w:overflowPunct w:val="0"/>
      <w:autoSpaceDE w:val="0"/>
      <w:autoSpaceDN w:val="0"/>
      <w:adjustRightInd w:val="0"/>
      <w:spacing w:before="120"/>
      <w:ind w:left="1361"/>
    </w:pPr>
    <w:rPr>
      <w:rFonts w:ascii="Times New Roman" w:eastAsia="Times New Roman" w:hAnsi="Times New Roman" w:cs="Times New Roman"/>
      <w:szCs w:val="20"/>
      <w:lang w:val="en-AU" w:eastAsia="en-US"/>
    </w:rPr>
  </w:style>
  <w:style w:type="paragraph" w:customStyle="1" w:styleId="DraftHeading1">
    <w:name w:val="Draft Heading 1"/>
    <w:basedOn w:val="Normal"/>
    <w:next w:val="Normal"/>
    <w:rsid w:val="00D218F5"/>
    <w:pPr>
      <w:overflowPunct w:val="0"/>
      <w:autoSpaceDE w:val="0"/>
      <w:autoSpaceDN w:val="0"/>
      <w:adjustRightInd w:val="0"/>
      <w:spacing w:before="120"/>
      <w:outlineLvl w:val="2"/>
    </w:pPr>
    <w:rPr>
      <w:rFonts w:ascii="Times New Roman" w:eastAsia="Times New Roman" w:hAnsi="Times New Roman" w:cs="Times New Roman"/>
      <w:b/>
      <w:szCs w:val="20"/>
      <w:lang w:val="en-AU" w:eastAsia="en-US"/>
    </w:rPr>
  </w:style>
  <w:style w:type="paragraph" w:customStyle="1" w:styleId="Penalty">
    <w:name w:val="Penalty"/>
    <w:next w:val="Normal"/>
    <w:rsid w:val="00D218F5"/>
    <w:pPr>
      <w:tabs>
        <w:tab w:val="left" w:pos="851"/>
        <w:tab w:val="left" w:pos="1361"/>
        <w:tab w:val="left" w:pos="1871"/>
        <w:tab w:val="decimal" w:pos="2381"/>
        <w:tab w:val="decimal" w:pos="2892"/>
        <w:tab w:val="decimal" w:pos="3402"/>
      </w:tabs>
      <w:overflowPunct w:val="0"/>
      <w:autoSpaceDE w:val="0"/>
      <w:autoSpaceDN w:val="0"/>
      <w:adjustRightInd w:val="0"/>
      <w:spacing w:before="120"/>
      <w:ind w:left="2382" w:hanging="1021"/>
    </w:pPr>
    <w:rPr>
      <w:rFonts w:ascii="Times New Roman" w:eastAsia="Times New Roman" w:hAnsi="Times New Roman" w:cs="Times New Roman"/>
      <w:szCs w:val="20"/>
      <w:lang w:val="en-AU" w:eastAsia="en-US"/>
    </w:rPr>
  </w:style>
  <w:style w:type="paragraph" w:styleId="BalloonText">
    <w:name w:val="Balloon Text"/>
    <w:basedOn w:val="Normal"/>
    <w:link w:val="BalloonTextChar"/>
    <w:uiPriority w:val="99"/>
    <w:semiHidden/>
    <w:unhideWhenUsed/>
    <w:rsid w:val="003013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13B9"/>
    <w:rPr>
      <w:rFonts w:ascii="Lucida Grande" w:hAnsi="Lucida Grande" w:cs="Lucida Grande"/>
      <w:sz w:val="18"/>
      <w:szCs w:val="18"/>
    </w:rPr>
  </w:style>
  <w:style w:type="paragraph" w:styleId="TOC1">
    <w:name w:val="toc 1"/>
    <w:basedOn w:val="Normal"/>
    <w:next w:val="Normal"/>
    <w:autoRedefine/>
    <w:uiPriority w:val="39"/>
    <w:unhideWhenUsed/>
    <w:rsid w:val="001D48EB"/>
    <w:pPr>
      <w:tabs>
        <w:tab w:val="left" w:pos="352"/>
        <w:tab w:val="left" w:pos="382"/>
        <w:tab w:val="right" w:leader="dot" w:pos="8290"/>
      </w:tabs>
      <w:spacing w:before="120"/>
    </w:pPr>
    <w:rPr>
      <w:rFonts w:asciiTheme="majorHAnsi" w:hAnsiTheme="majorHAnsi"/>
      <w:b/>
      <w:noProof/>
      <w:sz w:val="22"/>
      <w:szCs w:val="22"/>
      <w:lang w:val="en-AU"/>
    </w:rPr>
  </w:style>
  <w:style w:type="paragraph" w:styleId="TOC2">
    <w:name w:val="toc 2"/>
    <w:basedOn w:val="Normal"/>
    <w:next w:val="Normal"/>
    <w:autoRedefine/>
    <w:uiPriority w:val="39"/>
    <w:unhideWhenUsed/>
    <w:rsid w:val="0084461B"/>
    <w:pPr>
      <w:ind w:left="240"/>
    </w:pPr>
    <w:rPr>
      <w:b/>
      <w:sz w:val="22"/>
      <w:szCs w:val="22"/>
    </w:rPr>
  </w:style>
  <w:style w:type="paragraph" w:styleId="TOC3">
    <w:name w:val="toc 3"/>
    <w:basedOn w:val="Normal"/>
    <w:next w:val="Normal"/>
    <w:autoRedefine/>
    <w:uiPriority w:val="39"/>
    <w:unhideWhenUsed/>
    <w:rsid w:val="0084461B"/>
    <w:pPr>
      <w:ind w:left="480"/>
    </w:pPr>
    <w:rPr>
      <w:sz w:val="22"/>
      <w:szCs w:val="22"/>
    </w:rPr>
  </w:style>
  <w:style w:type="paragraph" w:styleId="TOC4">
    <w:name w:val="toc 4"/>
    <w:basedOn w:val="Normal"/>
    <w:next w:val="Normal"/>
    <w:autoRedefine/>
    <w:uiPriority w:val="39"/>
    <w:unhideWhenUsed/>
    <w:rsid w:val="0084461B"/>
    <w:pPr>
      <w:ind w:left="720"/>
    </w:pPr>
    <w:rPr>
      <w:sz w:val="20"/>
      <w:szCs w:val="20"/>
    </w:rPr>
  </w:style>
  <w:style w:type="paragraph" w:styleId="TOC5">
    <w:name w:val="toc 5"/>
    <w:basedOn w:val="Normal"/>
    <w:next w:val="Normal"/>
    <w:autoRedefine/>
    <w:uiPriority w:val="39"/>
    <w:unhideWhenUsed/>
    <w:rsid w:val="0084461B"/>
    <w:pPr>
      <w:ind w:left="960"/>
    </w:pPr>
    <w:rPr>
      <w:sz w:val="20"/>
      <w:szCs w:val="20"/>
    </w:rPr>
  </w:style>
  <w:style w:type="paragraph" w:styleId="TOC6">
    <w:name w:val="toc 6"/>
    <w:basedOn w:val="Normal"/>
    <w:next w:val="Normal"/>
    <w:autoRedefine/>
    <w:uiPriority w:val="39"/>
    <w:unhideWhenUsed/>
    <w:rsid w:val="0084461B"/>
    <w:pPr>
      <w:ind w:left="1200"/>
    </w:pPr>
    <w:rPr>
      <w:sz w:val="20"/>
      <w:szCs w:val="20"/>
    </w:rPr>
  </w:style>
  <w:style w:type="paragraph" w:styleId="TOC7">
    <w:name w:val="toc 7"/>
    <w:basedOn w:val="Normal"/>
    <w:next w:val="Normal"/>
    <w:autoRedefine/>
    <w:uiPriority w:val="39"/>
    <w:unhideWhenUsed/>
    <w:rsid w:val="0084461B"/>
    <w:pPr>
      <w:ind w:left="1440"/>
    </w:pPr>
    <w:rPr>
      <w:sz w:val="20"/>
      <w:szCs w:val="20"/>
    </w:rPr>
  </w:style>
  <w:style w:type="paragraph" w:styleId="TOC8">
    <w:name w:val="toc 8"/>
    <w:basedOn w:val="Normal"/>
    <w:next w:val="Normal"/>
    <w:autoRedefine/>
    <w:uiPriority w:val="39"/>
    <w:unhideWhenUsed/>
    <w:rsid w:val="0084461B"/>
    <w:pPr>
      <w:ind w:left="1680"/>
    </w:pPr>
    <w:rPr>
      <w:sz w:val="20"/>
      <w:szCs w:val="20"/>
    </w:rPr>
  </w:style>
  <w:style w:type="paragraph" w:styleId="TOC9">
    <w:name w:val="toc 9"/>
    <w:basedOn w:val="Normal"/>
    <w:next w:val="Normal"/>
    <w:autoRedefine/>
    <w:uiPriority w:val="39"/>
    <w:unhideWhenUsed/>
    <w:rsid w:val="0084461B"/>
    <w:pPr>
      <w:ind w:left="1920"/>
    </w:pPr>
    <w:rPr>
      <w:sz w:val="20"/>
      <w:szCs w:val="20"/>
    </w:rPr>
  </w:style>
  <w:style w:type="paragraph" w:customStyle="1" w:styleId="ShoulderReference">
    <w:name w:val="Shoulder Reference"/>
    <w:next w:val="Normal"/>
    <w:rsid w:val="009B6E8F"/>
    <w:pPr>
      <w:framePr w:w="964" w:h="340" w:hSpace="180" w:vSpace="180" w:wrap="around" w:vAnchor="page" w:hAnchor="page" w:xAlign="inside" w:y="2553" w:anchorLock="1"/>
      <w:pBdr>
        <w:top w:val="single" w:sz="6" w:space="1" w:color="auto"/>
        <w:left w:val="single" w:sz="6" w:space="1" w:color="auto"/>
        <w:bottom w:val="single" w:sz="6" w:space="1" w:color="auto"/>
        <w:right w:val="single" w:sz="6" w:space="1" w:color="auto"/>
      </w:pBdr>
      <w:overflowPunct w:val="0"/>
      <w:autoSpaceDE w:val="0"/>
      <w:autoSpaceDN w:val="0"/>
      <w:adjustRightInd w:val="0"/>
      <w:ind w:left="85"/>
    </w:pPr>
    <w:rPr>
      <w:rFonts w:ascii="Times New Roman" w:eastAsia="Times New Roman" w:hAnsi="Times New Roman" w:cs="Times New Roman"/>
      <w:b/>
      <w:noProof/>
      <w:spacing w:val="-6"/>
      <w:sz w:val="20"/>
      <w:szCs w:val="20"/>
      <w:lang w:val="en-AU" w:eastAsia="en-US"/>
    </w:rPr>
  </w:style>
  <w:style w:type="paragraph" w:customStyle="1" w:styleId="SideNote">
    <w:name w:val="Side Note"/>
    <w:basedOn w:val="Normal"/>
    <w:rsid w:val="00CC066E"/>
    <w:pPr>
      <w:framePr w:w="964" w:h="340" w:hSpace="180" w:vSpace="180" w:wrap="around" w:vAnchor="text" w:hAnchor="page" w:xAlign="inside" w:y="1"/>
      <w:suppressLineNumbers/>
      <w:overflowPunct w:val="0"/>
      <w:autoSpaceDE w:val="0"/>
      <w:autoSpaceDN w:val="0"/>
      <w:adjustRightInd w:val="0"/>
      <w:spacing w:before="120"/>
    </w:pPr>
    <w:rPr>
      <w:rFonts w:ascii="Arial" w:eastAsia="Times New Roman" w:hAnsi="Arial" w:cs="Times New Roman"/>
      <w:b/>
      <w:spacing w:val="-10"/>
      <w:sz w:val="16"/>
      <w:szCs w:val="20"/>
      <w:lang w:val="en-AU" w:eastAsia="en-US"/>
    </w:rPr>
  </w:style>
  <w:style w:type="paragraph" w:customStyle="1" w:styleId="Stars">
    <w:name w:val="Stars"/>
    <w:basedOn w:val="Normal"/>
    <w:next w:val="Normal"/>
    <w:rsid w:val="00CC066E"/>
    <w:pPr>
      <w:tabs>
        <w:tab w:val="right" w:pos="1418"/>
        <w:tab w:val="right" w:pos="2552"/>
        <w:tab w:val="right" w:pos="3686"/>
        <w:tab w:val="right" w:pos="4820"/>
        <w:tab w:val="right" w:pos="5954"/>
      </w:tabs>
      <w:overflowPunct w:val="0"/>
      <w:autoSpaceDE w:val="0"/>
      <w:autoSpaceDN w:val="0"/>
      <w:adjustRightInd w:val="0"/>
      <w:spacing w:before="120"/>
      <w:ind w:left="851"/>
    </w:pPr>
    <w:rPr>
      <w:rFonts w:ascii="Times New Roman" w:eastAsia="Times New Roman" w:hAnsi="Times New Roman" w:cs="Times New Roman"/>
      <w:szCs w:val="20"/>
      <w:lang w:val="en-AU" w:eastAsia="en-US"/>
    </w:rPr>
  </w:style>
  <w:style w:type="paragraph" w:customStyle="1" w:styleId="Char">
    <w:name w:val="Char"/>
    <w:basedOn w:val="Normal"/>
    <w:rsid w:val="00EF6D68"/>
    <w:rPr>
      <w:rFonts w:ascii="Arial" w:eastAsia="Times New Roman" w:hAnsi="Arial" w:cs="Arial"/>
      <w:sz w:val="22"/>
      <w:szCs w:val="22"/>
      <w:lang w:val="en-AU" w:eastAsia="en-US"/>
    </w:rPr>
  </w:style>
  <w:style w:type="table" w:styleId="TableGrid">
    <w:name w:val="Table Grid"/>
    <w:basedOn w:val="TableNormal"/>
    <w:uiPriority w:val="59"/>
    <w:rsid w:val="00EB11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6">
    <w:name w:val="Medium Shading 1 Accent 6"/>
    <w:basedOn w:val="TableNormal"/>
    <w:uiPriority w:val="63"/>
    <w:rsid w:val="00EB115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customStyle="1" w:styleId="EPANormal">
    <w:name w:val="EPA Normal"/>
    <w:basedOn w:val="Normal"/>
    <w:uiPriority w:val="2"/>
    <w:qFormat/>
    <w:rsid w:val="00A16ACA"/>
    <w:rPr>
      <w:rFonts w:ascii="Times New Roman" w:eastAsia="Times New Roman" w:hAnsi="Times New Roman" w:cs="Times New Roman"/>
      <w:szCs w:val="20"/>
      <w:lang w:val="en-AU" w:eastAsia="en-US"/>
    </w:rPr>
  </w:style>
  <w:style w:type="paragraph" w:customStyle="1" w:styleId="BodyText2">
    <w:name w:val="Body Text2"/>
    <w:basedOn w:val="Normal"/>
    <w:rsid w:val="00B516CE"/>
    <w:pPr>
      <w:spacing w:after="80" w:line="220" w:lineRule="exact"/>
    </w:pPr>
    <w:rPr>
      <w:rFonts w:ascii="Interstate-Light" w:eastAsia="Times New Roman" w:hAnsi="Interstate-Light" w:cs="Times New Roman"/>
      <w:sz w:val="18"/>
      <w:szCs w:val="20"/>
      <w:lang w:val="en-AU" w:eastAsia="en-US"/>
    </w:rPr>
  </w:style>
  <w:style w:type="paragraph" w:styleId="NormalWeb">
    <w:name w:val="Normal (Web)"/>
    <w:basedOn w:val="Normal"/>
    <w:uiPriority w:val="99"/>
    <w:rsid w:val="004E7283"/>
    <w:pPr>
      <w:spacing w:before="100" w:beforeAutospacing="1" w:after="100" w:afterAutospacing="1"/>
    </w:pPr>
    <w:rPr>
      <w:rFonts w:ascii="Times New Roman" w:eastAsia="Times New Roman" w:hAnsi="Times New Roman" w:cs="Times New Roman"/>
      <w:lang w:val="en-AU" w:eastAsia="en-AU"/>
    </w:rPr>
  </w:style>
  <w:style w:type="paragraph" w:customStyle="1" w:styleId="Fill">
    <w:name w:val="Fill"/>
    <w:basedOn w:val="Normal"/>
    <w:uiPriority w:val="8"/>
    <w:rsid w:val="004E7283"/>
    <w:pPr>
      <w:spacing w:after="80" w:line="240" w:lineRule="exact"/>
    </w:pPr>
    <w:rPr>
      <w:rFonts w:ascii="Arial" w:eastAsiaTheme="minorHAnsi" w:hAnsi="Arial"/>
      <w:sz w:val="22"/>
      <w:szCs w:val="20"/>
      <w:lang w:val="en-AU" w:eastAsia="en-US"/>
    </w:rPr>
  </w:style>
  <w:style w:type="paragraph" w:customStyle="1" w:styleId="Default">
    <w:name w:val="Default"/>
    <w:rsid w:val="000C278D"/>
    <w:pPr>
      <w:widowControl w:val="0"/>
      <w:autoSpaceDE w:val="0"/>
      <w:autoSpaceDN w:val="0"/>
      <w:adjustRightInd w:val="0"/>
    </w:pPr>
    <w:rPr>
      <w:rFonts w:ascii="Times New Roman" w:hAnsi="Times New Roman" w:cs="Times New Roman"/>
      <w:color w:val="000000"/>
    </w:rPr>
  </w:style>
  <w:style w:type="paragraph" w:customStyle="1" w:styleId="Tablehead">
    <w:name w:val="Table head"/>
    <w:basedOn w:val="Normal"/>
    <w:rsid w:val="005E287C"/>
    <w:pPr>
      <w:spacing w:before="120" w:after="120" w:line="210" w:lineRule="exact"/>
      <w:jc w:val="center"/>
    </w:pPr>
    <w:rPr>
      <w:rFonts w:ascii="MetaBold-Roman" w:eastAsia="Times New Roman" w:hAnsi="MetaBold-Roman" w:cs="Times New Roman"/>
      <w:color w:val="666699"/>
      <w:sz w:val="18"/>
      <w:szCs w:val="20"/>
      <w:lang w:val="en-AU" w:eastAsia="en-US"/>
    </w:rPr>
  </w:style>
  <w:style w:type="table" w:styleId="LightShading-Accent5">
    <w:name w:val="Light Shading Accent 5"/>
    <w:basedOn w:val="TableNormal"/>
    <w:uiPriority w:val="60"/>
    <w:rsid w:val="003467F0"/>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Accent11">
    <w:name w:val="Light Shading - Accent 11"/>
    <w:basedOn w:val="TableNormal"/>
    <w:uiPriority w:val="60"/>
    <w:rsid w:val="003467F0"/>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unhideWhenUsed/>
    <w:rsid w:val="00DB3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AU" w:eastAsia="en-US"/>
    </w:rPr>
  </w:style>
  <w:style w:type="character" w:customStyle="1" w:styleId="HTMLPreformattedChar">
    <w:name w:val="HTML Preformatted Char"/>
    <w:basedOn w:val="DefaultParagraphFont"/>
    <w:link w:val="HTMLPreformatted"/>
    <w:uiPriority w:val="99"/>
    <w:rsid w:val="00DB39D0"/>
    <w:rPr>
      <w:rFonts w:ascii="Courier" w:hAnsi="Courier" w:cs="Courier"/>
      <w:sz w:val="20"/>
      <w:szCs w:val="20"/>
      <w:lang w:val="en-AU" w:eastAsia="en-US"/>
    </w:rPr>
  </w:style>
  <w:style w:type="character" w:styleId="CommentReference">
    <w:name w:val="annotation reference"/>
    <w:basedOn w:val="DefaultParagraphFont"/>
    <w:uiPriority w:val="99"/>
    <w:semiHidden/>
    <w:unhideWhenUsed/>
    <w:rsid w:val="00C40256"/>
    <w:rPr>
      <w:sz w:val="16"/>
      <w:szCs w:val="16"/>
    </w:rPr>
  </w:style>
  <w:style w:type="paragraph" w:styleId="CommentText">
    <w:name w:val="annotation text"/>
    <w:basedOn w:val="Normal"/>
    <w:link w:val="CommentTextChar"/>
    <w:uiPriority w:val="99"/>
    <w:semiHidden/>
    <w:unhideWhenUsed/>
    <w:rsid w:val="00C40256"/>
    <w:rPr>
      <w:sz w:val="20"/>
      <w:szCs w:val="20"/>
    </w:rPr>
  </w:style>
  <w:style w:type="character" w:customStyle="1" w:styleId="CommentTextChar">
    <w:name w:val="Comment Text Char"/>
    <w:basedOn w:val="DefaultParagraphFont"/>
    <w:link w:val="CommentText"/>
    <w:uiPriority w:val="99"/>
    <w:semiHidden/>
    <w:rsid w:val="00C40256"/>
    <w:rPr>
      <w:sz w:val="20"/>
      <w:szCs w:val="20"/>
    </w:rPr>
  </w:style>
  <w:style w:type="paragraph" w:styleId="CommentSubject">
    <w:name w:val="annotation subject"/>
    <w:basedOn w:val="CommentText"/>
    <w:next w:val="CommentText"/>
    <w:link w:val="CommentSubjectChar"/>
    <w:uiPriority w:val="99"/>
    <w:semiHidden/>
    <w:unhideWhenUsed/>
    <w:rsid w:val="00C40256"/>
    <w:rPr>
      <w:b/>
      <w:bCs/>
    </w:rPr>
  </w:style>
  <w:style w:type="character" w:customStyle="1" w:styleId="CommentSubjectChar">
    <w:name w:val="Comment Subject Char"/>
    <w:basedOn w:val="CommentTextChar"/>
    <w:link w:val="CommentSubject"/>
    <w:uiPriority w:val="99"/>
    <w:semiHidden/>
    <w:rsid w:val="00C40256"/>
    <w:rPr>
      <w:b/>
      <w:bCs/>
      <w:sz w:val="20"/>
      <w:szCs w:val="20"/>
    </w:rPr>
  </w:style>
  <w:style w:type="paragraph" w:styleId="Revision">
    <w:name w:val="Revision"/>
    <w:hidden/>
    <w:uiPriority w:val="99"/>
    <w:semiHidden/>
    <w:rsid w:val="00073786"/>
  </w:style>
  <w:style w:type="paragraph" w:customStyle="1" w:styleId="Bullet">
    <w:name w:val="Bullet"/>
    <w:basedOn w:val="BodyText"/>
    <w:rsid w:val="001D576F"/>
    <w:pPr>
      <w:numPr>
        <w:numId w:val="2"/>
      </w:numPr>
    </w:pPr>
  </w:style>
  <w:style w:type="paragraph" w:styleId="BodyText">
    <w:name w:val="Body Text"/>
    <w:basedOn w:val="Normal"/>
    <w:link w:val="BodyTextChar"/>
    <w:rsid w:val="001D576F"/>
    <w:pPr>
      <w:spacing w:after="240"/>
      <w:jc w:val="both"/>
    </w:pPr>
    <w:rPr>
      <w:rFonts w:ascii="Arial" w:eastAsia="Times New Roman" w:hAnsi="Arial" w:cs="Times New Roman"/>
      <w:sz w:val="20"/>
      <w:szCs w:val="20"/>
      <w:lang w:val="en-AU" w:eastAsia="en-US"/>
    </w:rPr>
  </w:style>
  <w:style w:type="character" w:customStyle="1" w:styleId="BodyTextChar">
    <w:name w:val="Body Text Char"/>
    <w:basedOn w:val="DefaultParagraphFont"/>
    <w:link w:val="BodyText"/>
    <w:rsid w:val="001D576F"/>
    <w:rPr>
      <w:rFonts w:ascii="Arial" w:eastAsia="Times New Roman" w:hAnsi="Arial" w:cs="Times New Roman"/>
      <w:sz w:val="20"/>
      <w:szCs w:val="20"/>
      <w:lang w:val="en-AU" w:eastAsia="en-US"/>
    </w:rPr>
  </w:style>
  <w:style w:type="table" w:styleId="MediumList2-Accent1">
    <w:name w:val="Medium List 2 Accent 1"/>
    <w:basedOn w:val="TableNormal"/>
    <w:uiPriority w:val="66"/>
    <w:rsid w:val="007E658F"/>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HTMLTypewriter">
    <w:name w:val="HTML Typewriter"/>
    <w:basedOn w:val="DefaultParagraphFont"/>
    <w:uiPriority w:val="99"/>
    <w:semiHidden/>
    <w:unhideWhenUsed/>
    <w:rsid w:val="00AE7F23"/>
    <w:rPr>
      <w:rFonts w:ascii="Courier" w:eastAsiaTheme="minorEastAsia" w:hAnsi="Courier" w:cs="Courier"/>
      <w:sz w:val="20"/>
      <w:szCs w:val="20"/>
    </w:rPr>
  </w:style>
  <w:style w:type="character" w:customStyle="1" w:styleId="citation">
    <w:name w:val="citation"/>
    <w:basedOn w:val="DefaultParagraphFont"/>
    <w:rsid w:val="00537D98"/>
  </w:style>
  <w:style w:type="character" w:customStyle="1" w:styleId="reference-text">
    <w:name w:val="reference-text"/>
    <w:basedOn w:val="DefaultParagraphFont"/>
    <w:rsid w:val="00946E6A"/>
  </w:style>
  <w:style w:type="table" w:customStyle="1" w:styleId="Standard">
    <w:name w:val="Standard"/>
    <w:basedOn w:val="TableProfessional"/>
    <w:uiPriority w:val="99"/>
    <w:rsid w:val="00083A96"/>
    <w:rPr>
      <w:rFonts w:ascii="Arial" w:hAnsi="Arial"/>
      <w:sz w:val="20"/>
      <w:szCs w:val="20"/>
      <w:lang w:val="en-AU" w:eastAsia="en-US"/>
    </w:rPr>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cPr>
    <w:tblStylePr w:type="firstRow">
      <w:rPr>
        <w:b/>
        <w:bCs/>
        <w:color w:val="auto"/>
      </w:rPr>
      <w:tblPr/>
      <w:tcPr>
        <w:tcBorders>
          <w:top w:val="nil"/>
          <w:left w:val="nil"/>
          <w:bottom w:val="nil"/>
          <w:right w:val="nil"/>
          <w:insideH w:val="nil"/>
          <w:insideV w:val="nil"/>
          <w:tl2br w:val="nil"/>
          <w:tr2bl w:val="nil"/>
        </w:tcBorders>
        <w:shd w:val="clear" w:color="auto" w:fill="000080"/>
      </w:tcPr>
    </w:tblStylePr>
  </w:style>
  <w:style w:type="table" w:customStyle="1" w:styleId="MediumShading21">
    <w:name w:val="Medium Shading 21"/>
    <w:basedOn w:val="TableNormal"/>
    <w:uiPriority w:val="64"/>
    <w:rsid w:val="00083A9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Shading1">
    <w:name w:val="Light Shading1"/>
    <w:basedOn w:val="TableNormal"/>
    <w:uiPriority w:val="60"/>
    <w:rsid w:val="00083A9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tyle1">
    <w:name w:val="Style1"/>
    <w:basedOn w:val="TableProfessional"/>
    <w:uiPriority w:val="99"/>
    <w:rsid w:val="005F7420"/>
    <w:tblPr>
      <w:tblInd w:w="0" w:type="dxa"/>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6E6"/>
    </w:tcPr>
    <w:tblStylePr w:type="firstRow">
      <w:rPr>
        <w:b/>
        <w:bCs/>
        <w:color w:val="auto"/>
      </w:rPr>
      <w:tblPr/>
      <w:tcPr>
        <w:tcBorders>
          <w:top w:val="nil"/>
          <w:left w:val="nil"/>
          <w:bottom w:val="nil"/>
          <w:right w:val="nil"/>
          <w:insideH w:val="nil"/>
          <w:insideV w:val="nil"/>
          <w:tl2br w:val="nil"/>
          <w:tr2bl w:val="nil"/>
        </w:tcBorders>
        <w:shd w:val="clear" w:color="auto" w:fill="000091"/>
      </w:tcPr>
    </w:tblStylePr>
  </w:style>
  <w:style w:type="table" w:styleId="TableProfessional">
    <w:name w:val="Table Professional"/>
    <w:basedOn w:val="TableNormal"/>
    <w:uiPriority w:val="99"/>
    <w:semiHidden/>
    <w:unhideWhenUsed/>
    <w:rsid w:val="00083A9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customStyle="1" w:styleId="CM55">
    <w:name w:val="CM55"/>
    <w:basedOn w:val="Normal"/>
    <w:next w:val="Normal"/>
    <w:uiPriority w:val="99"/>
    <w:rsid w:val="00AF112D"/>
    <w:pPr>
      <w:widowControl w:val="0"/>
      <w:autoSpaceDE w:val="0"/>
      <w:autoSpaceDN w:val="0"/>
      <w:adjustRightInd w:val="0"/>
    </w:pPr>
    <w:rPr>
      <w:rFonts w:ascii="Verdana" w:hAnsi="Verdana" w:cs="Times New Roman"/>
      <w:lang w:eastAsia="en-US"/>
    </w:rPr>
  </w:style>
  <w:style w:type="paragraph" w:customStyle="1" w:styleId="CM54">
    <w:name w:val="CM54"/>
    <w:basedOn w:val="Normal"/>
    <w:next w:val="Normal"/>
    <w:uiPriority w:val="99"/>
    <w:rsid w:val="00AF112D"/>
    <w:pPr>
      <w:widowControl w:val="0"/>
      <w:autoSpaceDE w:val="0"/>
      <w:autoSpaceDN w:val="0"/>
      <w:adjustRightInd w:val="0"/>
    </w:pPr>
    <w:rPr>
      <w:rFonts w:ascii="Verdana" w:hAnsi="Verdana" w:cs="Times New Roman"/>
      <w:lang w:eastAsia="en-US"/>
    </w:rPr>
  </w:style>
  <w:style w:type="paragraph" w:customStyle="1" w:styleId="CM52">
    <w:name w:val="CM52"/>
    <w:basedOn w:val="Default"/>
    <w:next w:val="Default"/>
    <w:uiPriority w:val="99"/>
    <w:rsid w:val="00AF112D"/>
    <w:rPr>
      <w:rFonts w:ascii="Praxis Regular/Regular SC" w:hAnsi="Praxis Regular/Regular SC"/>
      <w:color w:val="auto"/>
      <w:lang w:eastAsia="en-US"/>
    </w:rPr>
  </w:style>
  <w:style w:type="paragraph" w:customStyle="1" w:styleId="FigureTablefootnote">
    <w:name w:val="Figure/Table footnote"/>
    <w:basedOn w:val="Normal"/>
    <w:next w:val="FigureTablenote"/>
    <w:uiPriority w:val="13"/>
    <w:qFormat/>
    <w:rsid w:val="00D76BE7"/>
    <w:pPr>
      <w:keepLines/>
      <w:tabs>
        <w:tab w:val="num" w:pos="0"/>
      </w:tabs>
      <w:spacing w:before="40" w:after="40"/>
      <w:ind w:left="283" w:hanging="283"/>
    </w:pPr>
    <w:rPr>
      <w:rFonts w:ascii="Arial" w:eastAsia="Times New Roman" w:hAnsi="Arial" w:cs="Times New Roman"/>
      <w:kern w:val="14"/>
      <w:sz w:val="17"/>
      <w:szCs w:val="17"/>
      <w:lang w:val="en-AU" w:eastAsia="en-US"/>
    </w:rPr>
  </w:style>
  <w:style w:type="paragraph" w:customStyle="1" w:styleId="FigureTableheading">
    <w:name w:val="Figure/Table heading"/>
    <w:basedOn w:val="Normal"/>
    <w:next w:val="Normal"/>
    <w:uiPriority w:val="12"/>
    <w:qFormat/>
    <w:rsid w:val="00D76BE7"/>
    <w:pPr>
      <w:keepNext/>
      <w:keepLines/>
      <w:tabs>
        <w:tab w:val="num" w:pos="0"/>
      </w:tabs>
      <w:spacing w:before="240" w:after="40" w:line="260" w:lineRule="exact"/>
      <w:jc w:val="center"/>
    </w:pPr>
    <w:rPr>
      <w:rFonts w:ascii="Arial Bold" w:eastAsia="Times New Roman" w:hAnsi="Arial Bold" w:cs="Times New Roman"/>
      <w:b/>
      <w:kern w:val="14"/>
      <w:sz w:val="20"/>
      <w:szCs w:val="20"/>
      <w:lang w:val="en-AU" w:eastAsia="en-US"/>
    </w:rPr>
  </w:style>
  <w:style w:type="paragraph" w:customStyle="1" w:styleId="FigureTablenote">
    <w:name w:val="Figure/Table note"/>
    <w:basedOn w:val="Normal"/>
    <w:next w:val="FigureTablesource"/>
    <w:uiPriority w:val="14"/>
    <w:qFormat/>
    <w:rsid w:val="00D76BE7"/>
    <w:pPr>
      <w:keepLines/>
      <w:tabs>
        <w:tab w:val="num" w:pos="0"/>
      </w:tabs>
      <w:spacing w:before="40" w:after="40"/>
    </w:pPr>
    <w:rPr>
      <w:rFonts w:ascii="Arial" w:eastAsia="Times New Roman" w:hAnsi="Arial" w:cs="Times New Roman"/>
      <w:kern w:val="14"/>
      <w:sz w:val="17"/>
      <w:szCs w:val="17"/>
      <w:lang w:val="en-AU" w:eastAsia="en-US"/>
    </w:rPr>
  </w:style>
  <w:style w:type="paragraph" w:customStyle="1" w:styleId="FigureTablesource">
    <w:name w:val="Figure/Table source"/>
    <w:basedOn w:val="Normal"/>
    <w:next w:val="Normal"/>
    <w:uiPriority w:val="15"/>
    <w:qFormat/>
    <w:rsid w:val="00D76BE7"/>
    <w:pPr>
      <w:keepLines/>
      <w:tabs>
        <w:tab w:val="num" w:pos="0"/>
      </w:tabs>
      <w:spacing w:before="40" w:after="240"/>
    </w:pPr>
    <w:rPr>
      <w:rFonts w:ascii="Arial" w:eastAsia="Times New Roman" w:hAnsi="Arial" w:cs="Times New Roman"/>
      <w:kern w:val="14"/>
      <w:sz w:val="17"/>
      <w:szCs w:val="17"/>
      <w:lang w:val="en-AU" w:eastAsia="en-US"/>
    </w:rPr>
  </w:style>
  <w:style w:type="paragraph" w:customStyle="1" w:styleId="Clause">
    <w:name w:val="Clause"/>
    <w:basedOn w:val="Normal"/>
    <w:next w:val="Normal"/>
    <w:link w:val="ClauseChar"/>
    <w:rsid w:val="008B4829"/>
    <w:pPr>
      <w:suppressLineNumbers/>
      <w:tabs>
        <w:tab w:val="left" w:pos="426"/>
        <w:tab w:val="left" w:pos="992"/>
        <w:tab w:val="left" w:pos="1559"/>
        <w:tab w:val="left" w:pos="2126"/>
        <w:tab w:val="left" w:pos="2693"/>
        <w:tab w:val="left" w:pos="3260"/>
      </w:tabs>
      <w:overflowPunct w:val="0"/>
      <w:autoSpaceDE w:val="0"/>
      <w:autoSpaceDN w:val="0"/>
      <w:adjustRightInd w:val="0"/>
      <w:spacing w:before="180" w:line="264" w:lineRule="auto"/>
      <w:ind w:left="964" w:hanging="964"/>
      <w:textAlignment w:val="baseline"/>
    </w:pPr>
    <w:rPr>
      <w:rFonts w:ascii="Times New Roman" w:eastAsia="Times New Roman" w:hAnsi="Times New Roman" w:cs="Times New Roman"/>
      <w:sz w:val="20"/>
      <w:szCs w:val="20"/>
      <w:lang w:val="en-AU" w:eastAsia="en-US"/>
    </w:rPr>
  </w:style>
  <w:style w:type="character" w:customStyle="1" w:styleId="ClauseChar">
    <w:name w:val="Clause Char"/>
    <w:basedOn w:val="DefaultParagraphFont"/>
    <w:link w:val="Clause"/>
    <w:rsid w:val="008B4829"/>
    <w:rPr>
      <w:rFonts w:ascii="Times New Roman" w:eastAsia="Times New Roman" w:hAnsi="Times New Roman" w:cs="Times New Roman"/>
      <w:sz w:val="20"/>
      <w:szCs w:val="20"/>
      <w:lang w:val="en-AU" w:eastAsia="en-US"/>
    </w:rPr>
  </w:style>
  <w:style w:type="table" w:customStyle="1" w:styleId="LightList-Accent11">
    <w:name w:val="Light List - Accent 11"/>
    <w:basedOn w:val="TableNormal"/>
    <w:uiPriority w:val="61"/>
    <w:rsid w:val="00B93D4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TMLCite">
    <w:name w:val="HTML Cite"/>
    <w:basedOn w:val="DefaultParagraphFont"/>
    <w:uiPriority w:val="99"/>
    <w:semiHidden/>
    <w:unhideWhenUsed/>
    <w:rsid w:val="001978F9"/>
    <w:rPr>
      <w:i/>
      <w:iCs/>
    </w:rPr>
  </w:style>
  <w:style w:type="character" w:customStyle="1" w:styleId="highlight">
    <w:name w:val="highlight"/>
    <w:basedOn w:val="DefaultParagraphFont"/>
    <w:rsid w:val="00B96DC6"/>
  </w:style>
  <w:style w:type="character" w:customStyle="1" w:styleId="includeassetsummary">
    <w:name w:val="include_asset_summary"/>
    <w:basedOn w:val="DefaultParagraphFont"/>
    <w:rsid w:val="00FB73BD"/>
  </w:style>
  <w:style w:type="table" w:customStyle="1" w:styleId="LightList-Accent111">
    <w:name w:val="Light List - Accent 111"/>
    <w:basedOn w:val="TableNormal"/>
    <w:uiPriority w:val="61"/>
    <w:rsid w:val="0006225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Indent2">
    <w:name w:val="Body Text Indent 2"/>
    <w:basedOn w:val="Normal"/>
    <w:link w:val="BodyTextIndent2Char"/>
    <w:semiHidden/>
    <w:rsid w:val="00956A21"/>
    <w:pPr>
      <w:spacing w:after="120" w:line="480" w:lineRule="auto"/>
      <w:ind w:left="283"/>
      <w:jc w:val="both"/>
    </w:pPr>
    <w:rPr>
      <w:rFonts w:ascii="Arial" w:eastAsia="Times New Roman" w:hAnsi="Arial" w:cs="Times New Roman"/>
      <w:sz w:val="22"/>
      <w:szCs w:val="20"/>
      <w:lang w:val="en-AU" w:eastAsia="en-US"/>
    </w:rPr>
  </w:style>
  <w:style w:type="character" w:customStyle="1" w:styleId="BodyTextIndent2Char">
    <w:name w:val="Body Text Indent 2 Char"/>
    <w:basedOn w:val="DefaultParagraphFont"/>
    <w:link w:val="BodyTextIndent2"/>
    <w:semiHidden/>
    <w:rsid w:val="00956A21"/>
    <w:rPr>
      <w:rFonts w:ascii="Arial" w:eastAsia="Times New Roman" w:hAnsi="Arial" w:cs="Times New Roman"/>
      <w:sz w:val="22"/>
      <w:szCs w:val="20"/>
      <w:lang w:val="en-AU" w:eastAsia="en-US"/>
    </w:rPr>
  </w:style>
  <w:style w:type="paragraph" w:styleId="ListBullet2">
    <w:name w:val="List Bullet 2"/>
    <w:basedOn w:val="Normal"/>
    <w:uiPriority w:val="99"/>
    <w:rsid w:val="008248C4"/>
    <w:pPr>
      <w:numPr>
        <w:numId w:val="58"/>
      </w:numPr>
      <w:spacing w:before="360" w:after="120"/>
    </w:pPr>
    <w:rPr>
      <w:rFonts w:ascii="Arial" w:eastAsia="Calibri" w:hAnsi="Arial" w:cs="Times New Roman"/>
      <w:b/>
      <w:sz w:val="22"/>
      <w:szCs w:val="22"/>
      <w:lang w:val="en-AU" w:eastAsia="en-US"/>
    </w:rPr>
  </w:style>
  <w:style w:type="paragraph" w:styleId="ListBullet3">
    <w:name w:val="List Bullet 3"/>
    <w:basedOn w:val="Normal"/>
    <w:uiPriority w:val="99"/>
    <w:rsid w:val="008248C4"/>
    <w:pPr>
      <w:numPr>
        <w:ilvl w:val="1"/>
        <w:numId w:val="58"/>
      </w:numPr>
      <w:spacing w:before="120" w:after="120"/>
    </w:pPr>
    <w:rPr>
      <w:rFonts w:ascii="Arial" w:eastAsia="Calibri" w:hAnsi="Arial" w:cs="Times New Roman"/>
      <w:sz w:val="22"/>
      <w:szCs w:val="22"/>
      <w:lang w:val="en-AU" w:eastAsia="en-US"/>
    </w:rPr>
  </w:style>
  <w:style w:type="paragraph" w:styleId="ListBullet4">
    <w:name w:val="List Bullet 4"/>
    <w:basedOn w:val="Normal"/>
    <w:uiPriority w:val="99"/>
    <w:rsid w:val="008248C4"/>
    <w:pPr>
      <w:numPr>
        <w:ilvl w:val="2"/>
        <w:numId w:val="58"/>
      </w:numPr>
      <w:spacing w:after="60"/>
      <w:jc w:val="both"/>
    </w:pPr>
    <w:rPr>
      <w:rFonts w:ascii="Arial" w:eastAsia="Calibri" w:hAnsi="Arial" w:cs="Times New Roman"/>
      <w:sz w:val="22"/>
      <w:szCs w:val="22"/>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828">
      <w:bodyDiv w:val="1"/>
      <w:marLeft w:val="0"/>
      <w:marRight w:val="0"/>
      <w:marTop w:val="0"/>
      <w:marBottom w:val="0"/>
      <w:divBdr>
        <w:top w:val="none" w:sz="0" w:space="0" w:color="auto"/>
        <w:left w:val="none" w:sz="0" w:space="0" w:color="auto"/>
        <w:bottom w:val="none" w:sz="0" w:space="0" w:color="auto"/>
        <w:right w:val="none" w:sz="0" w:space="0" w:color="auto"/>
      </w:divBdr>
      <w:divsChild>
        <w:div w:id="1317221803">
          <w:marLeft w:val="0"/>
          <w:marRight w:val="0"/>
          <w:marTop w:val="0"/>
          <w:marBottom w:val="0"/>
          <w:divBdr>
            <w:top w:val="none" w:sz="0" w:space="0" w:color="auto"/>
            <w:left w:val="none" w:sz="0" w:space="0" w:color="auto"/>
            <w:bottom w:val="none" w:sz="0" w:space="0" w:color="auto"/>
            <w:right w:val="single" w:sz="6" w:space="0" w:color="FFFFFF"/>
          </w:divBdr>
          <w:divsChild>
            <w:div w:id="2119178951">
              <w:marLeft w:val="0"/>
              <w:marRight w:val="0"/>
              <w:marTop w:val="0"/>
              <w:marBottom w:val="0"/>
              <w:divBdr>
                <w:top w:val="none" w:sz="0" w:space="0" w:color="auto"/>
                <w:left w:val="none" w:sz="0" w:space="0" w:color="auto"/>
                <w:bottom w:val="none" w:sz="0" w:space="0" w:color="auto"/>
                <w:right w:val="none" w:sz="0" w:space="0" w:color="auto"/>
              </w:divBdr>
              <w:divsChild>
                <w:div w:id="356349843">
                  <w:marLeft w:val="0"/>
                  <w:marRight w:val="0"/>
                  <w:marTop w:val="0"/>
                  <w:marBottom w:val="0"/>
                  <w:divBdr>
                    <w:top w:val="none" w:sz="0" w:space="0" w:color="auto"/>
                    <w:left w:val="none" w:sz="0" w:space="0" w:color="auto"/>
                    <w:bottom w:val="none" w:sz="0" w:space="0" w:color="auto"/>
                    <w:right w:val="none" w:sz="0" w:space="0" w:color="auto"/>
                  </w:divBdr>
                  <w:divsChild>
                    <w:div w:id="180376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28159">
      <w:bodyDiv w:val="1"/>
      <w:marLeft w:val="0"/>
      <w:marRight w:val="0"/>
      <w:marTop w:val="0"/>
      <w:marBottom w:val="0"/>
      <w:divBdr>
        <w:top w:val="none" w:sz="0" w:space="0" w:color="auto"/>
        <w:left w:val="none" w:sz="0" w:space="0" w:color="auto"/>
        <w:bottom w:val="none" w:sz="0" w:space="0" w:color="auto"/>
        <w:right w:val="none" w:sz="0" w:space="0" w:color="auto"/>
      </w:divBdr>
      <w:divsChild>
        <w:div w:id="1810973013">
          <w:marLeft w:val="0"/>
          <w:marRight w:val="0"/>
          <w:marTop w:val="0"/>
          <w:marBottom w:val="0"/>
          <w:divBdr>
            <w:top w:val="none" w:sz="0" w:space="0" w:color="auto"/>
            <w:left w:val="none" w:sz="0" w:space="0" w:color="auto"/>
            <w:bottom w:val="none" w:sz="0" w:space="0" w:color="auto"/>
            <w:right w:val="none" w:sz="0" w:space="0" w:color="auto"/>
          </w:divBdr>
          <w:divsChild>
            <w:div w:id="97950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3151">
      <w:bodyDiv w:val="1"/>
      <w:marLeft w:val="0"/>
      <w:marRight w:val="0"/>
      <w:marTop w:val="0"/>
      <w:marBottom w:val="0"/>
      <w:divBdr>
        <w:top w:val="none" w:sz="0" w:space="0" w:color="auto"/>
        <w:left w:val="none" w:sz="0" w:space="0" w:color="auto"/>
        <w:bottom w:val="none" w:sz="0" w:space="0" w:color="auto"/>
        <w:right w:val="none" w:sz="0" w:space="0" w:color="auto"/>
      </w:divBdr>
    </w:div>
    <w:div w:id="34353396">
      <w:bodyDiv w:val="1"/>
      <w:marLeft w:val="0"/>
      <w:marRight w:val="0"/>
      <w:marTop w:val="0"/>
      <w:marBottom w:val="0"/>
      <w:divBdr>
        <w:top w:val="none" w:sz="0" w:space="0" w:color="auto"/>
        <w:left w:val="none" w:sz="0" w:space="0" w:color="auto"/>
        <w:bottom w:val="none" w:sz="0" w:space="0" w:color="auto"/>
        <w:right w:val="none" w:sz="0" w:space="0" w:color="auto"/>
      </w:divBdr>
    </w:div>
    <w:div w:id="41681992">
      <w:bodyDiv w:val="1"/>
      <w:marLeft w:val="0"/>
      <w:marRight w:val="0"/>
      <w:marTop w:val="0"/>
      <w:marBottom w:val="0"/>
      <w:divBdr>
        <w:top w:val="none" w:sz="0" w:space="0" w:color="auto"/>
        <w:left w:val="none" w:sz="0" w:space="0" w:color="auto"/>
        <w:bottom w:val="none" w:sz="0" w:space="0" w:color="auto"/>
        <w:right w:val="none" w:sz="0" w:space="0" w:color="auto"/>
      </w:divBdr>
    </w:div>
    <w:div w:id="49306571">
      <w:bodyDiv w:val="1"/>
      <w:marLeft w:val="0"/>
      <w:marRight w:val="0"/>
      <w:marTop w:val="0"/>
      <w:marBottom w:val="0"/>
      <w:divBdr>
        <w:top w:val="none" w:sz="0" w:space="0" w:color="auto"/>
        <w:left w:val="none" w:sz="0" w:space="0" w:color="auto"/>
        <w:bottom w:val="none" w:sz="0" w:space="0" w:color="auto"/>
        <w:right w:val="none" w:sz="0" w:space="0" w:color="auto"/>
      </w:divBdr>
    </w:div>
    <w:div w:id="50160074">
      <w:bodyDiv w:val="1"/>
      <w:marLeft w:val="0"/>
      <w:marRight w:val="0"/>
      <w:marTop w:val="0"/>
      <w:marBottom w:val="0"/>
      <w:divBdr>
        <w:top w:val="none" w:sz="0" w:space="0" w:color="auto"/>
        <w:left w:val="none" w:sz="0" w:space="0" w:color="auto"/>
        <w:bottom w:val="none" w:sz="0" w:space="0" w:color="auto"/>
        <w:right w:val="none" w:sz="0" w:space="0" w:color="auto"/>
      </w:divBdr>
    </w:div>
    <w:div w:id="50885506">
      <w:bodyDiv w:val="1"/>
      <w:marLeft w:val="0"/>
      <w:marRight w:val="0"/>
      <w:marTop w:val="0"/>
      <w:marBottom w:val="0"/>
      <w:divBdr>
        <w:top w:val="none" w:sz="0" w:space="0" w:color="auto"/>
        <w:left w:val="none" w:sz="0" w:space="0" w:color="auto"/>
        <w:bottom w:val="none" w:sz="0" w:space="0" w:color="auto"/>
        <w:right w:val="none" w:sz="0" w:space="0" w:color="auto"/>
      </w:divBdr>
    </w:div>
    <w:div w:id="57478308">
      <w:bodyDiv w:val="1"/>
      <w:marLeft w:val="0"/>
      <w:marRight w:val="0"/>
      <w:marTop w:val="0"/>
      <w:marBottom w:val="0"/>
      <w:divBdr>
        <w:top w:val="none" w:sz="0" w:space="0" w:color="auto"/>
        <w:left w:val="none" w:sz="0" w:space="0" w:color="auto"/>
        <w:bottom w:val="none" w:sz="0" w:space="0" w:color="auto"/>
        <w:right w:val="none" w:sz="0" w:space="0" w:color="auto"/>
      </w:divBdr>
    </w:div>
    <w:div w:id="88737848">
      <w:bodyDiv w:val="1"/>
      <w:marLeft w:val="0"/>
      <w:marRight w:val="0"/>
      <w:marTop w:val="0"/>
      <w:marBottom w:val="0"/>
      <w:divBdr>
        <w:top w:val="none" w:sz="0" w:space="0" w:color="auto"/>
        <w:left w:val="none" w:sz="0" w:space="0" w:color="auto"/>
        <w:bottom w:val="none" w:sz="0" w:space="0" w:color="auto"/>
        <w:right w:val="none" w:sz="0" w:space="0" w:color="auto"/>
      </w:divBdr>
    </w:div>
    <w:div w:id="92671516">
      <w:bodyDiv w:val="1"/>
      <w:marLeft w:val="0"/>
      <w:marRight w:val="0"/>
      <w:marTop w:val="0"/>
      <w:marBottom w:val="0"/>
      <w:divBdr>
        <w:top w:val="none" w:sz="0" w:space="0" w:color="auto"/>
        <w:left w:val="none" w:sz="0" w:space="0" w:color="auto"/>
        <w:bottom w:val="none" w:sz="0" w:space="0" w:color="auto"/>
        <w:right w:val="none" w:sz="0" w:space="0" w:color="auto"/>
      </w:divBdr>
      <w:divsChild>
        <w:div w:id="1721980861">
          <w:marLeft w:val="0"/>
          <w:marRight w:val="0"/>
          <w:marTop w:val="0"/>
          <w:marBottom w:val="0"/>
          <w:divBdr>
            <w:top w:val="none" w:sz="0" w:space="0" w:color="auto"/>
            <w:left w:val="none" w:sz="0" w:space="0" w:color="auto"/>
            <w:bottom w:val="none" w:sz="0" w:space="0" w:color="auto"/>
            <w:right w:val="single" w:sz="6" w:space="0" w:color="FFFFFF"/>
          </w:divBdr>
          <w:divsChild>
            <w:div w:id="1870559223">
              <w:marLeft w:val="0"/>
              <w:marRight w:val="0"/>
              <w:marTop w:val="0"/>
              <w:marBottom w:val="0"/>
              <w:divBdr>
                <w:top w:val="none" w:sz="0" w:space="0" w:color="auto"/>
                <w:left w:val="none" w:sz="0" w:space="0" w:color="auto"/>
                <w:bottom w:val="none" w:sz="0" w:space="0" w:color="auto"/>
                <w:right w:val="none" w:sz="0" w:space="0" w:color="auto"/>
              </w:divBdr>
              <w:divsChild>
                <w:div w:id="254437296">
                  <w:marLeft w:val="0"/>
                  <w:marRight w:val="0"/>
                  <w:marTop w:val="0"/>
                  <w:marBottom w:val="0"/>
                  <w:divBdr>
                    <w:top w:val="none" w:sz="0" w:space="0" w:color="auto"/>
                    <w:left w:val="none" w:sz="0" w:space="0" w:color="auto"/>
                    <w:bottom w:val="none" w:sz="0" w:space="0" w:color="auto"/>
                    <w:right w:val="none" w:sz="0" w:space="0" w:color="auto"/>
                  </w:divBdr>
                  <w:divsChild>
                    <w:div w:id="42785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28279">
      <w:bodyDiv w:val="1"/>
      <w:marLeft w:val="0"/>
      <w:marRight w:val="0"/>
      <w:marTop w:val="0"/>
      <w:marBottom w:val="0"/>
      <w:divBdr>
        <w:top w:val="none" w:sz="0" w:space="0" w:color="auto"/>
        <w:left w:val="none" w:sz="0" w:space="0" w:color="auto"/>
        <w:bottom w:val="none" w:sz="0" w:space="0" w:color="auto"/>
        <w:right w:val="none" w:sz="0" w:space="0" w:color="auto"/>
      </w:divBdr>
    </w:div>
    <w:div w:id="105663118">
      <w:bodyDiv w:val="1"/>
      <w:marLeft w:val="0"/>
      <w:marRight w:val="0"/>
      <w:marTop w:val="0"/>
      <w:marBottom w:val="0"/>
      <w:divBdr>
        <w:top w:val="none" w:sz="0" w:space="0" w:color="auto"/>
        <w:left w:val="none" w:sz="0" w:space="0" w:color="auto"/>
        <w:bottom w:val="none" w:sz="0" w:space="0" w:color="auto"/>
        <w:right w:val="none" w:sz="0" w:space="0" w:color="auto"/>
      </w:divBdr>
      <w:divsChild>
        <w:div w:id="192421399">
          <w:marLeft w:val="0"/>
          <w:marRight w:val="0"/>
          <w:marTop w:val="0"/>
          <w:marBottom w:val="0"/>
          <w:divBdr>
            <w:top w:val="none" w:sz="0" w:space="0" w:color="auto"/>
            <w:left w:val="none" w:sz="0" w:space="0" w:color="auto"/>
            <w:bottom w:val="none" w:sz="0" w:space="0" w:color="auto"/>
            <w:right w:val="none" w:sz="0" w:space="0" w:color="auto"/>
          </w:divBdr>
        </w:div>
        <w:div w:id="1665741310">
          <w:marLeft w:val="0"/>
          <w:marRight w:val="0"/>
          <w:marTop w:val="0"/>
          <w:marBottom w:val="0"/>
          <w:divBdr>
            <w:top w:val="none" w:sz="0" w:space="0" w:color="auto"/>
            <w:left w:val="none" w:sz="0" w:space="0" w:color="auto"/>
            <w:bottom w:val="none" w:sz="0" w:space="0" w:color="auto"/>
            <w:right w:val="none" w:sz="0" w:space="0" w:color="auto"/>
          </w:divBdr>
        </w:div>
        <w:div w:id="1881553933">
          <w:marLeft w:val="0"/>
          <w:marRight w:val="0"/>
          <w:marTop w:val="0"/>
          <w:marBottom w:val="0"/>
          <w:divBdr>
            <w:top w:val="none" w:sz="0" w:space="0" w:color="auto"/>
            <w:left w:val="none" w:sz="0" w:space="0" w:color="auto"/>
            <w:bottom w:val="none" w:sz="0" w:space="0" w:color="auto"/>
            <w:right w:val="none" w:sz="0" w:space="0" w:color="auto"/>
          </w:divBdr>
        </w:div>
        <w:div w:id="1604457172">
          <w:marLeft w:val="0"/>
          <w:marRight w:val="0"/>
          <w:marTop w:val="0"/>
          <w:marBottom w:val="0"/>
          <w:divBdr>
            <w:top w:val="none" w:sz="0" w:space="0" w:color="auto"/>
            <w:left w:val="none" w:sz="0" w:space="0" w:color="auto"/>
            <w:bottom w:val="none" w:sz="0" w:space="0" w:color="auto"/>
            <w:right w:val="none" w:sz="0" w:space="0" w:color="auto"/>
          </w:divBdr>
        </w:div>
        <w:div w:id="1813980983">
          <w:marLeft w:val="0"/>
          <w:marRight w:val="0"/>
          <w:marTop w:val="0"/>
          <w:marBottom w:val="0"/>
          <w:divBdr>
            <w:top w:val="none" w:sz="0" w:space="0" w:color="auto"/>
            <w:left w:val="none" w:sz="0" w:space="0" w:color="auto"/>
            <w:bottom w:val="none" w:sz="0" w:space="0" w:color="auto"/>
            <w:right w:val="none" w:sz="0" w:space="0" w:color="auto"/>
          </w:divBdr>
        </w:div>
      </w:divsChild>
    </w:div>
    <w:div w:id="117266491">
      <w:bodyDiv w:val="1"/>
      <w:marLeft w:val="0"/>
      <w:marRight w:val="0"/>
      <w:marTop w:val="0"/>
      <w:marBottom w:val="0"/>
      <w:divBdr>
        <w:top w:val="none" w:sz="0" w:space="0" w:color="auto"/>
        <w:left w:val="none" w:sz="0" w:space="0" w:color="auto"/>
        <w:bottom w:val="none" w:sz="0" w:space="0" w:color="auto"/>
        <w:right w:val="none" w:sz="0" w:space="0" w:color="auto"/>
      </w:divBdr>
    </w:div>
    <w:div w:id="120389982">
      <w:bodyDiv w:val="1"/>
      <w:marLeft w:val="0"/>
      <w:marRight w:val="0"/>
      <w:marTop w:val="0"/>
      <w:marBottom w:val="0"/>
      <w:divBdr>
        <w:top w:val="none" w:sz="0" w:space="0" w:color="auto"/>
        <w:left w:val="none" w:sz="0" w:space="0" w:color="auto"/>
        <w:bottom w:val="none" w:sz="0" w:space="0" w:color="auto"/>
        <w:right w:val="none" w:sz="0" w:space="0" w:color="auto"/>
      </w:divBdr>
    </w:div>
    <w:div w:id="131290482">
      <w:bodyDiv w:val="1"/>
      <w:marLeft w:val="0"/>
      <w:marRight w:val="0"/>
      <w:marTop w:val="0"/>
      <w:marBottom w:val="0"/>
      <w:divBdr>
        <w:top w:val="none" w:sz="0" w:space="0" w:color="auto"/>
        <w:left w:val="none" w:sz="0" w:space="0" w:color="auto"/>
        <w:bottom w:val="none" w:sz="0" w:space="0" w:color="auto"/>
        <w:right w:val="none" w:sz="0" w:space="0" w:color="auto"/>
      </w:divBdr>
    </w:div>
    <w:div w:id="146895864">
      <w:bodyDiv w:val="1"/>
      <w:marLeft w:val="0"/>
      <w:marRight w:val="0"/>
      <w:marTop w:val="0"/>
      <w:marBottom w:val="0"/>
      <w:divBdr>
        <w:top w:val="none" w:sz="0" w:space="0" w:color="auto"/>
        <w:left w:val="none" w:sz="0" w:space="0" w:color="auto"/>
        <w:bottom w:val="none" w:sz="0" w:space="0" w:color="auto"/>
        <w:right w:val="none" w:sz="0" w:space="0" w:color="auto"/>
      </w:divBdr>
      <w:divsChild>
        <w:div w:id="1833523293">
          <w:marLeft w:val="0"/>
          <w:marRight w:val="0"/>
          <w:marTop w:val="0"/>
          <w:marBottom w:val="0"/>
          <w:divBdr>
            <w:top w:val="none" w:sz="0" w:space="0" w:color="auto"/>
            <w:left w:val="none" w:sz="0" w:space="0" w:color="auto"/>
            <w:bottom w:val="none" w:sz="0" w:space="0" w:color="auto"/>
            <w:right w:val="none" w:sz="0" w:space="0" w:color="auto"/>
          </w:divBdr>
        </w:div>
        <w:div w:id="367341597">
          <w:marLeft w:val="0"/>
          <w:marRight w:val="0"/>
          <w:marTop w:val="0"/>
          <w:marBottom w:val="0"/>
          <w:divBdr>
            <w:top w:val="none" w:sz="0" w:space="0" w:color="auto"/>
            <w:left w:val="none" w:sz="0" w:space="0" w:color="auto"/>
            <w:bottom w:val="none" w:sz="0" w:space="0" w:color="auto"/>
            <w:right w:val="none" w:sz="0" w:space="0" w:color="auto"/>
          </w:divBdr>
        </w:div>
        <w:div w:id="1614632447">
          <w:marLeft w:val="0"/>
          <w:marRight w:val="0"/>
          <w:marTop w:val="0"/>
          <w:marBottom w:val="0"/>
          <w:divBdr>
            <w:top w:val="none" w:sz="0" w:space="0" w:color="auto"/>
            <w:left w:val="none" w:sz="0" w:space="0" w:color="auto"/>
            <w:bottom w:val="none" w:sz="0" w:space="0" w:color="auto"/>
            <w:right w:val="none" w:sz="0" w:space="0" w:color="auto"/>
          </w:divBdr>
        </w:div>
        <w:div w:id="899288481">
          <w:marLeft w:val="0"/>
          <w:marRight w:val="0"/>
          <w:marTop w:val="0"/>
          <w:marBottom w:val="0"/>
          <w:divBdr>
            <w:top w:val="none" w:sz="0" w:space="0" w:color="auto"/>
            <w:left w:val="none" w:sz="0" w:space="0" w:color="auto"/>
            <w:bottom w:val="none" w:sz="0" w:space="0" w:color="auto"/>
            <w:right w:val="none" w:sz="0" w:space="0" w:color="auto"/>
          </w:divBdr>
        </w:div>
        <w:div w:id="1432117725">
          <w:marLeft w:val="0"/>
          <w:marRight w:val="0"/>
          <w:marTop w:val="0"/>
          <w:marBottom w:val="0"/>
          <w:divBdr>
            <w:top w:val="none" w:sz="0" w:space="0" w:color="auto"/>
            <w:left w:val="none" w:sz="0" w:space="0" w:color="auto"/>
            <w:bottom w:val="none" w:sz="0" w:space="0" w:color="auto"/>
            <w:right w:val="none" w:sz="0" w:space="0" w:color="auto"/>
          </w:divBdr>
        </w:div>
      </w:divsChild>
    </w:div>
    <w:div w:id="179927767">
      <w:bodyDiv w:val="1"/>
      <w:marLeft w:val="0"/>
      <w:marRight w:val="0"/>
      <w:marTop w:val="0"/>
      <w:marBottom w:val="0"/>
      <w:divBdr>
        <w:top w:val="none" w:sz="0" w:space="0" w:color="auto"/>
        <w:left w:val="none" w:sz="0" w:space="0" w:color="auto"/>
        <w:bottom w:val="none" w:sz="0" w:space="0" w:color="auto"/>
        <w:right w:val="none" w:sz="0" w:space="0" w:color="auto"/>
      </w:divBdr>
    </w:div>
    <w:div w:id="185952156">
      <w:bodyDiv w:val="1"/>
      <w:marLeft w:val="0"/>
      <w:marRight w:val="0"/>
      <w:marTop w:val="0"/>
      <w:marBottom w:val="0"/>
      <w:divBdr>
        <w:top w:val="none" w:sz="0" w:space="0" w:color="auto"/>
        <w:left w:val="none" w:sz="0" w:space="0" w:color="auto"/>
        <w:bottom w:val="none" w:sz="0" w:space="0" w:color="auto"/>
        <w:right w:val="none" w:sz="0" w:space="0" w:color="auto"/>
      </w:divBdr>
      <w:divsChild>
        <w:div w:id="1705860768">
          <w:marLeft w:val="0"/>
          <w:marRight w:val="0"/>
          <w:marTop w:val="0"/>
          <w:marBottom w:val="0"/>
          <w:divBdr>
            <w:top w:val="none" w:sz="0" w:space="0" w:color="auto"/>
            <w:left w:val="none" w:sz="0" w:space="0" w:color="auto"/>
            <w:bottom w:val="none" w:sz="0" w:space="0" w:color="auto"/>
            <w:right w:val="none" w:sz="0" w:space="0" w:color="auto"/>
          </w:divBdr>
        </w:div>
        <w:div w:id="996037298">
          <w:marLeft w:val="0"/>
          <w:marRight w:val="0"/>
          <w:marTop w:val="0"/>
          <w:marBottom w:val="0"/>
          <w:divBdr>
            <w:top w:val="none" w:sz="0" w:space="0" w:color="auto"/>
            <w:left w:val="none" w:sz="0" w:space="0" w:color="auto"/>
            <w:bottom w:val="none" w:sz="0" w:space="0" w:color="auto"/>
            <w:right w:val="none" w:sz="0" w:space="0" w:color="auto"/>
          </w:divBdr>
        </w:div>
        <w:div w:id="469203620">
          <w:marLeft w:val="0"/>
          <w:marRight w:val="0"/>
          <w:marTop w:val="0"/>
          <w:marBottom w:val="0"/>
          <w:divBdr>
            <w:top w:val="none" w:sz="0" w:space="0" w:color="auto"/>
            <w:left w:val="none" w:sz="0" w:space="0" w:color="auto"/>
            <w:bottom w:val="none" w:sz="0" w:space="0" w:color="auto"/>
            <w:right w:val="none" w:sz="0" w:space="0" w:color="auto"/>
          </w:divBdr>
        </w:div>
      </w:divsChild>
    </w:div>
    <w:div w:id="197161653">
      <w:bodyDiv w:val="1"/>
      <w:marLeft w:val="0"/>
      <w:marRight w:val="0"/>
      <w:marTop w:val="0"/>
      <w:marBottom w:val="0"/>
      <w:divBdr>
        <w:top w:val="none" w:sz="0" w:space="0" w:color="auto"/>
        <w:left w:val="none" w:sz="0" w:space="0" w:color="auto"/>
        <w:bottom w:val="none" w:sz="0" w:space="0" w:color="auto"/>
        <w:right w:val="none" w:sz="0" w:space="0" w:color="auto"/>
      </w:divBdr>
    </w:div>
    <w:div w:id="198444067">
      <w:bodyDiv w:val="1"/>
      <w:marLeft w:val="0"/>
      <w:marRight w:val="0"/>
      <w:marTop w:val="0"/>
      <w:marBottom w:val="0"/>
      <w:divBdr>
        <w:top w:val="none" w:sz="0" w:space="0" w:color="auto"/>
        <w:left w:val="none" w:sz="0" w:space="0" w:color="auto"/>
        <w:bottom w:val="none" w:sz="0" w:space="0" w:color="auto"/>
        <w:right w:val="none" w:sz="0" w:space="0" w:color="auto"/>
      </w:divBdr>
    </w:div>
    <w:div w:id="211237085">
      <w:bodyDiv w:val="1"/>
      <w:marLeft w:val="0"/>
      <w:marRight w:val="0"/>
      <w:marTop w:val="0"/>
      <w:marBottom w:val="0"/>
      <w:divBdr>
        <w:top w:val="none" w:sz="0" w:space="0" w:color="auto"/>
        <w:left w:val="none" w:sz="0" w:space="0" w:color="auto"/>
        <w:bottom w:val="none" w:sz="0" w:space="0" w:color="auto"/>
        <w:right w:val="none" w:sz="0" w:space="0" w:color="auto"/>
      </w:divBdr>
    </w:div>
    <w:div w:id="218980347">
      <w:bodyDiv w:val="1"/>
      <w:marLeft w:val="0"/>
      <w:marRight w:val="0"/>
      <w:marTop w:val="0"/>
      <w:marBottom w:val="0"/>
      <w:divBdr>
        <w:top w:val="none" w:sz="0" w:space="0" w:color="auto"/>
        <w:left w:val="none" w:sz="0" w:space="0" w:color="auto"/>
        <w:bottom w:val="none" w:sz="0" w:space="0" w:color="auto"/>
        <w:right w:val="none" w:sz="0" w:space="0" w:color="auto"/>
      </w:divBdr>
    </w:div>
    <w:div w:id="229115629">
      <w:bodyDiv w:val="1"/>
      <w:marLeft w:val="0"/>
      <w:marRight w:val="0"/>
      <w:marTop w:val="0"/>
      <w:marBottom w:val="0"/>
      <w:divBdr>
        <w:top w:val="none" w:sz="0" w:space="0" w:color="auto"/>
        <w:left w:val="none" w:sz="0" w:space="0" w:color="auto"/>
        <w:bottom w:val="none" w:sz="0" w:space="0" w:color="auto"/>
        <w:right w:val="none" w:sz="0" w:space="0" w:color="auto"/>
      </w:divBdr>
    </w:div>
    <w:div w:id="236479126">
      <w:bodyDiv w:val="1"/>
      <w:marLeft w:val="0"/>
      <w:marRight w:val="0"/>
      <w:marTop w:val="0"/>
      <w:marBottom w:val="0"/>
      <w:divBdr>
        <w:top w:val="none" w:sz="0" w:space="0" w:color="auto"/>
        <w:left w:val="none" w:sz="0" w:space="0" w:color="auto"/>
        <w:bottom w:val="none" w:sz="0" w:space="0" w:color="auto"/>
        <w:right w:val="none" w:sz="0" w:space="0" w:color="auto"/>
      </w:divBdr>
    </w:div>
    <w:div w:id="240215086">
      <w:bodyDiv w:val="1"/>
      <w:marLeft w:val="0"/>
      <w:marRight w:val="0"/>
      <w:marTop w:val="0"/>
      <w:marBottom w:val="0"/>
      <w:divBdr>
        <w:top w:val="none" w:sz="0" w:space="0" w:color="auto"/>
        <w:left w:val="none" w:sz="0" w:space="0" w:color="auto"/>
        <w:bottom w:val="none" w:sz="0" w:space="0" w:color="auto"/>
        <w:right w:val="none" w:sz="0" w:space="0" w:color="auto"/>
      </w:divBdr>
    </w:div>
    <w:div w:id="246964812">
      <w:bodyDiv w:val="1"/>
      <w:marLeft w:val="0"/>
      <w:marRight w:val="0"/>
      <w:marTop w:val="0"/>
      <w:marBottom w:val="0"/>
      <w:divBdr>
        <w:top w:val="none" w:sz="0" w:space="0" w:color="auto"/>
        <w:left w:val="none" w:sz="0" w:space="0" w:color="auto"/>
        <w:bottom w:val="none" w:sz="0" w:space="0" w:color="auto"/>
        <w:right w:val="none" w:sz="0" w:space="0" w:color="auto"/>
      </w:divBdr>
    </w:div>
    <w:div w:id="307174198">
      <w:bodyDiv w:val="1"/>
      <w:marLeft w:val="0"/>
      <w:marRight w:val="0"/>
      <w:marTop w:val="0"/>
      <w:marBottom w:val="0"/>
      <w:divBdr>
        <w:top w:val="none" w:sz="0" w:space="0" w:color="auto"/>
        <w:left w:val="none" w:sz="0" w:space="0" w:color="auto"/>
        <w:bottom w:val="none" w:sz="0" w:space="0" w:color="auto"/>
        <w:right w:val="none" w:sz="0" w:space="0" w:color="auto"/>
      </w:divBdr>
    </w:div>
    <w:div w:id="314382018">
      <w:bodyDiv w:val="1"/>
      <w:marLeft w:val="0"/>
      <w:marRight w:val="0"/>
      <w:marTop w:val="0"/>
      <w:marBottom w:val="0"/>
      <w:divBdr>
        <w:top w:val="none" w:sz="0" w:space="0" w:color="auto"/>
        <w:left w:val="none" w:sz="0" w:space="0" w:color="auto"/>
        <w:bottom w:val="none" w:sz="0" w:space="0" w:color="auto"/>
        <w:right w:val="none" w:sz="0" w:space="0" w:color="auto"/>
      </w:divBdr>
    </w:div>
    <w:div w:id="315115408">
      <w:bodyDiv w:val="1"/>
      <w:marLeft w:val="0"/>
      <w:marRight w:val="0"/>
      <w:marTop w:val="0"/>
      <w:marBottom w:val="0"/>
      <w:divBdr>
        <w:top w:val="none" w:sz="0" w:space="0" w:color="auto"/>
        <w:left w:val="none" w:sz="0" w:space="0" w:color="auto"/>
        <w:bottom w:val="none" w:sz="0" w:space="0" w:color="auto"/>
        <w:right w:val="none" w:sz="0" w:space="0" w:color="auto"/>
      </w:divBdr>
    </w:div>
    <w:div w:id="321158985">
      <w:bodyDiv w:val="1"/>
      <w:marLeft w:val="0"/>
      <w:marRight w:val="0"/>
      <w:marTop w:val="0"/>
      <w:marBottom w:val="0"/>
      <w:divBdr>
        <w:top w:val="none" w:sz="0" w:space="0" w:color="auto"/>
        <w:left w:val="none" w:sz="0" w:space="0" w:color="auto"/>
        <w:bottom w:val="none" w:sz="0" w:space="0" w:color="auto"/>
        <w:right w:val="none" w:sz="0" w:space="0" w:color="auto"/>
      </w:divBdr>
    </w:div>
    <w:div w:id="323313447">
      <w:bodyDiv w:val="1"/>
      <w:marLeft w:val="0"/>
      <w:marRight w:val="0"/>
      <w:marTop w:val="0"/>
      <w:marBottom w:val="0"/>
      <w:divBdr>
        <w:top w:val="none" w:sz="0" w:space="0" w:color="auto"/>
        <w:left w:val="none" w:sz="0" w:space="0" w:color="auto"/>
        <w:bottom w:val="none" w:sz="0" w:space="0" w:color="auto"/>
        <w:right w:val="none" w:sz="0" w:space="0" w:color="auto"/>
      </w:divBdr>
      <w:divsChild>
        <w:div w:id="483669998">
          <w:marLeft w:val="0"/>
          <w:marRight w:val="0"/>
          <w:marTop w:val="0"/>
          <w:marBottom w:val="0"/>
          <w:divBdr>
            <w:top w:val="none" w:sz="0" w:space="0" w:color="auto"/>
            <w:left w:val="none" w:sz="0" w:space="0" w:color="auto"/>
            <w:bottom w:val="none" w:sz="0" w:space="0" w:color="auto"/>
            <w:right w:val="none" w:sz="0" w:space="0" w:color="auto"/>
          </w:divBdr>
        </w:div>
        <w:div w:id="1322123403">
          <w:marLeft w:val="0"/>
          <w:marRight w:val="0"/>
          <w:marTop w:val="0"/>
          <w:marBottom w:val="0"/>
          <w:divBdr>
            <w:top w:val="none" w:sz="0" w:space="0" w:color="auto"/>
            <w:left w:val="none" w:sz="0" w:space="0" w:color="auto"/>
            <w:bottom w:val="none" w:sz="0" w:space="0" w:color="auto"/>
            <w:right w:val="none" w:sz="0" w:space="0" w:color="auto"/>
          </w:divBdr>
        </w:div>
        <w:div w:id="1312757309">
          <w:marLeft w:val="0"/>
          <w:marRight w:val="0"/>
          <w:marTop w:val="0"/>
          <w:marBottom w:val="0"/>
          <w:divBdr>
            <w:top w:val="none" w:sz="0" w:space="0" w:color="auto"/>
            <w:left w:val="none" w:sz="0" w:space="0" w:color="auto"/>
            <w:bottom w:val="none" w:sz="0" w:space="0" w:color="auto"/>
            <w:right w:val="none" w:sz="0" w:space="0" w:color="auto"/>
          </w:divBdr>
        </w:div>
        <w:div w:id="541016913">
          <w:marLeft w:val="0"/>
          <w:marRight w:val="0"/>
          <w:marTop w:val="0"/>
          <w:marBottom w:val="0"/>
          <w:divBdr>
            <w:top w:val="none" w:sz="0" w:space="0" w:color="auto"/>
            <w:left w:val="none" w:sz="0" w:space="0" w:color="auto"/>
            <w:bottom w:val="none" w:sz="0" w:space="0" w:color="auto"/>
            <w:right w:val="none" w:sz="0" w:space="0" w:color="auto"/>
          </w:divBdr>
        </w:div>
        <w:div w:id="563838193">
          <w:marLeft w:val="0"/>
          <w:marRight w:val="0"/>
          <w:marTop w:val="0"/>
          <w:marBottom w:val="0"/>
          <w:divBdr>
            <w:top w:val="none" w:sz="0" w:space="0" w:color="auto"/>
            <w:left w:val="none" w:sz="0" w:space="0" w:color="auto"/>
            <w:bottom w:val="none" w:sz="0" w:space="0" w:color="auto"/>
            <w:right w:val="none" w:sz="0" w:space="0" w:color="auto"/>
          </w:divBdr>
        </w:div>
        <w:div w:id="1621719699">
          <w:marLeft w:val="0"/>
          <w:marRight w:val="0"/>
          <w:marTop w:val="0"/>
          <w:marBottom w:val="0"/>
          <w:divBdr>
            <w:top w:val="none" w:sz="0" w:space="0" w:color="auto"/>
            <w:left w:val="none" w:sz="0" w:space="0" w:color="auto"/>
            <w:bottom w:val="none" w:sz="0" w:space="0" w:color="auto"/>
            <w:right w:val="none" w:sz="0" w:space="0" w:color="auto"/>
          </w:divBdr>
        </w:div>
      </w:divsChild>
    </w:div>
    <w:div w:id="341468773">
      <w:bodyDiv w:val="1"/>
      <w:marLeft w:val="0"/>
      <w:marRight w:val="0"/>
      <w:marTop w:val="0"/>
      <w:marBottom w:val="0"/>
      <w:divBdr>
        <w:top w:val="none" w:sz="0" w:space="0" w:color="auto"/>
        <w:left w:val="none" w:sz="0" w:space="0" w:color="auto"/>
        <w:bottom w:val="none" w:sz="0" w:space="0" w:color="auto"/>
        <w:right w:val="none" w:sz="0" w:space="0" w:color="auto"/>
      </w:divBdr>
    </w:div>
    <w:div w:id="343241117">
      <w:bodyDiv w:val="1"/>
      <w:marLeft w:val="0"/>
      <w:marRight w:val="0"/>
      <w:marTop w:val="0"/>
      <w:marBottom w:val="0"/>
      <w:divBdr>
        <w:top w:val="none" w:sz="0" w:space="0" w:color="auto"/>
        <w:left w:val="none" w:sz="0" w:space="0" w:color="auto"/>
        <w:bottom w:val="none" w:sz="0" w:space="0" w:color="auto"/>
        <w:right w:val="none" w:sz="0" w:space="0" w:color="auto"/>
      </w:divBdr>
    </w:div>
    <w:div w:id="344014730">
      <w:bodyDiv w:val="1"/>
      <w:marLeft w:val="0"/>
      <w:marRight w:val="0"/>
      <w:marTop w:val="0"/>
      <w:marBottom w:val="0"/>
      <w:divBdr>
        <w:top w:val="none" w:sz="0" w:space="0" w:color="auto"/>
        <w:left w:val="none" w:sz="0" w:space="0" w:color="auto"/>
        <w:bottom w:val="none" w:sz="0" w:space="0" w:color="auto"/>
        <w:right w:val="none" w:sz="0" w:space="0" w:color="auto"/>
      </w:divBdr>
    </w:div>
    <w:div w:id="361437451">
      <w:bodyDiv w:val="1"/>
      <w:marLeft w:val="0"/>
      <w:marRight w:val="0"/>
      <w:marTop w:val="0"/>
      <w:marBottom w:val="0"/>
      <w:divBdr>
        <w:top w:val="none" w:sz="0" w:space="0" w:color="auto"/>
        <w:left w:val="none" w:sz="0" w:space="0" w:color="auto"/>
        <w:bottom w:val="none" w:sz="0" w:space="0" w:color="auto"/>
        <w:right w:val="none" w:sz="0" w:space="0" w:color="auto"/>
      </w:divBdr>
    </w:div>
    <w:div w:id="400641961">
      <w:bodyDiv w:val="1"/>
      <w:marLeft w:val="0"/>
      <w:marRight w:val="0"/>
      <w:marTop w:val="0"/>
      <w:marBottom w:val="0"/>
      <w:divBdr>
        <w:top w:val="none" w:sz="0" w:space="0" w:color="auto"/>
        <w:left w:val="none" w:sz="0" w:space="0" w:color="auto"/>
        <w:bottom w:val="none" w:sz="0" w:space="0" w:color="auto"/>
        <w:right w:val="none" w:sz="0" w:space="0" w:color="auto"/>
      </w:divBdr>
    </w:div>
    <w:div w:id="411852583">
      <w:bodyDiv w:val="1"/>
      <w:marLeft w:val="0"/>
      <w:marRight w:val="0"/>
      <w:marTop w:val="0"/>
      <w:marBottom w:val="0"/>
      <w:divBdr>
        <w:top w:val="none" w:sz="0" w:space="0" w:color="auto"/>
        <w:left w:val="none" w:sz="0" w:space="0" w:color="auto"/>
        <w:bottom w:val="none" w:sz="0" w:space="0" w:color="auto"/>
        <w:right w:val="none" w:sz="0" w:space="0" w:color="auto"/>
      </w:divBdr>
      <w:divsChild>
        <w:div w:id="1019355924">
          <w:marLeft w:val="0"/>
          <w:marRight w:val="0"/>
          <w:marTop w:val="0"/>
          <w:marBottom w:val="0"/>
          <w:divBdr>
            <w:top w:val="none" w:sz="0" w:space="0" w:color="auto"/>
            <w:left w:val="none" w:sz="0" w:space="0" w:color="auto"/>
            <w:bottom w:val="none" w:sz="0" w:space="0" w:color="auto"/>
            <w:right w:val="none" w:sz="0" w:space="0" w:color="auto"/>
          </w:divBdr>
        </w:div>
        <w:div w:id="1090272688">
          <w:marLeft w:val="0"/>
          <w:marRight w:val="0"/>
          <w:marTop w:val="0"/>
          <w:marBottom w:val="0"/>
          <w:divBdr>
            <w:top w:val="none" w:sz="0" w:space="0" w:color="auto"/>
            <w:left w:val="none" w:sz="0" w:space="0" w:color="auto"/>
            <w:bottom w:val="none" w:sz="0" w:space="0" w:color="auto"/>
            <w:right w:val="none" w:sz="0" w:space="0" w:color="auto"/>
          </w:divBdr>
        </w:div>
        <w:div w:id="346715349">
          <w:marLeft w:val="0"/>
          <w:marRight w:val="0"/>
          <w:marTop w:val="0"/>
          <w:marBottom w:val="0"/>
          <w:divBdr>
            <w:top w:val="none" w:sz="0" w:space="0" w:color="auto"/>
            <w:left w:val="none" w:sz="0" w:space="0" w:color="auto"/>
            <w:bottom w:val="none" w:sz="0" w:space="0" w:color="auto"/>
            <w:right w:val="none" w:sz="0" w:space="0" w:color="auto"/>
          </w:divBdr>
        </w:div>
        <w:div w:id="828719061">
          <w:marLeft w:val="0"/>
          <w:marRight w:val="0"/>
          <w:marTop w:val="0"/>
          <w:marBottom w:val="0"/>
          <w:divBdr>
            <w:top w:val="none" w:sz="0" w:space="0" w:color="auto"/>
            <w:left w:val="none" w:sz="0" w:space="0" w:color="auto"/>
            <w:bottom w:val="none" w:sz="0" w:space="0" w:color="auto"/>
            <w:right w:val="none" w:sz="0" w:space="0" w:color="auto"/>
          </w:divBdr>
        </w:div>
        <w:div w:id="1945722391">
          <w:marLeft w:val="0"/>
          <w:marRight w:val="0"/>
          <w:marTop w:val="0"/>
          <w:marBottom w:val="0"/>
          <w:divBdr>
            <w:top w:val="none" w:sz="0" w:space="0" w:color="auto"/>
            <w:left w:val="none" w:sz="0" w:space="0" w:color="auto"/>
            <w:bottom w:val="none" w:sz="0" w:space="0" w:color="auto"/>
            <w:right w:val="none" w:sz="0" w:space="0" w:color="auto"/>
          </w:divBdr>
        </w:div>
        <w:div w:id="743839519">
          <w:marLeft w:val="0"/>
          <w:marRight w:val="0"/>
          <w:marTop w:val="0"/>
          <w:marBottom w:val="0"/>
          <w:divBdr>
            <w:top w:val="none" w:sz="0" w:space="0" w:color="auto"/>
            <w:left w:val="none" w:sz="0" w:space="0" w:color="auto"/>
            <w:bottom w:val="none" w:sz="0" w:space="0" w:color="auto"/>
            <w:right w:val="none" w:sz="0" w:space="0" w:color="auto"/>
          </w:divBdr>
        </w:div>
        <w:div w:id="212037600">
          <w:marLeft w:val="0"/>
          <w:marRight w:val="0"/>
          <w:marTop w:val="0"/>
          <w:marBottom w:val="0"/>
          <w:divBdr>
            <w:top w:val="none" w:sz="0" w:space="0" w:color="auto"/>
            <w:left w:val="none" w:sz="0" w:space="0" w:color="auto"/>
            <w:bottom w:val="none" w:sz="0" w:space="0" w:color="auto"/>
            <w:right w:val="none" w:sz="0" w:space="0" w:color="auto"/>
          </w:divBdr>
        </w:div>
      </w:divsChild>
    </w:div>
    <w:div w:id="440418459">
      <w:bodyDiv w:val="1"/>
      <w:marLeft w:val="0"/>
      <w:marRight w:val="0"/>
      <w:marTop w:val="0"/>
      <w:marBottom w:val="0"/>
      <w:divBdr>
        <w:top w:val="none" w:sz="0" w:space="0" w:color="auto"/>
        <w:left w:val="none" w:sz="0" w:space="0" w:color="auto"/>
        <w:bottom w:val="none" w:sz="0" w:space="0" w:color="auto"/>
        <w:right w:val="none" w:sz="0" w:space="0" w:color="auto"/>
      </w:divBdr>
    </w:div>
    <w:div w:id="445320786">
      <w:bodyDiv w:val="1"/>
      <w:marLeft w:val="0"/>
      <w:marRight w:val="0"/>
      <w:marTop w:val="0"/>
      <w:marBottom w:val="0"/>
      <w:divBdr>
        <w:top w:val="none" w:sz="0" w:space="0" w:color="auto"/>
        <w:left w:val="none" w:sz="0" w:space="0" w:color="auto"/>
        <w:bottom w:val="none" w:sz="0" w:space="0" w:color="auto"/>
        <w:right w:val="none" w:sz="0" w:space="0" w:color="auto"/>
      </w:divBdr>
    </w:div>
    <w:div w:id="452333651">
      <w:bodyDiv w:val="1"/>
      <w:marLeft w:val="0"/>
      <w:marRight w:val="0"/>
      <w:marTop w:val="0"/>
      <w:marBottom w:val="0"/>
      <w:divBdr>
        <w:top w:val="none" w:sz="0" w:space="0" w:color="auto"/>
        <w:left w:val="none" w:sz="0" w:space="0" w:color="auto"/>
        <w:bottom w:val="none" w:sz="0" w:space="0" w:color="auto"/>
        <w:right w:val="none" w:sz="0" w:space="0" w:color="auto"/>
      </w:divBdr>
    </w:div>
    <w:div w:id="482696231">
      <w:bodyDiv w:val="1"/>
      <w:marLeft w:val="0"/>
      <w:marRight w:val="0"/>
      <w:marTop w:val="0"/>
      <w:marBottom w:val="0"/>
      <w:divBdr>
        <w:top w:val="none" w:sz="0" w:space="0" w:color="auto"/>
        <w:left w:val="none" w:sz="0" w:space="0" w:color="auto"/>
        <w:bottom w:val="none" w:sz="0" w:space="0" w:color="auto"/>
        <w:right w:val="none" w:sz="0" w:space="0" w:color="auto"/>
      </w:divBdr>
    </w:div>
    <w:div w:id="491062770">
      <w:bodyDiv w:val="1"/>
      <w:marLeft w:val="0"/>
      <w:marRight w:val="0"/>
      <w:marTop w:val="0"/>
      <w:marBottom w:val="0"/>
      <w:divBdr>
        <w:top w:val="none" w:sz="0" w:space="0" w:color="auto"/>
        <w:left w:val="none" w:sz="0" w:space="0" w:color="auto"/>
        <w:bottom w:val="none" w:sz="0" w:space="0" w:color="auto"/>
        <w:right w:val="none" w:sz="0" w:space="0" w:color="auto"/>
      </w:divBdr>
    </w:div>
    <w:div w:id="497228505">
      <w:bodyDiv w:val="1"/>
      <w:marLeft w:val="0"/>
      <w:marRight w:val="0"/>
      <w:marTop w:val="0"/>
      <w:marBottom w:val="0"/>
      <w:divBdr>
        <w:top w:val="none" w:sz="0" w:space="0" w:color="auto"/>
        <w:left w:val="none" w:sz="0" w:space="0" w:color="auto"/>
        <w:bottom w:val="none" w:sz="0" w:space="0" w:color="auto"/>
        <w:right w:val="none" w:sz="0" w:space="0" w:color="auto"/>
      </w:divBdr>
    </w:div>
    <w:div w:id="504785320">
      <w:bodyDiv w:val="1"/>
      <w:marLeft w:val="0"/>
      <w:marRight w:val="0"/>
      <w:marTop w:val="0"/>
      <w:marBottom w:val="0"/>
      <w:divBdr>
        <w:top w:val="none" w:sz="0" w:space="0" w:color="auto"/>
        <w:left w:val="none" w:sz="0" w:space="0" w:color="auto"/>
        <w:bottom w:val="none" w:sz="0" w:space="0" w:color="auto"/>
        <w:right w:val="none" w:sz="0" w:space="0" w:color="auto"/>
      </w:divBdr>
    </w:div>
    <w:div w:id="527840726">
      <w:bodyDiv w:val="1"/>
      <w:marLeft w:val="0"/>
      <w:marRight w:val="0"/>
      <w:marTop w:val="0"/>
      <w:marBottom w:val="0"/>
      <w:divBdr>
        <w:top w:val="none" w:sz="0" w:space="0" w:color="auto"/>
        <w:left w:val="none" w:sz="0" w:space="0" w:color="auto"/>
        <w:bottom w:val="none" w:sz="0" w:space="0" w:color="auto"/>
        <w:right w:val="none" w:sz="0" w:space="0" w:color="auto"/>
      </w:divBdr>
    </w:div>
    <w:div w:id="542526451">
      <w:bodyDiv w:val="1"/>
      <w:marLeft w:val="0"/>
      <w:marRight w:val="0"/>
      <w:marTop w:val="0"/>
      <w:marBottom w:val="0"/>
      <w:divBdr>
        <w:top w:val="none" w:sz="0" w:space="0" w:color="auto"/>
        <w:left w:val="none" w:sz="0" w:space="0" w:color="auto"/>
        <w:bottom w:val="none" w:sz="0" w:space="0" w:color="auto"/>
        <w:right w:val="none" w:sz="0" w:space="0" w:color="auto"/>
      </w:divBdr>
      <w:divsChild>
        <w:div w:id="791435997">
          <w:marLeft w:val="0"/>
          <w:marRight w:val="0"/>
          <w:marTop w:val="0"/>
          <w:marBottom w:val="0"/>
          <w:divBdr>
            <w:top w:val="none" w:sz="0" w:space="0" w:color="auto"/>
            <w:left w:val="none" w:sz="0" w:space="0" w:color="auto"/>
            <w:bottom w:val="none" w:sz="0" w:space="0" w:color="auto"/>
            <w:right w:val="none" w:sz="0" w:space="0" w:color="auto"/>
          </w:divBdr>
        </w:div>
        <w:div w:id="1670674335">
          <w:marLeft w:val="0"/>
          <w:marRight w:val="0"/>
          <w:marTop w:val="0"/>
          <w:marBottom w:val="0"/>
          <w:divBdr>
            <w:top w:val="none" w:sz="0" w:space="0" w:color="auto"/>
            <w:left w:val="none" w:sz="0" w:space="0" w:color="auto"/>
            <w:bottom w:val="none" w:sz="0" w:space="0" w:color="auto"/>
            <w:right w:val="none" w:sz="0" w:space="0" w:color="auto"/>
          </w:divBdr>
        </w:div>
        <w:div w:id="736131454">
          <w:marLeft w:val="0"/>
          <w:marRight w:val="0"/>
          <w:marTop w:val="0"/>
          <w:marBottom w:val="0"/>
          <w:divBdr>
            <w:top w:val="none" w:sz="0" w:space="0" w:color="auto"/>
            <w:left w:val="none" w:sz="0" w:space="0" w:color="auto"/>
            <w:bottom w:val="none" w:sz="0" w:space="0" w:color="auto"/>
            <w:right w:val="none" w:sz="0" w:space="0" w:color="auto"/>
          </w:divBdr>
        </w:div>
        <w:div w:id="1967352642">
          <w:marLeft w:val="0"/>
          <w:marRight w:val="0"/>
          <w:marTop w:val="0"/>
          <w:marBottom w:val="0"/>
          <w:divBdr>
            <w:top w:val="none" w:sz="0" w:space="0" w:color="auto"/>
            <w:left w:val="none" w:sz="0" w:space="0" w:color="auto"/>
            <w:bottom w:val="none" w:sz="0" w:space="0" w:color="auto"/>
            <w:right w:val="none" w:sz="0" w:space="0" w:color="auto"/>
          </w:divBdr>
        </w:div>
        <w:div w:id="1747457472">
          <w:marLeft w:val="0"/>
          <w:marRight w:val="0"/>
          <w:marTop w:val="0"/>
          <w:marBottom w:val="0"/>
          <w:divBdr>
            <w:top w:val="none" w:sz="0" w:space="0" w:color="auto"/>
            <w:left w:val="none" w:sz="0" w:space="0" w:color="auto"/>
            <w:bottom w:val="none" w:sz="0" w:space="0" w:color="auto"/>
            <w:right w:val="none" w:sz="0" w:space="0" w:color="auto"/>
          </w:divBdr>
        </w:div>
        <w:div w:id="2023319541">
          <w:marLeft w:val="0"/>
          <w:marRight w:val="0"/>
          <w:marTop w:val="0"/>
          <w:marBottom w:val="0"/>
          <w:divBdr>
            <w:top w:val="none" w:sz="0" w:space="0" w:color="auto"/>
            <w:left w:val="none" w:sz="0" w:space="0" w:color="auto"/>
            <w:bottom w:val="none" w:sz="0" w:space="0" w:color="auto"/>
            <w:right w:val="none" w:sz="0" w:space="0" w:color="auto"/>
          </w:divBdr>
        </w:div>
        <w:div w:id="1007517335">
          <w:marLeft w:val="0"/>
          <w:marRight w:val="0"/>
          <w:marTop w:val="0"/>
          <w:marBottom w:val="0"/>
          <w:divBdr>
            <w:top w:val="none" w:sz="0" w:space="0" w:color="auto"/>
            <w:left w:val="none" w:sz="0" w:space="0" w:color="auto"/>
            <w:bottom w:val="none" w:sz="0" w:space="0" w:color="auto"/>
            <w:right w:val="none" w:sz="0" w:space="0" w:color="auto"/>
          </w:divBdr>
        </w:div>
        <w:div w:id="216824479">
          <w:marLeft w:val="0"/>
          <w:marRight w:val="0"/>
          <w:marTop w:val="0"/>
          <w:marBottom w:val="0"/>
          <w:divBdr>
            <w:top w:val="none" w:sz="0" w:space="0" w:color="auto"/>
            <w:left w:val="none" w:sz="0" w:space="0" w:color="auto"/>
            <w:bottom w:val="none" w:sz="0" w:space="0" w:color="auto"/>
            <w:right w:val="none" w:sz="0" w:space="0" w:color="auto"/>
          </w:divBdr>
        </w:div>
        <w:div w:id="1154301662">
          <w:marLeft w:val="0"/>
          <w:marRight w:val="0"/>
          <w:marTop w:val="0"/>
          <w:marBottom w:val="0"/>
          <w:divBdr>
            <w:top w:val="none" w:sz="0" w:space="0" w:color="auto"/>
            <w:left w:val="none" w:sz="0" w:space="0" w:color="auto"/>
            <w:bottom w:val="none" w:sz="0" w:space="0" w:color="auto"/>
            <w:right w:val="none" w:sz="0" w:space="0" w:color="auto"/>
          </w:divBdr>
        </w:div>
        <w:div w:id="1389109218">
          <w:marLeft w:val="0"/>
          <w:marRight w:val="0"/>
          <w:marTop w:val="0"/>
          <w:marBottom w:val="0"/>
          <w:divBdr>
            <w:top w:val="none" w:sz="0" w:space="0" w:color="auto"/>
            <w:left w:val="none" w:sz="0" w:space="0" w:color="auto"/>
            <w:bottom w:val="none" w:sz="0" w:space="0" w:color="auto"/>
            <w:right w:val="none" w:sz="0" w:space="0" w:color="auto"/>
          </w:divBdr>
        </w:div>
        <w:div w:id="1007252672">
          <w:marLeft w:val="0"/>
          <w:marRight w:val="0"/>
          <w:marTop w:val="0"/>
          <w:marBottom w:val="0"/>
          <w:divBdr>
            <w:top w:val="none" w:sz="0" w:space="0" w:color="auto"/>
            <w:left w:val="none" w:sz="0" w:space="0" w:color="auto"/>
            <w:bottom w:val="none" w:sz="0" w:space="0" w:color="auto"/>
            <w:right w:val="none" w:sz="0" w:space="0" w:color="auto"/>
          </w:divBdr>
        </w:div>
        <w:div w:id="665400743">
          <w:marLeft w:val="0"/>
          <w:marRight w:val="0"/>
          <w:marTop w:val="0"/>
          <w:marBottom w:val="0"/>
          <w:divBdr>
            <w:top w:val="none" w:sz="0" w:space="0" w:color="auto"/>
            <w:left w:val="none" w:sz="0" w:space="0" w:color="auto"/>
            <w:bottom w:val="none" w:sz="0" w:space="0" w:color="auto"/>
            <w:right w:val="none" w:sz="0" w:space="0" w:color="auto"/>
          </w:divBdr>
        </w:div>
        <w:div w:id="1776633368">
          <w:marLeft w:val="0"/>
          <w:marRight w:val="0"/>
          <w:marTop w:val="0"/>
          <w:marBottom w:val="0"/>
          <w:divBdr>
            <w:top w:val="none" w:sz="0" w:space="0" w:color="auto"/>
            <w:left w:val="none" w:sz="0" w:space="0" w:color="auto"/>
            <w:bottom w:val="none" w:sz="0" w:space="0" w:color="auto"/>
            <w:right w:val="none" w:sz="0" w:space="0" w:color="auto"/>
          </w:divBdr>
        </w:div>
        <w:div w:id="377780745">
          <w:marLeft w:val="0"/>
          <w:marRight w:val="0"/>
          <w:marTop w:val="0"/>
          <w:marBottom w:val="0"/>
          <w:divBdr>
            <w:top w:val="none" w:sz="0" w:space="0" w:color="auto"/>
            <w:left w:val="none" w:sz="0" w:space="0" w:color="auto"/>
            <w:bottom w:val="none" w:sz="0" w:space="0" w:color="auto"/>
            <w:right w:val="none" w:sz="0" w:space="0" w:color="auto"/>
          </w:divBdr>
        </w:div>
        <w:div w:id="1150252820">
          <w:marLeft w:val="0"/>
          <w:marRight w:val="0"/>
          <w:marTop w:val="0"/>
          <w:marBottom w:val="0"/>
          <w:divBdr>
            <w:top w:val="none" w:sz="0" w:space="0" w:color="auto"/>
            <w:left w:val="none" w:sz="0" w:space="0" w:color="auto"/>
            <w:bottom w:val="none" w:sz="0" w:space="0" w:color="auto"/>
            <w:right w:val="none" w:sz="0" w:space="0" w:color="auto"/>
          </w:divBdr>
        </w:div>
        <w:div w:id="1463110389">
          <w:marLeft w:val="0"/>
          <w:marRight w:val="0"/>
          <w:marTop w:val="0"/>
          <w:marBottom w:val="0"/>
          <w:divBdr>
            <w:top w:val="none" w:sz="0" w:space="0" w:color="auto"/>
            <w:left w:val="none" w:sz="0" w:space="0" w:color="auto"/>
            <w:bottom w:val="none" w:sz="0" w:space="0" w:color="auto"/>
            <w:right w:val="none" w:sz="0" w:space="0" w:color="auto"/>
          </w:divBdr>
        </w:div>
        <w:div w:id="714160512">
          <w:marLeft w:val="0"/>
          <w:marRight w:val="0"/>
          <w:marTop w:val="0"/>
          <w:marBottom w:val="0"/>
          <w:divBdr>
            <w:top w:val="none" w:sz="0" w:space="0" w:color="auto"/>
            <w:left w:val="none" w:sz="0" w:space="0" w:color="auto"/>
            <w:bottom w:val="none" w:sz="0" w:space="0" w:color="auto"/>
            <w:right w:val="none" w:sz="0" w:space="0" w:color="auto"/>
          </w:divBdr>
        </w:div>
        <w:div w:id="79328151">
          <w:marLeft w:val="0"/>
          <w:marRight w:val="0"/>
          <w:marTop w:val="0"/>
          <w:marBottom w:val="0"/>
          <w:divBdr>
            <w:top w:val="none" w:sz="0" w:space="0" w:color="auto"/>
            <w:left w:val="none" w:sz="0" w:space="0" w:color="auto"/>
            <w:bottom w:val="none" w:sz="0" w:space="0" w:color="auto"/>
            <w:right w:val="none" w:sz="0" w:space="0" w:color="auto"/>
          </w:divBdr>
        </w:div>
        <w:div w:id="26686461">
          <w:marLeft w:val="0"/>
          <w:marRight w:val="0"/>
          <w:marTop w:val="0"/>
          <w:marBottom w:val="0"/>
          <w:divBdr>
            <w:top w:val="none" w:sz="0" w:space="0" w:color="auto"/>
            <w:left w:val="none" w:sz="0" w:space="0" w:color="auto"/>
            <w:bottom w:val="none" w:sz="0" w:space="0" w:color="auto"/>
            <w:right w:val="none" w:sz="0" w:space="0" w:color="auto"/>
          </w:divBdr>
        </w:div>
        <w:div w:id="316736059">
          <w:marLeft w:val="0"/>
          <w:marRight w:val="0"/>
          <w:marTop w:val="0"/>
          <w:marBottom w:val="0"/>
          <w:divBdr>
            <w:top w:val="none" w:sz="0" w:space="0" w:color="auto"/>
            <w:left w:val="none" w:sz="0" w:space="0" w:color="auto"/>
            <w:bottom w:val="none" w:sz="0" w:space="0" w:color="auto"/>
            <w:right w:val="none" w:sz="0" w:space="0" w:color="auto"/>
          </w:divBdr>
        </w:div>
        <w:div w:id="656543332">
          <w:marLeft w:val="0"/>
          <w:marRight w:val="0"/>
          <w:marTop w:val="0"/>
          <w:marBottom w:val="0"/>
          <w:divBdr>
            <w:top w:val="none" w:sz="0" w:space="0" w:color="auto"/>
            <w:left w:val="none" w:sz="0" w:space="0" w:color="auto"/>
            <w:bottom w:val="none" w:sz="0" w:space="0" w:color="auto"/>
            <w:right w:val="none" w:sz="0" w:space="0" w:color="auto"/>
          </w:divBdr>
        </w:div>
        <w:div w:id="442698249">
          <w:marLeft w:val="0"/>
          <w:marRight w:val="0"/>
          <w:marTop w:val="0"/>
          <w:marBottom w:val="0"/>
          <w:divBdr>
            <w:top w:val="none" w:sz="0" w:space="0" w:color="auto"/>
            <w:left w:val="none" w:sz="0" w:space="0" w:color="auto"/>
            <w:bottom w:val="none" w:sz="0" w:space="0" w:color="auto"/>
            <w:right w:val="none" w:sz="0" w:space="0" w:color="auto"/>
          </w:divBdr>
        </w:div>
        <w:div w:id="348140618">
          <w:marLeft w:val="0"/>
          <w:marRight w:val="0"/>
          <w:marTop w:val="0"/>
          <w:marBottom w:val="0"/>
          <w:divBdr>
            <w:top w:val="none" w:sz="0" w:space="0" w:color="auto"/>
            <w:left w:val="none" w:sz="0" w:space="0" w:color="auto"/>
            <w:bottom w:val="none" w:sz="0" w:space="0" w:color="auto"/>
            <w:right w:val="none" w:sz="0" w:space="0" w:color="auto"/>
          </w:divBdr>
        </w:div>
        <w:div w:id="579482363">
          <w:marLeft w:val="0"/>
          <w:marRight w:val="0"/>
          <w:marTop w:val="0"/>
          <w:marBottom w:val="0"/>
          <w:divBdr>
            <w:top w:val="none" w:sz="0" w:space="0" w:color="auto"/>
            <w:left w:val="none" w:sz="0" w:space="0" w:color="auto"/>
            <w:bottom w:val="none" w:sz="0" w:space="0" w:color="auto"/>
            <w:right w:val="none" w:sz="0" w:space="0" w:color="auto"/>
          </w:divBdr>
        </w:div>
        <w:div w:id="1601598279">
          <w:marLeft w:val="0"/>
          <w:marRight w:val="0"/>
          <w:marTop w:val="0"/>
          <w:marBottom w:val="0"/>
          <w:divBdr>
            <w:top w:val="none" w:sz="0" w:space="0" w:color="auto"/>
            <w:left w:val="none" w:sz="0" w:space="0" w:color="auto"/>
            <w:bottom w:val="none" w:sz="0" w:space="0" w:color="auto"/>
            <w:right w:val="none" w:sz="0" w:space="0" w:color="auto"/>
          </w:divBdr>
        </w:div>
        <w:div w:id="359404681">
          <w:marLeft w:val="0"/>
          <w:marRight w:val="0"/>
          <w:marTop w:val="0"/>
          <w:marBottom w:val="0"/>
          <w:divBdr>
            <w:top w:val="none" w:sz="0" w:space="0" w:color="auto"/>
            <w:left w:val="none" w:sz="0" w:space="0" w:color="auto"/>
            <w:bottom w:val="none" w:sz="0" w:space="0" w:color="auto"/>
            <w:right w:val="none" w:sz="0" w:space="0" w:color="auto"/>
          </w:divBdr>
        </w:div>
        <w:div w:id="1314872238">
          <w:marLeft w:val="0"/>
          <w:marRight w:val="0"/>
          <w:marTop w:val="0"/>
          <w:marBottom w:val="0"/>
          <w:divBdr>
            <w:top w:val="none" w:sz="0" w:space="0" w:color="auto"/>
            <w:left w:val="none" w:sz="0" w:space="0" w:color="auto"/>
            <w:bottom w:val="none" w:sz="0" w:space="0" w:color="auto"/>
            <w:right w:val="none" w:sz="0" w:space="0" w:color="auto"/>
          </w:divBdr>
        </w:div>
        <w:div w:id="1135680940">
          <w:marLeft w:val="0"/>
          <w:marRight w:val="0"/>
          <w:marTop w:val="0"/>
          <w:marBottom w:val="0"/>
          <w:divBdr>
            <w:top w:val="none" w:sz="0" w:space="0" w:color="auto"/>
            <w:left w:val="none" w:sz="0" w:space="0" w:color="auto"/>
            <w:bottom w:val="none" w:sz="0" w:space="0" w:color="auto"/>
            <w:right w:val="none" w:sz="0" w:space="0" w:color="auto"/>
          </w:divBdr>
        </w:div>
        <w:div w:id="1350062553">
          <w:marLeft w:val="0"/>
          <w:marRight w:val="0"/>
          <w:marTop w:val="0"/>
          <w:marBottom w:val="0"/>
          <w:divBdr>
            <w:top w:val="none" w:sz="0" w:space="0" w:color="auto"/>
            <w:left w:val="none" w:sz="0" w:space="0" w:color="auto"/>
            <w:bottom w:val="none" w:sz="0" w:space="0" w:color="auto"/>
            <w:right w:val="none" w:sz="0" w:space="0" w:color="auto"/>
          </w:divBdr>
        </w:div>
        <w:div w:id="448356950">
          <w:marLeft w:val="0"/>
          <w:marRight w:val="0"/>
          <w:marTop w:val="0"/>
          <w:marBottom w:val="0"/>
          <w:divBdr>
            <w:top w:val="none" w:sz="0" w:space="0" w:color="auto"/>
            <w:left w:val="none" w:sz="0" w:space="0" w:color="auto"/>
            <w:bottom w:val="none" w:sz="0" w:space="0" w:color="auto"/>
            <w:right w:val="none" w:sz="0" w:space="0" w:color="auto"/>
          </w:divBdr>
        </w:div>
        <w:div w:id="422461356">
          <w:marLeft w:val="0"/>
          <w:marRight w:val="0"/>
          <w:marTop w:val="0"/>
          <w:marBottom w:val="0"/>
          <w:divBdr>
            <w:top w:val="none" w:sz="0" w:space="0" w:color="auto"/>
            <w:left w:val="none" w:sz="0" w:space="0" w:color="auto"/>
            <w:bottom w:val="none" w:sz="0" w:space="0" w:color="auto"/>
            <w:right w:val="none" w:sz="0" w:space="0" w:color="auto"/>
          </w:divBdr>
        </w:div>
        <w:div w:id="832111101">
          <w:marLeft w:val="0"/>
          <w:marRight w:val="0"/>
          <w:marTop w:val="0"/>
          <w:marBottom w:val="0"/>
          <w:divBdr>
            <w:top w:val="none" w:sz="0" w:space="0" w:color="auto"/>
            <w:left w:val="none" w:sz="0" w:space="0" w:color="auto"/>
            <w:bottom w:val="none" w:sz="0" w:space="0" w:color="auto"/>
            <w:right w:val="none" w:sz="0" w:space="0" w:color="auto"/>
          </w:divBdr>
        </w:div>
        <w:div w:id="1397359355">
          <w:marLeft w:val="0"/>
          <w:marRight w:val="0"/>
          <w:marTop w:val="0"/>
          <w:marBottom w:val="0"/>
          <w:divBdr>
            <w:top w:val="none" w:sz="0" w:space="0" w:color="auto"/>
            <w:left w:val="none" w:sz="0" w:space="0" w:color="auto"/>
            <w:bottom w:val="none" w:sz="0" w:space="0" w:color="auto"/>
            <w:right w:val="none" w:sz="0" w:space="0" w:color="auto"/>
          </w:divBdr>
        </w:div>
        <w:div w:id="1713529675">
          <w:marLeft w:val="0"/>
          <w:marRight w:val="0"/>
          <w:marTop w:val="0"/>
          <w:marBottom w:val="0"/>
          <w:divBdr>
            <w:top w:val="none" w:sz="0" w:space="0" w:color="auto"/>
            <w:left w:val="none" w:sz="0" w:space="0" w:color="auto"/>
            <w:bottom w:val="none" w:sz="0" w:space="0" w:color="auto"/>
            <w:right w:val="none" w:sz="0" w:space="0" w:color="auto"/>
          </w:divBdr>
        </w:div>
        <w:div w:id="1794706946">
          <w:marLeft w:val="0"/>
          <w:marRight w:val="0"/>
          <w:marTop w:val="0"/>
          <w:marBottom w:val="0"/>
          <w:divBdr>
            <w:top w:val="none" w:sz="0" w:space="0" w:color="auto"/>
            <w:left w:val="none" w:sz="0" w:space="0" w:color="auto"/>
            <w:bottom w:val="none" w:sz="0" w:space="0" w:color="auto"/>
            <w:right w:val="none" w:sz="0" w:space="0" w:color="auto"/>
          </w:divBdr>
        </w:div>
        <w:div w:id="1691105538">
          <w:marLeft w:val="0"/>
          <w:marRight w:val="0"/>
          <w:marTop w:val="0"/>
          <w:marBottom w:val="0"/>
          <w:divBdr>
            <w:top w:val="none" w:sz="0" w:space="0" w:color="auto"/>
            <w:left w:val="none" w:sz="0" w:space="0" w:color="auto"/>
            <w:bottom w:val="none" w:sz="0" w:space="0" w:color="auto"/>
            <w:right w:val="none" w:sz="0" w:space="0" w:color="auto"/>
          </w:divBdr>
        </w:div>
        <w:div w:id="701783018">
          <w:marLeft w:val="0"/>
          <w:marRight w:val="0"/>
          <w:marTop w:val="0"/>
          <w:marBottom w:val="0"/>
          <w:divBdr>
            <w:top w:val="none" w:sz="0" w:space="0" w:color="auto"/>
            <w:left w:val="none" w:sz="0" w:space="0" w:color="auto"/>
            <w:bottom w:val="none" w:sz="0" w:space="0" w:color="auto"/>
            <w:right w:val="none" w:sz="0" w:space="0" w:color="auto"/>
          </w:divBdr>
        </w:div>
        <w:div w:id="1173951859">
          <w:marLeft w:val="0"/>
          <w:marRight w:val="0"/>
          <w:marTop w:val="0"/>
          <w:marBottom w:val="0"/>
          <w:divBdr>
            <w:top w:val="none" w:sz="0" w:space="0" w:color="auto"/>
            <w:left w:val="none" w:sz="0" w:space="0" w:color="auto"/>
            <w:bottom w:val="none" w:sz="0" w:space="0" w:color="auto"/>
            <w:right w:val="none" w:sz="0" w:space="0" w:color="auto"/>
          </w:divBdr>
        </w:div>
        <w:div w:id="2048797548">
          <w:marLeft w:val="0"/>
          <w:marRight w:val="0"/>
          <w:marTop w:val="0"/>
          <w:marBottom w:val="0"/>
          <w:divBdr>
            <w:top w:val="none" w:sz="0" w:space="0" w:color="auto"/>
            <w:left w:val="none" w:sz="0" w:space="0" w:color="auto"/>
            <w:bottom w:val="none" w:sz="0" w:space="0" w:color="auto"/>
            <w:right w:val="none" w:sz="0" w:space="0" w:color="auto"/>
          </w:divBdr>
        </w:div>
        <w:div w:id="1813906059">
          <w:marLeft w:val="0"/>
          <w:marRight w:val="0"/>
          <w:marTop w:val="0"/>
          <w:marBottom w:val="0"/>
          <w:divBdr>
            <w:top w:val="none" w:sz="0" w:space="0" w:color="auto"/>
            <w:left w:val="none" w:sz="0" w:space="0" w:color="auto"/>
            <w:bottom w:val="none" w:sz="0" w:space="0" w:color="auto"/>
            <w:right w:val="none" w:sz="0" w:space="0" w:color="auto"/>
          </w:divBdr>
        </w:div>
      </w:divsChild>
    </w:div>
    <w:div w:id="558249534">
      <w:bodyDiv w:val="1"/>
      <w:marLeft w:val="0"/>
      <w:marRight w:val="0"/>
      <w:marTop w:val="0"/>
      <w:marBottom w:val="0"/>
      <w:divBdr>
        <w:top w:val="none" w:sz="0" w:space="0" w:color="auto"/>
        <w:left w:val="none" w:sz="0" w:space="0" w:color="auto"/>
        <w:bottom w:val="none" w:sz="0" w:space="0" w:color="auto"/>
        <w:right w:val="none" w:sz="0" w:space="0" w:color="auto"/>
      </w:divBdr>
    </w:div>
    <w:div w:id="561139924">
      <w:bodyDiv w:val="1"/>
      <w:marLeft w:val="0"/>
      <w:marRight w:val="0"/>
      <w:marTop w:val="0"/>
      <w:marBottom w:val="0"/>
      <w:divBdr>
        <w:top w:val="none" w:sz="0" w:space="0" w:color="auto"/>
        <w:left w:val="none" w:sz="0" w:space="0" w:color="auto"/>
        <w:bottom w:val="none" w:sz="0" w:space="0" w:color="auto"/>
        <w:right w:val="none" w:sz="0" w:space="0" w:color="auto"/>
      </w:divBdr>
    </w:div>
    <w:div w:id="584073218">
      <w:bodyDiv w:val="1"/>
      <w:marLeft w:val="0"/>
      <w:marRight w:val="0"/>
      <w:marTop w:val="0"/>
      <w:marBottom w:val="0"/>
      <w:divBdr>
        <w:top w:val="none" w:sz="0" w:space="0" w:color="auto"/>
        <w:left w:val="none" w:sz="0" w:space="0" w:color="auto"/>
        <w:bottom w:val="none" w:sz="0" w:space="0" w:color="auto"/>
        <w:right w:val="none" w:sz="0" w:space="0" w:color="auto"/>
      </w:divBdr>
    </w:div>
    <w:div w:id="589312561">
      <w:bodyDiv w:val="1"/>
      <w:marLeft w:val="0"/>
      <w:marRight w:val="0"/>
      <w:marTop w:val="0"/>
      <w:marBottom w:val="0"/>
      <w:divBdr>
        <w:top w:val="none" w:sz="0" w:space="0" w:color="auto"/>
        <w:left w:val="none" w:sz="0" w:space="0" w:color="auto"/>
        <w:bottom w:val="none" w:sz="0" w:space="0" w:color="auto"/>
        <w:right w:val="none" w:sz="0" w:space="0" w:color="auto"/>
      </w:divBdr>
    </w:div>
    <w:div w:id="610404690">
      <w:bodyDiv w:val="1"/>
      <w:marLeft w:val="0"/>
      <w:marRight w:val="0"/>
      <w:marTop w:val="0"/>
      <w:marBottom w:val="0"/>
      <w:divBdr>
        <w:top w:val="none" w:sz="0" w:space="0" w:color="auto"/>
        <w:left w:val="none" w:sz="0" w:space="0" w:color="auto"/>
        <w:bottom w:val="none" w:sz="0" w:space="0" w:color="auto"/>
        <w:right w:val="none" w:sz="0" w:space="0" w:color="auto"/>
      </w:divBdr>
    </w:div>
    <w:div w:id="623584770">
      <w:bodyDiv w:val="1"/>
      <w:marLeft w:val="0"/>
      <w:marRight w:val="0"/>
      <w:marTop w:val="0"/>
      <w:marBottom w:val="0"/>
      <w:divBdr>
        <w:top w:val="none" w:sz="0" w:space="0" w:color="auto"/>
        <w:left w:val="none" w:sz="0" w:space="0" w:color="auto"/>
        <w:bottom w:val="none" w:sz="0" w:space="0" w:color="auto"/>
        <w:right w:val="none" w:sz="0" w:space="0" w:color="auto"/>
      </w:divBdr>
    </w:div>
    <w:div w:id="641347026">
      <w:bodyDiv w:val="1"/>
      <w:marLeft w:val="0"/>
      <w:marRight w:val="0"/>
      <w:marTop w:val="0"/>
      <w:marBottom w:val="0"/>
      <w:divBdr>
        <w:top w:val="none" w:sz="0" w:space="0" w:color="auto"/>
        <w:left w:val="none" w:sz="0" w:space="0" w:color="auto"/>
        <w:bottom w:val="none" w:sz="0" w:space="0" w:color="auto"/>
        <w:right w:val="none" w:sz="0" w:space="0" w:color="auto"/>
      </w:divBdr>
    </w:div>
    <w:div w:id="676545047">
      <w:bodyDiv w:val="1"/>
      <w:marLeft w:val="0"/>
      <w:marRight w:val="0"/>
      <w:marTop w:val="0"/>
      <w:marBottom w:val="0"/>
      <w:divBdr>
        <w:top w:val="none" w:sz="0" w:space="0" w:color="auto"/>
        <w:left w:val="none" w:sz="0" w:space="0" w:color="auto"/>
        <w:bottom w:val="none" w:sz="0" w:space="0" w:color="auto"/>
        <w:right w:val="none" w:sz="0" w:space="0" w:color="auto"/>
      </w:divBdr>
      <w:divsChild>
        <w:div w:id="65077592">
          <w:marLeft w:val="0"/>
          <w:marRight w:val="0"/>
          <w:marTop w:val="0"/>
          <w:marBottom w:val="0"/>
          <w:divBdr>
            <w:top w:val="none" w:sz="0" w:space="0" w:color="auto"/>
            <w:left w:val="none" w:sz="0" w:space="0" w:color="auto"/>
            <w:bottom w:val="none" w:sz="0" w:space="0" w:color="auto"/>
            <w:right w:val="none" w:sz="0" w:space="0" w:color="auto"/>
          </w:divBdr>
        </w:div>
      </w:divsChild>
    </w:div>
    <w:div w:id="683289971">
      <w:bodyDiv w:val="1"/>
      <w:marLeft w:val="0"/>
      <w:marRight w:val="0"/>
      <w:marTop w:val="0"/>
      <w:marBottom w:val="0"/>
      <w:divBdr>
        <w:top w:val="none" w:sz="0" w:space="0" w:color="auto"/>
        <w:left w:val="none" w:sz="0" w:space="0" w:color="auto"/>
        <w:bottom w:val="none" w:sz="0" w:space="0" w:color="auto"/>
        <w:right w:val="none" w:sz="0" w:space="0" w:color="auto"/>
      </w:divBdr>
    </w:div>
    <w:div w:id="689651264">
      <w:bodyDiv w:val="1"/>
      <w:marLeft w:val="0"/>
      <w:marRight w:val="0"/>
      <w:marTop w:val="0"/>
      <w:marBottom w:val="0"/>
      <w:divBdr>
        <w:top w:val="none" w:sz="0" w:space="0" w:color="auto"/>
        <w:left w:val="none" w:sz="0" w:space="0" w:color="auto"/>
        <w:bottom w:val="none" w:sz="0" w:space="0" w:color="auto"/>
        <w:right w:val="none" w:sz="0" w:space="0" w:color="auto"/>
      </w:divBdr>
    </w:div>
    <w:div w:id="717750634">
      <w:bodyDiv w:val="1"/>
      <w:marLeft w:val="0"/>
      <w:marRight w:val="0"/>
      <w:marTop w:val="0"/>
      <w:marBottom w:val="0"/>
      <w:divBdr>
        <w:top w:val="none" w:sz="0" w:space="0" w:color="auto"/>
        <w:left w:val="none" w:sz="0" w:space="0" w:color="auto"/>
        <w:bottom w:val="none" w:sz="0" w:space="0" w:color="auto"/>
        <w:right w:val="none" w:sz="0" w:space="0" w:color="auto"/>
      </w:divBdr>
    </w:div>
    <w:div w:id="726225484">
      <w:bodyDiv w:val="1"/>
      <w:marLeft w:val="0"/>
      <w:marRight w:val="0"/>
      <w:marTop w:val="0"/>
      <w:marBottom w:val="0"/>
      <w:divBdr>
        <w:top w:val="none" w:sz="0" w:space="0" w:color="auto"/>
        <w:left w:val="none" w:sz="0" w:space="0" w:color="auto"/>
        <w:bottom w:val="none" w:sz="0" w:space="0" w:color="auto"/>
        <w:right w:val="none" w:sz="0" w:space="0" w:color="auto"/>
      </w:divBdr>
    </w:div>
    <w:div w:id="754017567">
      <w:bodyDiv w:val="1"/>
      <w:marLeft w:val="0"/>
      <w:marRight w:val="0"/>
      <w:marTop w:val="0"/>
      <w:marBottom w:val="0"/>
      <w:divBdr>
        <w:top w:val="none" w:sz="0" w:space="0" w:color="auto"/>
        <w:left w:val="none" w:sz="0" w:space="0" w:color="auto"/>
        <w:bottom w:val="none" w:sz="0" w:space="0" w:color="auto"/>
        <w:right w:val="none" w:sz="0" w:space="0" w:color="auto"/>
      </w:divBdr>
    </w:div>
    <w:div w:id="803892231">
      <w:bodyDiv w:val="1"/>
      <w:marLeft w:val="0"/>
      <w:marRight w:val="0"/>
      <w:marTop w:val="0"/>
      <w:marBottom w:val="0"/>
      <w:divBdr>
        <w:top w:val="none" w:sz="0" w:space="0" w:color="auto"/>
        <w:left w:val="none" w:sz="0" w:space="0" w:color="auto"/>
        <w:bottom w:val="none" w:sz="0" w:space="0" w:color="auto"/>
        <w:right w:val="none" w:sz="0" w:space="0" w:color="auto"/>
      </w:divBdr>
    </w:div>
    <w:div w:id="847449674">
      <w:bodyDiv w:val="1"/>
      <w:marLeft w:val="0"/>
      <w:marRight w:val="0"/>
      <w:marTop w:val="0"/>
      <w:marBottom w:val="0"/>
      <w:divBdr>
        <w:top w:val="none" w:sz="0" w:space="0" w:color="auto"/>
        <w:left w:val="none" w:sz="0" w:space="0" w:color="auto"/>
        <w:bottom w:val="none" w:sz="0" w:space="0" w:color="auto"/>
        <w:right w:val="none" w:sz="0" w:space="0" w:color="auto"/>
      </w:divBdr>
    </w:div>
    <w:div w:id="861626494">
      <w:bodyDiv w:val="1"/>
      <w:marLeft w:val="0"/>
      <w:marRight w:val="0"/>
      <w:marTop w:val="0"/>
      <w:marBottom w:val="0"/>
      <w:divBdr>
        <w:top w:val="none" w:sz="0" w:space="0" w:color="auto"/>
        <w:left w:val="none" w:sz="0" w:space="0" w:color="auto"/>
        <w:bottom w:val="none" w:sz="0" w:space="0" w:color="auto"/>
        <w:right w:val="none" w:sz="0" w:space="0" w:color="auto"/>
      </w:divBdr>
    </w:div>
    <w:div w:id="874120916">
      <w:bodyDiv w:val="1"/>
      <w:marLeft w:val="0"/>
      <w:marRight w:val="0"/>
      <w:marTop w:val="0"/>
      <w:marBottom w:val="0"/>
      <w:divBdr>
        <w:top w:val="none" w:sz="0" w:space="0" w:color="auto"/>
        <w:left w:val="none" w:sz="0" w:space="0" w:color="auto"/>
        <w:bottom w:val="none" w:sz="0" w:space="0" w:color="auto"/>
        <w:right w:val="none" w:sz="0" w:space="0" w:color="auto"/>
      </w:divBdr>
    </w:div>
    <w:div w:id="885604168">
      <w:bodyDiv w:val="1"/>
      <w:marLeft w:val="0"/>
      <w:marRight w:val="0"/>
      <w:marTop w:val="0"/>
      <w:marBottom w:val="0"/>
      <w:divBdr>
        <w:top w:val="none" w:sz="0" w:space="0" w:color="auto"/>
        <w:left w:val="none" w:sz="0" w:space="0" w:color="auto"/>
        <w:bottom w:val="none" w:sz="0" w:space="0" w:color="auto"/>
        <w:right w:val="none" w:sz="0" w:space="0" w:color="auto"/>
      </w:divBdr>
      <w:divsChild>
        <w:div w:id="222523755">
          <w:marLeft w:val="0"/>
          <w:marRight w:val="0"/>
          <w:marTop w:val="0"/>
          <w:marBottom w:val="0"/>
          <w:divBdr>
            <w:top w:val="none" w:sz="0" w:space="0" w:color="auto"/>
            <w:left w:val="none" w:sz="0" w:space="0" w:color="auto"/>
            <w:bottom w:val="none" w:sz="0" w:space="0" w:color="auto"/>
            <w:right w:val="none" w:sz="0" w:space="0" w:color="auto"/>
          </w:divBdr>
        </w:div>
      </w:divsChild>
    </w:div>
    <w:div w:id="899243449">
      <w:bodyDiv w:val="1"/>
      <w:marLeft w:val="0"/>
      <w:marRight w:val="0"/>
      <w:marTop w:val="0"/>
      <w:marBottom w:val="0"/>
      <w:divBdr>
        <w:top w:val="none" w:sz="0" w:space="0" w:color="auto"/>
        <w:left w:val="none" w:sz="0" w:space="0" w:color="auto"/>
        <w:bottom w:val="none" w:sz="0" w:space="0" w:color="auto"/>
        <w:right w:val="none" w:sz="0" w:space="0" w:color="auto"/>
      </w:divBdr>
    </w:div>
    <w:div w:id="904796501">
      <w:bodyDiv w:val="1"/>
      <w:marLeft w:val="0"/>
      <w:marRight w:val="0"/>
      <w:marTop w:val="0"/>
      <w:marBottom w:val="0"/>
      <w:divBdr>
        <w:top w:val="none" w:sz="0" w:space="0" w:color="auto"/>
        <w:left w:val="none" w:sz="0" w:space="0" w:color="auto"/>
        <w:bottom w:val="none" w:sz="0" w:space="0" w:color="auto"/>
        <w:right w:val="none" w:sz="0" w:space="0" w:color="auto"/>
      </w:divBdr>
    </w:div>
    <w:div w:id="907151708">
      <w:bodyDiv w:val="1"/>
      <w:marLeft w:val="0"/>
      <w:marRight w:val="0"/>
      <w:marTop w:val="0"/>
      <w:marBottom w:val="0"/>
      <w:divBdr>
        <w:top w:val="none" w:sz="0" w:space="0" w:color="auto"/>
        <w:left w:val="none" w:sz="0" w:space="0" w:color="auto"/>
        <w:bottom w:val="none" w:sz="0" w:space="0" w:color="auto"/>
        <w:right w:val="none" w:sz="0" w:space="0" w:color="auto"/>
      </w:divBdr>
    </w:div>
    <w:div w:id="928270190">
      <w:bodyDiv w:val="1"/>
      <w:marLeft w:val="0"/>
      <w:marRight w:val="0"/>
      <w:marTop w:val="0"/>
      <w:marBottom w:val="0"/>
      <w:divBdr>
        <w:top w:val="none" w:sz="0" w:space="0" w:color="auto"/>
        <w:left w:val="none" w:sz="0" w:space="0" w:color="auto"/>
        <w:bottom w:val="none" w:sz="0" w:space="0" w:color="auto"/>
        <w:right w:val="none" w:sz="0" w:space="0" w:color="auto"/>
      </w:divBdr>
    </w:div>
    <w:div w:id="948320084">
      <w:bodyDiv w:val="1"/>
      <w:marLeft w:val="0"/>
      <w:marRight w:val="0"/>
      <w:marTop w:val="0"/>
      <w:marBottom w:val="0"/>
      <w:divBdr>
        <w:top w:val="none" w:sz="0" w:space="0" w:color="auto"/>
        <w:left w:val="none" w:sz="0" w:space="0" w:color="auto"/>
        <w:bottom w:val="none" w:sz="0" w:space="0" w:color="auto"/>
        <w:right w:val="none" w:sz="0" w:space="0" w:color="auto"/>
      </w:divBdr>
    </w:div>
    <w:div w:id="960645414">
      <w:bodyDiv w:val="1"/>
      <w:marLeft w:val="0"/>
      <w:marRight w:val="0"/>
      <w:marTop w:val="0"/>
      <w:marBottom w:val="0"/>
      <w:divBdr>
        <w:top w:val="none" w:sz="0" w:space="0" w:color="auto"/>
        <w:left w:val="none" w:sz="0" w:space="0" w:color="auto"/>
        <w:bottom w:val="none" w:sz="0" w:space="0" w:color="auto"/>
        <w:right w:val="none" w:sz="0" w:space="0" w:color="auto"/>
      </w:divBdr>
    </w:div>
    <w:div w:id="977031526">
      <w:bodyDiv w:val="1"/>
      <w:marLeft w:val="0"/>
      <w:marRight w:val="0"/>
      <w:marTop w:val="0"/>
      <w:marBottom w:val="0"/>
      <w:divBdr>
        <w:top w:val="none" w:sz="0" w:space="0" w:color="auto"/>
        <w:left w:val="none" w:sz="0" w:space="0" w:color="auto"/>
        <w:bottom w:val="none" w:sz="0" w:space="0" w:color="auto"/>
        <w:right w:val="none" w:sz="0" w:space="0" w:color="auto"/>
      </w:divBdr>
    </w:div>
    <w:div w:id="981302997">
      <w:bodyDiv w:val="1"/>
      <w:marLeft w:val="0"/>
      <w:marRight w:val="0"/>
      <w:marTop w:val="0"/>
      <w:marBottom w:val="0"/>
      <w:divBdr>
        <w:top w:val="none" w:sz="0" w:space="0" w:color="auto"/>
        <w:left w:val="none" w:sz="0" w:space="0" w:color="auto"/>
        <w:bottom w:val="none" w:sz="0" w:space="0" w:color="auto"/>
        <w:right w:val="none" w:sz="0" w:space="0" w:color="auto"/>
      </w:divBdr>
    </w:div>
    <w:div w:id="1003582712">
      <w:bodyDiv w:val="1"/>
      <w:marLeft w:val="0"/>
      <w:marRight w:val="0"/>
      <w:marTop w:val="0"/>
      <w:marBottom w:val="0"/>
      <w:divBdr>
        <w:top w:val="none" w:sz="0" w:space="0" w:color="auto"/>
        <w:left w:val="none" w:sz="0" w:space="0" w:color="auto"/>
        <w:bottom w:val="none" w:sz="0" w:space="0" w:color="auto"/>
        <w:right w:val="none" w:sz="0" w:space="0" w:color="auto"/>
      </w:divBdr>
    </w:div>
    <w:div w:id="1009674210">
      <w:bodyDiv w:val="1"/>
      <w:marLeft w:val="0"/>
      <w:marRight w:val="0"/>
      <w:marTop w:val="0"/>
      <w:marBottom w:val="0"/>
      <w:divBdr>
        <w:top w:val="none" w:sz="0" w:space="0" w:color="auto"/>
        <w:left w:val="none" w:sz="0" w:space="0" w:color="auto"/>
        <w:bottom w:val="none" w:sz="0" w:space="0" w:color="auto"/>
        <w:right w:val="none" w:sz="0" w:space="0" w:color="auto"/>
      </w:divBdr>
    </w:div>
    <w:div w:id="1037772857">
      <w:bodyDiv w:val="1"/>
      <w:marLeft w:val="0"/>
      <w:marRight w:val="0"/>
      <w:marTop w:val="0"/>
      <w:marBottom w:val="0"/>
      <w:divBdr>
        <w:top w:val="none" w:sz="0" w:space="0" w:color="auto"/>
        <w:left w:val="none" w:sz="0" w:space="0" w:color="auto"/>
        <w:bottom w:val="none" w:sz="0" w:space="0" w:color="auto"/>
        <w:right w:val="none" w:sz="0" w:space="0" w:color="auto"/>
      </w:divBdr>
    </w:div>
    <w:div w:id="1046950397">
      <w:bodyDiv w:val="1"/>
      <w:marLeft w:val="0"/>
      <w:marRight w:val="0"/>
      <w:marTop w:val="0"/>
      <w:marBottom w:val="0"/>
      <w:divBdr>
        <w:top w:val="none" w:sz="0" w:space="0" w:color="auto"/>
        <w:left w:val="none" w:sz="0" w:space="0" w:color="auto"/>
        <w:bottom w:val="none" w:sz="0" w:space="0" w:color="auto"/>
        <w:right w:val="none" w:sz="0" w:space="0" w:color="auto"/>
      </w:divBdr>
    </w:div>
    <w:div w:id="1073241562">
      <w:bodyDiv w:val="1"/>
      <w:marLeft w:val="0"/>
      <w:marRight w:val="0"/>
      <w:marTop w:val="0"/>
      <w:marBottom w:val="0"/>
      <w:divBdr>
        <w:top w:val="none" w:sz="0" w:space="0" w:color="auto"/>
        <w:left w:val="none" w:sz="0" w:space="0" w:color="auto"/>
        <w:bottom w:val="none" w:sz="0" w:space="0" w:color="auto"/>
        <w:right w:val="none" w:sz="0" w:space="0" w:color="auto"/>
      </w:divBdr>
    </w:div>
    <w:div w:id="1082868826">
      <w:bodyDiv w:val="1"/>
      <w:marLeft w:val="0"/>
      <w:marRight w:val="0"/>
      <w:marTop w:val="0"/>
      <w:marBottom w:val="0"/>
      <w:divBdr>
        <w:top w:val="none" w:sz="0" w:space="0" w:color="auto"/>
        <w:left w:val="none" w:sz="0" w:space="0" w:color="auto"/>
        <w:bottom w:val="none" w:sz="0" w:space="0" w:color="auto"/>
        <w:right w:val="none" w:sz="0" w:space="0" w:color="auto"/>
      </w:divBdr>
    </w:div>
    <w:div w:id="1083530873">
      <w:bodyDiv w:val="1"/>
      <w:marLeft w:val="0"/>
      <w:marRight w:val="0"/>
      <w:marTop w:val="0"/>
      <w:marBottom w:val="0"/>
      <w:divBdr>
        <w:top w:val="none" w:sz="0" w:space="0" w:color="auto"/>
        <w:left w:val="none" w:sz="0" w:space="0" w:color="auto"/>
        <w:bottom w:val="none" w:sz="0" w:space="0" w:color="auto"/>
        <w:right w:val="none" w:sz="0" w:space="0" w:color="auto"/>
      </w:divBdr>
    </w:div>
    <w:div w:id="1154570649">
      <w:bodyDiv w:val="1"/>
      <w:marLeft w:val="0"/>
      <w:marRight w:val="0"/>
      <w:marTop w:val="0"/>
      <w:marBottom w:val="0"/>
      <w:divBdr>
        <w:top w:val="none" w:sz="0" w:space="0" w:color="auto"/>
        <w:left w:val="none" w:sz="0" w:space="0" w:color="auto"/>
        <w:bottom w:val="none" w:sz="0" w:space="0" w:color="auto"/>
        <w:right w:val="none" w:sz="0" w:space="0" w:color="auto"/>
      </w:divBdr>
    </w:div>
    <w:div w:id="1154833807">
      <w:bodyDiv w:val="1"/>
      <w:marLeft w:val="0"/>
      <w:marRight w:val="0"/>
      <w:marTop w:val="0"/>
      <w:marBottom w:val="0"/>
      <w:divBdr>
        <w:top w:val="none" w:sz="0" w:space="0" w:color="auto"/>
        <w:left w:val="none" w:sz="0" w:space="0" w:color="auto"/>
        <w:bottom w:val="none" w:sz="0" w:space="0" w:color="auto"/>
        <w:right w:val="none" w:sz="0" w:space="0" w:color="auto"/>
      </w:divBdr>
    </w:div>
    <w:div w:id="1164012221">
      <w:bodyDiv w:val="1"/>
      <w:marLeft w:val="0"/>
      <w:marRight w:val="0"/>
      <w:marTop w:val="0"/>
      <w:marBottom w:val="0"/>
      <w:divBdr>
        <w:top w:val="none" w:sz="0" w:space="0" w:color="auto"/>
        <w:left w:val="none" w:sz="0" w:space="0" w:color="auto"/>
        <w:bottom w:val="none" w:sz="0" w:space="0" w:color="auto"/>
        <w:right w:val="none" w:sz="0" w:space="0" w:color="auto"/>
      </w:divBdr>
    </w:div>
    <w:div w:id="1178696138">
      <w:bodyDiv w:val="1"/>
      <w:marLeft w:val="0"/>
      <w:marRight w:val="0"/>
      <w:marTop w:val="0"/>
      <w:marBottom w:val="0"/>
      <w:divBdr>
        <w:top w:val="none" w:sz="0" w:space="0" w:color="auto"/>
        <w:left w:val="none" w:sz="0" w:space="0" w:color="auto"/>
        <w:bottom w:val="none" w:sz="0" w:space="0" w:color="auto"/>
        <w:right w:val="none" w:sz="0" w:space="0" w:color="auto"/>
      </w:divBdr>
    </w:div>
    <w:div w:id="1183322455">
      <w:bodyDiv w:val="1"/>
      <w:marLeft w:val="0"/>
      <w:marRight w:val="0"/>
      <w:marTop w:val="0"/>
      <w:marBottom w:val="0"/>
      <w:divBdr>
        <w:top w:val="none" w:sz="0" w:space="0" w:color="auto"/>
        <w:left w:val="none" w:sz="0" w:space="0" w:color="auto"/>
        <w:bottom w:val="none" w:sz="0" w:space="0" w:color="auto"/>
        <w:right w:val="none" w:sz="0" w:space="0" w:color="auto"/>
      </w:divBdr>
    </w:div>
    <w:div w:id="1223491733">
      <w:bodyDiv w:val="1"/>
      <w:marLeft w:val="0"/>
      <w:marRight w:val="0"/>
      <w:marTop w:val="0"/>
      <w:marBottom w:val="0"/>
      <w:divBdr>
        <w:top w:val="none" w:sz="0" w:space="0" w:color="auto"/>
        <w:left w:val="none" w:sz="0" w:space="0" w:color="auto"/>
        <w:bottom w:val="none" w:sz="0" w:space="0" w:color="auto"/>
        <w:right w:val="none" w:sz="0" w:space="0" w:color="auto"/>
      </w:divBdr>
    </w:div>
    <w:div w:id="1245914059">
      <w:bodyDiv w:val="1"/>
      <w:marLeft w:val="0"/>
      <w:marRight w:val="0"/>
      <w:marTop w:val="0"/>
      <w:marBottom w:val="0"/>
      <w:divBdr>
        <w:top w:val="none" w:sz="0" w:space="0" w:color="auto"/>
        <w:left w:val="none" w:sz="0" w:space="0" w:color="auto"/>
        <w:bottom w:val="none" w:sz="0" w:space="0" w:color="auto"/>
        <w:right w:val="none" w:sz="0" w:space="0" w:color="auto"/>
      </w:divBdr>
      <w:divsChild>
        <w:div w:id="1886796257">
          <w:marLeft w:val="0"/>
          <w:marRight w:val="0"/>
          <w:marTop w:val="0"/>
          <w:marBottom w:val="0"/>
          <w:divBdr>
            <w:top w:val="none" w:sz="0" w:space="0" w:color="auto"/>
            <w:left w:val="none" w:sz="0" w:space="0" w:color="auto"/>
            <w:bottom w:val="none" w:sz="0" w:space="0" w:color="auto"/>
            <w:right w:val="none" w:sz="0" w:space="0" w:color="auto"/>
          </w:divBdr>
        </w:div>
        <w:div w:id="37290728">
          <w:marLeft w:val="0"/>
          <w:marRight w:val="0"/>
          <w:marTop w:val="0"/>
          <w:marBottom w:val="0"/>
          <w:divBdr>
            <w:top w:val="none" w:sz="0" w:space="0" w:color="auto"/>
            <w:left w:val="none" w:sz="0" w:space="0" w:color="auto"/>
            <w:bottom w:val="none" w:sz="0" w:space="0" w:color="auto"/>
            <w:right w:val="none" w:sz="0" w:space="0" w:color="auto"/>
          </w:divBdr>
        </w:div>
        <w:div w:id="151410712">
          <w:marLeft w:val="0"/>
          <w:marRight w:val="0"/>
          <w:marTop w:val="0"/>
          <w:marBottom w:val="0"/>
          <w:divBdr>
            <w:top w:val="none" w:sz="0" w:space="0" w:color="auto"/>
            <w:left w:val="none" w:sz="0" w:space="0" w:color="auto"/>
            <w:bottom w:val="none" w:sz="0" w:space="0" w:color="auto"/>
            <w:right w:val="none" w:sz="0" w:space="0" w:color="auto"/>
          </w:divBdr>
        </w:div>
        <w:div w:id="1171530324">
          <w:marLeft w:val="0"/>
          <w:marRight w:val="0"/>
          <w:marTop w:val="0"/>
          <w:marBottom w:val="0"/>
          <w:divBdr>
            <w:top w:val="none" w:sz="0" w:space="0" w:color="auto"/>
            <w:left w:val="none" w:sz="0" w:space="0" w:color="auto"/>
            <w:bottom w:val="none" w:sz="0" w:space="0" w:color="auto"/>
            <w:right w:val="none" w:sz="0" w:space="0" w:color="auto"/>
          </w:divBdr>
        </w:div>
        <w:div w:id="1939562746">
          <w:marLeft w:val="0"/>
          <w:marRight w:val="0"/>
          <w:marTop w:val="0"/>
          <w:marBottom w:val="0"/>
          <w:divBdr>
            <w:top w:val="none" w:sz="0" w:space="0" w:color="auto"/>
            <w:left w:val="none" w:sz="0" w:space="0" w:color="auto"/>
            <w:bottom w:val="none" w:sz="0" w:space="0" w:color="auto"/>
            <w:right w:val="none" w:sz="0" w:space="0" w:color="auto"/>
          </w:divBdr>
        </w:div>
        <w:div w:id="104691285">
          <w:marLeft w:val="0"/>
          <w:marRight w:val="0"/>
          <w:marTop w:val="0"/>
          <w:marBottom w:val="0"/>
          <w:divBdr>
            <w:top w:val="none" w:sz="0" w:space="0" w:color="auto"/>
            <w:left w:val="none" w:sz="0" w:space="0" w:color="auto"/>
            <w:bottom w:val="none" w:sz="0" w:space="0" w:color="auto"/>
            <w:right w:val="none" w:sz="0" w:space="0" w:color="auto"/>
          </w:divBdr>
        </w:div>
        <w:div w:id="1138301412">
          <w:marLeft w:val="0"/>
          <w:marRight w:val="0"/>
          <w:marTop w:val="0"/>
          <w:marBottom w:val="0"/>
          <w:divBdr>
            <w:top w:val="none" w:sz="0" w:space="0" w:color="auto"/>
            <w:left w:val="none" w:sz="0" w:space="0" w:color="auto"/>
            <w:bottom w:val="none" w:sz="0" w:space="0" w:color="auto"/>
            <w:right w:val="none" w:sz="0" w:space="0" w:color="auto"/>
          </w:divBdr>
        </w:div>
      </w:divsChild>
    </w:div>
    <w:div w:id="1288588842">
      <w:bodyDiv w:val="1"/>
      <w:marLeft w:val="0"/>
      <w:marRight w:val="0"/>
      <w:marTop w:val="0"/>
      <w:marBottom w:val="0"/>
      <w:divBdr>
        <w:top w:val="none" w:sz="0" w:space="0" w:color="auto"/>
        <w:left w:val="none" w:sz="0" w:space="0" w:color="auto"/>
        <w:bottom w:val="none" w:sz="0" w:space="0" w:color="auto"/>
        <w:right w:val="none" w:sz="0" w:space="0" w:color="auto"/>
      </w:divBdr>
    </w:div>
    <w:div w:id="1292201538">
      <w:bodyDiv w:val="1"/>
      <w:marLeft w:val="0"/>
      <w:marRight w:val="0"/>
      <w:marTop w:val="0"/>
      <w:marBottom w:val="0"/>
      <w:divBdr>
        <w:top w:val="none" w:sz="0" w:space="0" w:color="auto"/>
        <w:left w:val="none" w:sz="0" w:space="0" w:color="auto"/>
        <w:bottom w:val="none" w:sz="0" w:space="0" w:color="auto"/>
        <w:right w:val="none" w:sz="0" w:space="0" w:color="auto"/>
      </w:divBdr>
    </w:div>
    <w:div w:id="1308248168">
      <w:bodyDiv w:val="1"/>
      <w:marLeft w:val="0"/>
      <w:marRight w:val="0"/>
      <w:marTop w:val="0"/>
      <w:marBottom w:val="0"/>
      <w:divBdr>
        <w:top w:val="none" w:sz="0" w:space="0" w:color="auto"/>
        <w:left w:val="none" w:sz="0" w:space="0" w:color="auto"/>
        <w:bottom w:val="none" w:sz="0" w:space="0" w:color="auto"/>
        <w:right w:val="none" w:sz="0" w:space="0" w:color="auto"/>
      </w:divBdr>
    </w:div>
    <w:div w:id="1318651592">
      <w:bodyDiv w:val="1"/>
      <w:marLeft w:val="0"/>
      <w:marRight w:val="0"/>
      <w:marTop w:val="0"/>
      <w:marBottom w:val="0"/>
      <w:divBdr>
        <w:top w:val="none" w:sz="0" w:space="0" w:color="auto"/>
        <w:left w:val="none" w:sz="0" w:space="0" w:color="auto"/>
        <w:bottom w:val="none" w:sz="0" w:space="0" w:color="auto"/>
        <w:right w:val="none" w:sz="0" w:space="0" w:color="auto"/>
      </w:divBdr>
    </w:div>
    <w:div w:id="1320883499">
      <w:bodyDiv w:val="1"/>
      <w:marLeft w:val="0"/>
      <w:marRight w:val="0"/>
      <w:marTop w:val="0"/>
      <w:marBottom w:val="0"/>
      <w:divBdr>
        <w:top w:val="none" w:sz="0" w:space="0" w:color="auto"/>
        <w:left w:val="none" w:sz="0" w:space="0" w:color="auto"/>
        <w:bottom w:val="none" w:sz="0" w:space="0" w:color="auto"/>
        <w:right w:val="none" w:sz="0" w:space="0" w:color="auto"/>
      </w:divBdr>
    </w:div>
    <w:div w:id="1345400958">
      <w:bodyDiv w:val="1"/>
      <w:marLeft w:val="0"/>
      <w:marRight w:val="0"/>
      <w:marTop w:val="0"/>
      <w:marBottom w:val="0"/>
      <w:divBdr>
        <w:top w:val="none" w:sz="0" w:space="0" w:color="auto"/>
        <w:left w:val="none" w:sz="0" w:space="0" w:color="auto"/>
        <w:bottom w:val="none" w:sz="0" w:space="0" w:color="auto"/>
        <w:right w:val="none" w:sz="0" w:space="0" w:color="auto"/>
      </w:divBdr>
    </w:div>
    <w:div w:id="1368330363">
      <w:bodyDiv w:val="1"/>
      <w:marLeft w:val="0"/>
      <w:marRight w:val="0"/>
      <w:marTop w:val="0"/>
      <w:marBottom w:val="0"/>
      <w:divBdr>
        <w:top w:val="none" w:sz="0" w:space="0" w:color="auto"/>
        <w:left w:val="none" w:sz="0" w:space="0" w:color="auto"/>
        <w:bottom w:val="none" w:sz="0" w:space="0" w:color="auto"/>
        <w:right w:val="none" w:sz="0" w:space="0" w:color="auto"/>
      </w:divBdr>
    </w:div>
    <w:div w:id="1371802321">
      <w:bodyDiv w:val="1"/>
      <w:marLeft w:val="0"/>
      <w:marRight w:val="0"/>
      <w:marTop w:val="0"/>
      <w:marBottom w:val="0"/>
      <w:divBdr>
        <w:top w:val="none" w:sz="0" w:space="0" w:color="auto"/>
        <w:left w:val="none" w:sz="0" w:space="0" w:color="auto"/>
        <w:bottom w:val="none" w:sz="0" w:space="0" w:color="auto"/>
        <w:right w:val="none" w:sz="0" w:space="0" w:color="auto"/>
      </w:divBdr>
    </w:div>
    <w:div w:id="1382170763">
      <w:bodyDiv w:val="1"/>
      <w:marLeft w:val="0"/>
      <w:marRight w:val="0"/>
      <w:marTop w:val="0"/>
      <w:marBottom w:val="0"/>
      <w:divBdr>
        <w:top w:val="none" w:sz="0" w:space="0" w:color="auto"/>
        <w:left w:val="none" w:sz="0" w:space="0" w:color="auto"/>
        <w:bottom w:val="none" w:sz="0" w:space="0" w:color="auto"/>
        <w:right w:val="none" w:sz="0" w:space="0" w:color="auto"/>
      </w:divBdr>
    </w:div>
    <w:div w:id="1394691604">
      <w:bodyDiv w:val="1"/>
      <w:marLeft w:val="0"/>
      <w:marRight w:val="0"/>
      <w:marTop w:val="0"/>
      <w:marBottom w:val="0"/>
      <w:divBdr>
        <w:top w:val="none" w:sz="0" w:space="0" w:color="auto"/>
        <w:left w:val="none" w:sz="0" w:space="0" w:color="auto"/>
        <w:bottom w:val="none" w:sz="0" w:space="0" w:color="auto"/>
        <w:right w:val="none" w:sz="0" w:space="0" w:color="auto"/>
      </w:divBdr>
    </w:div>
    <w:div w:id="1446776001">
      <w:bodyDiv w:val="1"/>
      <w:marLeft w:val="0"/>
      <w:marRight w:val="0"/>
      <w:marTop w:val="0"/>
      <w:marBottom w:val="0"/>
      <w:divBdr>
        <w:top w:val="none" w:sz="0" w:space="0" w:color="auto"/>
        <w:left w:val="none" w:sz="0" w:space="0" w:color="auto"/>
        <w:bottom w:val="none" w:sz="0" w:space="0" w:color="auto"/>
        <w:right w:val="none" w:sz="0" w:space="0" w:color="auto"/>
      </w:divBdr>
    </w:div>
    <w:div w:id="1555001211">
      <w:bodyDiv w:val="1"/>
      <w:marLeft w:val="0"/>
      <w:marRight w:val="0"/>
      <w:marTop w:val="0"/>
      <w:marBottom w:val="0"/>
      <w:divBdr>
        <w:top w:val="none" w:sz="0" w:space="0" w:color="auto"/>
        <w:left w:val="none" w:sz="0" w:space="0" w:color="auto"/>
        <w:bottom w:val="none" w:sz="0" w:space="0" w:color="auto"/>
        <w:right w:val="none" w:sz="0" w:space="0" w:color="auto"/>
      </w:divBdr>
    </w:div>
    <w:div w:id="1556046399">
      <w:bodyDiv w:val="1"/>
      <w:marLeft w:val="0"/>
      <w:marRight w:val="0"/>
      <w:marTop w:val="0"/>
      <w:marBottom w:val="0"/>
      <w:divBdr>
        <w:top w:val="none" w:sz="0" w:space="0" w:color="auto"/>
        <w:left w:val="none" w:sz="0" w:space="0" w:color="auto"/>
        <w:bottom w:val="none" w:sz="0" w:space="0" w:color="auto"/>
        <w:right w:val="none" w:sz="0" w:space="0" w:color="auto"/>
      </w:divBdr>
    </w:div>
    <w:div w:id="1556508617">
      <w:bodyDiv w:val="1"/>
      <w:marLeft w:val="0"/>
      <w:marRight w:val="0"/>
      <w:marTop w:val="0"/>
      <w:marBottom w:val="0"/>
      <w:divBdr>
        <w:top w:val="none" w:sz="0" w:space="0" w:color="auto"/>
        <w:left w:val="none" w:sz="0" w:space="0" w:color="auto"/>
        <w:bottom w:val="none" w:sz="0" w:space="0" w:color="auto"/>
        <w:right w:val="none" w:sz="0" w:space="0" w:color="auto"/>
      </w:divBdr>
    </w:div>
    <w:div w:id="1591085301">
      <w:bodyDiv w:val="1"/>
      <w:marLeft w:val="0"/>
      <w:marRight w:val="0"/>
      <w:marTop w:val="0"/>
      <w:marBottom w:val="0"/>
      <w:divBdr>
        <w:top w:val="none" w:sz="0" w:space="0" w:color="auto"/>
        <w:left w:val="none" w:sz="0" w:space="0" w:color="auto"/>
        <w:bottom w:val="none" w:sz="0" w:space="0" w:color="auto"/>
        <w:right w:val="none" w:sz="0" w:space="0" w:color="auto"/>
      </w:divBdr>
    </w:div>
    <w:div w:id="1597447446">
      <w:bodyDiv w:val="1"/>
      <w:marLeft w:val="0"/>
      <w:marRight w:val="0"/>
      <w:marTop w:val="0"/>
      <w:marBottom w:val="0"/>
      <w:divBdr>
        <w:top w:val="none" w:sz="0" w:space="0" w:color="auto"/>
        <w:left w:val="none" w:sz="0" w:space="0" w:color="auto"/>
        <w:bottom w:val="none" w:sz="0" w:space="0" w:color="auto"/>
        <w:right w:val="none" w:sz="0" w:space="0" w:color="auto"/>
      </w:divBdr>
    </w:div>
    <w:div w:id="1597983871">
      <w:bodyDiv w:val="1"/>
      <w:marLeft w:val="0"/>
      <w:marRight w:val="0"/>
      <w:marTop w:val="0"/>
      <w:marBottom w:val="0"/>
      <w:divBdr>
        <w:top w:val="none" w:sz="0" w:space="0" w:color="auto"/>
        <w:left w:val="none" w:sz="0" w:space="0" w:color="auto"/>
        <w:bottom w:val="none" w:sz="0" w:space="0" w:color="auto"/>
        <w:right w:val="none" w:sz="0" w:space="0" w:color="auto"/>
      </w:divBdr>
    </w:div>
    <w:div w:id="1612937009">
      <w:bodyDiv w:val="1"/>
      <w:marLeft w:val="0"/>
      <w:marRight w:val="0"/>
      <w:marTop w:val="0"/>
      <w:marBottom w:val="0"/>
      <w:divBdr>
        <w:top w:val="none" w:sz="0" w:space="0" w:color="auto"/>
        <w:left w:val="none" w:sz="0" w:space="0" w:color="auto"/>
        <w:bottom w:val="none" w:sz="0" w:space="0" w:color="auto"/>
        <w:right w:val="none" w:sz="0" w:space="0" w:color="auto"/>
      </w:divBdr>
    </w:div>
    <w:div w:id="1622760942">
      <w:bodyDiv w:val="1"/>
      <w:marLeft w:val="0"/>
      <w:marRight w:val="0"/>
      <w:marTop w:val="0"/>
      <w:marBottom w:val="0"/>
      <w:divBdr>
        <w:top w:val="none" w:sz="0" w:space="0" w:color="auto"/>
        <w:left w:val="none" w:sz="0" w:space="0" w:color="auto"/>
        <w:bottom w:val="none" w:sz="0" w:space="0" w:color="auto"/>
        <w:right w:val="none" w:sz="0" w:space="0" w:color="auto"/>
      </w:divBdr>
    </w:div>
    <w:div w:id="1652320247">
      <w:bodyDiv w:val="1"/>
      <w:marLeft w:val="0"/>
      <w:marRight w:val="0"/>
      <w:marTop w:val="0"/>
      <w:marBottom w:val="0"/>
      <w:divBdr>
        <w:top w:val="none" w:sz="0" w:space="0" w:color="auto"/>
        <w:left w:val="none" w:sz="0" w:space="0" w:color="auto"/>
        <w:bottom w:val="none" w:sz="0" w:space="0" w:color="auto"/>
        <w:right w:val="none" w:sz="0" w:space="0" w:color="auto"/>
      </w:divBdr>
    </w:div>
    <w:div w:id="1654025289">
      <w:bodyDiv w:val="1"/>
      <w:marLeft w:val="0"/>
      <w:marRight w:val="0"/>
      <w:marTop w:val="0"/>
      <w:marBottom w:val="0"/>
      <w:divBdr>
        <w:top w:val="none" w:sz="0" w:space="0" w:color="auto"/>
        <w:left w:val="none" w:sz="0" w:space="0" w:color="auto"/>
        <w:bottom w:val="none" w:sz="0" w:space="0" w:color="auto"/>
        <w:right w:val="none" w:sz="0" w:space="0" w:color="auto"/>
      </w:divBdr>
    </w:div>
    <w:div w:id="1665206009">
      <w:bodyDiv w:val="1"/>
      <w:marLeft w:val="0"/>
      <w:marRight w:val="0"/>
      <w:marTop w:val="0"/>
      <w:marBottom w:val="0"/>
      <w:divBdr>
        <w:top w:val="none" w:sz="0" w:space="0" w:color="auto"/>
        <w:left w:val="none" w:sz="0" w:space="0" w:color="auto"/>
        <w:bottom w:val="none" w:sz="0" w:space="0" w:color="auto"/>
        <w:right w:val="none" w:sz="0" w:space="0" w:color="auto"/>
      </w:divBdr>
    </w:div>
    <w:div w:id="1665432048">
      <w:bodyDiv w:val="1"/>
      <w:marLeft w:val="0"/>
      <w:marRight w:val="0"/>
      <w:marTop w:val="0"/>
      <w:marBottom w:val="0"/>
      <w:divBdr>
        <w:top w:val="none" w:sz="0" w:space="0" w:color="auto"/>
        <w:left w:val="none" w:sz="0" w:space="0" w:color="auto"/>
        <w:bottom w:val="none" w:sz="0" w:space="0" w:color="auto"/>
        <w:right w:val="none" w:sz="0" w:space="0" w:color="auto"/>
      </w:divBdr>
    </w:div>
    <w:div w:id="1671566549">
      <w:bodyDiv w:val="1"/>
      <w:marLeft w:val="0"/>
      <w:marRight w:val="0"/>
      <w:marTop w:val="0"/>
      <w:marBottom w:val="0"/>
      <w:divBdr>
        <w:top w:val="none" w:sz="0" w:space="0" w:color="auto"/>
        <w:left w:val="none" w:sz="0" w:space="0" w:color="auto"/>
        <w:bottom w:val="none" w:sz="0" w:space="0" w:color="auto"/>
        <w:right w:val="none" w:sz="0" w:space="0" w:color="auto"/>
      </w:divBdr>
    </w:div>
    <w:div w:id="1672180659">
      <w:bodyDiv w:val="1"/>
      <w:marLeft w:val="0"/>
      <w:marRight w:val="0"/>
      <w:marTop w:val="0"/>
      <w:marBottom w:val="0"/>
      <w:divBdr>
        <w:top w:val="none" w:sz="0" w:space="0" w:color="auto"/>
        <w:left w:val="none" w:sz="0" w:space="0" w:color="auto"/>
        <w:bottom w:val="none" w:sz="0" w:space="0" w:color="auto"/>
        <w:right w:val="none" w:sz="0" w:space="0" w:color="auto"/>
      </w:divBdr>
    </w:div>
    <w:div w:id="1716466813">
      <w:bodyDiv w:val="1"/>
      <w:marLeft w:val="0"/>
      <w:marRight w:val="0"/>
      <w:marTop w:val="0"/>
      <w:marBottom w:val="0"/>
      <w:divBdr>
        <w:top w:val="none" w:sz="0" w:space="0" w:color="auto"/>
        <w:left w:val="none" w:sz="0" w:space="0" w:color="auto"/>
        <w:bottom w:val="none" w:sz="0" w:space="0" w:color="auto"/>
        <w:right w:val="none" w:sz="0" w:space="0" w:color="auto"/>
      </w:divBdr>
    </w:div>
    <w:div w:id="1723825547">
      <w:bodyDiv w:val="1"/>
      <w:marLeft w:val="0"/>
      <w:marRight w:val="0"/>
      <w:marTop w:val="0"/>
      <w:marBottom w:val="0"/>
      <w:divBdr>
        <w:top w:val="none" w:sz="0" w:space="0" w:color="auto"/>
        <w:left w:val="none" w:sz="0" w:space="0" w:color="auto"/>
        <w:bottom w:val="none" w:sz="0" w:space="0" w:color="auto"/>
        <w:right w:val="none" w:sz="0" w:space="0" w:color="auto"/>
      </w:divBdr>
    </w:div>
    <w:div w:id="1725253172">
      <w:bodyDiv w:val="1"/>
      <w:marLeft w:val="0"/>
      <w:marRight w:val="0"/>
      <w:marTop w:val="0"/>
      <w:marBottom w:val="0"/>
      <w:divBdr>
        <w:top w:val="none" w:sz="0" w:space="0" w:color="auto"/>
        <w:left w:val="none" w:sz="0" w:space="0" w:color="auto"/>
        <w:bottom w:val="none" w:sz="0" w:space="0" w:color="auto"/>
        <w:right w:val="none" w:sz="0" w:space="0" w:color="auto"/>
      </w:divBdr>
    </w:div>
    <w:div w:id="1729985955">
      <w:bodyDiv w:val="1"/>
      <w:marLeft w:val="0"/>
      <w:marRight w:val="0"/>
      <w:marTop w:val="0"/>
      <w:marBottom w:val="0"/>
      <w:divBdr>
        <w:top w:val="none" w:sz="0" w:space="0" w:color="auto"/>
        <w:left w:val="none" w:sz="0" w:space="0" w:color="auto"/>
        <w:bottom w:val="none" w:sz="0" w:space="0" w:color="auto"/>
        <w:right w:val="none" w:sz="0" w:space="0" w:color="auto"/>
      </w:divBdr>
    </w:div>
    <w:div w:id="1740206841">
      <w:bodyDiv w:val="1"/>
      <w:marLeft w:val="0"/>
      <w:marRight w:val="0"/>
      <w:marTop w:val="0"/>
      <w:marBottom w:val="0"/>
      <w:divBdr>
        <w:top w:val="none" w:sz="0" w:space="0" w:color="auto"/>
        <w:left w:val="none" w:sz="0" w:space="0" w:color="auto"/>
        <w:bottom w:val="none" w:sz="0" w:space="0" w:color="auto"/>
        <w:right w:val="none" w:sz="0" w:space="0" w:color="auto"/>
      </w:divBdr>
    </w:div>
    <w:div w:id="1740902954">
      <w:bodyDiv w:val="1"/>
      <w:marLeft w:val="0"/>
      <w:marRight w:val="0"/>
      <w:marTop w:val="0"/>
      <w:marBottom w:val="0"/>
      <w:divBdr>
        <w:top w:val="none" w:sz="0" w:space="0" w:color="auto"/>
        <w:left w:val="none" w:sz="0" w:space="0" w:color="auto"/>
        <w:bottom w:val="none" w:sz="0" w:space="0" w:color="auto"/>
        <w:right w:val="none" w:sz="0" w:space="0" w:color="auto"/>
      </w:divBdr>
    </w:div>
    <w:div w:id="1768228850">
      <w:bodyDiv w:val="1"/>
      <w:marLeft w:val="0"/>
      <w:marRight w:val="0"/>
      <w:marTop w:val="0"/>
      <w:marBottom w:val="0"/>
      <w:divBdr>
        <w:top w:val="none" w:sz="0" w:space="0" w:color="auto"/>
        <w:left w:val="none" w:sz="0" w:space="0" w:color="auto"/>
        <w:bottom w:val="none" w:sz="0" w:space="0" w:color="auto"/>
        <w:right w:val="none" w:sz="0" w:space="0" w:color="auto"/>
      </w:divBdr>
    </w:div>
    <w:div w:id="1784156601">
      <w:bodyDiv w:val="1"/>
      <w:marLeft w:val="0"/>
      <w:marRight w:val="0"/>
      <w:marTop w:val="0"/>
      <w:marBottom w:val="0"/>
      <w:divBdr>
        <w:top w:val="none" w:sz="0" w:space="0" w:color="auto"/>
        <w:left w:val="none" w:sz="0" w:space="0" w:color="auto"/>
        <w:bottom w:val="none" w:sz="0" w:space="0" w:color="auto"/>
        <w:right w:val="none" w:sz="0" w:space="0" w:color="auto"/>
      </w:divBdr>
      <w:divsChild>
        <w:div w:id="458232843">
          <w:marLeft w:val="0"/>
          <w:marRight w:val="0"/>
          <w:marTop w:val="0"/>
          <w:marBottom w:val="0"/>
          <w:divBdr>
            <w:top w:val="none" w:sz="0" w:space="0" w:color="auto"/>
            <w:left w:val="none" w:sz="0" w:space="0" w:color="auto"/>
            <w:bottom w:val="none" w:sz="0" w:space="0" w:color="auto"/>
            <w:right w:val="none" w:sz="0" w:space="0" w:color="auto"/>
          </w:divBdr>
          <w:divsChild>
            <w:div w:id="70328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00157">
      <w:bodyDiv w:val="1"/>
      <w:marLeft w:val="0"/>
      <w:marRight w:val="0"/>
      <w:marTop w:val="0"/>
      <w:marBottom w:val="0"/>
      <w:divBdr>
        <w:top w:val="none" w:sz="0" w:space="0" w:color="auto"/>
        <w:left w:val="none" w:sz="0" w:space="0" w:color="auto"/>
        <w:bottom w:val="none" w:sz="0" w:space="0" w:color="auto"/>
        <w:right w:val="none" w:sz="0" w:space="0" w:color="auto"/>
      </w:divBdr>
    </w:div>
    <w:div w:id="1808352762">
      <w:bodyDiv w:val="1"/>
      <w:marLeft w:val="0"/>
      <w:marRight w:val="0"/>
      <w:marTop w:val="0"/>
      <w:marBottom w:val="0"/>
      <w:divBdr>
        <w:top w:val="none" w:sz="0" w:space="0" w:color="auto"/>
        <w:left w:val="none" w:sz="0" w:space="0" w:color="auto"/>
        <w:bottom w:val="none" w:sz="0" w:space="0" w:color="auto"/>
        <w:right w:val="none" w:sz="0" w:space="0" w:color="auto"/>
      </w:divBdr>
    </w:div>
    <w:div w:id="1827478101">
      <w:bodyDiv w:val="1"/>
      <w:marLeft w:val="0"/>
      <w:marRight w:val="0"/>
      <w:marTop w:val="0"/>
      <w:marBottom w:val="0"/>
      <w:divBdr>
        <w:top w:val="none" w:sz="0" w:space="0" w:color="auto"/>
        <w:left w:val="none" w:sz="0" w:space="0" w:color="auto"/>
        <w:bottom w:val="none" w:sz="0" w:space="0" w:color="auto"/>
        <w:right w:val="none" w:sz="0" w:space="0" w:color="auto"/>
      </w:divBdr>
    </w:div>
    <w:div w:id="1835293322">
      <w:bodyDiv w:val="1"/>
      <w:marLeft w:val="0"/>
      <w:marRight w:val="0"/>
      <w:marTop w:val="0"/>
      <w:marBottom w:val="0"/>
      <w:divBdr>
        <w:top w:val="none" w:sz="0" w:space="0" w:color="auto"/>
        <w:left w:val="none" w:sz="0" w:space="0" w:color="auto"/>
        <w:bottom w:val="none" w:sz="0" w:space="0" w:color="auto"/>
        <w:right w:val="none" w:sz="0" w:space="0" w:color="auto"/>
      </w:divBdr>
    </w:div>
    <w:div w:id="1839687895">
      <w:bodyDiv w:val="1"/>
      <w:marLeft w:val="0"/>
      <w:marRight w:val="0"/>
      <w:marTop w:val="0"/>
      <w:marBottom w:val="0"/>
      <w:divBdr>
        <w:top w:val="none" w:sz="0" w:space="0" w:color="auto"/>
        <w:left w:val="none" w:sz="0" w:space="0" w:color="auto"/>
        <w:bottom w:val="none" w:sz="0" w:space="0" w:color="auto"/>
        <w:right w:val="none" w:sz="0" w:space="0" w:color="auto"/>
      </w:divBdr>
    </w:div>
    <w:div w:id="1863517914">
      <w:bodyDiv w:val="1"/>
      <w:marLeft w:val="0"/>
      <w:marRight w:val="0"/>
      <w:marTop w:val="0"/>
      <w:marBottom w:val="0"/>
      <w:divBdr>
        <w:top w:val="none" w:sz="0" w:space="0" w:color="auto"/>
        <w:left w:val="none" w:sz="0" w:space="0" w:color="auto"/>
        <w:bottom w:val="none" w:sz="0" w:space="0" w:color="auto"/>
        <w:right w:val="none" w:sz="0" w:space="0" w:color="auto"/>
      </w:divBdr>
      <w:divsChild>
        <w:div w:id="1177618969">
          <w:marLeft w:val="0"/>
          <w:marRight w:val="0"/>
          <w:marTop w:val="0"/>
          <w:marBottom w:val="0"/>
          <w:divBdr>
            <w:top w:val="none" w:sz="0" w:space="0" w:color="auto"/>
            <w:left w:val="none" w:sz="0" w:space="0" w:color="auto"/>
            <w:bottom w:val="none" w:sz="0" w:space="0" w:color="auto"/>
            <w:right w:val="none" w:sz="0" w:space="0" w:color="auto"/>
          </w:divBdr>
          <w:divsChild>
            <w:div w:id="55215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06776">
      <w:bodyDiv w:val="1"/>
      <w:marLeft w:val="0"/>
      <w:marRight w:val="0"/>
      <w:marTop w:val="0"/>
      <w:marBottom w:val="0"/>
      <w:divBdr>
        <w:top w:val="none" w:sz="0" w:space="0" w:color="auto"/>
        <w:left w:val="none" w:sz="0" w:space="0" w:color="auto"/>
        <w:bottom w:val="none" w:sz="0" w:space="0" w:color="auto"/>
        <w:right w:val="none" w:sz="0" w:space="0" w:color="auto"/>
      </w:divBdr>
    </w:div>
    <w:div w:id="1890606700">
      <w:bodyDiv w:val="1"/>
      <w:marLeft w:val="0"/>
      <w:marRight w:val="0"/>
      <w:marTop w:val="0"/>
      <w:marBottom w:val="0"/>
      <w:divBdr>
        <w:top w:val="none" w:sz="0" w:space="0" w:color="auto"/>
        <w:left w:val="none" w:sz="0" w:space="0" w:color="auto"/>
        <w:bottom w:val="none" w:sz="0" w:space="0" w:color="auto"/>
        <w:right w:val="none" w:sz="0" w:space="0" w:color="auto"/>
      </w:divBdr>
    </w:div>
    <w:div w:id="1891963368">
      <w:bodyDiv w:val="1"/>
      <w:marLeft w:val="0"/>
      <w:marRight w:val="0"/>
      <w:marTop w:val="0"/>
      <w:marBottom w:val="0"/>
      <w:divBdr>
        <w:top w:val="none" w:sz="0" w:space="0" w:color="auto"/>
        <w:left w:val="none" w:sz="0" w:space="0" w:color="auto"/>
        <w:bottom w:val="none" w:sz="0" w:space="0" w:color="auto"/>
        <w:right w:val="none" w:sz="0" w:space="0" w:color="auto"/>
      </w:divBdr>
    </w:div>
    <w:div w:id="1901593431">
      <w:bodyDiv w:val="1"/>
      <w:marLeft w:val="0"/>
      <w:marRight w:val="0"/>
      <w:marTop w:val="0"/>
      <w:marBottom w:val="0"/>
      <w:divBdr>
        <w:top w:val="none" w:sz="0" w:space="0" w:color="auto"/>
        <w:left w:val="none" w:sz="0" w:space="0" w:color="auto"/>
        <w:bottom w:val="none" w:sz="0" w:space="0" w:color="auto"/>
        <w:right w:val="none" w:sz="0" w:space="0" w:color="auto"/>
      </w:divBdr>
    </w:div>
    <w:div w:id="1922789860">
      <w:bodyDiv w:val="1"/>
      <w:marLeft w:val="0"/>
      <w:marRight w:val="0"/>
      <w:marTop w:val="0"/>
      <w:marBottom w:val="0"/>
      <w:divBdr>
        <w:top w:val="none" w:sz="0" w:space="0" w:color="auto"/>
        <w:left w:val="none" w:sz="0" w:space="0" w:color="auto"/>
        <w:bottom w:val="none" w:sz="0" w:space="0" w:color="auto"/>
        <w:right w:val="none" w:sz="0" w:space="0" w:color="auto"/>
      </w:divBdr>
    </w:div>
    <w:div w:id="1952474663">
      <w:bodyDiv w:val="1"/>
      <w:marLeft w:val="0"/>
      <w:marRight w:val="0"/>
      <w:marTop w:val="0"/>
      <w:marBottom w:val="0"/>
      <w:divBdr>
        <w:top w:val="none" w:sz="0" w:space="0" w:color="auto"/>
        <w:left w:val="none" w:sz="0" w:space="0" w:color="auto"/>
        <w:bottom w:val="none" w:sz="0" w:space="0" w:color="auto"/>
        <w:right w:val="none" w:sz="0" w:space="0" w:color="auto"/>
      </w:divBdr>
      <w:divsChild>
        <w:div w:id="1771388561">
          <w:marLeft w:val="0"/>
          <w:marRight w:val="0"/>
          <w:marTop w:val="0"/>
          <w:marBottom w:val="0"/>
          <w:divBdr>
            <w:top w:val="none" w:sz="0" w:space="0" w:color="auto"/>
            <w:left w:val="none" w:sz="0" w:space="0" w:color="auto"/>
            <w:bottom w:val="none" w:sz="0" w:space="0" w:color="auto"/>
            <w:right w:val="none" w:sz="0" w:space="0" w:color="auto"/>
          </w:divBdr>
        </w:div>
        <w:div w:id="1364285639">
          <w:marLeft w:val="0"/>
          <w:marRight w:val="0"/>
          <w:marTop w:val="0"/>
          <w:marBottom w:val="0"/>
          <w:divBdr>
            <w:top w:val="none" w:sz="0" w:space="0" w:color="auto"/>
            <w:left w:val="none" w:sz="0" w:space="0" w:color="auto"/>
            <w:bottom w:val="none" w:sz="0" w:space="0" w:color="auto"/>
            <w:right w:val="none" w:sz="0" w:space="0" w:color="auto"/>
          </w:divBdr>
        </w:div>
        <w:div w:id="1926914219">
          <w:marLeft w:val="0"/>
          <w:marRight w:val="0"/>
          <w:marTop w:val="0"/>
          <w:marBottom w:val="0"/>
          <w:divBdr>
            <w:top w:val="none" w:sz="0" w:space="0" w:color="auto"/>
            <w:left w:val="none" w:sz="0" w:space="0" w:color="auto"/>
            <w:bottom w:val="none" w:sz="0" w:space="0" w:color="auto"/>
            <w:right w:val="none" w:sz="0" w:space="0" w:color="auto"/>
          </w:divBdr>
        </w:div>
        <w:div w:id="901453302">
          <w:marLeft w:val="0"/>
          <w:marRight w:val="0"/>
          <w:marTop w:val="0"/>
          <w:marBottom w:val="0"/>
          <w:divBdr>
            <w:top w:val="none" w:sz="0" w:space="0" w:color="auto"/>
            <w:left w:val="none" w:sz="0" w:space="0" w:color="auto"/>
            <w:bottom w:val="none" w:sz="0" w:space="0" w:color="auto"/>
            <w:right w:val="none" w:sz="0" w:space="0" w:color="auto"/>
          </w:divBdr>
        </w:div>
        <w:div w:id="254100462">
          <w:marLeft w:val="0"/>
          <w:marRight w:val="0"/>
          <w:marTop w:val="0"/>
          <w:marBottom w:val="0"/>
          <w:divBdr>
            <w:top w:val="none" w:sz="0" w:space="0" w:color="auto"/>
            <w:left w:val="none" w:sz="0" w:space="0" w:color="auto"/>
            <w:bottom w:val="none" w:sz="0" w:space="0" w:color="auto"/>
            <w:right w:val="none" w:sz="0" w:space="0" w:color="auto"/>
          </w:divBdr>
        </w:div>
        <w:div w:id="685058577">
          <w:marLeft w:val="0"/>
          <w:marRight w:val="0"/>
          <w:marTop w:val="0"/>
          <w:marBottom w:val="0"/>
          <w:divBdr>
            <w:top w:val="none" w:sz="0" w:space="0" w:color="auto"/>
            <w:left w:val="none" w:sz="0" w:space="0" w:color="auto"/>
            <w:bottom w:val="none" w:sz="0" w:space="0" w:color="auto"/>
            <w:right w:val="none" w:sz="0" w:space="0" w:color="auto"/>
          </w:divBdr>
        </w:div>
        <w:div w:id="1495224473">
          <w:marLeft w:val="0"/>
          <w:marRight w:val="0"/>
          <w:marTop w:val="0"/>
          <w:marBottom w:val="0"/>
          <w:divBdr>
            <w:top w:val="none" w:sz="0" w:space="0" w:color="auto"/>
            <w:left w:val="none" w:sz="0" w:space="0" w:color="auto"/>
            <w:bottom w:val="none" w:sz="0" w:space="0" w:color="auto"/>
            <w:right w:val="none" w:sz="0" w:space="0" w:color="auto"/>
          </w:divBdr>
        </w:div>
        <w:div w:id="396707600">
          <w:marLeft w:val="0"/>
          <w:marRight w:val="0"/>
          <w:marTop w:val="0"/>
          <w:marBottom w:val="0"/>
          <w:divBdr>
            <w:top w:val="none" w:sz="0" w:space="0" w:color="auto"/>
            <w:left w:val="none" w:sz="0" w:space="0" w:color="auto"/>
            <w:bottom w:val="none" w:sz="0" w:space="0" w:color="auto"/>
            <w:right w:val="none" w:sz="0" w:space="0" w:color="auto"/>
          </w:divBdr>
        </w:div>
        <w:div w:id="1112944501">
          <w:marLeft w:val="0"/>
          <w:marRight w:val="0"/>
          <w:marTop w:val="0"/>
          <w:marBottom w:val="0"/>
          <w:divBdr>
            <w:top w:val="none" w:sz="0" w:space="0" w:color="auto"/>
            <w:left w:val="none" w:sz="0" w:space="0" w:color="auto"/>
            <w:bottom w:val="none" w:sz="0" w:space="0" w:color="auto"/>
            <w:right w:val="none" w:sz="0" w:space="0" w:color="auto"/>
          </w:divBdr>
        </w:div>
        <w:div w:id="969015979">
          <w:marLeft w:val="0"/>
          <w:marRight w:val="0"/>
          <w:marTop w:val="0"/>
          <w:marBottom w:val="0"/>
          <w:divBdr>
            <w:top w:val="none" w:sz="0" w:space="0" w:color="auto"/>
            <w:left w:val="none" w:sz="0" w:space="0" w:color="auto"/>
            <w:bottom w:val="none" w:sz="0" w:space="0" w:color="auto"/>
            <w:right w:val="none" w:sz="0" w:space="0" w:color="auto"/>
          </w:divBdr>
        </w:div>
        <w:div w:id="1869677491">
          <w:marLeft w:val="0"/>
          <w:marRight w:val="0"/>
          <w:marTop w:val="0"/>
          <w:marBottom w:val="0"/>
          <w:divBdr>
            <w:top w:val="none" w:sz="0" w:space="0" w:color="auto"/>
            <w:left w:val="none" w:sz="0" w:space="0" w:color="auto"/>
            <w:bottom w:val="none" w:sz="0" w:space="0" w:color="auto"/>
            <w:right w:val="none" w:sz="0" w:space="0" w:color="auto"/>
          </w:divBdr>
        </w:div>
        <w:div w:id="2014793652">
          <w:marLeft w:val="0"/>
          <w:marRight w:val="0"/>
          <w:marTop w:val="0"/>
          <w:marBottom w:val="0"/>
          <w:divBdr>
            <w:top w:val="none" w:sz="0" w:space="0" w:color="auto"/>
            <w:left w:val="none" w:sz="0" w:space="0" w:color="auto"/>
            <w:bottom w:val="none" w:sz="0" w:space="0" w:color="auto"/>
            <w:right w:val="none" w:sz="0" w:space="0" w:color="auto"/>
          </w:divBdr>
        </w:div>
        <w:div w:id="969703395">
          <w:marLeft w:val="0"/>
          <w:marRight w:val="0"/>
          <w:marTop w:val="0"/>
          <w:marBottom w:val="0"/>
          <w:divBdr>
            <w:top w:val="none" w:sz="0" w:space="0" w:color="auto"/>
            <w:left w:val="none" w:sz="0" w:space="0" w:color="auto"/>
            <w:bottom w:val="none" w:sz="0" w:space="0" w:color="auto"/>
            <w:right w:val="none" w:sz="0" w:space="0" w:color="auto"/>
          </w:divBdr>
        </w:div>
        <w:div w:id="1551644846">
          <w:marLeft w:val="0"/>
          <w:marRight w:val="0"/>
          <w:marTop w:val="0"/>
          <w:marBottom w:val="0"/>
          <w:divBdr>
            <w:top w:val="none" w:sz="0" w:space="0" w:color="auto"/>
            <w:left w:val="none" w:sz="0" w:space="0" w:color="auto"/>
            <w:bottom w:val="none" w:sz="0" w:space="0" w:color="auto"/>
            <w:right w:val="none" w:sz="0" w:space="0" w:color="auto"/>
          </w:divBdr>
        </w:div>
        <w:div w:id="208230586">
          <w:marLeft w:val="0"/>
          <w:marRight w:val="0"/>
          <w:marTop w:val="0"/>
          <w:marBottom w:val="0"/>
          <w:divBdr>
            <w:top w:val="none" w:sz="0" w:space="0" w:color="auto"/>
            <w:left w:val="none" w:sz="0" w:space="0" w:color="auto"/>
            <w:bottom w:val="none" w:sz="0" w:space="0" w:color="auto"/>
            <w:right w:val="none" w:sz="0" w:space="0" w:color="auto"/>
          </w:divBdr>
        </w:div>
        <w:div w:id="150489523">
          <w:marLeft w:val="0"/>
          <w:marRight w:val="0"/>
          <w:marTop w:val="0"/>
          <w:marBottom w:val="0"/>
          <w:divBdr>
            <w:top w:val="none" w:sz="0" w:space="0" w:color="auto"/>
            <w:left w:val="none" w:sz="0" w:space="0" w:color="auto"/>
            <w:bottom w:val="none" w:sz="0" w:space="0" w:color="auto"/>
            <w:right w:val="none" w:sz="0" w:space="0" w:color="auto"/>
          </w:divBdr>
        </w:div>
      </w:divsChild>
    </w:div>
    <w:div w:id="1967546961">
      <w:bodyDiv w:val="1"/>
      <w:marLeft w:val="0"/>
      <w:marRight w:val="0"/>
      <w:marTop w:val="0"/>
      <w:marBottom w:val="0"/>
      <w:divBdr>
        <w:top w:val="none" w:sz="0" w:space="0" w:color="auto"/>
        <w:left w:val="none" w:sz="0" w:space="0" w:color="auto"/>
        <w:bottom w:val="none" w:sz="0" w:space="0" w:color="auto"/>
        <w:right w:val="none" w:sz="0" w:space="0" w:color="auto"/>
      </w:divBdr>
    </w:div>
    <w:div w:id="1968505600">
      <w:bodyDiv w:val="1"/>
      <w:marLeft w:val="0"/>
      <w:marRight w:val="0"/>
      <w:marTop w:val="0"/>
      <w:marBottom w:val="0"/>
      <w:divBdr>
        <w:top w:val="none" w:sz="0" w:space="0" w:color="auto"/>
        <w:left w:val="none" w:sz="0" w:space="0" w:color="auto"/>
        <w:bottom w:val="none" w:sz="0" w:space="0" w:color="auto"/>
        <w:right w:val="none" w:sz="0" w:space="0" w:color="auto"/>
      </w:divBdr>
    </w:div>
    <w:div w:id="1981686117">
      <w:bodyDiv w:val="1"/>
      <w:marLeft w:val="0"/>
      <w:marRight w:val="0"/>
      <w:marTop w:val="0"/>
      <w:marBottom w:val="0"/>
      <w:divBdr>
        <w:top w:val="none" w:sz="0" w:space="0" w:color="auto"/>
        <w:left w:val="none" w:sz="0" w:space="0" w:color="auto"/>
        <w:bottom w:val="none" w:sz="0" w:space="0" w:color="auto"/>
        <w:right w:val="none" w:sz="0" w:space="0" w:color="auto"/>
      </w:divBdr>
    </w:div>
    <w:div w:id="1999336079">
      <w:bodyDiv w:val="1"/>
      <w:marLeft w:val="0"/>
      <w:marRight w:val="0"/>
      <w:marTop w:val="0"/>
      <w:marBottom w:val="0"/>
      <w:divBdr>
        <w:top w:val="none" w:sz="0" w:space="0" w:color="auto"/>
        <w:left w:val="none" w:sz="0" w:space="0" w:color="auto"/>
        <w:bottom w:val="none" w:sz="0" w:space="0" w:color="auto"/>
        <w:right w:val="none" w:sz="0" w:space="0" w:color="auto"/>
      </w:divBdr>
    </w:div>
    <w:div w:id="2011373890">
      <w:bodyDiv w:val="1"/>
      <w:marLeft w:val="0"/>
      <w:marRight w:val="0"/>
      <w:marTop w:val="0"/>
      <w:marBottom w:val="0"/>
      <w:divBdr>
        <w:top w:val="none" w:sz="0" w:space="0" w:color="auto"/>
        <w:left w:val="none" w:sz="0" w:space="0" w:color="auto"/>
        <w:bottom w:val="none" w:sz="0" w:space="0" w:color="auto"/>
        <w:right w:val="none" w:sz="0" w:space="0" w:color="auto"/>
      </w:divBdr>
    </w:div>
    <w:div w:id="2020960505">
      <w:bodyDiv w:val="1"/>
      <w:marLeft w:val="0"/>
      <w:marRight w:val="0"/>
      <w:marTop w:val="0"/>
      <w:marBottom w:val="0"/>
      <w:divBdr>
        <w:top w:val="none" w:sz="0" w:space="0" w:color="auto"/>
        <w:left w:val="none" w:sz="0" w:space="0" w:color="auto"/>
        <w:bottom w:val="none" w:sz="0" w:space="0" w:color="auto"/>
        <w:right w:val="none" w:sz="0" w:space="0" w:color="auto"/>
      </w:divBdr>
    </w:div>
    <w:div w:id="2022510387">
      <w:bodyDiv w:val="1"/>
      <w:marLeft w:val="0"/>
      <w:marRight w:val="0"/>
      <w:marTop w:val="0"/>
      <w:marBottom w:val="0"/>
      <w:divBdr>
        <w:top w:val="none" w:sz="0" w:space="0" w:color="auto"/>
        <w:left w:val="none" w:sz="0" w:space="0" w:color="auto"/>
        <w:bottom w:val="none" w:sz="0" w:space="0" w:color="auto"/>
        <w:right w:val="none" w:sz="0" w:space="0" w:color="auto"/>
      </w:divBdr>
    </w:div>
    <w:div w:id="2031494594">
      <w:bodyDiv w:val="1"/>
      <w:marLeft w:val="0"/>
      <w:marRight w:val="0"/>
      <w:marTop w:val="0"/>
      <w:marBottom w:val="0"/>
      <w:divBdr>
        <w:top w:val="none" w:sz="0" w:space="0" w:color="auto"/>
        <w:left w:val="none" w:sz="0" w:space="0" w:color="auto"/>
        <w:bottom w:val="none" w:sz="0" w:space="0" w:color="auto"/>
        <w:right w:val="none" w:sz="0" w:space="0" w:color="auto"/>
      </w:divBdr>
    </w:div>
    <w:div w:id="2037584276">
      <w:bodyDiv w:val="1"/>
      <w:marLeft w:val="0"/>
      <w:marRight w:val="0"/>
      <w:marTop w:val="0"/>
      <w:marBottom w:val="0"/>
      <w:divBdr>
        <w:top w:val="none" w:sz="0" w:space="0" w:color="auto"/>
        <w:left w:val="none" w:sz="0" w:space="0" w:color="auto"/>
        <w:bottom w:val="none" w:sz="0" w:space="0" w:color="auto"/>
        <w:right w:val="none" w:sz="0" w:space="0" w:color="auto"/>
      </w:divBdr>
    </w:div>
    <w:div w:id="2050033410">
      <w:bodyDiv w:val="1"/>
      <w:marLeft w:val="0"/>
      <w:marRight w:val="0"/>
      <w:marTop w:val="0"/>
      <w:marBottom w:val="0"/>
      <w:divBdr>
        <w:top w:val="none" w:sz="0" w:space="0" w:color="auto"/>
        <w:left w:val="none" w:sz="0" w:space="0" w:color="auto"/>
        <w:bottom w:val="none" w:sz="0" w:space="0" w:color="auto"/>
        <w:right w:val="none" w:sz="0" w:space="0" w:color="auto"/>
      </w:divBdr>
    </w:div>
    <w:div w:id="2073656280">
      <w:bodyDiv w:val="1"/>
      <w:marLeft w:val="0"/>
      <w:marRight w:val="0"/>
      <w:marTop w:val="0"/>
      <w:marBottom w:val="0"/>
      <w:divBdr>
        <w:top w:val="none" w:sz="0" w:space="0" w:color="auto"/>
        <w:left w:val="none" w:sz="0" w:space="0" w:color="auto"/>
        <w:bottom w:val="none" w:sz="0" w:space="0" w:color="auto"/>
        <w:right w:val="none" w:sz="0" w:space="0" w:color="auto"/>
      </w:divBdr>
    </w:div>
    <w:div w:id="2083982480">
      <w:bodyDiv w:val="1"/>
      <w:marLeft w:val="0"/>
      <w:marRight w:val="0"/>
      <w:marTop w:val="0"/>
      <w:marBottom w:val="0"/>
      <w:divBdr>
        <w:top w:val="none" w:sz="0" w:space="0" w:color="auto"/>
        <w:left w:val="none" w:sz="0" w:space="0" w:color="auto"/>
        <w:bottom w:val="none" w:sz="0" w:space="0" w:color="auto"/>
        <w:right w:val="none" w:sz="0" w:space="0" w:color="auto"/>
      </w:divBdr>
    </w:div>
    <w:div w:id="2107382663">
      <w:bodyDiv w:val="1"/>
      <w:marLeft w:val="0"/>
      <w:marRight w:val="0"/>
      <w:marTop w:val="0"/>
      <w:marBottom w:val="0"/>
      <w:divBdr>
        <w:top w:val="none" w:sz="0" w:space="0" w:color="auto"/>
        <w:left w:val="none" w:sz="0" w:space="0" w:color="auto"/>
        <w:bottom w:val="none" w:sz="0" w:space="0" w:color="auto"/>
        <w:right w:val="none" w:sz="0" w:space="0" w:color="auto"/>
      </w:divBdr>
    </w:div>
    <w:div w:id="2111852106">
      <w:bodyDiv w:val="1"/>
      <w:marLeft w:val="0"/>
      <w:marRight w:val="0"/>
      <w:marTop w:val="0"/>
      <w:marBottom w:val="0"/>
      <w:divBdr>
        <w:top w:val="none" w:sz="0" w:space="0" w:color="auto"/>
        <w:left w:val="none" w:sz="0" w:space="0" w:color="auto"/>
        <w:bottom w:val="none" w:sz="0" w:space="0" w:color="auto"/>
        <w:right w:val="none" w:sz="0" w:space="0" w:color="auto"/>
      </w:divBdr>
    </w:div>
    <w:div w:id="2119252550">
      <w:bodyDiv w:val="1"/>
      <w:marLeft w:val="0"/>
      <w:marRight w:val="0"/>
      <w:marTop w:val="0"/>
      <w:marBottom w:val="0"/>
      <w:divBdr>
        <w:top w:val="none" w:sz="0" w:space="0" w:color="auto"/>
        <w:left w:val="none" w:sz="0" w:space="0" w:color="auto"/>
        <w:bottom w:val="none" w:sz="0" w:space="0" w:color="auto"/>
        <w:right w:val="none" w:sz="0" w:space="0" w:color="auto"/>
      </w:divBdr>
    </w:div>
    <w:div w:id="2145151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8.xml"/><Relationship Id="rId39"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oter" Target="footer5.xml"/><Relationship Id="rId34" Type="http://schemas.openxmlformats.org/officeDocument/2006/relationships/header" Target="header12.xml"/><Relationship Id="rId42"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7.xml"/><Relationship Id="rId33" Type="http://schemas.openxmlformats.org/officeDocument/2006/relationships/header" Target="header11.xml"/><Relationship Id="rId38"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header" Target="header8.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regulatoryimpactsoutions.com.au" TargetMode="External"/><Relationship Id="rId24" Type="http://schemas.openxmlformats.org/officeDocument/2006/relationships/footer" Target="footer7.xml"/><Relationship Id="rId32" Type="http://schemas.openxmlformats.org/officeDocument/2006/relationships/header" Target="header10.xml"/><Relationship Id="rId37" Type="http://schemas.openxmlformats.org/officeDocument/2006/relationships/image" Target="media/image5.png"/><Relationship Id="rId40" Type="http://schemas.openxmlformats.org/officeDocument/2006/relationships/header" Target="header14.xml"/><Relationship Id="rId5" Type="http://schemas.microsoft.com/office/2007/relationships/stylesWithEffects" Target="stylesWithEffect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image" Target="media/image2.emf"/><Relationship Id="rId36" Type="http://schemas.openxmlformats.org/officeDocument/2006/relationships/header" Target="header13.xml"/><Relationship Id="rId10" Type="http://schemas.openxmlformats.org/officeDocument/2006/relationships/image" Target="media/image1.png"/><Relationship Id="rId19" Type="http://schemas.openxmlformats.org/officeDocument/2006/relationships/footer" Target="footer4.xml"/><Relationship Id="rId31" Type="http://schemas.openxmlformats.org/officeDocument/2006/relationships/header" Target="header9.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footer" Target="footer9.xml"/><Relationship Id="rId30" Type="http://schemas.openxmlformats.org/officeDocument/2006/relationships/image" Target="media/image3.png"/><Relationship Id="rId35"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www.acelg.org.au/news-detail.php?id=3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0E7ACD-A5E3-486C-BDDE-78EAECAB3AB8}">
  <ds:schemaRefs>
    <ds:schemaRef ds:uri="http://schemas.openxmlformats.org/officeDocument/2006/bibliography"/>
  </ds:schemaRefs>
</ds:datastoreItem>
</file>

<file path=customXml/itemProps2.xml><?xml version="1.0" encoding="utf-8"?>
<ds:datastoreItem xmlns:ds="http://schemas.openxmlformats.org/officeDocument/2006/customXml" ds:itemID="{217FF3FC-E6A6-4C3F-B747-996C6BE3D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EB4D337.dotm</Template>
  <TotalTime>0</TotalTime>
  <Pages>66</Pages>
  <Words>21143</Words>
  <Characters>120521</Characters>
  <Application>Microsoft Office Word</Application>
  <DocSecurity>0</DocSecurity>
  <Lines>1004</Lines>
  <Paragraphs>282</Paragraphs>
  <ScaleCrop>false</ScaleCrop>
  <HeadingPairs>
    <vt:vector size="2" baseType="variant">
      <vt:variant>
        <vt:lpstr>Title</vt:lpstr>
      </vt:variant>
      <vt:variant>
        <vt:i4>1</vt:i4>
      </vt:variant>
    </vt:vector>
  </HeadingPairs>
  <TitlesOfParts>
    <vt:vector size="1" baseType="lpstr">
      <vt:lpstr/>
    </vt:vector>
  </TitlesOfParts>
  <Company>EPA Victoria</Company>
  <LinksUpToDate>false</LinksUpToDate>
  <CharactersWithSpaces>141382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Edney</dc:creator>
  <cp:lastModifiedBy>Robbie Taylor</cp:lastModifiedBy>
  <cp:revision>2</cp:revision>
  <cp:lastPrinted>2014-02-13T22:35:00Z</cp:lastPrinted>
  <dcterms:created xsi:type="dcterms:W3CDTF">2014-03-14T04:33:00Z</dcterms:created>
  <dcterms:modified xsi:type="dcterms:W3CDTF">2014-03-14T04:33:00Z</dcterms:modified>
</cp:coreProperties>
</file>